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4010CE" w14:textId="2DD11695" w:rsidR="0000237A" w:rsidRDefault="0000237A" w:rsidP="00997F5E">
      <w:pPr>
        <w:spacing w:after="0" w:line="240" w:lineRule="auto"/>
        <w:ind w:right="91"/>
        <w:jc w:val="center"/>
        <w:rPr>
          <w:rFonts w:ascii="Arial" w:eastAsia="Arial" w:hAnsi="Arial" w:cs="Arial"/>
          <w:b/>
          <w:bCs/>
          <w:spacing w:val="1"/>
          <w:sz w:val="28"/>
          <w:szCs w:val="28"/>
        </w:rPr>
      </w:pPr>
    </w:p>
    <w:p w14:paraId="076825A0" w14:textId="3D8BD390" w:rsidR="00997F5E" w:rsidRPr="00967568" w:rsidRDefault="00997F5E" w:rsidP="0000237A">
      <w:pPr>
        <w:spacing w:before="240" w:after="0" w:line="240" w:lineRule="auto"/>
        <w:ind w:right="91"/>
        <w:jc w:val="center"/>
        <w:rPr>
          <w:rFonts w:ascii="Arial" w:eastAsia="Arial" w:hAnsi="Arial" w:cs="Arial"/>
          <w:b/>
          <w:bCs/>
          <w:spacing w:val="1"/>
          <w:sz w:val="28"/>
          <w:szCs w:val="28"/>
        </w:rPr>
      </w:pPr>
      <w:r w:rsidRPr="00967568">
        <w:rPr>
          <w:rFonts w:ascii="Arial" w:eastAsia="Arial" w:hAnsi="Arial" w:cs="Arial"/>
          <w:b/>
          <w:bCs/>
          <w:spacing w:val="1"/>
          <w:sz w:val="28"/>
          <w:szCs w:val="28"/>
        </w:rPr>
        <w:t>SISTEMA DE CUENTAS POR SECTORES</w:t>
      </w:r>
    </w:p>
    <w:p w14:paraId="41782964" w14:textId="77777777" w:rsidR="00997F5E" w:rsidRPr="00967568" w:rsidRDefault="00997F5E" w:rsidP="00997F5E">
      <w:pPr>
        <w:spacing w:after="0" w:line="240" w:lineRule="auto"/>
        <w:ind w:right="91"/>
        <w:jc w:val="center"/>
        <w:rPr>
          <w:rFonts w:ascii="Arial" w:eastAsia="Arial" w:hAnsi="Arial" w:cs="Arial"/>
          <w:b/>
          <w:bCs/>
          <w:spacing w:val="1"/>
          <w:sz w:val="28"/>
          <w:szCs w:val="28"/>
        </w:rPr>
      </w:pPr>
      <w:r w:rsidRPr="00967568">
        <w:rPr>
          <w:rFonts w:ascii="Arial" w:eastAsia="Arial" w:hAnsi="Arial" w:cs="Arial"/>
          <w:b/>
          <w:bCs/>
          <w:spacing w:val="1"/>
          <w:sz w:val="28"/>
          <w:szCs w:val="28"/>
        </w:rPr>
        <w:t xml:space="preserve">INSTITUCIONALES </w:t>
      </w:r>
      <w:r w:rsidRPr="0091666F">
        <w:rPr>
          <w:rFonts w:ascii="Arial" w:eastAsia="Arial" w:hAnsi="Arial" w:cs="Arial"/>
          <w:b/>
          <w:bCs/>
          <w:spacing w:val="1"/>
          <w:sz w:val="28"/>
          <w:szCs w:val="28"/>
        </w:rPr>
        <w:t>201</w:t>
      </w:r>
      <w:r>
        <w:rPr>
          <w:rFonts w:ascii="Arial" w:eastAsia="Arial" w:hAnsi="Arial" w:cs="Arial"/>
          <w:b/>
          <w:bCs/>
          <w:spacing w:val="1"/>
          <w:sz w:val="28"/>
          <w:szCs w:val="28"/>
        </w:rPr>
        <w:t>8</w:t>
      </w:r>
    </w:p>
    <w:p w14:paraId="39D8B8FF" w14:textId="77777777" w:rsidR="00997F5E" w:rsidRPr="00FC76A4" w:rsidRDefault="00997F5E" w:rsidP="00997F5E">
      <w:pPr>
        <w:widowControl/>
        <w:spacing w:before="120" w:after="0" w:line="240" w:lineRule="auto"/>
        <w:ind w:left="-426" w:right="-547"/>
        <w:jc w:val="both"/>
        <w:rPr>
          <w:rFonts w:ascii="Arial" w:eastAsia="Times New Roman" w:hAnsi="Arial" w:cs="Arial"/>
          <w:sz w:val="24"/>
          <w:szCs w:val="24"/>
          <w:lang w:eastAsia="es-MX"/>
        </w:rPr>
      </w:pPr>
      <w:r w:rsidRPr="00FC76A4">
        <w:rPr>
          <w:rFonts w:ascii="Arial" w:eastAsia="Times New Roman" w:hAnsi="Arial" w:cs="Arial"/>
          <w:sz w:val="24"/>
          <w:szCs w:val="24"/>
          <w:lang w:eastAsia="es-MX"/>
        </w:rPr>
        <w:t>El INEGI presenta los principales resultados de las Cuentas por Sectores Institucionales 2018, versión preliminar, año base 2013, que forma parte de los productos del Sistema de Cuentas Nacionales de México. Éstas proporcionan información sobre las transacciones reales y financieras que realizan los distintos sectores</w:t>
      </w:r>
      <w:r w:rsidRPr="00FC76A4">
        <w:rPr>
          <w:rStyle w:val="Refdenotaalpie"/>
          <w:rFonts w:ascii="Arial" w:hAnsi="Arial" w:cs="Arial"/>
          <w:sz w:val="24"/>
          <w:szCs w:val="24"/>
        </w:rPr>
        <w:footnoteReference w:id="1"/>
      </w:r>
      <w:r w:rsidRPr="00FC76A4">
        <w:rPr>
          <w:rFonts w:ascii="Arial" w:eastAsia="Times New Roman" w:hAnsi="Arial" w:cs="Arial"/>
          <w:sz w:val="24"/>
          <w:szCs w:val="24"/>
          <w:lang w:eastAsia="es-MX"/>
        </w:rPr>
        <w:t xml:space="preserve"> entre sí y con el resto del mundo, así como del balance de activos al inicio y al cierre del año.</w:t>
      </w:r>
    </w:p>
    <w:p w14:paraId="4A3DD60B" w14:textId="77777777" w:rsidR="00997F5E" w:rsidRPr="00FC76A4" w:rsidRDefault="00997F5E" w:rsidP="00997F5E">
      <w:pPr>
        <w:widowControl/>
        <w:spacing w:before="240" w:after="0" w:line="240" w:lineRule="auto"/>
        <w:ind w:left="-426" w:right="-547"/>
        <w:jc w:val="both"/>
        <w:rPr>
          <w:rFonts w:ascii="Arial" w:eastAsia="Times New Roman" w:hAnsi="Arial" w:cs="Arial"/>
          <w:sz w:val="24"/>
          <w:szCs w:val="24"/>
          <w:lang w:eastAsia="es-MX"/>
        </w:rPr>
      </w:pPr>
      <w:r w:rsidRPr="00FC76A4">
        <w:rPr>
          <w:rFonts w:ascii="Arial" w:eastAsia="Times New Roman" w:hAnsi="Arial" w:cs="Arial"/>
          <w:sz w:val="24"/>
          <w:szCs w:val="24"/>
          <w:lang w:eastAsia="es-MX"/>
        </w:rPr>
        <w:t>Durante 2018, las Sociedades no financieras contribuyeron con el 47.5% del Producto Interno Bruto (PIB) y el 33.4% fue generado por los Hogares; les siguieron el Gobierno general con 8.4%, las Sociedades financieras 4.1% y las Instituciones sin fines de lucro que sirven a los Hogares (ISFLSH) con 1 por ciento</w:t>
      </w:r>
      <w:r w:rsidRPr="00FC76A4">
        <w:rPr>
          <w:rStyle w:val="Refdenotaalpie"/>
          <w:rFonts w:ascii="Arial" w:hAnsi="Arial" w:cs="Arial"/>
          <w:sz w:val="24"/>
          <w:szCs w:val="24"/>
        </w:rPr>
        <w:footnoteReference w:id="2"/>
      </w:r>
      <w:r w:rsidRPr="00FC76A4">
        <w:rPr>
          <w:rFonts w:ascii="Arial" w:eastAsia="Times New Roman" w:hAnsi="Arial" w:cs="Arial"/>
          <w:sz w:val="24"/>
          <w:szCs w:val="24"/>
          <w:lang w:eastAsia="es-MX"/>
        </w:rPr>
        <w:t>.</w:t>
      </w:r>
    </w:p>
    <w:p w14:paraId="414941CE" w14:textId="77777777" w:rsidR="00997F5E" w:rsidRDefault="00997F5E" w:rsidP="00997F5E">
      <w:pPr>
        <w:pStyle w:val="consang"/>
        <w:spacing w:after="0" w:line="240" w:lineRule="auto"/>
        <w:ind w:right="57" w:firstLine="0"/>
        <w:jc w:val="center"/>
        <w:rPr>
          <w:rFonts w:ascii="Arial" w:hAnsi="Arial" w:cs="Arial"/>
          <w:b/>
          <w:smallCaps/>
        </w:rPr>
      </w:pPr>
    </w:p>
    <w:p w14:paraId="326E6590" w14:textId="77777777" w:rsidR="00997F5E" w:rsidRDefault="00997F5E" w:rsidP="00997F5E">
      <w:pPr>
        <w:pStyle w:val="consang"/>
        <w:spacing w:after="0" w:line="240" w:lineRule="auto"/>
        <w:ind w:right="57" w:firstLine="0"/>
        <w:jc w:val="center"/>
        <w:rPr>
          <w:rFonts w:ascii="Arial" w:hAnsi="Arial" w:cs="Arial"/>
          <w:b/>
          <w:smallCaps/>
        </w:rPr>
      </w:pPr>
    </w:p>
    <w:p w14:paraId="503B041A" w14:textId="77777777" w:rsidR="00997F5E" w:rsidRDefault="00997F5E" w:rsidP="00997F5E">
      <w:pPr>
        <w:pStyle w:val="consang"/>
        <w:spacing w:after="0" w:line="240" w:lineRule="auto"/>
        <w:ind w:right="57" w:firstLine="0"/>
        <w:jc w:val="center"/>
        <w:rPr>
          <w:rFonts w:ascii="Arial" w:hAnsi="Arial" w:cs="Arial"/>
          <w:b/>
          <w:smallCaps/>
        </w:rPr>
      </w:pPr>
      <w:r>
        <w:rPr>
          <w:rFonts w:ascii="Arial" w:hAnsi="Arial" w:cs="Arial"/>
          <w:b/>
          <w:smallCaps/>
        </w:rPr>
        <w:t>Composición del Producto Interno Bruto por Sector Institucional,</w:t>
      </w:r>
      <w:r w:rsidRPr="00386106">
        <w:rPr>
          <w:rFonts w:ascii="Arial" w:hAnsi="Arial" w:cs="Arial"/>
          <w:b/>
          <w:smallCaps/>
        </w:rPr>
        <w:t xml:space="preserve"> </w:t>
      </w:r>
      <w:r>
        <w:rPr>
          <w:rFonts w:ascii="Arial" w:hAnsi="Arial" w:cs="Arial"/>
          <w:b/>
          <w:smallCaps/>
        </w:rPr>
        <w:t>2018</w:t>
      </w:r>
    </w:p>
    <w:p w14:paraId="03193B88" w14:textId="77777777" w:rsidR="00997F5E" w:rsidRDefault="00997F5E" w:rsidP="00997F5E">
      <w:pPr>
        <w:tabs>
          <w:tab w:val="left" w:pos="8364"/>
          <w:tab w:val="left" w:pos="8505"/>
        </w:tabs>
        <w:spacing w:after="0" w:line="240" w:lineRule="auto"/>
        <w:ind w:right="91"/>
        <w:jc w:val="center"/>
        <w:rPr>
          <w:rFonts w:ascii="Arial" w:eastAsia="Arial" w:hAnsi="Arial" w:cs="Arial"/>
          <w:w w:val="101"/>
          <w:sz w:val="18"/>
          <w:szCs w:val="18"/>
        </w:rPr>
      </w:pPr>
      <w:r w:rsidRPr="00967568">
        <w:rPr>
          <w:rFonts w:ascii="Arial" w:eastAsia="Arial" w:hAnsi="Arial" w:cs="Arial"/>
          <w:spacing w:val="1"/>
          <w:sz w:val="18"/>
          <w:szCs w:val="18"/>
        </w:rPr>
        <w:t>(</w:t>
      </w:r>
      <w:r w:rsidRPr="00967568">
        <w:rPr>
          <w:rFonts w:ascii="Arial" w:eastAsia="Arial" w:hAnsi="Arial" w:cs="Arial"/>
          <w:spacing w:val="-2"/>
          <w:sz w:val="18"/>
          <w:szCs w:val="18"/>
        </w:rPr>
        <w:t>E</w:t>
      </w:r>
      <w:r w:rsidRPr="00967568">
        <w:rPr>
          <w:rFonts w:ascii="Arial" w:eastAsia="Arial" w:hAnsi="Arial" w:cs="Arial"/>
          <w:sz w:val="18"/>
          <w:szCs w:val="18"/>
        </w:rPr>
        <w:t>s</w:t>
      </w:r>
      <w:r w:rsidRPr="00967568">
        <w:rPr>
          <w:rFonts w:ascii="Arial" w:eastAsia="Arial" w:hAnsi="Arial" w:cs="Arial"/>
          <w:spacing w:val="2"/>
          <w:sz w:val="18"/>
          <w:szCs w:val="18"/>
        </w:rPr>
        <w:t>t</w:t>
      </w:r>
      <w:r w:rsidRPr="00967568">
        <w:rPr>
          <w:rFonts w:ascii="Arial" w:eastAsia="Arial" w:hAnsi="Arial" w:cs="Arial"/>
          <w:spacing w:val="1"/>
          <w:sz w:val="18"/>
          <w:szCs w:val="18"/>
        </w:rPr>
        <w:t>r</w:t>
      </w:r>
      <w:r w:rsidRPr="00967568">
        <w:rPr>
          <w:rFonts w:ascii="Arial" w:eastAsia="Arial" w:hAnsi="Arial" w:cs="Arial"/>
          <w:spacing w:val="-1"/>
          <w:sz w:val="18"/>
          <w:szCs w:val="18"/>
        </w:rPr>
        <w:t>u</w:t>
      </w:r>
      <w:r w:rsidRPr="00967568">
        <w:rPr>
          <w:rFonts w:ascii="Arial" w:eastAsia="Arial" w:hAnsi="Arial" w:cs="Arial"/>
          <w:sz w:val="18"/>
          <w:szCs w:val="18"/>
        </w:rPr>
        <w:t>c</w:t>
      </w:r>
      <w:r w:rsidRPr="00967568">
        <w:rPr>
          <w:rFonts w:ascii="Arial" w:eastAsia="Arial" w:hAnsi="Arial" w:cs="Arial"/>
          <w:spacing w:val="2"/>
          <w:sz w:val="18"/>
          <w:szCs w:val="18"/>
        </w:rPr>
        <w:t>t</w:t>
      </w:r>
      <w:r w:rsidRPr="00967568">
        <w:rPr>
          <w:rFonts w:ascii="Arial" w:eastAsia="Arial" w:hAnsi="Arial" w:cs="Arial"/>
          <w:spacing w:val="-1"/>
          <w:sz w:val="18"/>
          <w:szCs w:val="18"/>
        </w:rPr>
        <w:t>u</w:t>
      </w:r>
      <w:r w:rsidRPr="00967568">
        <w:rPr>
          <w:rFonts w:ascii="Arial" w:eastAsia="Arial" w:hAnsi="Arial" w:cs="Arial"/>
          <w:spacing w:val="1"/>
          <w:sz w:val="18"/>
          <w:szCs w:val="18"/>
        </w:rPr>
        <w:t>r</w:t>
      </w:r>
      <w:r w:rsidRPr="00967568">
        <w:rPr>
          <w:rFonts w:ascii="Arial" w:eastAsia="Arial" w:hAnsi="Arial" w:cs="Arial"/>
          <w:sz w:val="18"/>
          <w:szCs w:val="18"/>
        </w:rPr>
        <w:t>a</w:t>
      </w:r>
      <w:r w:rsidRPr="00967568">
        <w:rPr>
          <w:rFonts w:ascii="Arial" w:eastAsia="Arial" w:hAnsi="Arial" w:cs="Arial"/>
          <w:spacing w:val="11"/>
          <w:sz w:val="18"/>
          <w:szCs w:val="18"/>
        </w:rPr>
        <w:t xml:space="preserve"> </w:t>
      </w:r>
      <w:r w:rsidRPr="00967568">
        <w:rPr>
          <w:rFonts w:ascii="Arial" w:eastAsia="Arial" w:hAnsi="Arial" w:cs="Arial"/>
          <w:spacing w:val="-2"/>
          <w:w w:val="101"/>
          <w:sz w:val="18"/>
          <w:szCs w:val="18"/>
        </w:rPr>
        <w:t>P</w:t>
      </w:r>
      <w:r w:rsidRPr="00967568">
        <w:rPr>
          <w:rFonts w:ascii="Arial" w:eastAsia="Arial" w:hAnsi="Arial" w:cs="Arial"/>
          <w:spacing w:val="-1"/>
          <w:w w:val="101"/>
          <w:sz w:val="18"/>
          <w:szCs w:val="18"/>
        </w:rPr>
        <w:t>o</w:t>
      </w:r>
      <w:r w:rsidRPr="00967568">
        <w:rPr>
          <w:rFonts w:ascii="Arial" w:eastAsia="Arial" w:hAnsi="Arial" w:cs="Arial"/>
          <w:spacing w:val="1"/>
          <w:w w:val="101"/>
          <w:sz w:val="18"/>
          <w:szCs w:val="18"/>
        </w:rPr>
        <w:t>r</w:t>
      </w:r>
      <w:r w:rsidRPr="00967568">
        <w:rPr>
          <w:rFonts w:ascii="Arial" w:eastAsia="Arial" w:hAnsi="Arial" w:cs="Arial"/>
          <w:w w:val="101"/>
          <w:sz w:val="18"/>
          <w:szCs w:val="18"/>
        </w:rPr>
        <w:t>c</w:t>
      </w:r>
      <w:r w:rsidRPr="00967568">
        <w:rPr>
          <w:rFonts w:ascii="Arial" w:eastAsia="Arial" w:hAnsi="Arial" w:cs="Arial"/>
          <w:spacing w:val="-5"/>
          <w:w w:val="101"/>
          <w:sz w:val="18"/>
          <w:szCs w:val="18"/>
        </w:rPr>
        <w:t>e</w:t>
      </w:r>
      <w:r w:rsidRPr="00967568">
        <w:rPr>
          <w:rFonts w:ascii="Arial" w:eastAsia="Arial" w:hAnsi="Arial" w:cs="Arial"/>
          <w:spacing w:val="-1"/>
          <w:w w:val="101"/>
          <w:sz w:val="18"/>
          <w:szCs w:val="18"/>
        </w:rPr>
        <w:t>n</w:t>
      </w:r>
      <w:r w:rsidRPr="00967568">
        <w:rPr>
          <w:rFonts w:ascii="Arial" w:eastAsia="Arial" w:hAnsi="Arial" w:cs="Arial"/>
          <w:spacing w:val="2"/>
          <w:w w:val="101"/>
          <w:sz w:val="18"/>
          <w:szCs w:val="18"/>
        </w:rPr>
        <w:t>t</w:t>
      </w:r>
      <w:r w:rsidRPr="00967568">
        <w:rPr>
          <w:rFonts w:ascii="Arial" w:eastAsia="Arial" w:hAnsi="Arial" w:cs="Arial"/>
          <w:spacing w:val="-1"/>
          <w:w w:val="101"/>
          <w:sz w:val="18"/>
          <w:szCs w:val="18"/>
        </w:rPr>
        <w:t>ua</w:t>
      </w:r>
      <w:r w:rsidRPr="00967568">
        <w:rPr>
          <w:rFonts w:ascii="Arial" w:eastAsia="Arial" w:hAnsi="Arial" w:cs="Arial"/>
          <w:spacing w:val="3"/>
          <w:w w:val="101"/>
          <w:sz w:val="18"/>
          <w:szCs w:val="18"/>
        </w:rPr>
        <w:t>l</w:t>
      </w:r>
      <w:r w:rsidRPr="00967568">
        <w:rPr>
          <w:rFonts w:ascii="Arial" w:eastAsia="Arial" w:hAnsi="Arial" w:cs="Arial"/>
          <w:w w:val="101"/>
          <w:sz w:val="18"/>
          <w:szCs w:val="18"/>
        </w:rPr>
        <w:t>)</w:t>
      </w:r>
    </w:p>
    <w:p w14:paraId="7A0D7AF6" w14:textId="77777777" w:rsidR="00997F5E" w:rsidRPr="004C5F05" w:rsidRDefault="00997F5E" w:rsidP="00997F5E">
      <w:pPr>
        <w:tabs>
          <w:tab w:val="left" w:pos="8364"/>
          <w:tab w:val="left" w:pos="8505"/>
        </w:tabs>
        <w:spacing w:after="0" w:line="240" w:lineRule="auto"/>
        <w:ind w:right="91"/>
        <w:jc w:val="center"/>
        <w:rPr>
          <w:rFonts w:ascii="Arial" w:eastAsia="Arial" w:hAnsi="Arial" w:cs="Arial"/>
          <w:w w:val="101"/>
          <w:sz w:val="18"/>
          <w:szCs w:val="18"/>
        </w:rPr>
      </w:pPr>
      <w:r w:rsidRPr="0052450D">
        <w:rPr>
          <w:noProof/>
          <w:lang w:eastAsia="es-MX"/>
        </w:rPr>
        <w:drawing>
          <wp:inline distT="0" distB="0" distL="0" distR="0" wp14:anchorId="4DAB62A8" wp14:editId="42F4B3D4">
            <wp:extent cx="5796458" cy="28440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6458" cy="2844000"/>
                    </a:xfrm>
                    <a:prstGeom prst="rect">
                      <a:avLst/>
                    </a:prstGeom>
                    <a:noFill/>
                    <a:ln>
                      <a:noFill/>
                    </a:ln>
                  </pic:spPr>
                </pic:pic>
              </a:graphicData>
            </a:graphic>
          </wp:inline>
        </w:drawing>
      </w:r>
    </w:p>
    <w:p w14:paraId="7233362A" w14:textId="77777777" w:rsidR="00997F5E" w:rsidRDefault="00997F5E" w:rsidP="00997F5E">
      <w:pPr>
        <w:tabs>
          <w:tab w:val="left" w:pos="8364"/>
          <w:tab w:val="left" w:pos="8505"/>
        </w:tabs>
        <w:spacing w:after="0" w:line="240" w:lineRule="auto"/>
        <w:ind w:right="91"/>
        <w:rPr>
          <w:rFonts w:ascii="Arial" w:eastAsia="Arial" w:hAnsi="Arial" w:cs="Arial"/>
          <w:spacing w:val="-1"/>
          <w:sz w:val="16"/>
          <w:szCs w:val="16"/>
        </w:rPr>
      </w:pPr>
      <w:r>
        <w:rPr>
          <w:rFonts w:ascii="Arial" w:hAnsi="Arial" w:cs="Arial"/>
          <w:sz w:val="16"/>
        </w:rPr>
        <w:t xml:space="preserve"> </w:t>
      </w:r>
      <w:r w:rsidRPr="00C77061">
        <w:rPr>
          <w:rFonts w:ascii="Arial" w:hAnsi="Arial" w:cs="Arial"/>
          <w:sz w:val="16"/>
        </w:rPr>
        <w:t xml:space="preserve">Nota: La suma de los </w:t>
      </w:r>
      <w:r w:rsidRPr="00D15309">
        <w:rPr>
          <w:rFonts w:ascii="Arial" w:eastAsia="Arial" w:hAnsi="Arial" w:cs="Arial"/>
          <w:spacing w:val="-1"/>
          <w:sz w:val="16"/>
          <w:szCs w:val="16"/>
        </w:rPr>
        <w:t>parciales</w:t>
      </w:r>
      <w:r w:rsidRPr="00C77061">
        <w:rPr>
          <w:rFonts w:ascii="Arial" w:hAnsi="Arial" w:cs="Arial"/>
          <w:sz w:val="16"/>
        </w:rPr>
        <w:t xml:space="preserve"> puede no coincidir con </w:t>
      </w:r>
      <w:r>
        <w:rPr>
          <w:rFonts w:ascii="Arial" w:hAnsi="Arial" w:cs="Arial"/>
          <w:sz w:val="16"/>
        </w:rPr>
        <w:t>el</w:t>
      </w:r>
      <w:r w:rsidRPr="00C77061">
        <w:rPr>
          <w:rFonts w:ascii="Arial" w:hAnsi="Arial" w:cs="Arial"/>
          <w:sz w:val="16"/>
        </w:rPr>
        <w:t xml:space="preserve"> total debido al redondeo.</w:t>
      </w:r>
    </w:p>
    <w:p w14:paraId="31B1D156" w14:textId="77777777" w:rsidR="00997F5E" w:rsidRPr="00967568" w:rsidRDefault="00997F5E" w:rsidP="00997F5E">
      <w:pPr>
        <w:tabs>
          <w:tab w:val="left" w:pos="8364"/>
          <w:tab w:val="left" w:pos="8505"/>
        </w:tabs>
        <w:spacing w:after="0" w:line="240" w:lineRule="auto"/>
        <w:ind w:right="91"/>
        <w:rPr>
          <w:rFonts w:ascii="Arial" w:eastAsia="Arial" w:hAnsi="Arial" w:cs="Arial"/>
          <w:sz w:val="16"/>
          <w:szCs w:val="16"/>
        </w:rPr>
      </w:pPr>
      <w:r>
        <w:rPr>
          <w:rFonts w:ascii="Arial" w:eastAsia="Arial" w:hAnsi="Arial" w:cs="Arial"/>
          <w:spacing w:val="-1"/>
          <w:sz w:val="16"/>
          <w:szCs w:val="16"/>
        </w:rPr>
        <w:t xml:space="preserve"> </w:t>
      </w:r>
      <w:r w:rsidRPr="00A13425">
        <w:rPr>
          <w:rFonts w:ascii="Arial" w:eastAsia="Arial" w:hAnsi="Arial" w:cs="Arial"/>
          <w:spacing w:val="-1"/>
          <w:sz w:val="16"/>
          <w:szCs w:val="16"/>
        </w:rPr>
        <w:t>F</w:t>
      </w:r>
      <w:r w:rsidRPr="00A13425">
        <w:rPr>
          <w:rFonts w:ascii="Arial" w:eastAsia="Arial" w:hAnsi="Arial" w:cs="Arial"/>
          <w:spacing w:val="-2"/>
          <w:sz w:val="16"/>
          <w:szCs w:val="16"/>
        </w:rPr>
        <w:t>u</w:t>
      </w:r>
      <w:r w:rsidRPr="00A13425">
        <w:rPr>
          <w:rFonts w:ascii="Arial" w:eastAsia="Arial" w:hAnsi="Arial" w:cs="Arial"/>
          <w:spacing w:val="-6"/>
          <w:sz w:val="16"/>
          <w:szCs w:val="16"/>
        </w:rPr>
        <w:t>e</w:t>
      </w:r>
      <w:r w:rsidRPr="00A13425">
        <w:rPr>
          <w:rFonts w:ascii="Arial" w:eastAsia="Arial" w:hAnsi="Arial" w:cs="Arial"/>
          <w:spacing w:val="-2"/>
          <w:sz w:val="16"/>
          <w:szCs w:val="16"/>
        </w:rPr>
        <w:t>n</w:t>
      </w:r>
      <w:r w:rsidRPr="00A13425">
        <w:rPr>
          <w:rFonts w:ascii="Arial" w:eastAsia="Arial" w:hAnsi="Arial" w:cs="Arial"/>
          <w:spacing w:val="-1"/>
          <w:sz w:val="16"/>
          <w:szCs w:val="16"/>
        </w:rPr>
        <w:t>t</w:t>
      </w:r>
      <w:r w:rsidRPr="00A13425">
        <w:rPr>
          <w:rFonts w:ascii="Arial" w:eastAsia="Arial" w:hAnsi="Arial" w:cs="Arial"/>
          <w:spacing w:val="-6"/>
          <w:sz w:val="16"/>
          <w:szCs w:val="16"/>
        </w:rPr>
        <w:t>e</w:t>
      </w:r>
      <w:r w:rsidRPr="00A13425">
        <w:rPr>
          <w:rFonts w:ascii="Arial" w:eastAsia="Arial" w:hAnsi="Arial" w:cs="Arial"/>
          <w:sz w:val="16"/>
          <w:szCs w:val="16"/>
        </w:rPr>
        <w:t>:</w:t>
      </w:r>
      <w:r w:rsidRPr="00A13425">
        <w:rPr>
          <w:rFonts w:ascii="Arial" w:eastAsia="Arial" w:hAnsi="Arial" w:cs="Arial"/>
          <w:spacing w:val="-13"/>
          <w:sz w:val="16"/>
          <w:szCs w:val="16"/>
        </w:rPr>
        <w:t xml:space="preserve"> </w:t>
      </w:r>
      <w:r w:rsidRPr="00A13425">
        <w:rPr>
          <w:rFonts w:ascii="Arial" w:eastAsia="Arial" w:hAnsi="Arial" w:cs="Arial"/>
          <w:spacing w:val="-1"/>
          <w:sz w:val="16"/>
          <w:szCs w:val="16"/>
        </w:rPr>
        <w:t>I</w:t>
      </w:r>
      <w:r w:rsidRPr="00A13425">
        <w:rPr>
          <w:rFonts w:ascii="Arial" w:eastAsia="Arial" w:hAnsi="Arial" w:cs="Arial"/>
          <w:spacing w:val="1"/>
          <w:sz w:val="16"/>
          <w:szCs w:val="16"/>
        </w:rPr>
        <w:t>N</w:t>
      </w:r>
      <w:r w:rsidRPr="00A13425">
        <w:rPr>
          <w:rFonts w:ascii="Arial" w:eastAsia="Arial" w:hAnsi="Arial" w:cs="Arial"/>
          <w:sz w:val="16"/>
          <w:szCs w:val="16"/>
        </w:rPr>
        <w:t>E</w:t>
      </w:r>
      <w:r w:rsidRPr="00A13425">
        <w:rPr>
          <w:rFonts w:ascii="Arial" w:eastAsia="Arial" w:hAnsi="Arial" w:cs="Arial"/>
          <w:spacing w:val="1"/>
          <w:sz w:val="16"/>
          <w:szCs w:val="16"/>
        </w:rPr>
        <w:t>G</w:t>
      </w:r>
      <w:r w:rsidRPr="00A13425">
        <w:rPr>
          <w:rFonts w:ascii="Arial" w:eastAsia="Arial" w:hAnsi="Arial" w:cs="Arial"/>
          <w:spacing w:val="-1"/>
          <w:sz w:val="16"/>
          <w:szCs w:val="16"/>
        </w:rPr>
        <w:t>I</w:t>
      </w:r>
      <w:r w:rsidRPr="00A13425">
        <w:rPr>
          <w:rFonts w:ascii="Arial" w:eastAsia="Arial" w:hAnsi="Arial" w:cs="Arial"/>
          <w:sz w:val="16"/>
          <w:szCs w:val="16"/>
        </w:rPr>
        <w:t>.</w:t>
      </w:r>
    </w:p>
    <w:p w14:paraId="0DB88F43" w14:textId="77777777" w:rsidR="00997F5E" w:rsidRDefault="00997F5E" w:rsidP="00997F5E">
      <w:pPr>
        <w:widowControl/>
        <w:spacing w:before="240" w:after="0" w:line="240" w:lineRule="auto"/>
        <w:ind w:left="-426" w:right="-547"/>
        <w:jc w:val="both"/>
        <w:rPr>
          <w:rFonts w:ascii="Arial" w:eastAsia="Times New Roman" w:hAnsi="Arial" w:cs="Arial"/>
          <w:sz w:val="24"/>
          <w:szCs w:val="24"/>
          <w:lang w:eastAsia="es-MX"/>
        </w:rPr>
      </w:pPr>
    </w:p>
    <w:p w14:paraId="7C5CA799" w14:textId="77777777" w:rsidR="00997F5E" w:rsidRDefault="00997F5E" w:rsidP="00997F5E">
      <w:pPr>
        <w:widowControl/>
        <w:spacing w:before="240" w:after="0" w:line="240" w:lineRule="auto"/>
        <w:ind w:left="-426" w:right="-547"/>
        <w:jc w:val="both"/>
        <w:rPr>
          <w:rFonts w:ascii="Arial" w:eastAsia="Times New Roman" w:hAnsi="Arial" w:cs="Arial"/>
          <w:sz w:val="24"/>
          <w:szCs w:val="24"/>
          <w:lang w:eastAsia="es-MX"/>
        </w:rPr>
      </w:pPr>
    </w:p>
    <w:p w14:paraId="09968382" w14:textId="77777777" w:rsidR="00997F5E" w:rsidRDefault="00997F5E" w:rsidP="00997F5E">
      <w:pPr>
        <w:widowControl/>
        <w:spacing w:before="120" w:after="0" w:line="240" w:lineRule="auto"/>
        <w:ind w:left="-426" w:right="-547"/>
        <w:jc w:val="both"/>
        <w:rPr>
          <w:rFonts w:ascii="Arial" w:eastAsia="Times New Roman" w:hAnsi="Arial" w:cs="Arial"/>
          <w:sz w:val="24"/>
          <w:szCs w:val="24"/>
          <w:lang w:eastAsia="es-MX"/>
        </w:rPr>
      </w:pPr>
    </w:p>
    <w:p w14:paraId="6E3FCD7E" w14:textId="77777777" w:rsidR="00997F5E" w:rsidRDefault="00997F5E" w:rsidP="00997F5E">
      <w:pPr>
        <w:widowControl/>
        <w:spacing w:before="120" w:after="0" w:line="240" w:lineRule="auto"/>
        <w:ind w:left="-426" w:right="-547"/>
        <w:jc w:val="both"/>
        <w:rPr>
          <w:rFonts w:ascii="Arial" w:eastAsia="Times New Roman" w:hAnsi="Arial" w:cs="Arial"/>
          <w:sz w:val="24"/>
          <w:szCs w:val="24"/>
          <w:lang w:eastAsia="es-MX"/>
        </w:rPr>
      </w:pPr>
    </w:p>
    <w:p w14:paraId="20BB4E9D" w14:textId="56CF6AEB" w:rsidR="00997F5E" w:rsidRPr="00FC76A4" w:rsidRDefault="00997F5E" w:rsidP="00997F5E">
      <w:pPr>
        <w:widowControl/>
        <w:spacing w:before="240" w:after="0" w:line="240" w:lineRule="auto"/>
        <w:ind w:left="-426" w:right="-547"/>
        <w:jc w:val="both"/>
        <w:rPr>
          <w:rFonts w:ascii="Arial" w:eastAsia="Times New Roman" w:hAnsi="Arial" w:cs="Arial"/>
          <w:sz w:val="24"/>
          <w:szCs w:val="24"/>
          <w:lang w:eastAsia="es-MX"/>
        </w:rPr>
      </w:pPr>
      <w:r w:rsidRPr="00FC76A4">
        <w:rPr>
          <w:rFonts w:ascii="Arial" w:eastAsia="Times New Roman" w:hAnsi="Arial" w:cs="Arial"/>
          <w:sz w:val="24"/>
          <w:szCs w:val="24"/>
          <w:lang w:eastAsia="es-MX"/>
        </w:rPr>
        <w:t>De la inversión bruta fija del país, las Sociedades no financieras realizaron el 62.5%, los Hogares participaron con 28%, el Gobierno general con 8.1%, las Sociedades financieras con 1.2% y las ISFLSH con 0.2 por ciento.</w:t>
      </w:r>
    </w:p>
    <w:p w14:paraId="4CC3AFFB" w14:textId="77777777" w:rsidR="00997F5E" w:rsidRPr="00FC76A4" w:rsidRDefault="00997F5E" w:rsidP="00997F5E">
      <w:pPr>
        <w:widowControl/>
        <w:spacing w:before="240" w:after="0" w:line="240" w:lineRule="auto"/>
        <w:ind w:left="-426" w:right="-547"/>
        <w:jc w:val="both"/>
        <w:rPr>
          <w:rFonts w:ascii="Arial" w:eastAsia="Times New Roman" w:hAnsi="Arial" w:cs="Arial"/>
          <w:sz w:val="24"/>
          <w:szCs w:val="24"/>
          <w:lang w:eastAsia="es-MX"/>
        </w:rPr>
      </w:pPr>
      <w:r w:rsidRPr="00FC76A4">
        <w:rPr>
          <w:rFonts w:ascii="Arial" w:eastAsia="Times New Roman" w:hAnsi="Arial" w:cs="Arial"/>
          <w:sz w:val="24"/>
          <w:szCs w:val="24"/>
          <w:lang w:eastAsia="es-MX"/>
        </w:rPr>
        <w:t>En el 2018, para financiar sus gastos en Activos no Financieros, las Sociedades no financieras recurrieron a recursos netos adicionales equivalentes al 7.3% del PIB, en tanto que el Gobierno general reportó necesidades de financiamiento equivalentes al 4.7 por ciento. Las Sociedades financieras, cumpliendo su función de oferentes de recursos para el financiamiento de la actividad productiva, proporcionaron recursos netos equivalentes al 4.2%; por su parte, los Hogares realizaron gastos en activos no financieros por un monto menor a sus ahorros por 5.1% (es decir fueron prestamistas netos) y las ISFLSH reportaron préstamos netos por 0.9%, todo ello en términos del PIB</w:t>
      </w:r>
      <w:r w:rsidRPr="00FC76A4">
        <w:rPr>
          <w:rStyle w:val="Refdenotaalpie"/>
          <w:rFonts w:ascii="Arial" w:eastAsia="Times New Roman" w:hAnsi="Arial" w:cs="Arial"/>
          <w:sz w:val="24"/>
          <w:szCs w:val="24"/>
          <w:lang w:eastAsia="es-MX"/>
        </w:rPr>
        <w:footnoteReference w:id="3"/>
      </w:r>
      <w:r w:rsidRPr="00FC76A4">
        <w:rPr>
          <w:rFonts w:ascii="Arial" w:eastAsia="Times New Roman" w:hAnsi="Arial" w:cs="Arial"/>
          <w:sz w:val="24"/>
          <w:szCs w:val="24"/>
          <w:lang w:eastAsia="es-MX"/>
        </w:rPr>
        <w:t>.</w:t>
      </w:r>
    </w:p>
    <w:p w14:paraId="0A430CF3" w14:textId="77777777" w:rsidR="00997F5E" w:rsidRDefault="00997F5E" w:rsidP="00997F5E">
      <w:pPr>
        <w:widowControl/>
        <w:spacing w:before="240" w:after="0" w:line="240" w:lineRule="auto"/>
        <w:ind w:left="-426" w:right="-547"/>
        <w:jc w:val="both"/>
        <w:rPr>
          <w:rFonts w:ascii="Arial" w:eastAsia="Times New Roman" w:hAnsi="Arial" w:cs="Arial"/>
          <w:sz w:val="24"/>
          <w:szCs w:val="24"/>
          <w:lang w:eastAsia="es-MX"/>
        </w:rPr>
      </w:pPr>
    </w:p>
    <w:p w14:paraId="495474CF" w14:textId="77777777" w:rsidR="00997F5E" w:rsidRPr="00BD67E1" w:rsidRDefault="00997F5E" w:rsidP="00997F5E">
      <w:pPr>
        <w:pStyle w:val="p0"/>
        <w:spacing w:before="0"/>
        <w:ind w:left="-567" w:right="-252" w:firstLine="0"/>
        <w:jc w:val="center"/>
        <w:rPr>
          <w:b/>
          <w:smallCaps/>
          <w:color w:val="auto"/>
        </w:rPr>
      </w:pPr>
      <w:r>
        <w:rPr>
          <w:b/>
          <w:smallCaps/>
          <w:color w:val="auto"/>
        </w:rPr>
        <w:t>Financiamiento de los Activos no Financieros por Sector I</w:t>
      </w:r>
      <w:r w:rsidRPr="00BD67E1">
        <w:rPr>
          <w:b/>
          <w:smallCaps/>
          <w:color w:val="auto"/>
        </w:rPr>
        <w:t xml:space="preserve">nstitucional, </w:t>
      </w:r>
      <w:r>
        <w:rPr>
          <w:b/>
          <w:smallCaps/>
          <w:color w:val="auto"/>
        </w:rPr>
        <w:t>2018</w:t>
      </w:r>
    </w:p>
    <w:p w14:paraId="4811FB52" w14:textId="77777777" w:rsidR="00997F5E" w:rsidRDefault="00997F5E" w:rsidP="00997F5E">
      <w:pPr>
        <w:pStyle w:val="p0"/>
        <w:spacing w:before="0"/>
        <w:ind w:left="-567" w:right="-252" w:firstLine="0"/>
        <w:jc w:val="center"/>
        <w:rPr>
          <w:color w:val="auto"/>
          <w:sz w:val="18"/>
        </w:rPr>
      </w:pPr>
      <w:r w:rsidRPr="00C242EA">
        <w:rPr>
          <w:color w:val="auto"/>
          <w:sz w:val="18"/>
        </w:rPr>
        <w:t>(Participación porcentual respecto al PIB)</w:t>
      </w:r>
    </w:p>
    <w:tbl>
      <w:tblPr>
        <w:tblW w:w="10301" w:type="dxa"/>
        <w:tblInd w:w="-714" w:type="dxa"/>
        <w:tblBorders>
          <w:top w:val="single" w:sz="4" w:space="0" w:color="000000"/>
          <w:left w:val="single" w:sz="4" w:space="0" w:color="000000"/>
          <w:bottom w:val="single" w:sz="4" w:space="0" w:color="000000"/>
          <w:right w:val="single" w:sz="4" w:space="0" w:color="000000"/>
          <w:insideV w:val="single" w:sz="4" w:space="0" w:color="000000"/>
        </w:tblBorders>
        <w:tblLayout w:type="fixed"/>
        <w:tblLook w:val="04A0" w:firstRow="1" w:lastRow="0" w:firstColumn="1" w:lastColumn="0" w:noHBand="0" w:noVBand="1"/>
      </w:tblPr>
      <w:tblGrid>
        <w:gridCol w:w="1134"/>
        <w:gridCol w:w="1560"/>
        <w:gridCol w:w="1021"/>
        <w:gridCol w:w="992"/>
        <w:gridCol w:w="992"/>
        <w:gridCol w:w="851"/>
        <w:gridCol w:w="850"/>
        <w:gridCol w:w="1229"/>
        <w:gridCol w:w="821"/>
        <w:gridCol w:w="851"/>
      </w:tblGrid>
      <w:tr w:rsidR="00997F5E" w:rsidRPr="00E60BDB" w14:paraId="02D04D07" w14:textId="77777777" w:rsidTr="00290DB7">
        <w:tc>
          <w:tcPr>
            <w:tcW w:w="1134" w:type="dxa"/>
            <w:tcBorders>
              <w:top w:val="single" w:sz="4" w:space="0" w:color="auto"/>
              <w:left w:val="single" w:sz="4" w:space="0" w:color="auto"/>
              <w:bottom w:val="single" w:sz="4" w:space="0" w:color="000000"/>
            </w:tcBorders>
            <w:shd w:val="clear" w:color="auto" w:fill="984806" w:themeFill="accent6" w:themeFillShade="80"/>
            <w:vAlign w:val="center"/>
          </w:tcPr>
          <w:p w14:paraId="74E3559F" w14:textId="77777777" w:rsidR="00997F5E" w:rsidRPr="00524FDB" w:rsidRDefault="00997F5E" w:rsidP="00290DB7">
            <w:pPr>
              <w:pStyle w:val="p0"/>
              <w:spacing w:before="120" w:after="120"/>
              <w:ind w:left="0" w:right="0" w:firstLine="0"/>
              <w:jc w:val="center"/>
              <w:rPr>
                <w:b/>
                <w:color w:val="FFFFFF" w:themeColor="background1"/>
                <w:sz w:val="14"/>
                <w:szCs w:val="14"/>
              </w:rPr>
            </w:pPr>
          </w:p>
        </w:tc>
        <w:tc>
          <w:tcPr>
            <w:tcW w:w="1560" w:type="dxa"/>
            <w:tcBorders>
              <w:top w:val="single" w:sz="4" w:space="0" w:color="auto"/>
              <w:bottom w:val="single" w:sz="4" w:space="0" w:color="000000"/>
            </w:tcBorders>
            <w:shd w:val="clear" w:color="auto" w:fill="984806" w:themeFill="accent6" w:themeFillShade="80"/>
            <w:vAlign w:val="center"/>
          </w:tcPr>
          <w:p w14:paraId="5058B6FD" w14:textId="77777777" w:rsidR="00997F5E" w:rsidRPr="00524FDB" w:rsidRDefault="00997F5E" w:rsidP="00290DB7">
            <w:pPr>
              <w:pStyle w:val="p0"/>
              <w:spacing w:before="120" w:after="120"/>
              <w:ind w:left="0" w:right="0" w:firstLine="0"/>
              <w:jc w:val="center"/>
              <w:rPr>
                <w:b/>
                <w:color w:val="FFFFFF" w:themeColor="background1"/>
                <w:sz w:val="12"/>
                <w:szCs w:val="12"/>
              </w:rPr>
            </w:pPr>
            <w:r w:rsidRPr="00524FDB">
              <w:rPr>
                <w:b/>
                <w:color w:val="FFFFFF" w:themeColor="background1"/>
                <w:sz w:val="16"/>
                <w:szCs w:val="12"/>
              </w:rPr>
              <w:t>Concepto</w:t>
            </w:r>
          </w:p>
        </w:tc>
        <w:tc>
          <w:tcPr>
            <w:tcW w:w="1021" w:type="dxa"/>
            <w:tcBorders>
              <w:top w:val="single" w:sz="4" w:space="0" w:color="auto"/>
              <w:bottom w:val="single" w:sz="4" w:space="0" w:color="000000"/>
            </w:tcBorders>
            <w:shd w:val="clear" w:color="auto" w:fill="984806" w:themeFill="accent6" w:themeFillShade="80"/>
            <w:vAlign w:val="center"/>
          </w:tcPr>
          <w:p w14:paraId="7670D60F" w14:textId="77777777" w:rsidR="00997F5E" w:rsidRPr="00524FDB" w:rsidRDefault="00997F5E" w:rsidP="00290DB7">
            <w:pPr>
              <w:pStyle w:val="p0"/>
              <w:spacing w:before="120" w:after="120"/>
              <w:ind w:left="0" w:right="0" w:firstLine="0"/>
              <w:jc w:val="center"/>
              <w:rPr>
                <w:b/>
                <w:color w:val="FFFFFF" w:themeColor="background1"/>
                <w:sz w:val="13"/>
                <w:szCs w:val="13"/>
              </w:rPr>
            </w:pPr>
            <w:r w:rsidRPr="00524FDB">
              <w:rPr>
                <w:b/>
                <w:color w:val="FFFFFF" w:themeColor="background1"/>
                <w:sz w:val="13"/>
                <w:szCs w:val="13"/>
              </w:rPr>
              <w:t>Sociedades no financieras</w:t>
            </w:r>
          </w:p>
        </w:tc>
        <w:tc>
          <w:tcPr>
            <w:tcW w:w="992" w:type="dxa"/>
            <w:tcBorders>
              <w:top w:val="single" w:sz="4" w:space="0" w:color="auto"/>
              <w:bottom w:val="single" w:sz="4" w:space="0" w:color="000000"/>
            </w:tcBorders>
            <w:shd w:val="clear" w:color="auto" w:fill="984806" w:themeFill="accent6" w:themeFillShade="80"/>
            <w:vAlign w:val="center"/>
          </w:tcPr>
          <w:p w14:paraId="61D0E898" w14:textId="77777777" w:rsidR="00997F5E" w:rsidRPr="00524FDB" w:rsidRDefault="00997F5E" w:rsidP="00290DB7">
            <w:pPr>
              <w:pStyle w:val="p0"/>
              <w:spacing w:before="120" w:after="120"/>
              <w:ind w:left="0" w:right="0" w:firstLine="0"/>
              <w:jc w:val="center"/>
              <w:rPr>
                <w:b/>
                <w:color w:val="FFFFFF" w:themeColor="background1"/>
                <w:sz w:val="13"/>
                <w:szCs w:val="13"/>
              </w:rPr>
            </w:pPr>
            <w:r w:rsidRPr="00524FDB">
              <w:rPr>
                <w:b/>
                <w:color w:val="FFFFFF" w:themeColor="background1"/>
                <w:sz w:val="13"/>
                <w:szCs w:val="13"/>
              </w:rPr>
              <w:t>Sociedades financieras</w:t>
            </w:r>
          </w:p>
        </w:tc>
        <w:tc>
          <w:tcPr>
            <w:tcW w:w="992" w:type="dxa"/>
            <w:tcBorders>
              <w:top w:val="single" w:sz="4" w:space="0" w:color="auto"/>
              <w:bottom w:val="single" w:sz="4" w:space="0" w:color="000000"/>
            </w:tcBorders>
            <w:shd w:val="clear" w:color="auto" w:fill="984806" w:themeFill="accent6" w:themeFillShade="80"/>
            <w:vAlign w:val="center"/>
          </w:tcPr>
          <w:p w14:paraId="267805D5" w14:textId="77777777" w:rsidR="00997F5E" w:rsidRPr="00524FDB" w:rsidRDefault="00997F5E" w:rsidP="00290DB7">
            <w:pPr>
              <w:pStyle w:val="p0"/>
              <w:spacing w:before="120" w:after="120"/>
              <w:ind w:left="0" w:right="0" w:firstLine="0"/>
              <w:jc w:val="center"/>
              <w:rPr>
                <w:b/>
                <w:color w:val="FFFFFF" w:themeColor="background1"/>
                <w:sz w:val="13"/>
                <w:szCs w:val="13"/>
              </w:rPr>
            </w:pPr>
            <w:r w:rsidRPr="00524FDB">
              <w:rPr>
                <w:b/>
                <w:color w:val="FFFFFF" w:themeColor="background1"/>
                <w:sz w:val="13"/>
                <w:szCs w:val="13"/>
              </w:rPr>
              <w:t>Gobierno general</w:t>
            </w:r>
          </w:p>
        </w:tc>
        <w:tc>
          <w:tcPr>
            <w:tcW w:w="851" w:type="dxa"/>
            <w:tcBorders>
              <w:top w:val="single" w:sz="4" w:space="0" w:color="auto"/>
              <w:bottom w:val="single" w:sz="4" w:space="0" w:color="000000"/>
            </w:tcBorders>
            <w:shd w:val="clear" w:color="auto" w:fill="984806" w:themeFill="accent6" w:themeFillShade="80"/>
            <w:vAlign w:val="center"/>
          </w:tcPr>
          <w:p w14:paraId="65848475" w14:textId="77777777" w:rsidR="00997F5E" w:rsidRPr="00524FDB" w:rsidRDefault="00997F5E" w:rsidP="00290DB7">
            <w:pPr>
              <w:pStyle w:val="p0"/>
              <w:spacing w:before="120" w:after="120"/>
              <w:ind w:left="0" w:right="0" w:firstLine="0"/>
              <w:jc w:val="center"/>
              <w:rPr>
                <w:b/>
                <w:color w:val="FFFFFF" w:themeColor="background1"/>
                <w:sz w:val="13"/>
                <w:szCs w:val="13"/>
              </w:rPr>
            </w:pPr>
            <w:r w:rsidRPr="00524FDB">
              <w:rPr>
                <w:b/>
                <w:color w:val="FFFFFF" w:themeColor="background1"/>
                <w:sz w:val="13"/>
                <w:szCs w:val="13"/>
              </w:rPr>
              <w:t>Hogares</w:t>
            </w:r>
          </w:p>
        </w:tc>
        <w:tc>
          <w:tcPr>
            <w:tcW w:w="850" w:type="dxa"/>
            <w:tcBorders>
              <w:top w:val="single" w:sz="4" w:space="0" w:color="auto"/>
              <w:bottom w:val="single" w:sz="4" w:space="0" w:color="000000"/>
            </w:tcBorders>
            <w:shd w:val="clear" w:color="auto" w:fill="984806" w:themeFill="accent6" w:themeFillShade="80"/>
            <w:vAlign w:val="center"/>
          </w:tcPr>
          <w:p w14:paraId="27DA72AB" w14:textId="77777777" w:rsidR="00997F5E" w:rsidRPr="00524FDB" w:rsidRDefault="00997F5E" w:rsidP="00290DB7">
            <w:pPr>
              <w:pStyle w:val="p0"/>
              <w:spacing w:before="120" w:after="120"/>
              <w:ind w:left="0" w:right="0" w:firstLine="0"/>
              <w:jc w:val="center"/>
              <w:rPr>
                <w:b/>
                <w:color w:val="FFFFFF" w:themeColor="background1"/>
                <w:sz w:val="13"/>
                <w:szCs w:val="13"/>
              </w:rPr>
            </w:pPr>
            <w:r w:rsidRPr="00524FDB">
              <w:rPr>
                <w:b/>
                <w:color w:val="FFFFFF" w:themeColor="background1"/>
                <w:sz w:val="13"/>
                <w:szCs w:val="13"/>
              </w:rPr>
              <w:t>ISFLSH</w:t>
            </w:r>
          </w:p>
        </w:tc>
        <w:tc>
          <w:tcPr>
            <w:tcW w:w="1229" w:type="dxa"/>
            <w:tcBorders>
              <w:top w:val="single" w:sz="4" w:space="0" w:color="auto"/>
              <w:bottom w:val="single" w:sz="4" w:space="0" w:color="000000"/>
            </w:tcBorders>
            <w:shd w:val="clear" w:color="auto" w:fill="984806" w:themeFill="accent6" w:themeFillShade="80"/>
            <w:vAlign w:val="center"/>
          </w:tcPr>
          <w:p w14:paraId="026DCEC2" w14:textId="77777777" w:rsidR="00997F5E" w:rsidRPr="00524FDB" w:rsidRDefault="00997F5E" w:rsidP="00290DB7">
            <w:pPr>
              <w:pStyle w:val="p0"/>
              <w:spacing w:before="120" w:after="120"/>
              <w:ind w:left="0" w:right="0" w:firstLine="0"/>
              <w:jc w:val="center"/>
              <w:rPr>
                <w:b/>
                <w:color w:val="FFFFFF" w:themeColor="background1"/>
                <w:sz w:val="13"/>
                <w:szCs w:val="13"/>
              </w:rPr>
            </w:pPr>
            <w:r w:rsidRPr="00524FDB">
              <w:rPr>
                <w:b/>
                <w:color w:val="FFFFFF" w:themeColor="background1"/>
                <w:sz w:val="13"/>
                <w:szCs w:val="13"/>
              </w:rPr>
              <w:t>Economía Total</w:t>
            </w:r>
          </w:p>
        </w:tc>
        <w:tc>
          <w:tcPr>
            <w:tcW w:w="821" w:type="dxa"/>
            <w:tcBorders>
              <w:top w:val="single" w:sz="4" w:space="0" w:color="auto"/>
              <w:bottom w:val="single" w:sz="4" w:space="0" w:color="000000"/>
            </w:tcBorders>
            <w:shd w:val="clear" w:color="auto" w:fill="984806" w:themeFill="accent6" w:themeFillShade="80"/>
            <w:vAlign w:val="center"/>
          </w:tcPr>
          <w:p w14:paraId="49A1AAA3" w14:textId="77777777" w:rsidR="00997F5E" w:rsidRPr="00524FDB" w:rsidRDefault="00997F5E" w:rsidP="00290DB7">
            <w:pPr>
              <w:pStyle w:val="p0"/>
              <w:spacing w:before="120" w:after="120"/>
              <w:ind w:left="0" w:right="0" w:firstLine="0"/>
              <w:jc w:val="center"/>
              <w:rPr>
                <w:b/>
                <w:color w:val="FFFFFF" w:themeColor="background1"/>
                <w:sz w:val="13"/>
                <w:szCs w:val="13"/>
              </w:rPr>
            </w:pPr>
            <w:r w:rsidRPr="00524FDB">
              <w:rPr>
                <w:b/>
                <w:color w:val="FFFFFF" w:themeColor="background1"/>
                <w:sz w:val="13"/>
                <w:szCs w:val="13"/>
              </w:rPr>
              <w:t>Resto del Mundo</w:t>
            </w:r>
          </w:p>
        </w:tc>
        <w:tc>
          <w:tcPr>
            <w:tcW w:w="851" w:type="dxa"/>
            <w:tcBorders>
              <w:top w:val="single" w:sz="4" w:space="0" w:color="auto"/>
              <w:bottom w:val="single" w:sz="4" w:space="0" w:color="000000"/>
              <w:right w:val="single" w:sz="4" w:space="0" w:color="auto"/>
            </w:tcBorders>
            <w:shd w:val="clear" w:color="auto" w:fill="984806" w:themeFill="accent6" w:themeFillShade="80"/>
            <w:vAlign w:val="center"/>
          </w:tcPr>
          <w:p w14:paraId="5A1C17F7" w14:textId="77777777" w:rsidR="00997F5E" w:rsidRPr="00524FDB" w:rsidRDefault="00997F5E" w:rsidP="00290DB7">
            <w:pPr>
              <w:pStyle w:val="p0"/>
              <w:spacing w:before="120" w:after="120"/>
              <w:ind w:left="0" w:right="0" w:firstLine="0"/>
              <w:jc w:val="center"/>
              <w:rPr>
                <w:b/>
                <w:color w:val="FFFFFF" w:themeColor="background1"/>
                <w:sz w:val="13"/>
                <w:szCs w:val="13"/>
              </w:rPr>
            </w:pPr>
            <w:r w:rsidRPr="00524FDB">
              <w:rPr>
                <w:b/>
                <w:color w:val="FFFFFF" w:themeColor="background1"/>
                <w:sz w:val="13"/>
                <w:szCs w:val="13"/>
              </w:rPr>
              <w:t>Total</w:t>
            </w:r>
          </w:p>
        </w:tc>
      </w:tr>
      <w:tr w:rsidR="00997F5E" w:rsidRPr="00E60BDB" w14:paraId="26F6BEAF" w14:textId="77777777" w:rsidTr="00290DB7">
        <w:tc>
          <w:tcPr>
            <w:tcW w:w="1134" w:type="dxa"/>
            <w:tcBorders>
              <w:top w:val="single" w:sz="4" w:space="0" w:color="000000"/>
              <w:left w:val="single" w:sz="4" w:space="0" w:color="auto"/>
              <w:bottom w:val="nil"/>
              <w:right w:val="single" w:sz="4" w:space="0" w:color="000000"/>
            </w:tcBorders>
          </w:tcPr>
          <w:p w14:paraId="0C27C769" w14:textId="77777777" w:rsidR="00997F5E" w:rsidRPr="00E60BDB" w:rsidRDefault="00997F5E" w:rsidP="00290DB7">
            <w:pPr>
              <w:pStyle w:val="p0"/>
              <w:spacing w:before="60" w:after="60"/>
              <w:ind w:left="0" w:right="0" w:firstLine="0"/>
              <w:jc w:val="both"/>
              <w:rPr>
                <w:color w:val="auto"/>
                <w:sz w:val="14"/>
                <w:szCs w:val="14"/>
              </w:rPr>
            </w:pPr>
          </w:p>
        </w:tc>
        <w:tc>
          <w:tcPr>
            <w:tcW w:w="1560" w:type="dxa"/>
            <w:tcBorders>
              <w:top w:val="single" w:sz="4" w:space="0" w:color="000000"/>
              <w:left w:val="single" w:sz="4" w:space="0" w:color="000000"/>
              <w:bottom w:val="nil"/>
              <w:right w:val="single" w:sz="4" w:space="0" w:color="000000"/>
            </w:tcBorders>
          </w:tcPr>
          <w:p w14:paraId="6D19ADA8" w14:textId="77777777" w:rsidR="00997F5E" w:rsidRPr="00364E2B" w:rsidRDefault="00997F5E" w:rsidP="00290DB7">
            <w:pPr>
              <w:pStyle w:val="p0"/>
              <w:spacing w:before="60" w:after="60"/>
              <w:ind w:left="0" w:right="0" w:firstLine="0"/>
              <w:rPr>
                <w:b/>
                <w:color w:val="auto"/>
                <w:sz w:val="16"/>
                <w:szCs w:val="16"/>
              </w:rPr>
            </w:pPr>
            <w:r w:rsidRPr="00364E2B">
              <w:rPr>
                <w:b/>
                <w:color w:val="auto"/>
                <w:sz w:val="16"/>
                <w:szCs w:val="16"/>
              </w:rPr>
              <w:t>Recursos</w:t>
            </w:r>
          </w:p>
        </w:tc>
        <w:tc>
          <w:tcPr>
            <w:tcW w:w="1021" w:type="dxa"/>
            <w:tcBorders>
              <w:top w:val="single" w:sz="4" w:space="0" w:color="000000"/>
              <w:left w:val="single" w:sz="4" w:space="0" w:color="000000"/>
              <w:bottom w:val="nil"/>
              <w:right w:val="single" w:sz="4" w:space="0" w:color="000000"/>
            </w:tcBorders>
          </w:tcPr>
          <w:p w14:paraId="0D2804CE" w14:textId="77777777" w:rsidR="00997F5E" w:rsidRDefault="00997F5E" w:rsidP="00290DB7">
            <w:pPr>
              <w:pStyle w:val="p0"/>
              <w:spacing w:before="60" w:after="60"/>
              <w:ind w:left="0" w:right="268" w:firstLine="0"/>
              <w:jc w:val="right"/>
              <w:rPr>
                <w:color w:val="auto"/>
                <w:sz w:val="16"/>
                <w:szCs w:val="16"/>
              </w:rPr>
            </w:pPr>
          </w:p>
        </w:tc>
        <w:tc>
          <w:tcPr>
            <w:tcW w:w="992" w:type="dxa"/>
            <w:tcBorders>
              <w:top w:val="single" w:sz="4" w:space="0" w:color="000000"/>
              <w:left w:val="single" w:sz="4" w:space="0" w:color="000000"/>
              <w:bottom w:val="nil"/>
              <w:right w:val="single" w:sz="4" w:space="0" w:color="000000"/>
            </w:tcBorders>
          </w:tcPr>
          <w:p w14:paraId="534D0410" w14:textId="77777777" w:rsidR="00997F5E" w:rsidRDefault="00997F5E" w:rsidP="00290DB7">
            <w:pPr>
              <w:pStyle w:val="p0"/>
              <w:spacing w:before="60" w:after="60"/>
              <w:ind w:left="0" w:right="240" w:firstLine="0"/>
              <w:jc w:val="right"/>
              <w:rPr>
                <w:color w:val="auto"/>
                <w:sz w:val="16"/>
                <w:szCs w:val="16"/>
              </w:rPr>
            </w:pPr>
          </w:p>
        </w:tc>
        <w:tc>
          <w:tcPr>
            <w:tcW w:w="992" w:type="dxa"/>
            <w:tcBorders>
              <w:top w:val="single" w:sz="4" w:space="0" w:color="000000"/>
              <w:left w:val="single" w:sz="4" w:space="0" w:color="000000"/>
              <w:bottom w:val="nil"/>
              <w:right w:val="single" w:sz="4" w:space="0" w:color="000000"/>
            </w:tcBorders>
          </w:tcPr>
          <w:p w14:paraId="4CA1C09D" w14:textId="77777777" w:rsidR="00997F5E" w:rsidRDefault="00997F5E" w:rsidP="00290DB7">
            <w:pPr>
              <w:pStyle w:val="p0"/>
              <w:spacing w:before="60" w:after="60"/>
              <w:ind w:left="0" w:right="240" w:firstLine="0"/>
              <w:jc w:val="right"/>
              <w:rPr>
                <w:color w:val="auto"/>
                <w:sz w:val="16"/>
                <w:szCs w:val="16"/>
              </w:rPr>
            </w:pPr>
          </w:p>
        </w:tc>
        <w:tc>
          <w:tcPr>
            <w:tcW w:w="851" w:type="dxa"/>
            <w:tcBorders>
              <w:top w:val="single" w:sz="4" w:space="0" w:color="000000"/>
              <w:left w:val="single" w:sz="4" w:space="0" w:color="000000"/>
              <w:bottom w:val="nil"/>
              <w:right w:val="single" w:sz="4" w:space="0" w:color="000000"/>
            </w:tcBorders>
          </w:tcPr>
          <w:p w14:paraId="746728F7" w14:textId="77777777" w:rsidR="00997F5E" w:rsidRDefault="00997F5E" w:rsidP="00290DB7">
            <w:pPr>
              <w:pStyle w:val="p0"/>
              <w:spacing w:before="60" w:after="60"/>
              <w:ind w:left="0" w:right="176" w:firstLine="0"/>
              <w:jc w:val="right"/>
              <w:rPr>
                <w:color w:val="auto"/>
                <w:sz w:val="16"/>
                <w:szCs w:val="16"/>
              </w:rPr>
            </w:pPr>
          </w:p>
        </w:tc>
        <w:tc>
          <w:tcPr>
            <w:tcW w:w="850" w:type="dxa"/>
            <w:tcBorders>
              <w:top w:val="single" w:sz="4" w:space="0" w:color="000000"/>
              <w:left w:val="single" w:sz="4" w:space="0" w:color="000000"/>
              <w:bottom w:val="nil"/>
              <w:right w:val="single" w:sz="4" w:space="0" w:color="000000"/>
            </w:tcBorders>
          </w:tcPr>
          <w:p w14:paraId="349B7515" w14:textId="77777777" w:rsidR="00997F5E" w:rsidRPr="00E60BDB" w:rsidRDefault="00997F5E" w:rsidP="00290DB7">
            <w:pPr>
              <w:pStyle w:val="p0"/>
              <w:spacing w:before="60" w:after="60"/>
              <w:ind w:left="0" w:right="175" w:firstLine="0"/>
              <w:jc w:val="right"/>
              <w:rPr>
                <w:color w:val="auto"/>
                <w:sz w:val="16"/>
                <w:szCs w:val="16"/>
              </w:rPr>
            </w:pPr>
          </w:p>
        </w:tc>
        <w:tc>
          <w:tcPr>
            <w:tcW w:w="1229" w:type="dxa"/>
            <w:tcBorders>
              <w:top w:val="single" w:sz="4" w:space="0" w:color="000000"/>
              <w:left w:val="single" w:sz="4" w:space="0" w:color="000000"/>
              <w:bottom w:val="nil"/>
              <w:right w:val="single" w:sz="4" w:space="0" w:color="000000"/>
            </w:tcBorders>
          </w:tcPr>
          <w:p w14:paraId="4AE76917" w14:textId="77777777" w:rsidR="00997F5E" w:rsidRDefault="00997F5E" w:rsidP="00290DB7">
            <w:pPr>
              <w:pStyle w:val="p0"/>
              <w:spacing w:before="60" w:after="60"/>
              <w:ind w:left="0" w:right="176" w:firstLine="0"/>
              <w:jc w:val="right"/>
              <w:rPr>
                <w:color w:val="auto"/>
                <w:sz w:val="16"/>
                <w:szCs w:val="16"/>
              </w:rPr>
            </w:pPr>
          </w:p>
        </w:tc>
        <w:tc>
          <w:tcPr>
            <w:tcW w:w="821" w:type="dxa"/>
            <w:tcBorders>
              <w:top w:val="single" w:sz="4" w:space="0" w:color="000000"/>
              <w:left w:val="single" w:sz="4" w:space="0" w:color="000000"/>
              <w:bottom w:val="nil"/>
              <w:right w:val="single" w:sz="4" w:space="0" w:color="000000"/>
            </w:tcBorders>
          </w:tcPr>
          <w:p w14:paraId="2AB7759E" w14:textId="77777777" w:rsidR="00997F5E" w:rsidRDefault="00997F5E" w:rsidP="00290DB7">
            <w:pPr>
              <w:pStyle w:val="p0"/>
              <w:spacing w:before="60" w:after="60"/>
              <w:ind w:left="0" w:right="175" w:firstLine="0"/>
              <w:jc w:val="right"/>
              <w:rPr>
                <w:color w:val="auto"/>
                <w:sz w:val="16"/>
                <w:szCs w:val="16"/>
              </w:rPr>
            </w:pPr>
          </w:p>
        </w:tc>
        <w:tc>
          <w:tcPr>
            <w:tcW w:w="851" w:type="dxa"/>
            <w:tcBorders>
              <w:top w:val="single" w:sz="4" w:space="0" w:color="000000"/>
              <w:left w:val="single" w:sz="4" w:space="0" w:color="000000"/>
              <w:bottom w:val="nil"/>
              <w:right w:val="single" w:sz="4" w:space="0" w:color="auto"/>
            </w:tcBorders>
          </w:tcPr>
          <w:p w14:paraId="5B27F534" w14:textId="77777777" w:rsidR="00997F5E" w:rsidRDefault="00997F5E" w:rsidP="00290DB7">
            <w:pPr>
              <w:pStyle w:val="p0"/>
              <w:spacing w:before="60" w:after="60"/>
              <w:ind w:left="0" w:right="176" w:firstLine="0"/>
              <w:jc w:val="right"/>
              <w:rPr>
                <w:color w:val="auto"/>
                <w:sz w:val="16"/>
                <w:szCs w:val="16"/>
              </w:rPr>
            </w:pPr>
          </w:p>
        </w:tc>
      </w:tr>
      <w:tr w:rsidR="00997F5E" w:rsidRPr="00E60BDB" w14:paraId="0F50DEE7" w14:textId="77777777" w:rsidTr="00290DB7">
        <w:tc>
          <w:tcPr>
            <w:tcW w:w="1134" w:type="dxa"/>
            <w:tcBorders>
              <w:top w:val="nil"/>
              <w:left w:val="single" w:sz="4" w:space="0" w:color="auto"/>
              <w:bottom w:val="nil"/>
              <w:right w:val="single" w:sz="4" w:space="0" w:color="000000"/>
            </w:tcBorders>
          </w:tcPr>
          <w:p w14:paraId="62FDFD8A" w14:textId="77777777" w:rsidR="00997F5E" w:rsidRPr="00E60BDB" w:rsidRDefault="00997F5E" w:rsidP="00290DB7">
            <w:pPr>
              <w:pStyle w:val="p0"/>
              <w:spacing w:before="60" w:after="60"/>
              <w:ind w:left="0" w:right="0" w:firstLine="0"/>
              <w:jc w:val="both"/>
              <w:rPr>
                <w:color w:val="auto"/>
                <w:sz w:val="14"/>
                <w:szCs w:val="14"/>
              </w:rPr>
            </w:pPr>
            <w:r w:rsidRPr="00E60BDB">
              <w:rPr>
                <w:color w:val="auto"/>
                <w:sz w:val="14"/>
                <w:szCs w:val="14"/>
              </w:rPr>
              <w:t>(1)</w:t>
            </w:r>
          </w:p>
        </w:tc>
        <w:tc>
          <w:tcPr>
            <w:tcW w:w="1560" w:type="dxa"/>
            <w:tcBorders>
              <w:top w:val="nil"/>
              <w:left w:val="single" w:sz="4" w:space="0" w:color="000000"/>
              <w:bottom w:val="nil"/>
              <w:right w:val="single" w:sz="4" w:space="0" w:color="000000"/>
            </w:tcBorders>
          </w:tcPr>
          <w:p w14:paraId="44F4794A" w14:textId="77777777" w:rsidR="00997F5E" w:rsidRPr="00E60BDB" w:rsidRDefault="00997F5E" w:rsidP="00290DB7">
            <w:pPr>
              <w:pStyle w:val="p0"/>
              <w:spacing w:before="60" w:after="60"/>
              <w:ind w:left="0" w:right="0" w:firstLine="0"/>
              <w:rPr>
                <w:color w:val="auto"/>
                <w:sz w:val="16"/>
                <w:szCs w:val="16"/>
              </w:rPr>
            </w:pPr>
            <w:r w:rsidRPr="00E60BDB">
              <w:rPr>
                <w:color w:val="auto"/>
                <w:sz w:val="16"/>
                <w:szCs w:val="16"/>
              </w:rPr>
              <w:t>Ahorro Bruto</w:t>
            </w:r>
          </w:p>
        </w:tc>
        <w:tc>
          <w:tcPr>
            <w:tcW w:w="1021" w:type="dxa"/>
            <w:tcBorders>
              <w:top w:val="nil"/>
              <w:left w:val="single" w:sz="4" w:space="0" w:color="000000"/>
              <w:bottom w:val="nil"/>
              <w:right w:val="single" w:sz="4" w:space="0" w:color="000000"/>
            </w:tcBorders>
            <w:vAlign w:val="center"/>
          </w:tcPr>
          <w:p w14:paraId="71DDE3C5" w14:textId="77777777" w:rsidR="00997F5E" w:rsidRPr="002D3841" w:rsidRDefault="00997F5E" w:rsidP="00290DB7">
            <w:pPr>
              <w:pStyle w:val="p0"/>
              <w:spacing w:before="60" w:after="60"/>
              <w:ind w:left="0" w:right="268" w:firstLine="0"/>
              <w:jc w:val="right"/>
              <w:rPr>
                <w:color w:val="auto"/>
                <w:sz w:val="16"/>
                <w:szCs w:val="16"/>
              </w:rPr>
            </w:pPr>
            <w:r>
              <w:rPr>
                <w:color w:val="auto"/>
                <w:sz w:val="16"/>
                <w:szCs w:val="16"/>
              </w:rPr>
              <w:t>9.4</w:t>
            </w:r>
          </w:p>
        </w:tc>
        <w:tc>
          <w:tcPr>
            <w:tcW w:w="992" w:type="dxa"/>
            <w:tcBorders>
              <w:top w:val="nil"/>
              <w:left w:val="single" w:sz="4" w:space="0" w:color="000000"/>
              <w:bottom w:val="nil"/>
              <w:right w:val="single" w:sz="4" w:space="0" w:color="000000"/>
            </w:tcBorders>
            <w:vAlign w:val="center"/>
          </w:tcPr>
          <w:p w14:paraId="6877FF3D" w14:textId="77777777" w:rsidR="00997F5E" w:rsidRPr="002D3841" w:rsidRDefault="00997F5E" w:rsidP="00290DB7">
            <w:pPr>
              <w:pStyle w:val="p0"/>
              <w:spacing w:before="60" w:after="60"/>
              <w:ind w:left="0" w:right="240" w:firstLine="0"/>
              <w:jc w:val="right"/>
              <w:rPr>
                <w:color w:val="auto"/>
                <w:sz w:val="16"/>
                <w:szCs w:val="16"/>
              </w:rPr>
            </w:pPr>
            <w:r>
              <w:rPr>
                <w:color w:val="auto"/>
                <w:sz w:val="16"/>
                <w:szCs w:val="16"/>
              </w:rPr>
              <w:t>4.3</w:t>
            </w:r>
          </w:p>
        </w:tc>
        <w:tc>
          <w:tcPr>
            <w:tcW w:w="992" w:type="dxa"/>
            <w:tcBorders>
              <w:top w:val="nil"/>
              <w:left w:val="single" w:sz="4" w:space="0" w:color="000000"/>
              <w:bottom w:val="nil"/>
              <w:right w:val="single" w:sz="4" w:space="0" w:color="000000"/>
            </w:tcBorders>
            <w:vAlign w:val="center"/>
          </w:tcPr>
          <w:p w14:paraId="5E87BEF8" w14:textId="77777777" w:rsidR="00997F5E" w:rsidRPr="002D3841" w:rsidRDefault="00997F5E" w:rsidP="00290DB7">
            <w:pPr>
              <w:pStyle w:val="p0"/>
              <w:spacing w:before="60" w:after="60"/>
              <w:ind w:left="0" w:right="240" w:firstLine="0"/>
              <w:jc w:val="right"/>
              <w:rPr>
                <w:color w:val="auto"/>
                <w:sz w:val="16"/>
                <w:szCs w:val="16"/>
              </w:rPr>
            </w:pPr>
            <w:r w:rsidRPr="002D3841">
              <w:rPr>
                <w:color w:val="auto"/>
                <w:sz w:val="16"/>
                <w:szCs w:val="16"/>
              </w:rPr>
              <w:t>(-)</w:t>
            </w:r>
            <w:r>
              <w:rPr>
                <w:color w:val="auto"/>
                <w:sz w:val="16"/>
                <w:szCs w:val="16"/>
              </w:rPr>
              <w:t>2.3</w:t>
            </w:r>
          </w:p>
        </w:tc>
        <w:tc>
          <w:tcPr>
            <w:tcW w:w="851" w:type="dxa"/>
            <w:tcBorders>
              <w:top w:val="nil"/>
              <w:left w:val="single" w:sz="4" w:space="0" w:color="000000"/>
              <w:bottom w:val="nil"/>
              <w:right w:val="single" w:sz="4" w:space="0" w:color="000000"/>
            </w:tcBorders>
            <w:vAlign w:val="center"/>
          </w:tcPr>
          <w:p w14:paraId="18B61AF2" w14:textId="77777777" w:rsidR="00997F5E" w:rsidRPr="002D3841" w:rsidRDefault="00997F5E" w:rsidP="00290DB7">
            <w:pPr>
              <w:pStyle w:val="p0"/>
              <w:spacing w:before="60" w:after="60"/>
              <w:ind w:left="0" w:right="176" w:firstLine="0"/>
              <w:jc w:val="right"/>
              <w:rPr>
                <w:color w:val="auto"/>
                <w:sz w:val="16"/>
                <w:szCs w:val="16"/>
              </w:rPr>
            </w:pPr>
            <w:r w:rsidRPr="002D3841">
              <w:rPr>
                <w:color w:val="auto"/>
                <w:sz w:val="16"/>
                <w:szCs w:val="16"/>
              </w:rPr>
              <w:t>1</w:t>
            </w:r>
            <w:r>
              <w:rPr>
                <w:color w:val="auto"/>
                <w:sz w:val="16"/>
                <w:szCs w:val="16"/>
              </w:rPr>
              <w:t>1.3</w:t>
            </w:r>
          </w:p>
        </w:tc>
        <w:tc>
          <w:tcPr>
            <w:tcW w:w="850" w:type="dxa"/>
            <w:tcBorders>
              <w:top w:val="nil"/>
              <w:left w:val="single" w:sz="4" w:space="0" w:color="000000"/>
              <w:bottom w:val="nil"/>
              <w:right w:val="single" w:sz="4" w:space="0" w:color="000000"/>
            </w:tcBorders>
            <w:vAlign w:val="center"/>
          </w:tcPr>
          <w:p w14:paraId="1D346A24" w14:textId="77777777" w:rsidR="00997F5E" w:rsidRPr="002D3841" w:rsidRDefault="00997F5E" w:rsidP="00290DB7">
            <w:pPr>
              <w:pStyle w:val="p0"/>
              <w:spacing w:before="60" w:after="60"/>
              <w:ind w:left="0" w:right="175" w:firstLine="0"/>
              <w:jc w:val="right"/>
              <w:rPr>
                <w:color w:val="auto"/>
                <w:sz w:val="16"/>
                <w:szCs w:val="16"/>
              </w:rPr>
            </w:pPr>
            <w:r w:rsidRPr="002D3841">
              <w:rPr>
                <w:color w:val="auto"/>
                <w:sz w:val="16"/>
                <w:szCs w:val="16"/>
              </w:rPr>
              <w:t>0.</w:t>
            </w:r>
            <w:r>
              <w:rPr>
                <w:color w:val="auto"/>
                <w:sz w:val="16"/>
                <w:szCs w:val="16"/>
              </w:rPr>
              <w:t>9</w:t>
            </w:r>
          </w:p>
        </w:tc>
        <w:tc>
          <w:tcPr>
            <w:tcW w:w="1229" w:type="dxa"/>
            <w:tcBorders>
              <w:top w:val="nil"/>
              <w:left w:val="single" w:sz="4" w:space="0" w:color="000000"/>
              <w:bottom w:val="nil"/>
              <w:right w:val="single" w:sz="4" w:space="0" w:color="000000"/>
            </w:tcBorders>
            <w:tcMar>
              <w:left w:w="57" w:type="dxa"/>
            </w:tcMar>
            <w:vAlign w:val="center"/>
          </w:tcPr>
          <w:p w14:paraId="7ED8B1B4" w14:textId="77777777" w:rsidR="00997F5E" w:rsidRPr="002D3841" w:rsidRDefault="00997F5E" w:rsidP="00290DB7">
            <w:pPr>
              <w:pStyle w:val="p0"/>
              <w:tabs>
                <w:tab w:val="left" w:pos="142"/>
              </w:tabs>
              <w:spacing w:before="60" w:after="60"/>
              <w:ind w:left="0" w:right="246" w:firstLine="0"/>
              <w:jc w:val="right"/>
              <w:rPr>
                <w:color w:val="auto"/>
                <w:sz w:val="16"/>
                <w:szCs w:val="16"/>
              </w:rPr>
            </w:pPr>
            <w:r w:rsidRPr="002D3841">
              <w:rPr>
                <w:color w:val="auto"/>
                <w:sz w:val="16"/>
                <w:szCs w:val="16"/>
              </w:rPr>
              <w:t>23.</w:t>
            </w:r>
            <w:r>
              <w:rPr>
                <w:color w:val="auto"/>
                <w:sz w:val="16"/>
                <w:szCs w:val="16"/>
              </w:rPr>
              <w:t>7</w:t>
            </w:r>
          </w:p>
        </w:tc>
        <w:tc>
          <w:tcPr>
            <w:tcW w:w="821" w:type="dxa"/>
            <w:tcBorders>
              <w:top w:val="nil"/>
              <w:left w:val="single" w:sz="4" w:space="0" w:color="000000"/>
              <w:bottom w:val="nil"/>
              <w:right w:val="single" w:sz="4" w:space="0" w:color="000000"/>
            </w:tcBorders>
            <w:vAlign w:val="center"/>
          </w:tcPr>
          <w:p w14:paraId="5A26434B" w14:textId="77777777" w:rsidR="00997F5E" w:rsidRPr="002D3841" w:rsidRDefault="00997F5E" w:rsidP="00290DB7">
            <w:pPr>
              <w:pStyle w:val="p0"/>
              <w:spacing w:before="60" w:after="60"/>
              <w:ind w:left="0" w:right="175" w:firstLine="0"/>
              <w:jc w:val="right"/>
              <w:rPr>
                <w:color w:val="auto"/>
                <w:sz w:val="16"/>
                <w:szCs w:val="16"/>
              </w:rPr>
            </w:pPr>
            <w:r>
              <w:rPr>
                <w:color w:val="auto"/>
                <w:sz w:val="16"/>
                <w:szCs w:val="16"/>
              </w:rPr>
              <w:t>1.8</w:t>
            </w:r>
          </w:p>
        </w:tc>
        <w:tc>
          <w:tcPr>
            <w:tcW w:w="851" w:type="dxa"/>
            <w:tcBorders>
              <w:top w:val="nil"/>
              <w:left w:val="single" w:sz="4" w:space="0" w:color="000000"/>
              <w:bottom w:val="nil"/>
              <w:right w:val="single" w:sz="4" w:space="0" w:color="auto"/>
            </w:tcBorders>
            <w:vAlign w:val="center"/>
          </w:tcPr>
          <w:p w14:paraId="08F08CA9" w14:textId="77777777" w:rsidR="00997F5E" w:rsidRPr="002D3841" w:rsidRDefault="00997F5E" w:rsidP="00290DB7">
            <w:pPr>
              <w:pStyle w:val="p0"/>
              <w:spacing w:before="60" w:after="60"/>
              <w:ind w:left="0" w:right="176" w:firstLine="0"/>
              <w:jc w:val="right"/>
              <w:rPr>
                <w:color w:val="auto"/>
                <w:sz w:val="16"/>
                <w:szCs w:val="16"/>
              </w:rPr>
            </w:pPr>
            <w:r>
              <w:rPr>
                <w:color w:val="auto"/>
                <w:sz w:val="16"/>
                <w:szCs w:val="16"/>
              </w:rPr>
              <w:t>25.4</w:t>
            </w:r>
          </w:p>
        </w:tc>
      </w:tr>
      <w:tr w:rsidR="00997F5E" w:rsidRPr="00E60BDB" w14:paraId="7E23DC38" w14:textId="77777777" w:rsidTr="00290DB7">
        <w:tc>
          <w:tcPr>
            <w:tcW w:w="1134" w:type="dxa"/>
            <w:tcBorders>
              <w:top w:val="nil"/>
              <w:left w:val="single" w:sz="4" w:space="0" w:color="auto"/>
            </w:tcBorders>
          </w:tcPr>
          <w:p w14:paraId="2C83FD8A" w14:textId="77777777" w:rsidR="00997F5E" w:rsidRPr="00E60BDB" w:rsidRDefault="00997F5E" w:rsidP="00290DB7">
            <w:pPr>
              <w:pStyle w:val="p0"/>
              <w:spacing w:before="60" w:after="60"/>
              <w:ind w:left="0" w:right="0" w:firstLine="0"/>
              <w:jc w:val="both"/>
              <w:rPr>
                <w:color w:val="auto"/>
                <w:sz w:val="14"/>
                <w:szCs w:val="14"/>
              </w:rPr>
            </w:pPr>
            <w:r w:rsidRPr="00E60BDB">
              <w:rPr>
                <w:color w:val="auto"/>
                <w:sz w:val="14"/>
                <w:szCs w:val="14"/>
              </w:rPr>
              <w:t>(2)</w:t>
            </w:r>
          </w:p>
        </w:tc>
        <w:tc>
          <w:tcPr>
            <w:tcW w:w="1560" w:type="dxa"/>
            <w:tcBorders>
              <w:top w:val="nil"/>
            </w:tcBorders>
            <w:vAlign w:val="bottom"/>
          </w:tcPr>
          <w:p w14:paraId="5EA264C2" w14:textId="77777777" w:rsidR="00997F5E" w:rsidRPr="00E60BDB" w:rsidRDefault="00997F5E" w:rsidP="00290DB7">
            <w:pPr>
              <w:pStyle w:val="p0"/>
              <w:spacing w:before="60" w:after="60"/>
              <w:ind w:left="0" w:right="0" w:firstLine="0"/>
              <w:rPr>
                <w:color w:val="auto"/>
                <w:sz w:val="16"/>
                <w:szCs w:val="16"/>
              </w:rPr>
            </w:pPr>
            <w:r>
              <w:rPr>
                <w:color w:val="auto"/>
                <w:sz w:val="16"/>
                <w:szCs w:val="16"/>
              </w:rPr>
              <w:t>T</w:t>
            </w:r>
            <w:r w:rsidRPr="00E60BDB">
              <w:rPr>
                <w:color w:val="auto"/>
                <w:sz w:val="16"/>
                <w:szCs w:val="16"/>
              </w:rPr>
              <w:t xml:space="preserve">ransferencias </w:t>
            </w:r>
            <w:r>
              <w:rPr>
                <w:color w:val="auto"/>
                <w:sz w:val="16"/>
                <w:szCs w:val="16"/>
              </w:rPr>
              <w:t xml:space="preserve">netas </w:t>
            </w:r>
            <w:r w:rsidRPr="00E60BDB">
              <w:rPr>
                <w:color w:val="auto"/>
                <w:sz w:val="16"/>
                <w:szCs w:val="16"/>
              </w:rPr>
              <w:t>de capital</w:t>
            </w:r>
          </w:p>
        </w:tc>
        <w:tc>
          <w:tcPr>
            <w:tcW w:w="1021" w:type="dxa"/>
            <w:tcBorders>
              <w:top w:val="nil"/>
            </w:tcBorders>
            <w:vAlign w:val="center"/>
          </w:tcPr>
          <w:p w14:paraId="17004736" w14:textId="77777777" w:rsidR="00997F5E" w:rsidRPr="002D3841" w:rsidRDefault="00997F5E" w:rsidP="00290DB7">
            <w:pPr>
              <w:pStyle w:val="p0"/>
              <w:spacing w:before="60" w:after="60"/>
              <w:ind w:left="0" w:right="268" w:firstLine="0"/>
              <w:jc w:val="right"/>
              <w:rPr>
                <w:color w:val="auto"/>
                <w:sz w:val="16"/>
                <w:szCs w:val="16"/>
              </w:rPr>
            </w:pPr>
            <w:r w:rsidRPr="006C3696">
              <w:rPr>
                <w:color w:val="auto"/>
                <w:sz w:val="16"/>
                <w:szCs w:val="16"/>
              </w:rPr>
              <w:t>0.3</w:t>
            </w:r>
          </w:p>
        </w:tc>
        <w:tc>
          <w:tcPr>
            <w:tcW w:w="992" w:type="dxa"/>
            <w:tcBorders>
              <w:top w:val="nil"/>
            </w:tcBorders>
            <w:vAlign w:val="center"/>
          </w:tcPr>
          <w:p w14:paraId="00B8A934" w14:textId="77777777" w:rsidR="00997F5E" w:rsidRPr="002D3841" w:rsidRDefault="00997F5E" w:rsidP="00290DB7">
            <w:pPr>
              <w:pStyle w:val="p0"/>
              <w:spacing w:before="60" w:after="60"/>
              <w:ind w:left="0" w:right="240" w:firstLine="0"/>
              <w:jc w:val="right"/>
              <w:rPr>
                <w:color w:val="auto"/>
                <w:sz w:val="16"/>
                <w:szCs w:val="16"/>
              </w:rPr>
            </w:pPr>
            <w:r w:rsidRPr="006C3696">
              <w:rPr>
                <w:color w:val="auto"/>
                <w:sz w:val="16"/>
                <w:szCs w:val="16"/>
              </w:rPr>
              <w:t>0.0</w:t>
            </w:r>
          </w:p>
        </w:tc>
        <w:tc>
          <w:tcPr>
            <w:tcW w:w="992" w:type="dxa"/>
            <w:tcBorders>
              <w:top w:val="nil"/>
            </w:tcBorders>
            <w:vAlign w:val="center"/>
          </w:tcPr>
          <w:p w14:paraId="473FE76A" w14:textId="77777777" w:rsidR="00997F5E" w:rsidRPr="002D3841" w:rsidRDefault="00997F5E" w:rsidP="00290DB7">
            <w:pPr>
              <w:pStyle w:val="p0"/>
              <w:spacing w:before="60" w:after="60"/>
              <w:ind w:left="0" w:right="240" w:firstLine="0"/>
              <w:jc w:val="right"/>
              <w:rPr>
                <w:color w:val="auto"/>
                <w:sz w:val="16"/>
                <w:szCs w:val="16"/>
              </w:rPr>
            </w:pPr>
            <w:r w:rsidRPr="006C3696">
              <w:rPr>
                <w:color w:val="auto"/>
                <w:sz w:val="16"/>
                <w:szCs w:val="16"/>
              </w:rPr>
              <w:t>(</w:t>
            </w:r>
            <w:r w:rsidRPr="006C3696">
              <w:rPr>
                <w:color w:val="auto"/>
                <w:sz w:val="16"/>
                <w:szCs w:val="16"/>
              </w:rPr>
              <w:noBreakHyphen/>
              <w:t>)0.</w:t>
            </w:r>
            <w:r>
              <w:rPr>
                <w:color w:val="auto"/>
                <w:sz w:val="16"/>
                <w:szCs w:val="16"/>
              </w:rPr>
              <w:t>3</w:t>
            </w:r>
          </w:p>
        </w:tc>
        <w:tc>
          <w:tcPr>
            <w:tcW w:w="851" w:type="dxa"/>
            <w:tcBorders>
              <w:top w:val="nil"/>
            </w:tcBorders>
            <w:vAlign w:val="center"/>
          </w:tcPr>
          <w:p w14:paraId="799D97D6" w14:textId="77777777" w:rsidR="00997F5E" w:rsidRPr="002D3841" w:rsidRDefault="00997F5E" w:rsidP="00290DB7">
            <w:pPr>
              <w:pStyle w:val="p0"/>
              <w:spacing w:before="60" w:after="60"/>
              <w:ind w:left="0" w:right="176" w:firstLine="0"/>
              <w:jc w:val="right"/>
              <w:rPr>
                <w:color w:val="auto"/>
                <w:sz w:val="16"/>
                <w:szCs w:val="16"/>
              </w:rPr>
            </w:pPr>
            <w:r w:rsidRPr="006C3696">
              <w:rPr>
                <w:color w:val="auto"/>
                <w:sz w:val="16"/>
                <w:szCs w:val="16"/>
              </w:rPr>
              <w:t>0.0</w:t>
            </w:r>
          </w:p>
        </w:tc>
        <w:tc>
          <w:tcPr>
            <w:tcW w:w="850" w:type="dxa"/>
            <w:tcBorders>
              <w:top w:val="nil"/>
            </w:tcBorders>
            <w:vAlign w:val="center"/>
          </w:tcPr>
          <w:p w14:paraId="2DD6D93D" w14:textId="77777777" w:rsidR="00997F5E" w:rsidRPr="002D3841" w:rsidRDefault="00997F5E" w:rsidP="00290DB7">
            <w:pPr>
              <w:pStyle w:val="p0"/>
              <w:spacing w:before="60" w:after="60"/>
              <w:ind w:left="0" w:right="175" w:firstLine="0"/>
              <w:jc w:val="right"/>
              <w:rPr>
                <w:color w:val="auto"/>
                <w:sz w:val="16"/>
                <w:szCs w:val="16"/>
              </w:rPr>
            </w:pPr>
            <w:r w:rsidRPr="006C3696">
              <w:rPr>
                <w:color w:val="auto"/>
                <w:sz w:val="16"/>
                <w:szCs w:val="16"/>
              </w:rPr>
              <w:t>0.0</w:t>
            </w:r>
          </w:p>
        </w:tc>
        <w:tc>
          <w:tcPr>
            <w:tcW w:w="1229" w:type="dxa"/>
            <w:tcBorders>
              <w:top w:val="nil"/>
            </w:tcBorders>
            <w:tcMar>
              <w:left w:w="57" w:type="dxa"/>
            </w:tcMar>
            <w:vAlign w:val="center"/>
          </w:tcPr>
          <w:p w14:paraId="2658D39A" w14:textId="77777777" w:rsidR="00997F5E" w:rsidRPr="002D3841" w:rsidRDefault="00997F5E" w:rsidP="00290DB7">
            <w:pPr>
              <w:pStyle w:val="p0"/>
              <w:tabs>
                <w:tab w:val="left" w:pos="142"/>
              </w:tabs>
              <w:spacing w:before="60" w:after="60"/>
              <w:ind w:left="0" w:right="246" w:firstLine="0"/>
              <w:jc w:val="right"/>
              <w:rPr>
                <w:color w:val="auto"/>
                <w:sz w:val="16"/>
                <w:szCs w:val="16"/>
              </w:rPr>
            </w:pPr>
            <w:r w:rsidRPr="006C3696">
              <w:rPr>
                <w:color w:val="auto"/>
                <w:sz w:val="16"/>
                <w:szCs w:val="16"/>
              </w:rPr>
              <w:t>0.0</w:t>
            </w:r>
          </w:p>
        </w:tc>
        <w:tc>
          <w:tcPr>
            <w:tcW w:w="821" w:type="dxa"/>
            <w:tcBorders>
              <w:top w:val="nil"/>
            </w:tcBorders>
            <w:vAlign w:val="center"/>
          </w:tcPr>
          <w:p w14:paraId="38BA77A3" w14:textId="77777777" w:rsidR="00997F5E" w:rsidRPr="002D3841" w:rsidRDefault="00997F5E" w:rsidP="00290DB7">
            <w:pPr>
              <w:pStyle w:val="p0"/>
              <w:spacing w:before="60" w:after="60"/>
              <w:ind w:left="0" w:right="175" w:firstLine="0"/>
              <w:jc w:val="right"/>
              <w:rPr>
                <w:color w:val="auto"/>
                <w:sz w:val="16"/>
                <w:szCs w:val="16"/>
              </w:rPr>
            </w:pPr>
          </w:p>
        </w:tc>
        <w:tc>
          <w:tcPr>
            <w:tcW w:w="851" w:type="dxa"/>
            <w:tcBorders>
              <w:top w:val="nil"/>
              <w:right w:val="single" w:sz="4" w:space="0" w:color="auto"/>
            </w:tcBorders>
            <w:vAlign w:val="center"/>
          </w:tcPr>
          <w:p w14:paraId="648C86FF" w14:textId="77777777" w:rsidR="00997F5E" w:rsidRPr="002D3841" w:rsidRDefault="00997F5E" w:rsidP="00290DB7">
            <w:pPr>
              <w:pStyle w:val="p0"/>
              <w:spacing w:before="60" w:after="60"/>
              <w:ind w:left="0" w:right="176" w:firstLine="0"/>
              <w:jc w:val="center"/>
              <w:rPr>
                <w:color w:val="auto"/>
                <w:sz w:val="16"/>
                <w:szCs w:val="16"/>
              </w:rPr>
            </w:pPr>
          </w:p>
        </w:tc>
      </w:tr>
      <w:tr w:rsidR="00997F5E" w:rsidRPr="00E60BDB" w14:paraId="5A2AF06A" w14:textId="77777777" w:rsidTr="00290DB7">
        <w:tc>
          <w:tcPr>
            <w:tcW w:w="1134" w:type="dxa"/>
            <w:tcBorders>
              <w:left w:val="single" w:sz="4" w:space="0" w:color="auto"/>
            </w:tcBorders>
            <w:shd w:val="clear" w:color="auto" w:fill="FFFFFF"/>
          </w:tcPr>
          <w:p w14:paraId="40C44CA6" w14:textId="77777777" w:rsidR="00997F5E" w:rsidRPr="00E60BDB" w:rsidRDefault="00997F5E" w:rsidP="00290DB7">
            <w:pPr>
              <w:pStyle w:val="p0"/>
              <w:spacing w:before="60" w:after="60"/>
              <w:ind w:left="0" w:right="0" w:firstLine="0"/>
              <w:jc w:val="both"/>
              <w:rPr>
                <w:color w:val="auto"/>
                <w:sz w:val="14"/>
                <w:szCs w:val="14"/>
              </w:rPr>
            </w:pPr>
          </w:p>
        </w:tc>
        <w:tc>
          <w:tcPr>
            <w:tcW w:w="1560" w:type="dxa"/>
            <w:shd w:val="clear" w:color="auto" w:fill="FFFFFF"/>
          </w:tcPr>
          <w:p w14:paraId="45BD6355" w14:textId="77777777" w:rsidR="00997F5E" w:rsidRPr="00E60BDB" w:rsidRDefault="00997F5E" w:rsidP="00290DB7">
            <w:pPr>
              <w:pStyle w:val="p0"/>
              <w:spacing w:before="60" w:after="60"/>
              <w:ind w:left="0" w:right="0" w:firstLine="0"/>
              <w:rPr>
                <w:color w:val="auto"/>
                <w:sz w:val="16"/>
                <w:szCs w:val="16"/>
              </w:rPr>
            </w:pPr>
            <w:r w:rsidRPr="00364E2B">
              <w:rPr>
                <w:b/>
                <w:color w:val="auto"/>
                <w:sz w:val="16"/>
                <w:szCs w:val="16"/>
              </w:rPr>
              <w:t>Usos</w:t>
            </w:r>
          </w:p>
        </w:tc>
        <w:tc>
          <w:tcPr>
            <w:tcW w:w="1021" w:type="dxa"/>
            <w:shd w:val="clear" w:color="auto" w:fill="FFFFFF"/>
            <w:vAlign w:val="center"/>
          </w:tcPr>
          <w:p w14:paraId="0D98845B" w14:textId="77777777" w:rsidR="00997F5E" w:rsidRPr="002D3841" w:rsidRDefault="00997F5E" w:rsidP="00290DB7">
            <w:pPr>
              <w:pStyle w:val="p0"/>
              <w:spacing w:before="60" w:after="60"/>
              <w:ind w:left="0" w:right="268" w:firstLine="0"/>
              <w:jc w:val="right"/>
              <w:rPr>
                <w:color w:val="auto"/>
                <w:sz w:val="16"/>
                <w:szCs w:val="16"/>
                <w:highlight w:val="yellow"/>
              </w:rPr>
            </w:pPr>
          </w:p>
        </w:tc>
        <w:tc>
          <w:tcPr>
            <w:tcW w:w="992" w:type="dxa"/>
            <w:shd w:val="clear" w:color="auto" w:fill="FFFFFF"/>
            <w:vAlign w:val="center"/>
          </w:tcPr>
          <w:p w14:paraId="2F1A4DAF" w14:textId="77777777" w:rsidR="00997F5E" w:rsidRPr="002D3841" w:rsidRDefault="00997F5E" w:rsidP="00290DB7">
            <w:pPr>
              <w:pStyle w:val="p0"/>
              <w:spacing w:before="60" w:after="60"/>
              <w:ind w:left="0" w:right="240" w:firstLine="0"/>
              <w:jc w:val="right"/>
              <w:rPr>
                <w:color w:val="auto"/>
                <w:sz w:val="16"/>
                <w:szCs w:val="16"/>
                <w:highlight w:val="yellow"/>
              </w:rPr>
            </w:pPr>
          </w:p>
        </w:tc>
        <w:tc>
          <w:tcPr>
            <w:tcW w:w="992" w:type="dxa"/>
            <w:shd w:val="clear" w:color="auto" w:fill="FFFFFF"/>
            <w:vAlign w:val="center"/>
          </w:tcPr>
          <w:p w14:paraId="1F22F603" w14:textId="77777777" w:rsidR="00997F5E" w:rsidRPr="002D3841" w:rsidRDefault="00997F5E" w:rsidP="00290DB7">
            <w:pPr>
              <w:pStyle w:val="p0"/>
              <w:spacing w:before="60" w:after="60"/>
              <w:ind w:left="0" w:right="240" w:firstLine="0"/>
              <w:jc w:val="right"/>
              <w:rPr>
                <w:color w:val="auto"/>
                <w:sz w:val="16"/>
                <w:szCs w:val="16"/>
                <w:highlight w:val="yellow"/>
              </w:rPr>
            </w:pPr>
          </w:p>
        </w:tc>
        <w:tc>
          <w:tcPr>
            <w:tcW w:w="851" w:type="dxa"/>
            <w:shd w:val="clear" w:color="auto" w:fill="FFFFFF"/>
            <w:vAlign w:val="center"/>
          </w:tcPr>
          <w:p w14:paraId="1B4496DA" w14:textId="77777777" w:rsidR="00997F5E" w:rsidRPr="002D3841" w:rsidRDefault="00997F5E" w:rsidP="00290DB7">
            <w:pPr>
              <w:pStyle w:val="p0"/>
              <w:spacing w:before="60" w:after="60"/>
              <w:ind w:left="0" w:right="176" w:firstLine="0"/>
              <w:jc w:val="right"/>
              <w:rPr>
                <w:color w:val="auto"/>
                <w:sz w:val="16"/>
                <w:szCs w:val="16"/>
                <w:highlight w:val="yellow"/>
              </w:rPr>
            </w:pPr>
          </w:p>
        </w:tc>
        <w:tc>
          <w:tcPr>
            <w:tcW w:w="850" w:type="dxa"/>
            <w:shd w:val="clear" w:color="auto" w:fill="FFFFFF"/>
            <w:vAlign w:val="center"/>
          </w:tcPr>
          <w:p w14:paraId="315BE0CB" w14:textId="77777777" w:rsidR="00997F5E" w:rsidRPr="002D3841" w:rsidRDefault="00997F5E" w:rsidP="00290DB7">
            <w:pPr>
              <w:pStyle w:val="p0"/>
              <w:spacing w:before="60" w:after="60"/>
              <w:ind w:left="0" w:right="175" w:firstLine="0"/>
              <w:jc w:val="right"/>
              <w:rPr>
                <w:color w:val="auto"/>
                <w:sz w:val="16"/>
                <w:szCs w:val="16"/>
                <w:highlight w:val="yellow"/>
              </w:rPr>
            </w:pPr>
          </w:p>
        </w:tc>
        <w:tc>
          <w:tcPr>
            <w:tcW w:w="1229" w:type="dxa"/>
            <w:shd w:val="clear" w:color="auto" w:fill="FFFFFF"/>
            <w:tcMar>
              <w:left w:w="57" w:type="dxa"/>
            </w:tcMar>
            <w:vAlign w:val="center"/>
          </w:tcPr>
          <w:p w14:paraId="2CCB9D0B" w14:textId="77777777" w:rsidR="00997F5E" w:rsidRPr="002D3841" w:rsidRDefault="00997F5E" w:rsidP="00290DB7">
            <w:pPr>
              <w:pStyle w:val="p0"/>
              <w:tabs>
                <w:tab w:val="left" w:pos="142"/>
              </w:tabs>
              <w:spacing w:before="60" w:after="60"/>
              <w:ind w:left="0" w:right="246" w:firstLine="0"/>
              <w:jc w:val="right"/>
              <w:rPr>
                <w:color w:val="auto"/>
                <w:sz w:val="16"/>
                <w:szCs w:val="16"/>
                <w:highlight w:val="yellow"/>
              </w:rPr>
            </w:pPr>
          </w:p>
        </w:tc>
        <w:tc>
          <w:tcPr>
            <w:tcW w:w="821" w:type="dxa"/>
            <w:shd w:val="clear" w:color="auto" w:fill="FFFFFF"/>
            <w:vAlign w:val="center"/>
          </w:tcPr>
          <w:p w14:paraId="1A548BE9" w14:textId="77777777" w:rsidR="00997F5E" w:rsidRPr="002D3841" w:rsidRDefault="00997F5E" w:rsidP="00290DB7">
            <w:pPr>
              <w:pStyle w:val="p0"/>
              <w:spacing w:before="60" w:after="60"/>
              <w:ind w:left="0" w:right="175" w:firstLine="0"/>
              <w:jc w:val="right"/>
              <w:rPr>
                <w:color w:val="auto"/>
                <w:sz w:val="16"/>
                <w:szCs w:val="16"/>
                <w:highlight w:val="yellow"/>
              </w:rPr>
            </w:pPr>
          </w:p>
        </w:tc>
        <w:tc>
          <w:tcPr>
            <w:tcW w:w="851" w:type="dxa"/>
            <w:tcBorders>
              <w:right w:val="single" w:sz="4" w:space="0" w:color="auto"/>
            </w:tcBorders>
            <w:shd w:val="clear" w:color="auto" w:fill="FFFFFF"/>
            <w:vAlign w:val="center"/>
          </w:tcPr>
          <w:p w14:paraId="3888261D" w14:textId="77777777" w:rsidR="00997F5E" w:rsidRPr="002D3841" w:rsidRDefault="00997F5E" w:rsidP="00290DB7">
            <w:pPr>
              <w:pStyle w:val="p0"/>
              <w:spacing w:before="60" w:after="60"/>
              <w:ind w:left="0" w:right="176" w:firstLine="0"/>
              <w:jc w:val="right"/>
              <w:rPr>
                <w:color w:val="auto"/>
                <w:sz w:val="16"/>
                <w:szCs w:val="16"/>
                <w:highlight w:val="yellow"/>
              </w:rPr>
            </w:pPr>
          </w:p>
        </w:tc>
      </w:tr>
      <w:tr w:rsidR="00997F5E" w:rsidRPr="0005130C" w14:paraId="471918A6" w14:textId="77777777" w:rsidTr="00290DB7">
        <w:tc>
          <w:tcPr>
            <w:tcW w:w="1134" w:type="dxa"/>
            <w:tcBorders>
              <w:left w:val="single" w:sz="4" w:space="0" w:color="auto"/>
            </w:tcBorders>
            <w:shd w:val="clear" w:color="auto" w:fill="FABF8F" w:themeFill="accent6" w:themeFillTint="99"/>
          </w:tcPr>
          <w:p w14:paraId="3C55F018" w14:textId="77777777" w:rsidR="00997F5E" w:rsidRPr="0005130C" w:rsidRDefault="00997F5E" w:rsidP="00290DB7">
            <w:pPr>
              <w:pStyle w:val="p0"/>
              <w:spacing w:before="60" w:after="60"/>
              <w:ind w:left="0" w:right="0" w:firstLine="0"/>
              <w:jc w:val="both"/>
              <w:rPr>
                <w:color w:val="auto"/>
                <w:sz w:val="14"/>
                <w:szCs w:val="14"/>
              </w:rPr>
            </w:pPr>
            <w:r w:rsidRPr="0005130C">
              <w:rPr>
                <w:color w:val="auto"/>
                <w:sz w:val="14"/>
                <w:szCs w:val="14"/>
              </w:rPr>
              <w:t>(3)</w:t>
            </w:r>
          </w:p>
        </w:tc>
        <w:tc>
          <w:tcPr>
            <w:tcW w:w="1560" w:type="dxa"/>
            <w:shd w:val="clear" w:color="auto" w:fill="FABF8F" w:themeFill="accent6" w:themeFillTint="99"/>
            <w:vAlign w:val="bottom"/>
          </w:tcPr>
          <w:p w14:paraId="47E89D8A" w14:textId="77777777" w:rsidR="00997F5E" w:rsidRPr="0005130C" w:rsidRDefault="00997F5E" w:rsidP="00290DB7">
            <w:pPr>
              <w:pStyle w:val="p0"/>
              <w:spacing w:before="60" w:after="60"/>
              <w:ind w:left="0" w:right="0" w:firstLine="0"/>
              <w:rPr>
                <w:color w:val="auto"/>
                <w:sz w:val="16"/>
                <w:szCs w:val="16"/>
              </w:rPr>
            </w:pPr>
            <w:r>
              <w:rPr>
                <w:color w:val="auto"/>
                <w:sz w:val="16"/>
                <w:szCs w:val="16"/>
              </w:rPr>
              <w:t>Activos no Financieros*</w:t>
            </w:r>
          </w:p>
        </w:tc>
        <w:tc>
          <w:tcPr>
            <w:tcW w:w="1021" w:type="dxa"/>
            <w:shd w:val="clear" w:color="auto" w:fill="FABF8F" w:themeFill="accent6" w:themeFillTint="99"/>
            <w:vAlign w:val="center"/>
          </w:tcPr>
          <w:p w14:paraId="41F08249" w14:textId="77777777" w:rsidR="00997F5E" w:rsidRPr="002D3841" w:rsidRDefault="00997F5E" w:rsidP="00290DB7">
            <w:pPr>
              <w:pStyle w:val="p0"/>
              <w:spacing w:before="60" w:after="60"/>
              <w:ind w:left="0" w:right="268" w:firstLine="0"/>
              <w:jc w:val="right"/>
              <w:rPr>
                <w:color w:val="auto"/>
                <w:sz w:val="16"/>
                <w:szCs w:val="16"/>
              </w:rPr>
            </w:pPr>
            <w:r w:rsidRPr="001652F1">
              <w:rPr>
                <w:color w:val="auto"/>
                <w:sz w:val="16"/>
                <w:szCs w:val="16"/>
              </w:rPr>
              <w:t>17.0</w:t>
            </w:r>
          </w:p>
        </w:tc>
        <w:tc>
          <w:tcPr>
            <w:tcW w:w="992" w:type="dxa"/>
            <w:shd w:val="clear" w:color="auto" w:fill="FABF8F" w:themeFill="accent6" w:themeFillTint="99"/>
            <w:vAlign w:val="center"/>
          </w:tcPr>
          <w:p w14:paraId="42C30B7A" w14:textId="77777777" w:rsidR="00997F5E" w:rsidRPr="002D3841" w:rsidRDefault="00997F5E" w:rsidP="00290DB7">
            <w:pPr>
              <w:pStyle w:val="p0"/>
              <w:spacing w:before="60" w:after="60"/>
              <w:ind w:left="0" w:right="240" w:firstLine="0"/>
              <w:jc w:val="right"/>
              <w:rPr>
                <w:color w:val="auto"/>
                <w:sz w:val="16"/>
                <w:szCs w:val="16"/>
              </w:rPr>
            </w:pPr>
            <w:r w:rsidRPr="001652F1">
              <w:rPr>
                <w:color w:val="auto"/>
                <w:sz w:val="16"/>
                <w:szCs w:val="16"/>
              </w:rPr>
              <w:t>0.0</w:t>
            </w:r>
          </w:p>
        </w:tc>
        <w:tc>
          <w:tcPr>
            <w:tcW w:w="992" w:type="dxa"/>
            <w:shd w:val="clear" w:color="auto" w:fill="FABF8F" w:themeFill="accent6" w:themeFillTint="99"/>
            <w:vAlign w:val="center"/>
          </w:tcPr>
          <w:p w14:paraId="4F9C22CF" w14:textId="77777777" w:rsidR="00997F5E" w:rsidRPr="002D3841" w:rsidRDefault="00997F5E" w:rsidP="00290DB7">
            <w:pPr>
              <w:pStyle w:val="p0"/>
              <w:spacing w:before="60" w:after="60"/>
              <w:ind w:left="0" w:right="240" w:firstLine="0"/>
              <w:jc w:val="right"/>
              <w:rPr>
                <w:color w:val="auto"/>
                <w:sz w:val="16"/>
                <w:szCs w:val="16"/>
              </w:rPr>
            </w:pPr>
            <w:r w:rsidRPr="001652F1">
              <w:rPr>
                <w:color w:val="auto"/>
                <w:sz w:val="16"/>
                <w:szCs w:val="16"/>
              </w:rPr>
              <w:t>2.2</w:t>
            </w:r>
          </w:p>
        </w:tc>
        <w:tc>
          <w:tcPr>
            <w:tcW w:w="851" w:type="dxa"/>
            <w:shd w:val="clear" w:color="auto" w:fill="FABF8F" w:themeFill="accent6" w:themeFillTint="99"/>
            <w:vAlign w:val="center"/>
          </w:tcPr>
          <w:p w14:paraId="33F030B9" w14:textId="77777777" w:rsidR="00997F5E" w:rsidRPr="002D3841" w:rsidRDefault="00997F5E" w:rsidP="00290DB7">
            <w:pPr>
              <w:pStyle w:val="p0"/>
              <w:spacing w:before="60" w:after="60"/>
              <w:ind w:left="0" w:right="176" w:firstLine="0"/>
              <w:jc w:val="right"/>
              <w:rPr>
                <w:color w:val="auto"/>
                <w:sz w:val="16"/>
                <w:szCs w:val="16"/>
              </w:rPr>
            </w:pPr>
            <w:r w:rsidRPr="001652F1">
              <w:rPr>
                <w:color w:val="auto"/>
                <w:sz w:val="16"/>
                <w:szCs w:val="16"/>
              </w:rPr>
              <w:t>6.2</w:t>
            </w:r>
          </w:p>
        </w:tc>
        <w:tc>
          <w:tcPr>
            <w:tcW w:w="850" w:type="dxa"/>
            <w:shd w:val="clear" w:color="auto" w:fill="FABF8F" w:themeFill="accent6" w:themeFillTint="99"/>
            <w:vAlign w:val="center"/>
          </w:tcPr>
          <w:p w14:paraId="2089F4A9" w14:textId="77777777" w:rsidR="00997F5E" w:rsidRPr="002D3841" w:rsidRDefault="00997F5E" w:rsidP="00290DB7">
            <w:pPr>
              <w:pStyle w:val="p0"/>
              <w:spacing w:before="60" w:after="60"/>
              <w:ind w:left="0" w:right="175" w:firstLine="0"/>
              <w:jc w:val="right"/>
              <w:rPr>
                <w:color w:val="auto"/>
                <w:sz w:val="16"/>
                <w:szCs w:val="16"/>
              </w:rPr>
            </w:pPr>
            <w:r w:rsidRPr="001652F1">
              <w:rPr>
                <w:color w:val="auto"/>
                <w:sz w:val="16"/>
                <w:szCs w:val="16"/>
              </w:rPr>
              <w:t>0.0</w:t>
            </w:r>
          </w:p>
        </w:tc>
        <w:tc>
          <w:tcPr>
            <w:tcW w:w="1229" w:type="dxa"/>
            <w:shd w:val="clear" w:color="auto" w:fill="FABF8F" w:themeFill="accent6" w:themeFillTint="99"/>
            <w:tcMar>
              <w:left w:w="57" w:type="dxa"/>
            </w:tcMar>
            <w:vAlign w:val="center"/>
          </w:tcPr>
          <w:p w14:paraId="677BCDDC" w14:textId="77777777" w:rsidR="00997F5E" w:rsidRPr="002D3841" w:rsidRDefault="00997F5E" w:rsidP="00290DB7">
            <w:pPr>
              <w:pStyle w:val="p0"/>
              <w:tabs>
                <w:tab w:val="left" w:pos="142"/>
              </w:tabs>
              <w:spacing w:before="60" w:after="60"/>
              <w:ind w:left="0" w:right="246" w:firstLine="0"/>
              <w:jc w:val="right"/>
              <w:rPr>
                <w:color w:val="auto"/>
                <w:sz w:val="16"/>
                <w:szCs w:val="16"/>
              </w:rPr>
            </w:pPr>
            <w:r w:rsidRPr="001652F1">
              <w:rPr>
                <w:color w:val="auto"/>
                <w:sz w:val="16"/>
                <w:szCs w:val="16"/>
              </w:rPr>
              <w:t>25.4</w:t>
            </w:r>
          </w:p>
        </w:tc>
        <w:tc>
          <w:tcPr>
            <w:tcW w:w="821" w:type="dxa"/>
            <w:shd w:val="clear" w:color="auto" w:fill="FABF8F" w:themeFill="accent6" w:themeFillTint="99"/>
            <w:vAlign w:val="center"/>
          </w:tcPr>
          <w:p w14:paraId="1395624B" w14:textId="77777777" w:rsidR="00997F5E" w:rsidRPr="002D3841" w:rsidRDefault="00997F5E" w:rsidP="00290DB7">
            <w:pPr>
              <w:pStyle w:val="p0"/>
              <w:spacing w:before="60" w:after="60"/>
              <w:ind w:left="0" w:right="175" w:firstLine="0"/>
              <w:jc w:val="right"/>
              <w:rPr>
                <w:color w:val="auto"/>
                <w:sz w:val="16"/>
                <w:szCs w:val="16"/>
              </w:rPr>
            </w:pPr>
          </w:p>
        </w:tc>
        <w:tc>
          <w:tcPr>
            <w:tcW w:w="851" w:type="dxa"/>
            <w:tcBorders>
              <w:right w:val="single" w:sz="4" w:space="0" w:color="auto"/>
            </w:tcBorders>
            <w:shd w:val="clear" w:color="auto" w:fill="FABF8F" w:themeFill="accent6" w:themeFillTint="99"/>
            <w:vAlign w:val="center"/>
          </w:tcPr>
          <w:p w14:paraId="64E883E7" w14:textId="77777777" w:rsidR="00997F5E" w:rsidRPr="002D3841" w:rsidRDefault="00997F5E" w:rsidP="00290DB7">
            <w:pPr>
              <w:pStyle w:val="p0"/>
              <w:spacing w:before="60" w:after="60"/>
              <w:ind w:left="0" w:right="176" w:firstLine="0"/>
              <w:jc w:val="right"/>
              <w:rPr>
                <w:color w:val="auto"/>
                <w:sz w:val="16"/>
                <w:szCs w:val="16"/>
              </w:rPr>
            </w:pPr>
            <w:r w:rsidRPr="001652F1">
              <w:rPr>
                <w:color w:val="auto"/>
                <w:sz w:val="16"/>
                <w:szCs w:val="16"/>
              </w:rPr>
              <w:t>25.4</w:t>
            </w:r>
          </w:p>
        </w:tc>
      </w:tr>
      <w:tr w:rsidR="00997F5E" w:rsidRPr="00E60BDB" w14:paraId="026EE904" w14:textId="77777777" w:rsidTr="00290DB7">
        <w:trPr>
          <w:trHeight w:val="127"/>
        </w:trPr>
        <w:tc>
          <w:tcPr>
            <w:tcW w:w="1134" w:type="dxa"/>
            <w:tcBorders>
              <w:left w:val="single" w:sz="4" w:space="0" w:color="auto"/>
            </w:tcBorders>
            <w:shd w:val="clear" w:color="auto" w:fill="FFFFFF"/>
          </w:tcPr>
          <w:p w14:paraId="28D36914" w14:textId="77777777" w:rsidR="00997F5E" w:rsidRPr="0034605C" w:rsidRDefault="00997F5E" w:rsidP="00290DB7">
            <w:pPr>
              <w:pStyle w:val="p0"/>
              <w:spacing w:before="60" w:after="60"/>
              <w:ind w:left="0" w:right="0" w:firstLine="0"/>
              <w:jc w:val="both"/>
              <w:rPr>
                <w:color w:val="auto"/>
                <w:sz w:val="8"/>
                <w:szCs w:val="14"/>
              </w:rPr>
            </w:pPr>
          </w:p>
        </w:tc>
        <w:tc>
          <w:tcPr>
            <w:tcW w:w="1560" w:type="dxa"/>
            <w:shd w:val="clear" w:color="auto" w:fill="FFFFFF"/>
          </w:tcPr>
          <w:p w14:paraId="5172F6C3" w14:textId="77777777" w:rsidR="00997F5E" w:rsidRPr="0034605C" w:rsidRDefault="00997F5E" w:rsidP="00290DB7">
            <w:pPr>
              <w:pStyle w:val="p0"/>
              <w:spacing w:before="60" w:after="60"/>
              <w:ind w:left="0" w:right="0" w:firstLine="0"/>
              <w:rPr>
                <w:color w:val="auto"/>
                <w:sz w:val="8"/>
                <w:szCs w:val="16"/>
              </w:rPr>
            </w:pPr>
          </w:p>
        </w:tc>
        <w:tc>
          <w:tcPr>
            <w:tcW w:w="1021" w:type="dxa"/>
            <w:shd w:val="clear" w:color="auto" w:fill="FFFFFF"/>
            <w:vAlign w:val="center"/>
          </w:tcPr>
          <w:p w14:paraId="42717028" w14:textId="77777777" w:rsidR="00997F5E" w:rsidRPr="002D3841" w:rsidRDefault="00997F5E" w:rsidP="00290DB7">
            <w:pPr>
              <w:pStyle w:val="p0"/>
              <w:spacing w:before="60" w:after="60"/>
              <w:ind w:left="0" w:right="268" w:firstLine="0"/>
              <w:jc w:val="right"/>
              <w:rPr>
                <w:color w:val="auto"/>
                <w:sz w:val="8"/>
                <w:szCs w:val="16"/>
                <w:highlight w:val="yellow"/>
              </w:rPr>
            </w:pPr>
          </w:p>
        </w:tc>
        <w:tc>
          <w:tcPr>
            <w:tcW w:w="992" w:type="dxa"/>
            <w:shd w:val="clear" w:color="auto" w:fill="FFFFFF"/>
            <w:vAlign w:val="center"/>
          </w:tcPr>
          <w:p w14:paraId="14E875CA" w14:textId="77777777" w:rsidR="00997F5E" w:rsidRPr="002D3841" w:rsidRDefault="00997F5E" w:rsidP="00290DB7">
            <w:pPr>
              <w:pStyle w:val="p0"/>
              <w:spacing w:before="60" w:after="60"/>
              <w:ind w:left="0" w:right="240" w:firstLine="0"/>
              <w:jc w:val="right"/>
              <w:rPr>
                <w:color w:val="auto"/>
                <w:sz w:val="8"/>
                <w:szCs w:val="16"/>
                <w:highlight w:val="yellow"/>
              </w:rPr>
            </w:pPr>
          </w:p>
        </w:tc>
        <w:tc>
          <w:tcPr>
            <w:tcW w:w="992" w:type="dxa"/>
            <w:shd w:val="clear" w:color="auto" w:fill="FFFFFF"/>
            <w:vAlign w:val="center"/>
          </w:tcPr>
          <w:p w14:paraId="34FB9642" w14:textId="77777777" w:rsidR="00997F5E" w:rsidRPr="002D3841" w:rsidRDefault="00997F5E" w:rsidP="00290DB7">
            <w:pPr>
              <w:pStyle w:val="p0"/>
              <w:spacing w:before="60" w:after="60"/>
              <w:ind w:left="0" w:right="240" w:firstLine="0"/>
              <w:jc w:val="right"/>
              <w:rPr>
                <w:color w:val="auto"/>
                <w:sz w:val="8"/>
                <w:szCs w:val="16"/>
                <w:highlight w:val="yellow"/>
              </w:rPr>
            </w:pPr>
          </w:p>
        </w:tc>
        <w:tc>
          <w:tcPr>
            <w:tcW w:w="851" w:type="dxa"/>
            <w:shd w:val="clear" w:color="auto" w:fill="FFFFFF"/>
            <w:vAlign w:val="center"/>
          </w:tcPr>
          <w:p w14:paraId="32C02D95" w14:textId="77777777" w:rsidR="00997F5E" w:rsidRPr="002D3841" w:rsidRDefault="00997F5E" w:rsidP="00290DB7">
            <w:pPr>
              <w:pStyle w:val="p0"/>
              <w:spacing w:before="60" w:after="60"/>
              <w:ind w:left="0" w:right="176" w:firstLine="0"/>
              <w:jc w:val="right"/>
              <w:rPr>
                <w:color w:val="auto"/>
                <w:sz w:val="8"/>
                <w:szCs w:val="16"/>
                <w:highlight w:val="yellow"/>
              </w:rPr>
            </w:pPr>
          </w:p>
        </w:tc>
        <w:tc>
          <w:tcPr>
            <w:tcW w:w="850" w:type="dxa"/>
            <w:shd w:val="clear" w:color="auto" w:fill="FFFFFF"/>
            <w:vAlign w:val="center"/>
          </w:tcPr>
          <w:p w14:paraId="11A16B2C" w14:textId="77777777" w:rsidR="00997F5E" w:rsidRPr="002D3841" w:rsidRDefault="00997F5E" w:rsidP="00290DB7">
            <w:pPr>
              <w:pStyle w:val="p0"/>
              <w:spacing w:before="60" w:after="60"/>
              <w:ind w:left="0" w:right="175" w:firstLine="0"/>
              <w:jc w:val="right"/>
              <w:rPr>
                <w:color w:val="auto"/>
                <w:sz w:val="8"/>
                <w:szCs w:val="16"/>
                <w:highlight w:val="yellow"/>
              </w:rPr>
            </w:pPr>
          </w:p>
        </w:tc>
        <w:tc>
          <w:tcPr>
            <w:tcW w:w="1229" w:type="dxa"/>
            <w:shd w:val="clear" w:color="auto" w:fill="FFFFFF"/>
            <w:tcMar>
              <w:left w:w="57" w:type="dxa"/>
            </w:tcMar>
            <w:vAlign w:val="center"/>
          </w:tcPr>
          <w:p w14:paraId="789939BE" w14:textId="77777777" w:rsidR="00997F5E" w:rsidRPr="002D3841" w:rsidRDefault="00997F5E" w:rsidP="00290DB7">
            <w:pPr>
              <w:pStyle w:val="p0"/>
              <w:tabs>
                <w:tab w:val="left" w:pos="142"/>
              </w:tabs>
              <w:spacing w:before="60" w:after="60"/>
              <w:ind w:left="0" w:right="246" w:firstLine="0"/>
              <w:jc w:val="right"/>
              <w:rPr>
                <w:color w:val="auto"/>
                <w:sz w:val="8"/>
                <w:szCs w:val="16"/>
                <w:highlight w:val="yellow"/>
              </w:rPr>
            </w:pPr>
          </w:p>
        </w:tc>
        <w:tc>
          <w:tcPr>
            <w:tcW w:w="821" w:type="dxa"/>
            <w:shd w:val="clear" w:color="auto" w:fill="FFFFFF"/>
            <w:vAlign w:val="center"/>
          </w:tcPr>
          <w:p w14:paraId="29492829" w14:textId="77777777" w:rsidR="00997F5E" w:rsidRPr="002D3841" w:rsidRDefault="00997F5E" w:rsidP="00290DB7">
            <w:pPr>
              <w:pStyle w:val="p0"/>
              <w:spacing w:before="60" w:after="60"/>
              <w:ind w:left="0" w:right="175" w:firstLine="0"/>
              <w:jc w:val="right"/>
              <w:rPr>
                <w:color w:val="auto"/>
                <w:sz w:val="8"/>
                <w:szCs w:val="16"/>
                <w:highlight w:val="yellow"/>
              </w:rPr>
            </w:pPr>
          </w:p>
        </w:tc>
        <w:tc>
          <w:tcPr>
            <w:tcW w:w="851" w:type="dxa"/>
            <w:tcBorders>
              <w:right w:val="single" w:sz="4" w:space="0" w:color="auto"/>
            </w:tcBorders>
            <w:shd w:val="clear" w:color="auto" w:fill="FFFFFF"/>
            <w:vAlign w:val="center"/>
          </w:tcPr>
          <w:p w14:paraId="7696635D" w14:textId="77777777" w:rsidR="00997F5E" w:rsidRPr="002D3841" w:rsidRDefault="00997F5E" w:rsidP="00290DB7">
            <w:pPr>
              <w:pStyle w:val="p0"/>
              <w:spacing w:before="60" w:after="60"/>
              <w:ind w:left="0" w:right="176" w:firstLine="0"/>
              <w:jc w:val="right"/>
              <w:rPr>
                <w:color w:val="auto"/>
                <w:sz w:val="8"/>
                <w:szCs w:val="16"/>
                <w:highlight w:val="yellow"/>
              </w:rPr>
            </w:pPr>
          </w:p>
        </w:tc>
      </w:tr>
      <w:tr w:rsidR="00997F5E" w:rsidRPr="00E60BDB" w14:paraId="79AAAC39" w14:textId="77777777" w:rsidTr="00290DB7">
        <w:tc>
          <w:tcPr>
            <w:tcW w:w="1134" w:type="dxa"/>
            <w:tcBorders>
              <w:left w:val="single" w:sz="4" w:space="0" w:color="auto"/>
            </w:tcBorders>
            <w:shd w:val="clear" w:color="auto" w:fill="FDE9D9" w:themeFill="accent6" w:themeFillTint="33"/>
          </w:tcPr>
          <w:p w14:paraId="73EDE63D" w14:textId="77777777" w:rsidR="00997F5E" w:rsidRPr="00E60BDB" w:rsidRDefault="00997F5E" w:rsidP="00290DB7">
            <w:pPr>
              <w:pStyle w:val="p0"/>
              <w:spacing w:before="60" w:after="60"/>
              <w:ind w:left="0" w:right="-108" w:firstLine="0"/>
              <w:jc w:val="both"/>
              <w:rPr>
                <w:color w:val="auto"/>
                <w:sz w:val="14"/>
                <w:szCs w:val="14"/>
              </w:rPr>
            </w:pPr>
            <w:r w:rsidRPr="00E60BDB">
              <w:rPr>
                <w:color w:val="auto"/>
                <w:sz w:val="14"/>
                <w:szCs w:val="14"/>
              </w:rPr>
              <w:t>(4</w:t>
            </w:r>
            <w:r>
              <w:rPr>
                <w:color w:val="auto"/>
                <w:sz w:val="14"/>
                <w:szCs w:val="14"/>
              </w:rPr>
              <w:t>)</w:t>
            </w:r>
            <w:r w:rsidRPr="00E60BDB">
              <w:rPr>
                <w:color w:val="auto"/>
                <w:sz w:val="14"/>
                <w:szCs w:val="14"/>
              </w:rPr>
              <w:t>=</w:t>
            </w:r>
            <w:r>
              <w:rPr>
                <w:color w:val="auto"/>
                <w:sz w:val="14"/>
                <w:szCs w:val="14"/>
              </w:rPr>
              <w:t>(1)+</w:t>
            </w:r>
            <w:r w:rsidRPr="00E60BDB">
              <w:rPr>
                <w:color w:val="auto"/>
                <w:sz w:val="14"/>
                <w:szCs w:val="14"/>
              </w:rPr>
              <w:t>(2)-(3)</w:t>
            </w:r>
          </w:p>
        </w:tc>
        <w:tc>
          <w:tcPr>
            <w:tcW w:w="1560" w:type="dxa"/>
            <w:shd w:val="clear" w:color="auto" w:fill="FDE9D9" w:themeFill="accent6" w:themeFillTint="33"/>
            <w:vAlign w:val="bottom"/>
          </w:tcPr>
          <w:p w14:paraId="08A69D50" w14:textId="77777777" w:rsidR="00997F5E" w:rsidRPr="00E60BDB" w:rsidRDefault="00997F5E" w:rsidP="00290DB7">
            <w:pPr>
              <w:pStyle w:val="p0"/>
              <w:spacing w:before="60" w:after="60"/>
              <w:ind w:left="0" w:right="0" w:firstLine="0"/>
              <w:rPr>
                <w:color w:val="auto"/>
                <w:sz w:val="16"/>
                <w:szCs w:val="16"/>
              </w:rPr>
            </w:pPr>
            <w:r w:rsidRPr="00E60BDB">
              <w:rPr>
                <w:color w:val="auto"/>
                <w:sz w:val="16"/>
                <w:szCs w:val="16"/>
              </w:rPr>
              <w:t>Necesidades</w:t>
            </w:r>
            <w:r>
              <w:rPr>
                <w:color w:val="auto"/>
                <w:sz w:val="16"/>
                <w:szCs w:val="16"/>
              </w:rPr>
              <w:t xml:space="preserve"> (</w:t>
            </w:r>
            <w:r>
              <w:rPr>
                <w:color w:val="auto"/>
                <w:sz w:val="16"/>
                <w:szCs w:val="16"/>
              </w:rPr>
              <w:noBreakHyphen/>
              <w:t>) / otorgamiento (+) de f</w:t>
            </w:r>
            <w:r w:rsidRPr="00E60BDB">
              <w:rPr>
                <w:color w:val="auto"/>
                <w:sz w:val="16"/>
                <w:szCs w:val="16"/>
              </w:rPr>
              <w:t>inanciamiento</w:t>
            </w:r>
          </w:p>
        </w:tc>
        <w:tc>
          <w:tcPr>
            <w:tcW w:w="1021" w:type="dxa"/>
            <w:shd w:val="clear" w:color="auto" w:fill="FDE9D9" w:themeFill="accent6" w:themeFillTint="33"/>
            <w:vAlign w:val="center"/>
          </w:tcPr>
          <w:p w14:paraId="7AEDC6DF" w14:textId="77777777" w:rsidR="00997F5E" w:rsidRPr="002D3841" w:rsidRDefault="00997F5E" w:rsidP="00290DB7">
            <w:pPr>
              <w:pStyle w:val="p0"/>
              <w:spacing w:before="60" w:after="60"/>
              <w:ind w:left="0" w:right="268" w:firstLine="0"/>
              <w:jc w:val="right"/>
              <w:rPr>
                <w:color w:val="auto"/>
                <w:sz w:val="16"/>
                <w:szCs w:val="16"/>
              </w:rPr>
            </w:pPr>
            <w:r w:rsidRPr="001652F1">
              <w:rPr>
                <w:color w:val="auto"/>
                <w:sz w:val="16"/>
                <w:szCs w:val="16"/>
              </w:rPr>
              <w:t>(</w:t>
            </w:r>
            <w:r w:rsidRPr="001652F1">
              <w:rPr>
                <w:color w:val="auto"/>
                <w:sz w:val="16"/>
                <w:szCs w:val="16"/>
              </w:rPr>
              <w:noBreakHyphen/>
              <w:t>)7.3</w:t>
            </w:r>
          </w:p>
        </w:tc>
        <w:tc>
          <w:tcPr>
            <w:tcW w:w="992" w:type="dxa"/>
            <w:shd w:val="clear" w:color="auto" w:fill="FDE9D9" w:themeFill="accent6" w:themeFillTint="33"/>
            <w:vAlign w:val="center"/>
          </w:tcPr>
          <w:p w14:paraId="0EF35DCA" w14:textId="77777777" w:rsidR="00997F5E" w:rsidRPr="002D3841" w:rsidRDefault="00997F5E" w:rsidP="00290DB7">
            <w:pPr>
              <w:pStyle w:val="p0"/>
              <w:spacing w:before="60" w:after="60"/>
              <w:ind w:left="0" w:right="240" w:firstLine="0"/>
              <w:jc w:val="right"/>
              <w:rPr>
                <w:color w:val="auto"/>
                <w:sz w:val="16"/>
                <w:szCs w:val="16"/>
              </w:rPr>
            </w:pPr>
            <w:r>
              <w:rPr>
                <w:color w:val="auto"/>
                <w:sz w:val="16"/>
                <w:szCs w:val="16"/>
              </w:rPr>
              <w:t>4.2</w:t>
            </w:r>
          </w:p>
        </w:tc>
        <w:tc>
          <w:tcPr>
            <w:tcW w:w="992" w:type="dxa"/>
            <w:shd w:val="clear" w:color="auto" w:fill="FDE9D9" w:themeFill="accent6" w:themeFillTint="33"/>
            <w:vAlign w:val="center"/>
          </w:tcPr>
          <w:p w14:paraId="2961BCC4" w14:textId="77777777" w:rsidR="00997F5E" w:rsidRPr="002D3841" w:rsidRDefault="00997F5E" w:rsidP="00290DB7">
            <w:pPr>
              <w:pStyle w:val="p0"/>
              <w:spacing w:before="60" w:after="60"/>
              <w:ind w:left="0" w:right="240" w:firstLine="0"/>
              <w:jc w:val="right"/>
              <w:rPr>
                <w:color w:val="auto"/>
                <w:sz w:val="16"/>
                <w:szCs w:val="16"/>
              </w:rPr>
            </w:pPr>
            <w:r w:rsidRPr="001652F1">
              <w:rPr>
                <w:color w:val="auto"/>
                <w:sz w:val="16"/>
                <w:szCs w:val="16"/>
              </w:rPr>
              <w:t>(</w:t>
            </w:r>
            <w:r w:rsidRPr="001652F1">
              <w:rPr>
                <w:color w:val="auto"/>
                <w:sz w:val="16"/>
                <w:szCs w:val="16"/>
              </w:rPr>
              <w:noBreakHyphen/>
              <w:t>)4.7</w:t>
            </w:r>
          </w:p>
        </w:tc>
        <w:tc>
          <w:tcPr>
            <w:tcW w:w="851" w:type="dxa"/>
            <w:shd w:val="clear" w:color="auto" w:fill="FDE9D9" w:themeFill="accent6" w:themeFillTint="33"/>
            <w:vAlign w:val="center"/>
          </w:tcPr>
          <w:p w14:paraId="25936F64" w14:textId="77777777" w:rsidR="00997F5E" w:rsidRPr="002D3841" w:rsidRDefault="00997F5E" w:rsidP="00290DB7">
            <w:pPr>
              <w:pStyle w:val="p0"/>
              <w:spacing w:before="60" w:after="60"/>
              <w:ind w:left="0" w:right="176" w:firstLine="0"/>
              <w:jc w:val="right"/>
              <w:rPr>
                <w:color w:val="auto"/>
                <w:sz w:val="16"/>
                <w:szCs w:val="16"/>
              </w:rPr>
            </w:pPr>
            <w:r w:rsidRPr="001652F1">
              <w:rPr>
                <w:color w:val="auto"/>
                <w:sz w:val="16"/>
                <w:szCs w:val="16"/>
              </w:rPr>
              <w:t>5.1</w:t>
            </w:r>
          </w:p>
        </w:tc>
        <w:tc>
          <w:tcPr>
            <w:tcW w:w="850" w:type="dxa"/>
            <w:shd w:val="clear" w:color="auto" w:fill="FDE9D9" w:themeFill="accent6" w:themeFillTint="33"/>
            <w:vAlign w:val="center"/>
          </w:tcPr>
          <w:p w14:paraId="24250E0C" w14:textId="77777777" w:rsidR="00997F5E" w:rsidRPr="002D3841" w:rsidRDefault="00997F5E" w:rsidP="00290DB7">
            <w:pPr>
              <w:pStyle w:val="p0"/>
              <w:spacing w:before="60" w:after="60"/>
              <w:ind w:left="0" w:right="175" w:firstLine="0"/>
              <w:jc w:val="right"/>
              <w:rPr>
                <w:color w:val="auto"/>
                <w:sz w:val="16"/>
                <w:szCs w:val="16"/>
              </w:rPr>
            </w:pPr>
            <w:r w:rsidRPr="001652F1">
              <w:rPr>
                <w:color w:val="auto"/>
                <w:sz w:val="16"/>
                <w:szCs w:val="16"/>
              </w:rPr>
              <w:t>0.9</w:t>
            </w:r>
          </w:p>
        </w:tc>
        <w:tc>
          <w:tcPr>
            <w:tcW w:w="1229" w:type="dxa"/>
            <w:shd w:val="clear" w:color="auto" w:fill="FDE9D9" w:themeFill="accent6" w:themeFillTint="33"/>
            <w:tcMar>
              <w:left w:w="57" w:type="dxa"/>
            </w:tcMar>
            <w:vAlign w:val="center"/>
          </w:tcPr>
          <w:p w14:paraId="3C98971C" w14:textId="77777777" w:rsidR="00997F5E" w:rsidRPr="002D3841" w:rsidRDefault="00997F5E" w:rsidP="00290DB7">
            <w:pPr>
              <w:pStyle w:val="p0"/>
              <w:tabs>
                <w:tab w:val="left" w:pos="142"/>
              </w:tabs>
              <w:spacing w:before="60" w:after="60"/>
              <w:ind w:left="0" w:right="246" w:firstLine="0"/>
              <w:jc w:val="right"/>
              <w:rPr>
                <w:color w:val="auto"/>
                <w:sz w:val="16"/>
                <w:szCs w:val="16"/>
              </w:rPr>
            </w:pPr>
            <w:r>
              <w:rPr>
                <w:color w:val="auto"/>
                <w:sz w:val="16"/>
                <w:szCs w:val="16"/>
              </w:rPr>
              <w:t>(</w:t>
            </w:r>
            <w:r>
              <w:rPr>
                <w:color w:val="auto"/>
                <w:sz w:val="16"/>
                <w:szCs w:val="16"/>
              </w:rPr>
              <w:noBreakHyphen/>
              <w:t>)1.8</w:t>
            </w:r>
          </w:p>
        </w:tc>
        <w:tc>
          <w:tcPr>
            <w:tcW w:w="821" w:type="dxa"/>
            <w:shd w:val="clear" w:color="auto" w:fill="FDE9D9" w:themeFill="accent6" w:themeFillTint="33"/>
            <w:vAlign w:val="center"/>
          </w:tcPr>
          <w:p w14:paraId="44E9E237" w14:textId="77777777" w:rsidR="00997F5E" w:rsidRPr="002D3841" w:rsidRDefault="00997F5E" w:rsidP="00290DB7">
            <w:pPr>
              <w:pStyle w:val="p0"/>
              <w:spacing w:before="60" w:after="60"/>
              <w:ind w:left="0" w:right="175" w:firstLine="0"/>
              <w:jc w:val="right"/>
              <w:rPr>
                <w:color w:val="auto"/>
                <w:sz w:val="16"/>
                <w:szCs w:val="16"/>
              </w:rPr>
            </w:pPr>
          </w:p>
        </w:tc>
        <w:tc>
          <w:tcPr>
            <w:tcW w:w="851" w:type="dxa"/>
            <w:tcBorders>
              <w:right w:val="single" w:sz="4" w:space="0" w:color="auto"/>
            </w:tcBorders>
            <w:shd w:val="clear" w:color="auto" w:fill="FDE9D9" w:themeFill="accent6" w:themeFillTint="33"/>
            <w:vAlign w:val="center"/>
          </w:tcPr>
          <w:p w14:paraId="5B98380A" w14:textId="77777777" w:rsidR="00997F5E" w:rsidRPr="002D3841" w:rsidRDefault="00997F5E" w:rsidP="00290DB7">
            <w:pPr>
              <w:pStyle w:val="p0"/>
              <w:spacing w:before="60" w:after="60"/>
              <w:ind w:left="0" w:right="176" w:firstLine="0"/>
              <w:jc w:val="right"/>
              <w:rPr>
                <w:color w:val="auto"/>
                <w:sz w:val="16"/>
                <w:szCs w:val="16"/>
                <w:highlight w:val="yellow"/>
              </w:rPr>
            </w:pPr>
          </w:p>
        </w:tc>
      </w:tr>
      <w:tr w:rsidR="00997F5E" w:rsidRPr="00E60BDB" w14:paraId="1D08CC1A" w14:textId="77777777" w:rsidTr="00290DB7">
        <w:tc>
          <w:tcPr>
            <w:tcW w:w="1134" w:type="dxa"/>
            <w:tcBorders>
              <w:left w:val="single" w:sz="4" w:space="0" w:color="auto"/>
            </w:tcBorders>
          </w:tcPr>
          <w:p w14:paraId="239E09AF" w14:textId="77777777" w:rsidR="00997F5E" w:rsidRPr="0034605C" w:rsidRDefault="00997F5E" w:rsidP="00290DB7">
            <w:pPr>
              <w:pStyle w:val="p0"/>
              <w:spacing w:before="60" w:after="60"/>
              <w:ind w:left="0" w:right="0" w:firstLine="0"/>
              <w:jc w:val="both"/>
              <w:rPr>
                <w:color w:val="auto"/>
                <w:sz w:val="10"/>
                <w:szCs w:val="14"/>
              </w:rPr>
            </w:pPr>
          </w:p>
        </w:tc>
        <w:tc>
          <w:tcPr>
            <w:tcW w:w="1560" w:type="dxa"/>
          </w:tcPr>
          <w:p w14:paraId="00E64589" w14:textId="77777777" w:rsidR="00997F5E" w:rsidRPr="0034605C" w:rsidRDefault="00997F5E" w:rsidP="00290DB7">
            <w:pPr>
              <w:pStyle w:val="p0"/>
              <w:spacing w:before="60" w:after="60"/>
              <w:ind w:left="0" w:right="0" w:firstLine="0"/>
              <w:rPr>
                <w:color w:val="auto"/>
                <w:sz w:val="10"/>
                <w:szCs w:val="16"/>
              </w:rPr>
            </w:pPr>
          </w:p>
        </w:tc>
        <w:tc>
          <w:tcPr>
            <w:tcW w:w="1021" w:type="dxa"/>
            <w:vAlign w:val="center"/>
          </w:tcPr>
          <w:p w14:paraId="1D064CC6" w14:textId="77777777" w:rsidR="00997F5E" w:rsidRPr="002D3841" w:rsidRDefault="00997F5E" w:rsidP="00290DB7">
            <w:pPr>
              <w:pStyle w:val="p0"/>
              <w:spacing w:before="60" w:after="60"/>
              <w:ind w:left="0" w:right="268" w:firstLine="0"/>
              <w:jc w:val="right"/>
              <w:rPr>
                <w:color w:val="auto"/>
                <w:sz w:val="10"/>
                <w:szCs w:val="16"/>
                <w:highlight w:val="yellow"/>
              </w:rPr>
            </w:pPr>
          </w:p>
        </w:tc>
        <w:tc>
          <w:tcPr>
            <w:tcW w:w="992" w:type="dxa"/>
            <w:vAlign w:val="center"/>
          </w:tcPr>
          <w:p w14:paraId="15BBFDA8" w14:textId="77777777" w:rsidR="00997F5E" w:rsidRPr="002D3841" w:rsidRDefault="00997F5E" w:rsidP="00290DB7">
            <w:pPr>
              <w:pStyle w:val="p0"/>
              <w:spacing w:before="60" w:after="60"/>
              <w:ind w:left="0" w:right="240" w:firstLine="0"/>
              <w:jc w:val="right"/>
              <w:rPr>
                <w:color w:val="auto"/>
                <w:sz w:val="10"/>
                <w:szCs w:val="16"/>
                <w:highlight w:val="yellow"/>
              </w:rPr>
            </w:pPr>
          </w:p>
        </w:tc>
        <w:tc>
          <w:tcPr>
            <w:tcW w:w="992" w:type="dxa"/>
            <w:vAlign w:val="center"/>
          </w:tcPr>
          <w:p w14:paraId="67FEDE13" w14:textId="77777777" w:rsidR="00997F5E" w:rsidRPr="002D3841" w:rsidRDefault="00997F5E" w:rsidP="00290DB7">
            <w:pPr>
              <w:pStyle w:val="p0"/>
              <w:spacing w:before="60" w:after="60"/>
              <w:ind w:left="0" w:right="240" w:firstLine="0"/>
              <w:jc w:val="right"/>
              <w:rPr>
                <w:color w:val="auto"/>
                <w:sz w:val="10"/>
                <w:szCs w:val="16"/>
                <w:highlight w:val="yellow"/>
              </w:rPr>
            </w:pPr>
          </w:p>
        </w:tc>
        <w:tc>
          <w:tcPr>
            <w:tcW w:w="851" w:type="dxa"/>
            <w:vAlign w:val="center"/>
          </w:tcPr>
          <w:p w14:paraId="379A5E66" w14:textId="77777777" w:rsidR="00997F5E" w:rsidRPr="002D3841" w:rsidRDefault="00997F5E" w:rsidP="00290DB7">
            <w:pPr>
              <w:pStyle w:val="p0"/>
              <w:spacing w:before="60" w:after="60"/>
              <w:ind w:left="0" w:right="176" w:firstLine="0"/>
              <w:jc w:val="right"/>
              <w:rPr>
                <w:color w:val="auto"/>
                <w:sz w:val="10"/>
                <w:szCs w:val="16"/>
                <w:highlight w:val="yellow"/>
              </w:rPr>
            </w:pPr>
          </w:p>
        </w:tc>
        <w:tc>
          <w:tcPr>
            <w:tcW w:w="850" w:type="dxa"/>
            <w:vAlign w:val="center"/>
          </w:tcPr>
          <w:p w14:paraId="382448F8" w14:textId="77777777" w:rsidR="00997F5E" w:rsidRPr="002D3841" w:rsidRDefault="00997F5E" w:rsidP="00290DB7">
            <w:pPr>
              <w:pStyle w:val="p0"/>
              <w:spacing w:before="60" w:after="60"/>
              <w:ind w:left="0" w:right="175" w:firstLine="0"/>
              <w:jc w:val="right"/>
              <w:rPr>
                <w:color w:val="auto"/>
                <w:sz w:val="10"/>
                <w:szCs w:val="16"/>
                <w:highlight w:val="yellow"/>
              </w:rPr>
            </w:pPr>
          </w:p>
        </w:tc>
        <w:tc>
          <w:tcPr>
            <w:tcW w:w="1229" w:type="dxa"/>
            <w:tcMar>
              <w:left w:w="57" w:type="dxa"/>
            </w:tcMar>
            <w:vAlign w:val="center"/>
          </w:tcPr>
          <w:p w14:paraId="63102ABB" w14:textId="77777777" w:rsidR="00997F5E" w:rsidRPr="002D3841" w:rsidRDefault="00997F5E" w:rsidP="00290DB7">
            <w:pPr>
              <w:pStyle w:val="p0"/>
              <w:tabs>
                <w:tab w:val="left" w:pos="142"/>
              </w:tabs>
              <w:spacing w:before="60" w:after="60"/>
              <w:ind w:left="0" w:right="246" w:firstLine="0"/>
              <w:jc w:val="right"/>
              <w:rPr>
                <w:color w:val="auto"/>
                <w:sz w:val="10"/>
                <w:szCs w:val="16"/>
                <w:highlight w:val="yellow"/>
              </w:rPr>
            </w:pPr>
          </w:p>
        </w:tc>
        <w:tc>
          <w:tcPr>
            <w:tcW w:w="821" w:type="dxa"/>
            <w:vAlign w:val="center"/>
          </w:tcPr>
          <w:p w14:paraId="7E444390" w14:textId="77777777" w:rsidR="00997F5E" w:rsidRPr="002D3841" w:rsidRDefault="00997F5E" w:rsidP="00290DB7">
            <w:pPr>
              <w:pStyle w:val="p0"/>
              <w:spacing w:before="60" w:after="60"/>
              <w:ind w:left="0" w:right="175" w:firstLine="0"/>
              <w:jc w:val="right"/>
              <w:rPr>
                <w:color w:val="auto"/>
                <w:sz w:val="10"/>
                <w:szCs w:val="16"/>
                <w:highlight w:val="yellow"/>
              </w:rPr>
            </w:pPr>
          </w:p>
        </w:tc>
        <w:tc>
          <w:tcPr>
            <w:tcW w:w="851" w:type="dxa"/>
            <w:tcBorders>
              <w:right w:val="single" w:sz="4" w:space="0" w:color="auto"/>
            </w:tcBorders>
            <w:vAlign w:val="center"/>
          </w:tcPr>
          <w:p w14:paraId="1BE0E047" w14:textId="77777777" w:rsidR="00997F5E" w:rsidRPr="002D3841" w:rsidRDefault="00997F5E" w:rsidP="00290DB7">
            <w:pPr>
              <w:pStyle w:val="p0"/>
              <w:spacing w:before="60" w:after="60"/>
              <w:ind w:left="0" w:right="176" w:firstLine="0"/>
              <w:jc w:val="right"/>
              <w:rPr>
                <w:color w:val="auto"/>
                <w:sz w:val="10"/>
                <w:szCs w:val="16"/>
                <w:highlight w:val="yellow"/>
              </w:rPr>
            </w:pPr>
          </w:p>
        </w:tc>
      </w:tr>
      <w:tr w:rsidR="00997F5E" w:rsidRPr="00E60BDB" w14:paraId="2C222387" w14:textId="77777777" w:rsidTr="00290DB7">
        <w:tc>
          <w:tcPr>
            <w:tcW w:w="1134" w:type="dxa"/>
            <w:tcBorders>
              <w:left w:val="single" w:sz="4" w:space="0" w:color="auto"/>
            </w:tcBorders>
          </w:tcPr>
          <w:p w14:paraId="758ABFC8" w14:textId="77777777" w:rsidR="00997F5E" w:rsidRPr="00E60BDB" w:rsidRDefault="00997F5E" w:rsidP="00290DB7">
            <w:pPr>
              <w:pStyle w:val="p0"/>
              <w:spacing w:before="60" w:after="60"/>
              <w:ind w:left="0" w:right="0" w:firstLine="0"/>
              <w:jc w:val="both"/>
              <w:rPr>
                <w:color w:val="auto"/>
                <w:sz w:val="14"/>
                <w:szCs w:val="14"/>
              </w:rPr>
            </w:pPr>
            <w:r w:rsidRPr="00E60BDB">
              <w:rPr>
                <w:color w:val="auto"/>
                <w:sz w:val="14"/>
                <w:szCs w:val="14"/>
              </w:rPr>
              <w:t>(5)</w:t>
            </w:r>
          </w:p>
        </w:tc>
        <w:tc>
          <w:tcPr>
            <w:tcW w:w="1560" w:type="dxa"/>
            <w:vAlign w:val="bottom"/>
          </w:tcPr>
          <w:p w14:paraId="66EC60A7" w14:textId="77777777" w:rsidR="00997F5E" w:rsidRPr="00E60BDB" w:rsidRDefault="00997F5E" w:rsidP="00290DB7">
            <w:pPr>
              <w:pStyle w:val="p0"/>
              <w:spacing w:before="60" w:after="60"/>
              <w:ind w:left="0" w:right="0" w:firstLine="0"/>
              <w:rPr>
                <w:color w:val="auto"/>
                <w:sz w:val="16"/>
                <w:szCs w:val="16"/>
              </w:rPr>
            </w:pPr>
            <w:r w:rsidRPr="00E60BDB">
              <w:rPr>
                <w:color w:val="auto"/>
                <w:sz w:val="16"/>
                <w:szCs w:val="16"/>
              </w:rPr>
              <w:t>Adquisición de activos financieros</w:t>
            </w:r>
          </w:p>
        </w:tc>
        <w:tc>
          <w:tcPr>
            <w:tcW w:w="1021" w:type="dxa"/>
            <w:vAlign w:val="center"/>
          </w:tcPr>
          <w:p w14:paraId="1544D065" w14:textId="77777777" w:rsidR="00997F5E" w:rsidRPr="002D3841" w:rsidRDefault="00997F5E" w:rsidP="00290DB7">
            <w:pPr>
              <w:pStyle w:val="p0"/>
              <w:spacing w:before="60" w:after="60"/>
              <w:ind w:left="0" w:right="268" w:firstLine="0"/>
              <w:jc w:val="right"/>
              <w:rPr>
                <w:color w:val="auto"/>
                <w:sz w:val="16"/>
                <w:szCs w:val="16"/>
              </w:rPr>
            </w:pPr>
            <w:r w:rsidRPr="001E11A3">
              <w:rPr>
                <w:color w:val="auto"/>
                <w:sz w:val="16"/>
                <w:szCs w:val="16"/>
              </w:rPr>
              <w:t>1.6</w:t>
            </w:r>
          </w:p>
        </w:tc>
        <w:tc>
          <w:tcPr>
            <w:tcW w:w="992" w:type="dxa"/>
            <w:vAlign w:val="center"/>
          </w:tcPr>
          <w:p w14:paraId="0BFB717C" w14:textId="77777777" w:rsidR="00997F5E" w:rsidRPr="002D3841" w:rsidRDefault="00997F5E" w:rsidP="00290DB7">
            <w:pPr>
              <w:pStyle w:val="p0"/>
              <w:spacing w:before="60" w:after="60"/>
              <w:ind w:left="0" w:right="240" w:firstLine="0"/>
              <w:jc w:val="right"/>
              <w:rPr>
                <w:color w:val="auto"/>
                <w:sz w:val="16"/>
                <w:szCs w:val="16"/>
              </w:rPr>
            </w:pPr>
            <w:r w:rsidRPr="001E11A3">
              <w:rPr>
                <w:color w:val="auto"/>
                <w:sz w:val="16"/>
                <w:szCs w:val="16"/>
              </w:rPr>
              <w:t>3.5</w:t>
            </w:r>
          </w:p>
        </w:tc>
        <w:tc>
          <w:tcPr>
            <w:tcW w:w="992" w:type="dxa"/>
            <w:vAlign w:val="center"/>
          </w:tcPr>
          <w:p w14:paraId="483D5DC4" w14:textId="77777777" w:rsidR="00997F5E" w:rsidRPr="002D3841" w:rsidRDefault="00997F5E" w:rsidP="00290DB7">
            <w:pPr>
              <w:pStyle w:val="p0"/>
              <w:spacing w:before="60" w:after="60"/>
              <w:ind w:left="0" w:right="240" w:firstLine="0"/>
              <w:jc w:val="right"/>
              <w:rPr>
                <w:color w:val="auto"/>
                <w:sz w:val="16"/>
                <w:szCs w:val="16"/>
              </w:rPr>
            </w:pPr>
            <w:r w:rsidRPr="001E11A3">
              <w:rPr>
                <w:color w:val="auto"/>
                <w:sz w:val="16"/>
                <w:szCs w:val="16"/>
              </w:rPr>
              <w:t>2.3</w:t>
            </w:r>
          </w:p>
        </w:tc>
        <w:tc>
          <w:tcPr>
            <w:tcW w:w="851" w:type="dxa"/>
            <w:vAlign w:val="center"/>
          </w:tcPr>
          <w:p w14:paraId="7542F91F" w14:textId="77777777" w:rsidR="00997F5E" w:rsidRPr="002D3841" w:rsidRDefault="00997F5E" w:rsidP="00290DB7">
            <w:pPr>
              <w:pStyle w:val="p0"/>
              <w:spacing w:before="60" w:after="60"/>
              <w:ind w:left="0" w:right="176" w:firstLine="0"/>
              <w:jc w:val="right"/>
              <w:rPr>
                <w:color w:val="auto"/>
                <w:sz w:val="16"/>
                <w:szCs w:val="16"/>
              </w:rPr>
            </w:pPr>
            <w:r w:rsidRPr="001E11A3">
              <w:rPr>
                <w:color w:val="auto"/>
                <w:sz w:val="16"/>
                <w:szCs w:val="16"/>
              </w:rPr>
              <w:t>6.8</w:t>
            </w:r>
          </w:p>
        </w:tc>
        <w:tc>
          <w:tcPr>
            <w:tcW w:w="850" w:type="dxa"/>
            <w:vAlign w:val="center"/>
          </w:tcPr>
          <w:p w14:paraId="255C210F" w14:textId="77777777" w:rsidR="00997F5E" w:rsidRPr="002D3841" w:rsidRDefault="00997F5E" w:rsidP="00290DB7">
            <w:pPr>
              <w:pStyle w:val="p0"/>
              <w:spacing w:before="60" w:after="60"/>
              <w:ind w:left="0" w:right="175" w:firstLine="0"/>
              <w:jc w:val="right"/>
              <w:rPr>
                <w:color w:val="auto"/>
                <w:sz w:val="16"/>
                <w:szCs w:val="16"/>
              </w:rPr>
            </w:pPr>
            <w:r w:rsidRPr="001E11A3">
              <w:rPr>
                <w:color w:val="auto"/>
                <w:sz w:val="16"/>
                <w:szCs w:val="16"/>
              </w:rPr>
              <w:t>0.0</w:t>
            </w:r>
          </w:p>
        </w:tc>
        <w:tc>
          <w:tcPr>
            <w:tcW w:w="1229" w:type="dxa"/>
            <w:tcMar>
              <w:left w:w="57" w:type="dxa"/>
            </w:tcMar>
            <w:vAlign w:val="center"/>
          </w:tcPr>
          <w:p w14:paraId="5A6D0D98" w14:textId="77777777" w:rsidR="00997F5E" w:rsidRPr="002D3841" w:rsidRDefault="00997F5E" w:rsidP="00290DB7">
            <w:pPr>
              <w:pStyle w:val="p0"/>
              <w:tabs>
                <w:tab w:val="left" w:pos="142"/>
              </w:tabs>
              <w:spacing w:before="60" w:after="60"/>
              <w:ind w:left="0" w:right="246" w:firstLine="0"/>
              <w:jc w:val="right"/>
              <w:rPr>
                <w:color w:val="auto"/>
                <w:sz w:val="16"/>
                <w:szCs w:val="16"/>
              </w:rPr>
            </w:pPr>
            <w:r w:rsidRPr="001E11A3">
              <w:rPr>
                <w:color w:val="auto"/>
                <w:sz w:val="16"/>
                <w:szCs w:val="16"/>
              </w:rPr>
              <w:t>14.2</w:t>
            </w:r>
          </w:p>
        </w:tc>
        <w:tc>
          <w:tcPr>
            <w:tcW w:w="821" w:type="dxa"/>
            <w:vAlign w:val="center"/>
          </w:tcPr>
          <w:p w14:paraId="24AF758F" w14:textId="77777777" w:rsidR="00997F5E" w:rsidRPr="002D3841" w:rsidRDefault="00997F5E" w:rsidP="00290DB7">
            <w:pPr>
              <w:pStyle w:val="p0"/>
              <w:spacing w:before="60" w:after="60"/>
              <w:ind w:left="0" w:right="175" w:firstLine="0"/>
              <w:jc w:val="right"/>
              <w:rPr>
                <w:color w:val="auto"/>
                <w:sz w:val="16"/>
                <w:szCs w:val="16"/>
              </w:rPr>
            </w:pPr>
            <w:r w:rsidRPr="001E11A3">
              <w:rPr>
                <w:color w:val="auto"/>
                <w:sz w:val="16"/>
                <w:szCs w:val="16"/>
              </w:rPr>
              <w:t>0.2</w:t>
            </w:r>
          </w:p>
        </w:tc>
        <w:tc>
          <w:tcPr>
            <w:tcW w:w="851" w:type="dxa"/>
            <w:tcBorders>
              <w:right w:val="single" w:sz="4" w:space="0" w:color="auto"/>
            </w:tcBorders>
            <w:vAlign w:val="center"/>
          </w:tcPr>
          <w:p w14:paraId="7A3DB3A8" w14:textId="77777777" w:rsidR="00997F5E" w:rsidRPr="002D3841" w:rsidRDefault="00997F5E" w:rsidP="00290DB7">
            <w:pPr>
              <w:pStyle w:val="p0"/>
              <w:spacing w:before="60" w:after="60"/>
              <w:ind w:left="0" w:right="176" w:firstLine="0"/>
              <w:jc w:val="right"/>
              <w:rPr>
                <w:color w:val="auto"/>
                <w:sz w:val="16"/>
                <w:szCs w:val="16"/>
              </w:rPr>
            </w:pPr>
            <w:r w:rsidRPr="001E11A3">
              <w:rPr>
                <w:color w:val="auto"/>
                <w:sz w:val="16"/>
                <w:szCs w:val="16"/>
              </w:rPr>
              <w:t>14.4</w:t>
            </w:r>
          </w:p>
        </w:tc>
      </w:tr>
      <w:tr w:rsidR="00997F5E" w:rsidRPr="00E60BDB" w14:paraId="1361B3A8" w14:textId="77777777" w:rsidTr="00290DB7">
        <w:tc>
          <w:tcPr>
            <w:tcW w:w="1134" w:type="dxa"/>
            <w:tcBorders>
              <w:left w:val="single" w:sz="4" w:space="0" w:color="auto"/>
            </w:tcBorders>
          </w:tcPr>
          <w:p w14:paraId="34B9B04F" w14:textId="77777777" w:rsidR="00997F5E" w:rsidRPr="00E60BDB" w:rsidRDefault="00997F5E" w:rsidP="00290DB7">
            <w:pPr>
              <w:pStyle w:val="p0"/>
              <w:spacing w:before="60" w:after="60"/>
              <w:ind w:left="0" w:right="0" w:firstLine="0"/>
              <w:jc w:val="both"/>
              <w:rPr>
                <w:color w:val="auto"/>
                <w:sz w:val="14"/>
                <w:szCs w:val="14"/>
              </w:rPr>
            </w:pPr>
            <w:r w:rsidRPr="00E60BDB">
              <w:rPr>
                <w:color w:val="auto"/>
                <w:sz w:val="14"/>
                <w:szCs w:val="14"/>
              </w:rPr>
              <w:t>(6)</w:t>
            </w:r>
          </w:p>
        </w:tc>
        <w:tc>
          <w:tcPr>
            <w:tcW w:w="1560" w:type="dxa"/>
          </w:tcPr>
          <w:p w14:paraId="52AD9E5D" w14:textId="77777777" w:rsidR="00997F5E" w:rsidRPr="00E60BDB" w:rsidRDefault="00997F5E" w:rsidP="00290DB7">
            <w:pPr>
              <w:pStyle w:val="p0"/>
              <w:spacing w:before="60" w:after="60"/>
              <w:ind w:left="0" w:right="0" w:firstLine="0"/>
              <w:rPr>
                <w:color w:val="auto"/>
                <w:sz w:val="16"/>
                <w:szCs w:val="16"/>
              </w:rPr>
            </w:pPr>
            <w:r w:rsidRPr="00E60BDB">
              <w:rPr>
                <w:color w:val="auto"/>
                <w:sz w:val="16"/>
                <w:szCs w:val="16"/>
              </w:rPr>
              <w:t>Emisión de pasivos</w:t>
            </w:r>
          </w:p>
        </w:tc>
        <w:tc>
          <w:tcPr>
            <w:tcW w:w="1021" w:type="dxa"/>
            <w:vAlign w:val="center"/>
          </w:tcPr>
          <w:p w14:paraId="69A1438E" w14:textId="77777777" w:rsidR="00997F5E" w:rsidRPr="002D3841" w:rsidRDefault="00997F5E" w:rsidP="00290DB7">
            <w:pPr>
              <w:pStyle w:val="p0"/>
              <w:spacing w:before="60" w:after="60"/>
              <w:ind w:left="0" w:right="268" w:firstLine="0"/>
              <w:jc w:val="right"/>
              <w:rPr>
                <w:color w:val="auto"/>
                <w:sz w:val="16"/>
                <w:szCs w:val="16"/>
              </w:rPr>
            </w:pPr>
            <w:r w:rsidRPr="001E11A3">
              <w:rPr>
                <w:color w:val="auto"/>
                <w:sz w:val="16"/>
                <w:szCs w:val="16"/>
              </w:rPr>
              <w:t>8.9</w:t>
            </w:r>
          </w:p>
        </w:tc>
        <w:tc>
          <w:tcPr>
            <w:tcW w:w="992" w:type="dxa"/>
            <w:vAlign w:val="center"/>
          </w:tcPr>
          <w:p w14:paraId="6AA97C65" w14:textId="77777777" w:rsidR="00997F5E" w:rsidRPr="002D3841" w:rsidRDefault="00997F5E" w:rsidP="00290DB7">
            <w:pPr>
              <w:pStyle w:val="p0"/>
              <w:spacing w:before="60" w:after="60"/>
              <w:ind w:left="0" w:right="240" w:firstLine="0"/>
              <w:jc w:val="right"/>
              <w:rPr>
                <w:color w:val="auto"/>
                <w:sz w:val="16"/>
                <w:szCs w:val="16"/>
              </w:rPr>
            </w:pPr>
            <w:r>
              <w:rPr>
                <w:color w:val="auto"/>
                <w:sz w:val="16"/>
                <w:szCs w:val="16"/>
              </w:rPr>
              <w:t>(</w:t>
            </w:r>
            <w:r>
              <w:rPr>
                <w:color w:val="auto"/>
                <w:sz w:val="16"/>
                <w:szCs w:val="16"/>
              </w:rPr>
              <w:noBreakHyphen/>
              <w:t>)</w:t>
            </w:r>
            <w:r w:rsidRPr="001E11A3">
              <w:rPr>
                <w:color w:val="auto"/>
                <w:sz w:val="16"/>
                <w:szCs w:val="16"/>
              </w:rPr>
              <w:t>0.7</w:t>
            </w:r>
          </w:p>
        </w:tc>
        <w:tc>
          <w:tcPr>
            <w:tcW w:w="992" w:type="dxa"/>
            <w:vAlign w:val="center"/>
          </w:tcPr>
          <w:p w14:paraId="0316186B" w14:textId="77777777" w:rsidR="00997F5E" w:rsidRPr="002D3841" w:rsidRDefault="00997F5E" w:rsidP="00290DB7">
            <w:pPr>
              <w:pStyle w:val="p0"/>
              <w:spacing w:before="60" w:after="60"/>
              <w:ind w:left="0" w:right="240" w:firstLine="0"/>
              <w:jc w:val="right"/>
              <w:rPr>
                <w:color w:val="auto"/>
                <w:sz w:val="16"/>
                <w:szCs w:val="16"/>
              </w:rPr>
            </w:pPr>
            <w:r w:rsidRPr="001E11A3">
              <w:rPr>
                <w:color w:val="auto"/>
                <w:sz w:val="16"/>
                <w:szCs w:val="16"/>
              </w:rPr>
              <w:t>7.0</w:t>
            </w:r>
          </w:p>
        </w:tc>
        <w:tc>
          <w:tcPr>
            <w:tcW w:w="851" w:type="dxa"/>
            <w:vAlign w:val="center"/>
          </w:tcPr>
          <w:p w14:paraId="01B37FAA" w14:textId="77777777" w:rsidR="00997F5E" w:rsidRPr="002D3841" w:rsidRDefault="00997F5E" w:rsidP="00290DB7">
            <w:pPr>
              <w:pStyle w:val="p0"/>
              <w:spacing w:before="60" w:after="60"/>
              <w:ind w:left="0" w:right="176" w:firstLine="0"/>
              <w:jc w:val="right"/>
              <w:rPr>
                <w:color w:val="auto"/>
                <w:sz w:val="16"/>
                <w:szCs w:val="16"/>
              </w:rPr>
            </w:pPr>
            <w:r w:rsidRPr="001E11A3">
              <w:rPr>
                <w:color w:val="auto"/>
                <w:sz w:val="16"/>
                <w:szCs w:val="16"/>
              </w:rPr>
              <w:t>1.7</w:t>
            </w:r>
          </w:p>
        </w:tc>
        <w:tc>
          <w:tcPr>
            <w:tcW w:w="850" w:type="dxa"/>
            <w:vAlign w:val="center"/>
          </w:tcPr>
          <w:p w14:paraId="5E35587A" w14:textId="77777777" w:rsidR="00997F5E" w:rsidRPr="002D3841" w:rsidRDefault="00997F5E" w:rsidP="00290DB7">
            <w:pPr>
              <w:pStyle w:val="p0"/>
              <w:spacing w:before="60" w:after="60"/>
              <w:ind w:left="0" w:right="175" w:firstLine="0"/>
              <w:jc w:val="right"/>
              <w:rPr>
                <w:color w:val="auto"/>
                <w:sz w:val="16"/>
                <w:szCs w:val="16"/>
              </w:rPr>
            </w:pPr>
            <w:r w:rsidRPr="001E11A3">
              <w:rPr>
                <w:color w:val="auto"/>
                <w:sz w:val="16"/>
                <w:szCs w:val="16"/>
              </w:rPr>
              <w:t>(</w:t>
            </w:r>
            <w:r w:rsidRPr="001E11A3">
              <w:rPr>
                <w:color w:val="auto"/>
                <w:sz w:val="16"/>
                <w:szCs w:val="16"/>
              </w:rPr>
              <w:noBreakHyphen/>
              <w:t>)0.9</w:t>
            </w:r>
          </w:p>
        </w:tc>
        <w:tc>
          <w:tcPr>
            <w:tcW w:w="1229" w:type="dxa"/>
            <w:tcMar>
              <w:left w:w="57" w:type="dxa"/>
            </w:tcMar>
            <w:vAlign w:val="center"/>
          </w:tcPr>
          <w:p w14:paraId="3F90283E" w14:textId="77777777" w:rsidR="00997F5E" w:rsidRPr="002D3841" w:rsidRDefault="00997F5E" w:rsidP="00290DB7">
            <w:pPr>
              <w:pStyle w:val="p0"/>
              <w:tabs>
                <w:tab w:val="left" w:pos="142"/>
              </w:tabs>
              <w:spacing w:before="60" w:after="60"/>
              <w:ind w:left="0" w:right="246" w:firstLine="0"/>
              <w:jc w:val="right"/>
              <w:rPr>
                <w:color w:val="auto"/>
                <w:sz w:val="16"/>
                <w:szCs w:val="16"/>
              </w:rPr>
            </w:pPr>
            <w:r w:rsidRPr="001E11A3">
              <w:rPr>
                <w:color w:val="auto"/>
                <w:sz w:val="16"/>
                <w:szCs w:val="16"/>
              </w:rPr>
              <w:t>16.0</w:t>
            </w:r>
          </w:p>
        </w:tc>
        <w:tc>
          <w:tcPr>
            <w:tcW w:w="821" w:type="dxa"/>
            <w:vAlign w:val="center"/>
          </w:tcPr>
          <w:p w14:paraId="1864A240" w14:textId="77777777" w:rsidR="00997F5E" w:rsidRPr="002D3841" w:rsidRDefault="00997F5E" w:rsidP="00290DB7">
            <w:pPr>
              <w:pStyle w:val="p0"/>
              <w:spacing w:before="60" w:after="60"/>
              <w:ind w:left="0" w:right="175" w:firstLine="0"/>
              <w:jc w:val="right"/>
              <w:rPr>
                <w:color w:val="auto"/>
                <w:sz w:val="16"/>
                <w:szCs w:val="16"/>
              </w:rPr>
            </w:pPr>
            <w:r w:rsidRPr="001E11A3">
              <w:rPr>
                <w:color w:val="auto"/>
                <w:sz w:val="16"/>
                <w:szCs w:val="16"/>
              </w:rPr>
              <w:t>(</w:t>
            </w:r>
            <w:r w:rsidRPr="001E11A3">
              <w:rPr>
                <w:color w:val="auto"/>
                <w:sz w:val="16"/>
                <w:szCs w:val="16"/>
              </w:rPr>
              <w:noBreakHyphen/>
              <w:t>)1.5</w:t>
            </w:r>
          </w:p>
        </w:tc>
        <w:tc>
          <w:tcPr>
            <w:tcW w:w="851" w:type="dxa"/>
            <w:tcBorders>
              <w:right w:val="single" w:sz="4" w:space="0" w:color="auto"/>
            </w:tcBorders>
            <w:vAlign w:val="center"/>
          </w:tcPr>
          <w:p w14:paraId="67B12EEA" w14:textId="77777777" w:rsidR="00997F5E" w:rsidRPr="002D3841" w:rsidRDefault="00997F5E" w:rsidP="00290DB7">
            <w:pPr>
              <w:pStyle w:val="p0"/>
              <w:spacing w:before="60" w:after="60"/>
              <w:ind w:left="0" w:right="176" w:firstLine="0"/>
              <w:jc w:val="right"/>
              <w:rPr>
                <w:color w:val="auto"/>
                <w:sz w:val="16"/>
                <w:szCs w:val="16"/>
              </w:rPr>
            </w:pPr>
            <w:r w:rsidRPr="001E11A3">
              <w:rPr>
                <w:color w:val="auto"/>
                <w:sz w:val="16"/>
                <w:szCs w:val="16"/>
              </w:rPr>
              <w:t>14.4</w:t>
            </w:r>
          </w:p>
        </w:tc>
      </w:tr>
      <w:tr w:rsidR="00997F5E" w:rsidRPr="00E60BDB" w14:paraId="355838A7" w14:textId="77777777" w:rsidTr="00290DB7">
        <w:tc>
          <w:tcPr>
            <w:tcW w:w="1134" w:type="dxa"/>
            <w:tcBorders>
              <w:left w:val="single" w:sz="4" w:space="0" w:color="auto"/>
              <w:bottom w:val="single" w:sz="4" w:space="0" w:color="auto"/>
            </w:tcBorders>
            <w:shd w:val="clear" w:color="auto" w:fill="FABF8F" w:themeFill="accent6" w:themeFillTint="99"/>
          </w:tcPr>
          <w:p w14:paraId="2635F60C" w14:textId="77777777" w:rsidR="00997F5E" w:rsidRPr="003F2E5B" w:rsidRDefault="00997F5E" w:rsidP="00290DB7">
            <w:pPr>
              <w:pStyle w:val="p0"/>
              <w:spacing w:before="60" w:after="60"/>
              <w:ind w:left="0" w:right="0" w:firstLine="0"/>
              <w:jc w:val="both"/>
              <w:rPr>
                <w:color w:val="auto"/>
                <w:sz w:val="14"/>
                <w:szCs w:val="14"/>
              </w:rPr>
            </w:pPr>
            <w:r w:rsidRPr="003F2E5B">
              <w:rPr>
                <w:color w:val="auto"/>
                <w:sz w:val="14"/>
                <w:szCs w:val="14"/>
              </w:rPr>
              <w:t>(7)=(5)-(6)</w:t>
            </w:r>
          </w:p>
        </w:tc>
        <w:tc>
          <w:tcPr>
            <w:tcW w:w="1560" w:type="dxa"/>
            <w:tcBorders>
              <w:bottom w:val="single" w:sz="4" w:space="0" w:color="auto"/>
            </w:tcBorders>
            <w:shd w:val="clear" w:color="auto" w:fill="FABF8F" w:themeFill="accent6" w:themeFillTint="99"/>
            <w:vAlign w:val="bottom"/>
          </w:tcPr>
          <w:p w14:paraId="7F2CDECE" w14:textId="77777777" w:rsidR="00997F5E" w:rsidRPr="003F2E5B" w:rsidRDefault="00997F5E" w:rsidP="00290DB7">
            <w:pPr>
              <w:pStyle w:val="p0"/>
              <w:spacing w:before="60" w:after="60"/>
              <w:ind w:left="0" w:right="0" w:firstLine="0"/>
              <w:rPr>
                <w:color w:val="auto"/>
                <w:sz w:val="16"/>
                <w:szCs w:val="16"/>
              </w:rPr>
            </w:pPr>
            <w:r w:rsidRPr="003F2E5B">
              <w:rPr>
                <w:color w:val="auto"/>
                <w:sz w:val="16"/>
                <w:szCs w:val="16"/>
              </w:rPr>
              <w:t xml:space="preserve">Préstamo (+) / </w:t>
            </w:r>
          </w:p>
          <w:p w14:paraId="776C8ABB" w14:textId="77777777" w:rsidR="00997F5E" w:rsidRPr="003F2E5B" w:rsidRDefault="00997F5E" w:rsidP="00290DB7">
            <w:pPr>
              <w:pStyle w:val="p0"/>
              <w:spacing w:before="60" w:after="60"/>
              <w:ind w:left="0" w:right="0" w:firstLine="0"/>
              <w:rPr>
                <w:color w:val="auto"/>
                <w:sz w:val="16"/>
                <w:szCs w:val="16"/>
              </w:rPr>
            </w:pPr>
            <w:r w:rsidRPr="003F2E5B">
              <w:rPr>
                <w:color w:val="auto"/>
                <w:sz w:val="16"/>
                <w:szCs w:val="16"/>
              </w:rPr>
              <w:t>endeudamiento (</w:t>
            </w:r>
            <w:r w:rsidRPr="003F2E5B">
              <w:rPr>
                <w:color w:val="auto"/>
                <w:sz w:val="16"/>
                <w:szCs w:val="16"/>
              </w:rPr>
              <w:noBreakHyphen/>
              <w:t>) neto</w:t>
            </w:r>
          </w:p>
        </w:tc>
        <w:tc>
          <w:tcPr>
            <w:tcW w:w="1021" w:type="dxa"/>
            <w:tcBorders>
              <w:bottom w:val="single" w:sz="4" w:space="0" w:color="auto"/>
            </w:tcBorders>
            <w:shd w:val="clear" w:color="auto" w:fill="FABF8F" w:themeFill="accent6" w:themeFillTint="99"/>
            <w:vAlign w:val="center"/>
          </w:tcPr>
          <w:p w14:paraId="1A13188E" w14:textId="77777777" w:rsidR="00997F5E" w:rsidRPr="002D3841" w:rsidRDefault="00997F5E" w:rsidP="00290DB7">
            <w:pPr>
              <w:pStyle w:val="p0"/>
              <w:spacing w:before="60" w:after="60"/>
              <w:ind w:left="0" w:right="268" w:firstLine="0"/>
              <w:jc w:val="right"/>
              <w:rPr>
                <w:color w:val="auto"/>
                <w:sz w:val="16"/>
                <w:szCs w:val="16"/>
              </w:rPr>
            </w:pPr>
            <w:r w:rsidRPr="001E11A3">
              <w:rPr>
                <w:color w:val="auto"/>
                <w:sz w:val="16"/>
                <w:szCs w:val="16"/>
              </w:rPr>
              <w:t>(-)7.3</w:t>
            </w:r>
          </w:p>
        </w:tc>
        <w:tc>
          <w:tcPr>
            <w:tcW w:w="992" w:type="dxa"/>
            <w:tcBorders>
              <w:bottom w:val="single" w:sz="4" w:space="0" w:color="auto"/>
            </w:tcBorders>
            <w:shd w:val="clear" w:color="auto" w:fill="FABF8F" w:themeFill="accent6" w:themeFillTint="99"/>
            <w:vAlign w:val="center"/>
          </w:tcPr>
          <w:p w14:paraId="69A1B35C" w14:textId="77777777" w:rsidR="00997F5E" w:rsidRPr="002D3841" w:rsidRDefault="00997F5E" w:rsidP="00290DB7">
            <w:pPr>
              <w:pStyle w:val="p0"/>
              <w:spacing w:before="60" w:after="60"/>
              <w:ind w:left="0" w:right="240" w:firstLine="0"/>
              <w:jc w:val="right"/>
              <w:rPr>
                <w:color w:val="auto"/>
                <w:sz w:val="16"/>
                <w:szCs w:val="16"/>
              </w:rPr>
            </w:pPr>
            <w:r w:rsidRPr="001E11A3">
              <w:rPr>
                <w:color w:val="auto"/>
                <w:sz w:val="16"/>
                <w:szCs w:val="16"/>
              </w:rPr>
              <w:t>4.2</w:t>
            </w:r>
          </w:p>
        </w:tc>
        <w:tc>
          <w:tcPr>
            <w:tcW w:w="992" w:type="dxa"/>
            <w:tcBorders>
              <w:bottom w:val="single" w:sz="4" w:space="0" w:color="auto"/>
            </w:tcBorders>
            <w:shd w:val="clear" w:color="auto" w:fill="FABF8F" w:themeFill="accent6" w:themeFillTint="99"/>
            <w:vAlign w:val="center"/>
          </w:tcPr>
          <w:p w14:paraId="7B6ABDF7" w14:textId="77777777" w:rsidR="00997F5E" w:rsidRPr="002D3841" w:rsidRDefault="00997F5E" w:rsidP="00290DB7">
            <w:pPr>
              <w:pStyle w:val="p0"/>
              <w:spacing w:before="60" w:after="60"/>
              <w:ind w:left="0" w:right="240" w:firstLine="0"/>
              <w:jc w:val="right"/>
              <w:rPr>
                <w:color w:val="auto"/>
                <w:sz w:val="16"/>
                <w:szCs w:val="16"/>
              </w:rPr>
            </w:pPr>
            <w:r w:rsidRPr="001E11A3">
              <w:rPr>
                <w:color w:val="auto"/>
                <w:sz w:val="16"/>
                <w:szCs w:val="16"/>
              </w:rPr>
              <w:t>(</w:t>
            </w:r>
            <w:r w:rsidRPr="001E11A3">
              <w:rPr>
                <w:color w:val="auto"/>
                <w:sz w:val="16"/>
                <w:szCs w:val="16"/>
              </w:rPr>
              <w:noBreakHyphen/>
              <w:t>)4.7</w:t>
            </w:r>
          </w:p>
        </w:tc>
        <w:tc>
          <w:tcPr>
            <w:tcW w:w="851" w:type="dxa"/>
            <w:tcBorders>
              <w:bottom w:val="single" w:sz="4" w:space="0" w:color="auto"/>
            </w:tcBorders>
            <w:shd w:val="clear" w:color="auto" w:fill="FABF8F" w:themeFill="accent6" w:themeFillTint="99"/>
            <w:vAlign w:val="center"/>
          </w:tcPr>
          <w:p w14:paraId="49069C00" w14:textId="77777777" w:rsidR="00997F5E" w:rsidRPr="002D3841" w:rsidRDefault="00997F5E" w:rsidP="00290DB7">
            <w:pPr>
              <w:pStyle w:val="p0"/>
              <w:spacing w:before="60" w:after="60"/>
              <w:ind w:left="0" w:right="176" w:firstLine="0"/>
              <w:jc w:val="right"/>
              <w:rPr>
                <w:color w:val="auto"/>
                <w:sz w:val="16"/>
                <w:szCs w:val="16"/>
              </w:rPr>
            </w:pPr>
            <w:r w:rsidRPr="001E11A3">
              <w:rPr>
                <w:color w:val="auto"/>
                <w:sz w:val="16"/>
                <w:szCs w:val="16"/>
              </w:rPr>
              <w:t>5.1</w:t>
            </w:r>
          </w:p>
        </w:tc>
        <w:tc>
          <w:tcPr>
            <w:tcW w:w="850" w:type="dxa"/>
            <w:tcBorders>
              <w:bottom w:val="single" w:sz="4" w:space="0" w:color="auto"/>
            </w:tcBorders>
            <w:shd w:val="clear" w:color="auto" w:fill="FABF8F" w:themeFill="accent6" w:themeFillTint="99"/>
            <w:vAlign w:val="center"/>
          </w:tcPr>
          <w:p w14:paraId="1D9B7BCD" w14:textId="77777777" w:rsidR="00997F5E" w:rsidRPr="002D3841" w:rsidRDefault="00997F5E" w:rsidP="00290DB7">
            <w:pPr>
              <w:pStyle w:val="p0"/>
              <w:spacing w:before="60" w:after="60"/>
              <w:ind w:left="0" w:right="175" w:firstLine="0"/>
              <w:jc w:val="right"/>
              <w:rPr>
                <w:color w:val="auto"/>
                <w:sz w:val="16"/>
                <w:szCs w:val="16"/>
              </w:rPr>
            </w:pPr>
            <w:r w:rsidRPr="001E11A3">
              <w:rPr>
                <w:color w:val="auto"/>
                <w:sz w:val="16"/>
                <w:szCs w:val="16"/>
              </w:rPr>
              <w:t>0.9</w:t>
            </w:r>
          </w:p>
        </w:tc>
        <w:tc>
          <w:tcPr>
            <w:tcW w:w="1229" w:type="dxa"/>
            <w:tcBorders>
              <w:bottom w:val="single" w:sz="4" w:space="0" w:color="auto"/>
            </w:tcBorders>
            <w:shd w:val="clear" w:color="auto" w:fill="FABF8F" w:themeFill="accent6" w:themeFillTint="99"/>
            <w:tcMar>
              <w:left w:w="57" w:type="dxa"/>
            </w:tcMar>
            <w:vAlign w:val="center"/>
          </w:tcPr>
          <w:p w14:paraId="70E92C1B" w14:textId="77777777" w:rsidR="00997F5E" w:rsidRPr="002D3841" w:rsidRDefault="00997F5E" w:rsidP="00290DB7">
            <w:pPr>
              <w:pStyle w:val="p0"/>
              <w:tabs>
                <w:tab w:val="left" w:pos="142"/>
              </w:tabs>
              <w:spacing w:before="60" w:after="60"/>
              <w:ind w:left="0" w:right="246" w:firstLine="0"/>
              <w:jc w:val="right"/>
              <w:rPr>
                <w:color w:val="auto"/>
                <w:sz w:val="16"/>
                <w:szCs w:val="16"/>
              </w:rPr>
            </w:pPr>
            <w:r w:rsidRPr="001E11A3">
              <w:rPr>
                <w:color w:val="auto"/>
                <w:sz w:val="16"/>
                <w:szCs w:val="16"/>
              </w:rPr>
              <w:t>(</w:t>
            </w:r>
            <w:r w:rsidRPr="001E11A3">
              <w:rPr>
                <w:color w:val="auto"/>
                <w:sz w:val="16"/>
                <w:szCs w:val="16"/>
              </w:rPr>
              <w:noBreakHyphen/>
              <w:t>)1.8</w:t>
            </w:r>
          </w:p>
        </w:tc>
        <w:tc>
          <w:tcPr>
            <w:tcW w:w="821" w:type="dxa"/>
            <w:tcBorders>
              <w:bottom w:val="single" w:sz="4" w:space="0" w:color="auto"/>
            </w:tcBorders>
            <w:shd w:val="clear" w:color="auto" w:fill="FABF8F" w:themeFill="accent6" w:themeFillTint="99"/>
            <w:vAlign w:val="center"/>
          </w:tcPr>
          <w:p w14:paraId="3C4DF056" w14:textId="77777777" w:rsidR="00997F5E" w:rsidRPr="002D3841" w:rsidRDefault="00997F5E" w:rsidP="00290DB7">
            <w:pPr>
              <w:pStyle w:val="p0"/>
              <w:spacing w:before="60" w:after="60"/>
              <w:ind w:left="0" w:right="175" w:firstLine="0"/>
              <w:jc w:val="right"/>
              <w:rPr>
                <w:color w:val="auto"/>
                <w:sz w:val="16"/>
                <w:szCs w:val="16"/>
              </w:rPr>
            </w:pPr>
            <w:r>
              <w:rPr>
                <w:color w:val="auto"/>
                <w:sz w:val="16"/>
                <w:szCs w:val="16"/>
              </w:rPr>
              <w:t>1.8</w:t>
            </w:r>
          </w:p>
        </w:tc>
        <w:tc>
          <w:tcPr>
            <w:tcW w:w="851" w:type="dxa"/>
            <w:tcBorders>
              <w:bottom w:val="single" w:sz="4" w:space="0" w:color="auto"/>
              <w:right w:val="single" w:sz="4" w:space="0" w:color="auto"/>
            </w:tcBorders>
            <w:shd w:val="clear" w:color="auto" w:fill="FABF8F" w:themeFill="accent6" w:themeFillTint="99"/>
            <w:vAlign w:val="center"/>
          </w:tcPr>
          <w:p w14:paraId="1509D5B5" w14:textId="77777777" w:rsidR="00997F5E" w:rsidRPr="002D3841" w:rsidRDefault="00997F5E" w:rsidP="00290DB7">
            <w:pPr>
              <w:pStyle w:val="p0"/>
              <w:spacing w:before="60" w:after="60"/>
              <w:ind w:left="0" w:right="176" w:firstLine="0"/>
              <w:jc w:val="right"/>
              <w:rPr>
                <w:color w:val="auto"/>
                <w:sz w:val="16"/>
                <w:szCs w:val="16"/>
                <w:highlight w:val="yellow"/>
              </w:rPr>
            </w:pPr>
          </w:p>
        </w:tc>
      </w:tr>
    </w:tbl>
    <w:p w14:paraId="1482257A" w14:textId="77777777" w:rsidR="00997F5E" w:rsidRPr="00B555BC" w:rsidRDefault="00997F5E" w:rsidP="00997F5E">
      <w:pPr>
        <w:widowControl/>
        <w:spacing w:after="0" w:line="240" w:lineRule="auto"/>
        <w:ind w:left="-567"/>
        <w:jc w:val="both"/>
        <w:rPr>
          <w:rFonts w:ascii="Arial" w:hAnsi="Arial" w:cs="Arial"/>
          <w:sz w:val="16"/>
        </w:rPr>
      </w:pPr>
      <w:r>
        <w:rPr>
          <w:rFonts w:ascii="Arial" w:eastAsia="Times New Roman" w:hAnsi="Arial" w:cs="Arial"/>
          <w:sz w:val="16"/>
          <w:szCs w:val="16"/>
          <w:lang w:eastAsia="es-MX"/>
        </w:rPr>
        <w:t>*/</w:t>
      </w:r>
      <w:r w:rsidRPr="00B555BC">
        <w:rPr>
          <w:rFonts w:ascii="Arial" w:hAnsi="Arial" w:cs="Arial"/>
          <w:sz w:val="16"/>
        </w:rPr>
        <w:t xml:space="preserve">En el Sector 11 Sociedades no </w:t>
      </w:r>
      <w:r>
        <w:rPr>
          <w:rFonts w:ascii="Arial" w:hAnsi="Arial" w:cs="Arial"/>
          <w:sz w:val="16"/>
        </w:rPr>
        <w:t>financieras</w:t>
      </w:r>
      <w:r w:rsidRPr="00B555BC">
        <w:rPr>
          <w:rFonts w:ascii="Arial" w:hAnsi="Arial" w:cs="Arial"/>
          <w:sz w:val="16"/>
        </w:rPr>
        <w:t xml:space="preserve"> incluye </w:t>
      </w:r>
      <w:r w:rsidRPr="002A1047">
        <w:rPr>
          <w:rFonts w:ascii="Arial" w:hAnsi="Arial" w:cs="Arial"/>
          <w:sz w:val="16"/>
        </w:rPr>
        <w:t xml:space="preserve">un </w:t>
      </w:r>
      <w:r>
        <w:rPr>
          <w:rFonts w:ascii="Arial" w:hAnsi="Arial" w:cs="Arial"/>
          <w:sz w:val="16"/>
        </w:rPr>
        <w:t>2.7</w:t>
      </w:r>
      <w:r w:rsidRPr="002A1047">
        <w:rPr>
          <w:rFonts w:ascii="Arial" w:hAnsi="Arial" w:cs="Arial"/>
          <w:sz w:val="16"/>
        </w:rPr>
        <w:t xml:space="preserve">% de discrepancia </w:t>
      </w:r>
      <w:r w:rsidRPr="00B555BC">
        <w:rPr>
          <w:rFonts w:ascii="Arial" w:hAnsi="Arial" w:cs="Arial"/>
          <w:sz w:val="16"/>
        </w:rPr>
        <w:t>estadística</w:t>
      </w:r>
      <w:r>
        <w:rPr>
          <w:rFonts w:ascii="Arial" w:hAnsi="Arial" w:cs="Arial"/>
          <w:sz w:val="16"/>
        </w:rPr>
        <w:t>.</w:t>
      </w:r>
    </w:p>
    <w:p w14:paraId="5FE485BF" w14:textId="77777777" w:rsidR="00997F5E" w:rsidRPr="00FC534E" w:rsidRDefault="00997F5E" w:rsidP="00997F5E">
      <w:pPr>
        <w:spacing w:after="0"/>
        <w:ind w:left="-567" w:right="23"/>
        <w:jc w:val="both"/>
        <w:rPr>
          <w:rFonts w:ascii="Arial" w:hAnsi="Arial" w:cs="Arial"/>
          <w:sz w:val="16"/>
        </w:rPr>
      </w:pPr>
      <w:r w:rsidRPr="00FC534E">
        <w:rPr>
          <w:rFonts w:ascii="Arial" w:hAnsi="Arial" w:cs="Arial"/>
          <w:sz w:val="16"/>
        </w:rPr>
        <w:t>Nota: La suma</w:t>
      </w:r>
      <w:r>
        <w:rPr>
          <w:rFonts w:ascii="Arial" w:hAnsi="Arial" w:cs="Arial"/>
          <w:sz w:val="16"/>
        </w:rPr>
        <w:t xml:space="preserve"> o resta de los parciales puede</w:t>
      </w:r>
      <w:r w:rsidRPr="00FC534E">
        <w:rPr>
          <w:rFonts w:ascii="Arial" w:hAnsi="Arial" w:cs="Arial"/>
          <w:sz w:val="16"/>
        </w:rPr>
        <w:t xml:space="preserve"> no coincidir con los totales debido al redondeo.</w:t>
      </w:r>
    </w:p>
    <w:p w14:paraId="5CEBD4B7" w14:textId="77777777" w:rsidR="00997F5E" w:rsidRPr="0034605C" w:rsidRDefault="00997F5E" w:rsidP="00997F5E">
      <w:pPr>
        <w:spacing w:after="0"/>
        <w:ind w:left="-567" w:right="23"/>
        <w:jc w:val="both"/>
        <w:rPr>
          <w:rFonts w:ascii="Arial" w:hAnsi="Arial" w:cs="Arial"/>
          <w:sz w:val="16"/>
        </w:rPr>
      </w:pPr>
      <w:r w:rsidRPr="00913174">
        <w:rPr>
          <w:rFonts w:ascii="Arial" w:hAnsi="Arial" w:cs="Arial"/>
          <w:sz w:val="16"/>
        </w:rPr>
        <w:t>F</w:t>
      </w:r>
      <w:r>
        <w:rPr>
          <w:rFonts w:ascii="Arial" w:hAnsi="Arial" w:cs="Arial"/>
          <w:sz w:val="16"/>
        </w:rPr>
        <w:t>uente: INEGI.</w:t>
      </w:r>
    </w:p>
    <w:p w14:paraId="5E4C52A3" w14:textId="77777777" w:rsidR="00997F5E" w:rsidRDefault="00997F5E" w:rsidP="00997F5E">
      <w:pPr>
        <w:pStyle w:val="p0"/>
        <w:spacing w:before="0"/>
        <w:ind w:left="0" w:right="0" w:firstLine="0"/>
        <w:jc w:val="center"/>
        <w:rPr>
          <w:b/>
          <w:smallCaps/>
          <w:color w:val="auto"/>
        </w:rPr>
      </w:pPr>
    </w:p>
    <w:p w14:paraId="310B0F1B" w14:textId="77777777" w:rsidR="00997F5E" w:rsidRDefault="00997F5E" w:rsidP="00997F5E">
      <w:pPr>
        <w:widowControl/>
        <w:spacing w:before="240" w:after="0" w:line="240" w:lineRule="auto"/>
        <w:ind w:left="-426" w:right="-547"/>
        <w:jc w:val="both"/>
        <w:rPr>
          <w:rFonts w:ascii="Arial" w:eastAsia="Times New Roman" w:hAnsi="Arial" w:cs="Arial"/>
          <w:sz w:val="24"/>
          <w:szCs w:val="24"/>
          <w:lang w:eastAsia="es-MX"/>
        </w:rPr>
      </w:pPr>
    </w:p>
    <w:p w14:paraId="104F5B20" w14:textId="77777777" w:rsidR="00997F5E" w:rsidRDefault="00997F5E" w:rsidP="00997F5E">
      <w:pPr>
        <w:widowControl/>
        <w:spacing w:before="360" w:after="0" w:line="240" w:lineRule="auto"/>
        <w:ind w:left="-426" w:right="-547"/>
        <w:jc w:val="both"/>
        <w:rPr>
          <w:rFonts w:ascii="Arial" w:eastAsia="Times New Roman" w:hAnsi="Arial" w:cs="Arial"/>
          <w:sz w:val="24"/>
          <w:szCs w:val="24"/>
          <w:lang w:eastAsia="es-MX"/>
        </w:rPr>
      </w:pPr>
    </w:p>
    <w:p w14:paraId="51815B9A" w14:textId="77777777" w:rsidR="00997F5E" w:rsidRPr="00FC5523" w:rsidRDefault="00997F5E" w:rsidP="00997F5E">
      <w:pPr>
        <w:widowControl/>
        <w:spacing w:before="480" w:after="0" w:line="240" w:lineRule="auto"/>
        <w:ind w:left="-426" w:right="-405"/>
        <w:jc w:val="both"/>
        <w:rPr>
          <w:rFonts w:ascii="Arial" w:eastAsia="Times New Roman" w:hAnsi="Arial" w:cs="Arial"/>
          <w:sz w:val="24"/>
          <w:szCs w:val="24"/>
          <w:lang w:eastAsia="es-MX"/>
        </w:rPr>
      </w:pPr>
      <w:r w:rsidRPr="00FC5523">
        <w:rPr>
          <w:rFonts w:ascii="Arial" w:eastAsia="Times New Roman" w:hAnsi="Arial" w:cs="Arial"/>
          <w:sz w:val="24"/>
          <w:szCs w:val="24"/>
          <w:lang w:eastAsia="es-MX"/>
        </w:rPr>
        <w:t>Al cierre del año 2018, el valor nominal neto de los activos de la economía fue de 142,950,322 millones de pesos, lo que significó una variación en términos nominales de 12.9% respecto al inicio del año.</w:t>
      </w:r>
    </w:p>
    <w:p w14:paraId="6AA3FD88" w14:textId="0FC32BE8" w:rsidR="00997F5E" w:rsidRDefault="00997F5E" w:rsidP="00997F5E">
      <w:pPr>
        <w:pStyle w:val="Estilo3"/>
        <w:spacing w:before="240"/>
        <w:rPr>
          <w:rFonts w:cs="Arial"/>
        </w:rPr>
      </w:pPr>
    </w:p>
    <w:p w14:paraId="4D781542" w14:textId="77777777" w:rsidR="00997F5E" w:rsidRDefault="00997F5E" w:rsidP="00997F5E">
      <w:pPr>
        <w:pStyle w:val="Estilo3"/>
        <w:spacing w:before="240"/>
        <w:rPr>
          <w:rFonts w:cs="Arial"/>
        </w:rPr>
      </w:pPr>
    </w:p>
    <w:p w14:paraId="30423B66" w14:textId="77777777" w:rsidR="00997F5E" w:rsidRDefault="00997F5E" w:rsidP="00997F5E">
      <w:pPr>
        <w:pStyle w:val="Estilo3"/>
        <w:spacing w:before="240"/>
        <w:rPr>
          <w:rFonts w:cs="Arial"/>
        </w:rPr>
      </w:pPr>
    </w:p>
    <w:p w14:paraId="77ED8E98" w14:textId="77777777" w:rsidR="00997F5E" w:rsidRDefault="00997F5E" w:rsidP="00997F5E">
      <w:pPr>
        <w:pStyle w:val="p01"/>
        <w:keepLines w:val="0"/>
        <w:tabs>
          <w:tab w:val="left" w:pos="3261"/>
        </w:tabs>
        <w:spacing w:before="0"/>
        <w:ind w:left="1418"/>
        <w:outlineLvl w:val="0"/>
        <w:rPr>
          <w:rFonts w:ascii="Arial" w:hAnsi="Arial" w:cs="Arial"/>
          <w:b/>
          <w:color w:val="000000"/>
          <w:szCs w:val="24"/>
        </w:rPr>
      </w:pPr>
    </w:p>
    <w:p w14:paraId="6F84558D" w14:textId="77777777" w:rsidR="00997F5E" w:rsidRPr="003B1ACA" w:rsidRDefault="00997F5E" w:rsidP="00997F5E">
      <w:pPr>
        <w:pStyle w:val="p01"/>
        <w:keepLines w:val="0"/>
        <w:tabs>
          <w:tab w:val="left" w:pos="3261"/>
        </w:tabs>
        <w:spacing w:before="0"/>
        <w:ind w:left="1418"/>
        <w:outlineLvl w:val="0"/>
        <w:rPr>
          <w:rFonts w:ascii="Arial" w:hAnsi="Arial" w:cs="Arial"/>
          <w:b/>
          <w:color w:val="000000"/>
          <w:szCs w:val="24"/>
        </w:rPr>
      </w:pPr>
      <w:r>
        <w:rPr>
          <w:rFonts w:ascii="Arial" w:hAnsi="Arial" w:cs="Arial"/>
          <w:b/>
          <w:color w:val="000000"/>
          <w:szCs w:val="24"/>
        </w:rPr>
        <w:tab/>
        <w:t xml:space="preserve"> S</w:t>
      </w:r>
      <w:r w:rsidRPr="003B1ACA">
        <w:rPr>
          <w:rFonts w:ascii="Arial" w:hAnsi="Arial" w:cs="Arial"/>
          <w:b/>
          <w:color w:val="000000"/>
          <w:szCs w:val="24"/>
        </w:rPr>
        <w:t>e anexa Nota Técnica</w:t>
      </w:r>
    </w:p>
    <w:p w14:paraId="42D2F7A3" w14:textId="77777777" w:rsidR="00997F5E" w:rsidRDefault="00997F5E" w:rsidP="00997F5E">
      <w:pPr>
        <w:tabs>
          <w:tab w:val="left" w:pos="8789"/>
        </w:tabs>
        <w:ind w:right="51"/>
        <w:jc w:val="center"/>
        <w:rPr>
          <w:b/>
          <w:sz w:val="28"/>
        </w:rPr>
      </w:pPr>
    </w:p>
    <w:p w14:paraId="3272F3F8" w14:textId="77777777" w:rsidR="00997F5E" w:rsidRDefault="00997F5E" w:rsidP="00997F5E">
      <w:pPr>
        <w:tabs>
          <w:tab w:val="left" w:pos="8789"/>
        </w:tabs>
        <w:ind w:right="51"/>
        <w:jc w:val="center"/>
        <w:rPr>
          <w:b/>
          <w:sz w:val="28"/>
        </w:rPr>
      </w:pPr>
    </w:p>
    <w:p w14:paraId="7F063D11" w14:textId="77777777" w:rsidR="00997F5E" w:rsidRDefault="00997F5E" w:rsidP="00997F5E">
      <w:pPr>
        <w:tabs>
          <w:tab w:val="left" w:pos="8789"/>
        </w:tabs>
        <w:ind w:right="51"/>
        <w:jc w:val="center"/>
        <w:rPr>
          <w:b/>
          <w:sz w:val="28"/>
        </w:rPr>
      </w:pPr>
    </w:p>
    <w:p w14:paraId="2D61BC6C" w14:textId="77777777" w:rsidR="00997F5E" w:rsidRDefault="00997F5E" w:rsidP="00997F5E">
      <w:pPr>
        <w:tabs>
          <w:tab w:val="left" w:pos="8789"/>
        </w:tabs>
        <w:ind w:right="51"/>
        <w:jc w:val="center"/>
        <w:rPr>
          <w:b/>
          <w:sz w:val="28"/>
        </w:rPr>
      </w:pPr>
    </w:p>
    <w:p w14:paraId="19864FD5" w14:textId="77777777" w:rsidR="00997F5E" w:rsidRDefault="00997F5E" w:rsidP="00997F5E">
      <w:pPr>
        <w:tabs>
          <w:tab w:val="left" w:pos="8789"/>
        </w:tabs>
        <w:ind w:right="51"/>
        <w:jc w:val="center"/>
        <w:rPr>
          <w:b/>
          <w:sz w:val="28"/>
        </w:rPr>
      </w:pPr>
    </w:p>
    <w:p w14:paraId="50B154A0" w14:textId="77777777" w:rsidR="00997F5E" w:rsidRDefault="00997F5E" w:rsidP="00997F5E">
      <w:pPr>
        <w:tabs>
          <w:tab w:val="left" w:pos="8789"/>
        </w:tabs>
        <w:ind w:right="51"/>
        <w:jc w:val="center"/>
        <w:rPr>
          <w:b/>
          <w:sz w:val="28"/>
        </w:rPr>
      </w:pPr>
    </w:p>
    <w:p w14:paraId="3E086B72" w14:textId="77777777" w:rsidR="00997F5E" w:rsidRDefault="00997F5E" w:rsidP="00997F5E">
      <w:pPr>
        <w:tabs>
          <w:tab w:val="left" w:pos="8789"/>
        </w:tabs>
        <w:ind w:right="51"/>
        <w:jc w:val="center"/>
        <w:rPr>
          <w:b/>
          <w:sz w:val="28"/>
        </w:rPr>
      </w:pPr>
    </w:p>
    <w:p w14:paraId="640ECEC7" w14:textId="77777777" w:rsidR="00997F5E" w:rsidRDefault="00997F5E" w:rsidP="00997F5E">
      <w:pPr>
        <w:tabs>
          <w:tab w:val="left" w:pos="8789"/>
        </w:tabs>
        <w:ind w:right="51"/>
        <w:jc w:val="center"/>
        <w:rPr>
          <w:b/>
          <w:sz w:val="28"/>
        </w:rPr>
      </w:pPr>
    </w:p>
    <w:p w14:paraId="271F8462" w14:textId="77777777" w:rsidR="00997F5E" w:rsidRDefault="00997F5E" w:rsidP="00997F5E">
      <w:pPr>
        <w:tabs>
          <w:tab w:val="left" w:pos="8789"/>
        </w:tabs>
        <w:ind w:right="51"/>
        <w:jc w:val="center"/>
        <w:rPr>
          <w:b/>
          <w:sz w:val="28"/>
        </w:rPr>
      </w:pPr>
    </w:p>
    <w:p w14:paraId="7F266024" w14:textId="77777777" w:rsidR="00997F5E" w:rsidRDefault="00997F5E" w:rsidP="00997F5E">
      <w:pPr>
        <w:pStyle w:val="NormalWeb"/>
        <w:spacing w:before="0" w:beforeAutospacing="0" w:after="0" w:afterAutospacing="0"/>
        <w:ind w:left="-426" w:right="-518"/>
        <w:contextualSpacing/>
        <w:jc w:val="center"/>
        <w:rPr>
          <w:rFonts w:ascii="Arial" w:hAnsi="Arial" w:cs="Arial"/>
          <w:sz w:val="18"/>
          <w:szCs w:val="18"/>
        </w:rPr>
      </w:pPr>
      <w:r>
        <w:rPr>
          <w:rFonts w:cs="Arial"/>
        </w:rPr>
        <w:tab/>
      </w:r>
    </w:p>
    <w:p w14:paraId="7E433C49" w14:textId="77777777" w:rsidR="00997F5E" w:rsidRPr="004A2301" w:rsidRDefault="00997F5E" w:rsidP="00997F5E">
      <w:pPr>
        <w:pStyle w:val="NormalWeb"/>
        <w:spacing w:before="0" w:beforeAutospacing="0" w:after="0" w:afterAutospacing="0"/>
        <w:ind w:left="-426" w:right="-518"/>
        <w:contextualSpacing/>
        <w:jc w:val="center"/>
        <w:rPr>
          <w:rFonts w:ascii="Arial" w:hAnsi="Arial" w:cs="Arial"/>
          <w:sz w:val="22"/>
          <w:szCs w:val="22"/>
        </w:rPr>
      </w:pPr>
    </w:p>
    <w:p w14:paraId="746CBC6B" w14:textId="77777777" w:rsidR="00997F5E" w:rsidRPr="004A2301" w:rsidRDefault="00997F5E" w:rsidP="00997F5E">
      <w:pPr>
        <w:pStyle w:val="NormalWeb"/>
        <w:spacing w:before="0" w:beforeAutospacing="0" w:after="0" w:afterAutospacing="0"/>
        <w:ind w:left="-426" w:right="-518"/>
        <w:contextualSpacing/>
        <w:jc w:val="center"/>
        <w:rPr>
          <w:rFonts w:ascii="Arial" w:hAnsi="Arial" w:cs="Arial"/>
          <w:sz w:val="22"/>
          <w:szCs w:val="22"/>
        </w:rPr>
      </w:pPr>
      <w:r w:rsidRPr="004A2301">
        <w:rPr>
          <w:rFonts w:ascii="Arial" w:hAnsi="Arial" w:cs="Arial"/>
          <w:sz w:val="22"/>
          <w:szCs w:val="22"/>
        </w:rPr>
        <w:t xml:space="preserve">Para consultas de medios y periodistas, contactar a: </w:t>
      </w:r>
      <w:hyperlink r:id="rId9" w:history="1">
        <w:r w:rsidRPr="004A2301">
          <w:rPr>
            <w:rStyle w:val="Hipervnculo"/>
            <w:rFonts w:ascii="Arial" w:hAnsi="Arial" w:cs="Arial"/>
            <w:sz w:val="22"/>
            <w:szCs w:val="22"/>
          </w:rPr>
          <w:t>comunicacionsocial@inegi.org.mx</w:t>
        </w:r>
      </w:hyperlink>
      <w:r w:rsidRPr="004A2301">
        <w:rPr>
          <w:rFonts w:ascii="Arial" w:hAnsi="Arial" w:cs="Arial"/>
          <w:sz w:val="22"/>
          <w:szCs w:val="22"/>
        </w:rPr>
        <w:t xml:space="preserve"> </w:t>
      </w:r>
    </w:p>
    <w:p w14:paraId="0A85577A" w14:textId="77777777" w:rsidR="00997F5E" w:rsidRPr="004A2301" w:rsidRDefault="00997F5E" w:rsidP="00997F5E">
      <w:pPr>
        <w:pStyle w:val="NormalWeb"/>
        <w:spacing w:before="0" w:beforeAutospacing="0" w:after="0" w:afterAutospacing="0"/>
        <w:ind w:left="-426" w:right="-518"/>
        <w:contextualSpacing/>
        <w:jc w:val="center"/>
        <w:rPr>
          <w:rFonts w:ascii="Arial" w:hAnsi="Arial" w:cs="Arial"/>
          <w:sz w:val="22"/>
          <w:szCs w:val="22"/>
        </w:rPr>
      </w:pPr>
      <w:r w:rsidRPr="004A2301">
        <w:rPr>
          <w:rFonts w:ascii="Arial" w:hAnsi="Arial" w:cs="Arial"/>
          <w:sz w:val="22"/>
          <w:szCs w:val="22"/>
        </w:rPr>
        <w:t>o llamar al teléfono (55) 52-78-10-00, exts. 1134, 1260 y 1241.</w:t>
      </w:r>
    </w:p>
    <w:p w14:paraId="38798783" w14:textId="77777777" w:rsidR="00997F5E" w:rsidRPr="004A2301" w:rsidRDefault="00997F5E" w:rsidP="00997F5E">
      <w:pPr>
        <w:ind w:left="-426" w:right="-518"/>
        <w:contextualSpacing/>
        <w:jc w:val="center"/>
        <w:rPr>
          <w:rFonts w:ascii="Arial" w:hAnsi="Arial" w:cs="Arial"/>
        </w:rPr>
      </w:pPr>
    </w:p>
    <w:p w14:paraId="29507C2A" w14:textId="77777777" w:rsidR="00997F5E" w:rsidRPr="004A2301" w:rsidRDefault="00997F5E" w:rsidP="00997F5E">
      <w:pPr>
        <w:ind w:left="-426" w:right="-518"/>
        <w:contextualSpacing/>
        <w:jc w:val="center"/>
        <w:rPr>
          <w:rFonts w:ascii="Arial" w:hAnsi="Arial" w:cs="Arial"/>
        </w:rPr>
      </w:pPr>
      <w:r w:rsidRPr="004A2301">
        <w:rPr>
          <w:rFonts w:ascii="Arial" w:hAnsi="Arial" w:cs="Arial"/>
        </w:rPr>
        <w:t>Dirección de Atención a Medios / Dirección General Adjunta de Comunicación</w:t>
      </w:r>
    </w:p>
    <w:p w14:paraId="0FB82D5B" w14:textId="77777777" w:rsidR="00997F5E" w:rsidRPr="004A2301" w:rsidRDefault="00997F5E" w:rsidP="00997F5E">
      <w:pPr>
        <w:ind w:left="-426" w:right="-518"/>
        <w:contextualSpacing/>
        <w:jc w:val="center"/>
        <w:rPr>
          <w:rFonts w:ascii="Arial" w:hAnsi="Arial" w:cs="Arial"/>
        </w:rPr>
      </w:pPr>
    </w:p>
    <w:p w14:paraId="27B0A439" w14:textId="77777777" w:rsidR="00997F5E" w:rsidRPr="008F0992" w:rsidRDefault="00997F5E" w:rsidP="00997F5E">
      <w:pPr>
        <w:ind w:left="-425" w:right="-516"/>
        <w:contextualSpacing/>
        <w:jc w:val="center"/>
        <w:rPr>
          <w:noProof/>
          <w:lang w:eastAsia="es-MX"/>
        </w:rPr>
      </w:pPr>
      <w:r w:rsidRPr="00FF1218">
        <w:rPr>
          <w:noProof/>
          <w:lang w:eastAsia="es-MX"/>
        </w:rPr>
        <w:drawing>
          <wp:inline distT="0" distB="0" distL="0" distR="0" wp14:anchorId="40A39BF7" wp14:editId="5FA3254D">
            <wp:extent cx="274320" cy="365760"/>
            <wp:effectExtent l="0" t="0" r="0" b="0"/>
            <wp:docPr id="8" name="Imagen 8"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10DADB42" wp14:editId="371A361D">
            <wp:extent cx="365760" cy="365760"/>
            <wp:effectExtent l="0" t="0" r="0" b="0"/>
            <wp:docPr id="14" name="Imagen 14"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039AC6CA" wp14:editId="63C8D519">
            <wp:extent cx="365760" cy="365760"/>
            <wp:effectExtent l="0" t="0" r="0" b="0"/>
            <wp:docPr id="16" name="Imagen 16"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2AA4163F" wp14:editId="73F63385">
            <wp:extent cx="365760" cy="365760"/>
            <wp:effectExtent l="0" t="0" r="0" b="0"/>
            <wp:docPr id="17" name="Imagen 17"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eastAsia="es-MX"/>
        </w:rPr>
        <w:drawing>
          <wp:inline distT="0" distB="0" distL="0" distR="0" wp14:anchorId="47235DD7" wp14:editId="32D3E9EE">
            <wp:extent cx="2286000" cy="274320"/>
            <wp:effectExtent l="0" t="0" r="0" b="0"/>
            <wp:docPr id="9" name="Imagen 9">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3E98DFF8" w14:textId="77777777" w:rsidR="00997F5E" w:rsidRPr="00157C43" w:rsidRDefault="00997F5E" w:rsidP="00997F5E">
      <w:pPr>
        <w:pStyle w:val="bullet"/>
        <w:tabs>
          <w:tab w:val="left" w:pos="8789"/>
        </w:tabs>
        <w:spacing w:before="0"/>
        <w:ind w:left="0" w:right="51" w:firstLine="0"/>
        <w:jc w:val="center"/>
        <w:rPr>
          <w:rFonts w:cs="Arial"/>
          <w:szCs w:val="24"/>
        </w:rPr>
        <w:sectPr w:rsidR="00997F5E" w:rsidRPr="00157C43" w:rsidSect="00290DB7">
          <w:headerReference w:type="even" r:id="rId20"/>
          <w:headerReference w:type="default" r:id="rId21"/>
          <w:footerReference w:type="even" r:id="rId22"/>
          <w:footerReference w:type="default" r:id="rId23"/>
          <w:headerReference w:type="first" r:id="rId24"/>
          <w:footerReference w:type="first" r:id="rId25"/>
          <w:pgSz w:w="12240" w:h="15840" w:code="1"/>
          <w:pgMar w:top="1" w:right="1701" w:bottom="0" w:left="1588" w:header="510" w:footer="510" w:gutter="0"/>
          <w:cols w:space="720"/>
          <w:docGrid w:linePitch="272"/>
        </w:sectPr>
      </w:pPr>
    </w:p>
    <w:p w14:paraId="09D50EF4" w14:textId="089DFA2A" w:rsidR="00997F5E" w:rsidRDefault="00997F5E" w:rsidP="00997F5E">
      <w:pPr>
        <w:tabs>
          <w:tab w:val="left" w:pos="8789"/>
        </w:tabs>
        <w:ind w:right="51"/>
        <w:contextualSpacing/>
        <w:jc w:val="center"/>
        <w:rPr>
          <w:rStyle w:val="Hipervnculo"/>
          <w:rFonts w:ascii="Arial" w:hAnsi="Arial" w:cs="Arial"/>
          <w:b/>
          <w:color w:val="000000" w:themeColor="text1"/>
          <w:sz w:val="28"/>
          <w:szCs w:val="28"/>
          <w:u w:val="none"/>
        </w:rPr>
      </w:pPr>
      <w:r w:rsidRPr="001747A2">
        <w:rPr>
          <w:rStyle w:val="Hipervnculo"/>
          <w:rFonts w:ascii="Arial" w:hAnsi="Arial" w:cs="Arial"/>
          <w:b/>
          <w:color w:val="000000" w:themeColor="text1"/>
          <w:sz w:val="28"/>
          <w:szCs w:val="28"/>
          <w:u w:val="none"/>
        </w:rPr>
        <w:lastRenderedPageBreak/>
        <w:t xml:space="preserve">NOTA TÉCNICA </w:t>
      </w:r>
    </w:p>
    <w:p w14:paraId="2F92C9D7" w14:textId="77777777" w:rsidR="00997F5E" w:rsidRPr="00997F5E" w:rsidRDefault="00997F5E" w:rsidP="00997F5E">
      <w:pPr>
        <w:tabs>
          <w:tab w:val="left" w:pos="8789"/>
        </w:tabs>
        <w:ind w:right="51"/>
        <w:contextualSpacing/>
        <w:jc w:val="center"/>
        <w:rPr>
          <w:rStyle w:val="Hipervnculo"/>
          <w:rFonts w:ascii="Arial" w:hAnsi="Arial" w:cs="Arial"/>
          <w:b/>
          <w:color w:val="000000" w:themeColor="text1"/>
          <w:sz w:val="16"/>
          <w:szCs w:val="16"/>
          <w:u w:val="none"/>
        </w:rPr>
      </w:pPr>
    </w:p>
    <w:p w14:paraId="7E19AD30" w14:textId="77777777" w:rsidR="00AC5701" w:rsidRPr="00967568" w:rsidRDefault="00EA4260" w:rsidP="00070FCE">
      <w:pPr>
        <w:spacing w:after="0" w:line="240" w:lineRule="auto"/>
        <w:ind w:right="91"/>
        <w:jc w:val="center"/>
        <w:rPr>
          <w:rFonts w:ascii="Arial" w:eastAsia="Arial" w:hAnsi="Arial" w:cs="Arial"/>
          <w:b/>
          <w:bCs/>
          <w:spacing w:val="1"/>
          <w:sz w:val="28"/>
          <w:szCs w:val="28"/>
        </w:rPr>
      </w:pPr>
      <w:r w:rsidRPr="00967568">
        <w:rPr>
          <w:rFonts w:ascii="Arial" w:eastAsia="Arial" w:hAnsi="Arial" w:cs="Arial"/>
          <w:b/>
          <w:bCs/>
          <w:spacing w:val="1"/>
          <w:sz w:val="28"/>
          <w:szCs w:val="28"/>
        </w:rPr>
        <w:t>SISTEMA DE CUENTAS POR SECTORES</w:t>
      </w:r>
    </w:p>
    <w:p w14:paraId="3A1616B4" w14:textId="77777777" w:rsidR="00CC4F8B" w:rsidRPr="00967568" w:rsidRDefault="00EA4260" w:rsidP="00070FCE">
      <w:pPr>
        <w:spacing w:after="0" w:line="240" w:lineRule="auto"/>
        <w:ind w:right="91"/>
        <w:jc w:val="center"/>
        <w:rPr>
          <w:rFonts w:ascii="Arial" w:eastAsia="Arial" w:hAnsi="Arial" w:cs="Arial"/>
          <w:b/>
          <w:bCs/>
          <w:spacing w:val="1"/>
          <w:sz w:val="28"/>
          <w:szCs w:val="28"/>
        </w:rPr>
      </w:pPr>
      <w:r w:rsidRPr="00967568">
        <w:rPr>
          <w:rFonts w:ascii="Arial" w:eastAsia="Arial" w:hAnsi="Arial" w:cs="Arial"/>
          <w:b/>
          <w:bCs/>
          <w:spacing w:val="1"/>
          <w:sz w:val="28"/>
          <w:szCs w:val="28"/>
        </w:rPr>
        <w:t xml:space="preserve">INSTITUCIONALES </w:t>
      </w:r>
      <w:r w:rsidRPr="0091666F">
        <w:rPr>
          <w:rFonts w:ascii="Arial" w:eastAsia="Arial" w:hAnsi="Arial" w:cs="Arial"/>
          <w:b/>
          <w:bCs/>
          <w:spacing w:val="1"/>
          <w:sz w:val="28"/>
          <w:szCs w:val="28"/>
        </w:rPr>
        <w:t>201</w:t>
      </w:r>
      <w:r w:rsidR="003B6D24">
        <w:rPr>
          <w:rFonts w:ascii="Arial" w:eastAsia="Arial" w:hAnsi="Arial" w:cs="Arial"/>
          <w:b/>
          <w:bCs/>
          <w:spacing w:val="1"/>
          <w:sz w:val="28"/>
          <w:szCs w:val="28"/>
        </w:rPr>
        <w:t>8</w:t>
      </w:r>
    </w:p>
    <w:p w14:paraId="6678CB88" w14:textId="77777777" w:rsidR="00081B83" w:rsidRPr="00F96171" w:rsidRDefault="00081B83" w:rsidP="00400E10">
      <w:pPr>
        <w:widowControl/>
        <w:spacing w:before="480" w:after="0" w:line="240" w:lineRule="auto"/>
        <w:jc w:val="both"/>
        <w:rPr>
          <w:rFonts w:ascii="Arial" w:eastAsia="Calibri" w:hAnsi="Arial" w:cs="Arial"/>
          <w:b/>
          <w:sz w:val="24"/>
          <w:szCs w:val="28"/>
        </w:rPr>
      </w:pPr>
      <w:r w:rsidRPr="00F96171">
        <w:rPr>
          <w:rFonts w:ascii="Arial" w:eastAsia="Calibri" w:hAnsi="Arial" w:cs="Arial"/>
          <w:b/>
          <w:sz w:val="24"/>
          <w:szCs w:val="28"/>
        </w:rPr>
        <w:t>Aspectos Generales</w:t>
      </w:r>
    </w:p>
    <w:p w14:paraId="43251837" w14:textId="77777777" w:rsidR="00EB7677" w:rsidRPr="00EB7677" w:rsidRDefault="00EB7677" w:rsidP="00EB7677">
      <w:pPr>
        <w:widowControl/>
        <w:tabs>
          <w:tab w:val="num" w:pos="720"/>
        </w:tabs>
        <w:spacing w:before="480" w:after="0" w:line="240" w:lineRule="auto"/>
        <w:jc w:val="both"/>
        <w:rPr>
          <w:rFonts w:ascii="Arial" w:eastAsia="Calibri" w:hAnsi="Arial" w:cs="Arial"/>
          <w:sz w:val="24"/>
        </w:rPr>
      </w:pPr>
      <w:r w:rsidRPr="00EB7677">
        <w:rPr>
          <w:rFonts w:ascii="Arial" w:eastAsia="Calibri" w:hAnsi="Arial" w:cs="Arial"/>
          <w:sz w:val="24"/>
        </w:rPr>
        <w:t>El Instituto Nacional de Estadística y Geografía (INEGI) informa sobre los principales resultados del Sistema de Cuentas por Sectores</w:t>
      </w:r>
      <w:r w:rsidR="002F2C11">
        <w:rPr>
          <w:rFonts w:ascii="Arial" w:eastAsia="Calibri" w:hAnsi="Arial" w:cs="Arial"/>
          <w:sz w:val="24"/>
        </w:rPr>
        <w:t xml:space="preserve"> Institucionales serie 2003-201</w:t>
      </w:r>
      <w:r w:rsidR="00710E0B">
        <w:rPr>
          <w:rFonts w:ascii="Arial" w:eastAsia="Calibri" w:hAnsi="Arial" w:cs="Arial"/>
          <w:sz w:val="24"/>
        </w:rPr>
        <w:t>8,</w:t>
      </w:r>
      <w:r w:rsidRPr="00EB7677">
        <w:rPr>
          <w:rFonts w:ascii="Arial" w:eastAsia="Calibri" w:hAnsi="Arial" w:cs="Arial"/>
          <w:sz w:val="24"/>
        </w:rPr>
        <w:t xml:space="preserve"> versión</w:t>
      </w:r>
      <w:r w:rsidR="00710E0B">
        <w:rPr>
          <w:rFonts w:ascii="Arial" w:eastAsia="Calibri" w:hAnsi="Arial" w:cs="Arial"/>
          <w:sz w:val="24"/>
        </w:rPr>
        <w:t xml:space="preserve"> preliminar</w:t>
      </w:r>
      <w:r w:rsidRPr="00EB7677">
        <w:rPr>
          <w:rFonts w:ascii="Arial" w:eastAsia="Calibri" w:hAnsi="Arial" w:cs="Arial"/>
          <w:sz w:val="24"/>
        </w:rPr>
        <w:t>,</w:t>
      </w:r>
      <w:r w:rsidR="00710E0B">
        <w:rPr>
          <w:rFonts w:ascii="Arial" w:eastAsia="Calibri" w:hAnsi="Arial" w:cs="Arial"/>
          <w:sz w:val="24"/>
        </w:rPr>
        <w:t xml:space="preserve"> año</w:t>
      </w:r>
      <w:r w:rsidRPr="00EB7677">
        <w:rPr>
          <w:rFonts w:ascii="Arial" w:eastAsia="Calibri" w:hAnsi="Arial" w:cs="Arial"/>
          <w:sz w:val="24"/>
        </w:rPr>
        <w:t xml:space="preserve"> </w:t>
      </w:r>
      <w:r w:rsidR="00710E0B">
        <w:rPr>
          <w:rFonts w:ascii="Arial" w:eastAsia="Calibri" w:hAnsi="Arial" w:cs="Arial"/>
          <w:sz w:val="24"/>
        </w:rPr>
        <w:t>B</w:t>
      </w:r>
      <w:r w:rsidRPr="00EB7677">
        <w:rPr>
          <w:rFonts w:ascii="Arial" w:eastAsia="Calibri" w:hAnsi="Arial" w:cs="Arial"/>
          <w:sz w:val="24"/>
        </w:rPr>
        <w:t xml:space="preserve">ase 2013, los cuales proporcionan información referente a las transacciones reales y financieras y posiciones de stocks que realizan y mantienen los sectores entre sí y con el resto del mundo, a saber: Sociedades no financieras, Sociedades financieras, Gobierno general, Hogares, Instituciones sin Fines de Lucro que sirven a los Hogares </w:t>
      </w:r>
      <w:r w:rsidR="00AC5882">
        <w:rPr>
          <w:rFonts w:ascii="Arial" w:eastAsia="Calibri" w:hAnsi="Arial" w:cs="Arial"/>
          <w:sz w:val="24"/>
        </w:rPr>
        <w:t>(</w:t>
      </w:r>
      <w:r w:rsidRPr="00EB7677">
        <w:rPr>
          <w:rFonts w:ascii="Arial" w:eastAsia="Calibri" w:hAnsi="Arial" w:cs="Arial"/>
          <w:sz w:val="24"/>
        </w:rPr>
        <w:t>ISFLSH</w:t>
      </w:r>
      <w:r w:rsidR="00AC5882">
        <w:rPr>
          <w:rFonts w:ascii="Arial" w:eastAsia="Calibri" w:hAnsi="Arial" w:cs="Arial"/>
          <w:sz w:val="24"/>
        </w:rPr>
        <w:t>)</w:t>
      </w:r>
      <w:r w:rsidRPr="00EB7677">
        <w:rPr>
          <w:rFonts w:ascii="Arial" w:eastAsia="Calibri" w:hAnsi="Arial" w:cs="Arial"/>
          <w:sz w:val="24"/>
        </w:rPr>
        <w:t>, y el “Resto del Mundo”.</w:t>
      </w:r>
    </w:p>
    <w:p w14:paraId="011EE0D5" w14:textId="77777777" w:rsidR="00EB7677" w:rsidRPr="00EB7677" w:rsidRDefault="00EB7677" w:rsidP="00EB7677">
      <w:pPr>
        <w:widowControl/>
        <w:tabs>
          <w:tab w:val="num" w:pos="720"/>
        </w:tabs>
        <w:spacing w:before="480" w:after="0" w:line="240" w:lineRule="auto"/>
        <w:jc w:val="both"/>
        <w:rPr>
          <w:rFonts w:ascii="Arial" w:eastAsia="Calibri" w:hAnsi="Arial" w:cs="Arial"/>
          <w:sz w:val="24"/>
        </w:rPr>
      </w:pPr>
      <w:r w:rsidRPr="00EB7677">
        <w:rPr>
          <w:rFonts w:ascii="Arial" w:eastAsia="Calibri" w:hAnsi="Arial" w:cs="Arial"/>
          <w:sz w:val="24"/>
        </w:rPr>
        <w:t>Los resultados por sector institucional forman parte de un complemento informativo indispensable de las “Cuentas de Bienes y Servicios” por sector económico de origen que anualmente publica el Instituto. Así, se dispone de información de manera conjunta sobre el comportamiento real por actividad económica de origen, y por sector institucional, en el que se incorpora la corriente financiera de la economía del país.</w:t>
      </w:r>
    </w:p>
    <w:p w14:paraId="18A3FF9B" w14:textId="77777777" w:rsidR="001F78AF" w:rsidRDefault="00EB7677" w:rsidP="00EB7677">
      <w:pPr>
        <w:widowControl/>
        <w:tabs>
          <w:tab w:val="num" w:pos="720"/>
        </w:tabs>
        <w:spacing w:before="480" w:after="0" w:line="240" w:lineRule="auto"/>
        <w:jc w:val="both"/>
        <w:rPr>
          <w:rFonts w:ascii="Arial" w:eastAsia="Calibri" w:hAnsi="Arial" w:cs="Arial"/>
          <w:sz w:val="24"/>
        </w:rPr>
      </w:pPr>
      <w:r w:rsidRPr="00EB7677">
        <w:rPr>
          <w:rFonts w:ascii="Arial" w:eastAsia="Calibri" w:hAnsi="Arial" w:cs="Arial"/>
          <w:sz w:val="24"/>
        </w:rPr>
        <w:t>Debido a la amplitud de la información del Sistema de Cuentas por Sectores Institucionales las sucesiones contables se presentan en cuadros económicos por sectores (6) y subsectores (15) institucional</w:t>
      </w:r>
      <w:r w:rsidR="008661AB">
        <w:rPr>
          <w:rFonts w:ascii="Arial" w:eastAsia="Calibri" w:hAnsi="Arial" w:cs="Arial"/>
          <w:sz w:val="24"/>
        </w:rPr>
        <w:t>es</w:t>
      </w:r>
      <w:r w:rsidRPr="00EB7677">
        <w:rPr>
          <w:rFonts w:ascii="Arial" w:eastAsia="Calibri" w:hAnsi="Arial" w:cs="Arial"/>
          <w:sz w:val="24"/>
        </w:rPr>
        <w:t xml:space="preserve"> en formato matricial, iniciando en la cuenta de producción, pasando por la distribución, redistribución, acumulación, financiamiento, otras variaciones de activos y stocks de activos financieros y no financieros, con el conjunto de saldos contables que propone el SCN 2008, desde el PIB hasta el Valor neto, siendo ésta una medida de riqueza. Las CSI se desarrollan con base en los lineamientos internacionales en materia de cuentas nacionales, las versiones actuales del Sistema de Cuentas Nacionales 2008 (SCN 2008), elaborado por la ONU, FMI, Banco Mundial, Eurostat y OCDE.</w:t>
      </w:r>
      <w:r w:rsidR="001F78AF">
        <w:rPr>
          <w:rFonts w:ascii="Arial" w:eastAsia="Calibri" w:hAnsi="Arial" w:cs="Arial"/>
          <w:sz w:val="24"/>
        </w:rPr>
        <w:br w:type="page"/>
      </w:r>
    </w:p>
    <w:p w14:paraId="6691A7F0" w14:textId="77777777" w:rsidR="00081B83" w:rsidRPr="004C5F05" w:rsidRDefault="001F78AF" w:rsidP="001F78AF">
      <w:pPr>
        <w:widowControl/>
        <w:spacing w:before="720" w:line="240" w:lineRule="auto"/>
        <w:jc w:val="both"/>
        <w:rPr>
          <w:rFonts w:ascii="Arial" w:eastAsia="Calibri" w:hAnsi="Arial" w:cs="Arial"/>
          <w:b/>
          <w:sz w:val="24"/>
          <w:szCs w:val="28"/>
        </w:rPr>
      </w:pPr>
      <w:r>
        <w:rPr>
          <w:rFonts w:ascii="Arial" w:eastAsia="Calibri" w:hAnsi="Arial" w:cs="Arial"/>
          <w:b/>
          <w:sz w:val="24"/>
          <w:szCs w:val="28"/>
        </w:rPr>
        <w:lastRenderedPageBreak/>
        <w:t>P</w:t>
      </w:r>
      <w:r w:rsidR="00081B83" w:rsidRPr="004C5F05">
        <w:rPr>
          <w:rFonts w:ascii="Arial" w:eastAsia="Calibri" w:hAnsi="Arial" w:cs="Arial"/>
          <w:b/>
          <w:sz w:val="24"/>
          <w:szCs w:val="28"/>
        </w:rPr>
        <w:t>rincipales Resultados:</w:t>
      </w:r>
    </w:p>
    <w:p w14:paraId="7CE4843A" w14:textId="77777777" w:rsidR="00CC4F8B" w:rsidRPr="00967568" w:rsidRDefault="004C5F05" w:rsidP="000474C3">
      <w:pPr>
        <w:widowControl/>
        <w:spacing w:before="360" w:line="240" w:lineRule="auto"/>
        <w:jc w:val="both"/>
        <w:rPr>
          <w:sz w:val="24"/>
          <w:szCs w:val="24"/>
        </w:rPr>
      </w:pPr>
      <w:r w:rsidRPr="004C5F05">
        <w:rPr>
          <w:rFonts w:ascii="Arial" w:eastAsia="Calibri" w:hAnsi="Arial" w:cs="Arial"/>
          <w:b/>
          <w:sz w:val="24"/>
          <w:szCs w:val="28"/>
        </w:rPr>
        <w:t>Producto Interno Bruto</w:t>
      </w:r>
    </w:p>
    <w:p w14:paraId="65B1AC17" w14:textId="77777777" w:rsidR="00081B83" w:rsidRPr="004C5F05" w:rsidRDefault="00A13425" w:rsidP="00E41821">
      <w:pPr>
        <w:pStyle w:val="consang"/>
        <w:spacing w:before="240" w:after="0" w:line="240" w:lineRule="auto"/>
        <w:ind w:right="57" w:firstLine="0"/>
        <w:rPr>
          <w:rFonts w:ascii="Arial" w:hAnsi="Arial" w:cs="Arial"/>
        </w:rPr>
      </w:pPr>
      <w:r>
        <w:rPr>
          <w:rFonts w:ascii="Arial" w:hAnsi="Arial" w:cs="Arial"/>
        </w:rPr>
        <w:t>En</w:t>
      </w:r>
      <w:r w:rsidR="004325E5" w:rsidRPr="004C5F05">
        <w:rPr>
          <w:rFonts w:ascii="Arial" w:hAnsi="Arial" w:cs="Arial"/>
        </w:rPr>
        <w:t xml:space="preserve"> </w:t>
      </w:r>
      <w:r w:rsidR="003907D0" w:rsidRPr="002E31F5">
        <w:rPr>
          <w:rFonts w:ascii="Arial" w:hAnsi="Arial" w:cs="Arial"/>
        </w:rPr>
        <w:t xml:space="preserve">el </w:t>
      </w:r>
      <w:r w:rsidR="00BE2548" w:rsidRPr="002E31F5">
        <w:rPr>
          <w:rFonts w:ascii="Arial" w:hAnsi="Arial" w:cs="Arial"/>
        </w:rPr>
        <w:t>201</w:t>
      </w:r>
      <w:r w:rsidR="0052450D">
        <w:rPr>
          <w:rFonts w:ascii="Arial" w:hAnsi="Arial" w:cs="Arial"/>
        </w:rPr>
        <w:t>8</w:t>
      </w:r>
      <w:r w:rsidR="00081B83" w:rsidRPr="002E31F5">
        <w:rPr>
          <w:rFonts w:ascii="Arial" w:hAnsi="Arial" w:cs="Arial"/>
        </w:rPr>
        <w:t>,</w:t>
      </w:r>
      <w:r w:rsidR="00687F57" w:rsidRPr="002E31F5">
        <w:rPr>
          <w:rFonts w:ascii="Arial" w:hAnsi="Arial" w:cs="Arial"/>
        </w:rPr>
        <w:t xml:space="preserve"> el </w:t>
      </w:r>
      <w:r w:rsidR="0087349A" w:rsidRPr="002E31F5">
        <w:rPr>
          <w:rFonts w:ascii="Arial" w:hAnsi="Arial" w:cs="Arial"/>
        </w:rPr>
        <w:t>4</w:t>
      </w:r>
      <w:r w:rsidR="0052450D">
        <w:rPr>
          <w:rFonts w:ascii="Arial" w:hAnsi="Arial" w:cs="Arial"/>
        </w:rPr>
        <w:t>7.5</w:t>
      </w:r>
      <w:r w:rsidR="00DF5D70" w:rsidRPr="002E31F5">
        <w:rPr>
          <w:rFonts w:ascii="Arial" w:hAnsi="Arial" w:cs="Arial"/>
        </w:rPr>
        <w:t>%</w:t>
      </w:r>
      <w:r w:rsidR="00405B83" w:rsidRPr="002E31F5">
        <w:rPr>
          <w:rFonts w:ascii="Arial" w:hAnsi="Arial" w:cs="Arial"/>
        </w:rPr>
        <w:t xml:space="preserve"> </w:t>
      </w:r>
      <w:r w:rsidR="00081B83" w:rsidRPr="002E31F5">
        <w:rPr>
          <w:rFonts w:ascii="Arial" w:hAnsi="Arial" w:cs="Arial"/>
        </w:rPr>
        <w:t>del Producto Interno Bruto en México fue p</w:t>
      </w:r>
      <w:r w:rsidR="00DD59EA" w:rsidRPr="002E31F5">
        <w:rPr>
          <w:rFonts w:ascii="Arial" w:hAnsi="Arial" w:cs="Arial"/>
        </w:rPr>
        <w:t>roducido por las Sociedades no f</w:t>
      </w:r>
      <w:r w:rsidR="00081B83" w:rsidRPr="002E31F5">
        <w:rPr>
          <w:rFonts w:ascii="Arial" w:hAnsi="Arial" w:cs="Arial"/>
        </w:rPr>
        <w:t xml:space="preserve">inancieras y </w:t>
      </w:r>
      <w:r w:rsidR="00EB7430">
        <w:rPr>
          <w:rFonts w:ascii="Arial" w:hAnsi="Arial" w:cs="Arial"/>
        </w:rPr>
        <w:t>los Hogares</w:t>
      </w:r>
      <w:r w:rsidR="00EB7430" w:rsidRPr="002E31F5">
        <w:rPr>
          <w:rFonts w:ascii="Arial" w:hAnsi="Arial" w:cs="Arial"/>
        </w:rPr>
        <w:t xml:space="preserve"> </w:t>
      </w:r>
      <w:r w:rsidR="00EB7430">
        <w:rPr>
          <w:rFonts w:ascii="Arial" w:hAnsi="Arial" w:cs="Arial"/>
        </w:rPr>
        <w:t xml:space="preserve">contribuyeron con </w:t>
      </w:r>
      <w:r w:rsidR="00081B83" w:rsidRPr="002E31F5">
        <w:rPr>
          <w:rFonts w:ascii="Arial" w:hAnsi="Arial" w:cs="Arial"/>
        </w:rPr>
        <w:t>el 3</w:t>
      </w:r>
      <w:r w:rsidR="0052450D">
        <w:rPr>
          <w:rFonts w:ascii="Arial" w:hAnsi="Arial" w:cs="Arial"/>
        </w:rPr>
        <w:t>3.4</w:t>
      </w:r>
      <w:r w:rsidR="00EB7430">
        <w:rPr>
          <w:rFonts w:ascii="Arial" w:hAnsi="Arial" w:cs="Arial"/>
        </w:rPr>
        <w:t>%</w:t>
      </w:r>
      <w:r w:rsidR="00F16608" w:rsidRPr="002E31F5">
        <w:rPr>
          <w:rFonts w:ascii="Arial" w:hAnsi="Arial" w:cs="Arial"/>
        </w:rPr>
        <w:t xml:space="preserve">; les siguieron el </w:t>
      </w:r>
      <w:r w:rsidR="002A7458" w:rsidRPr="002E31F5">
        <w:rPr>
          <w:rFonts w:ascii="Arial" w:hAnsi="Arial" w:cs="Arial"/>
        </w:rPr>
        <w:t>Gobierno general</w:t>
      </w:r>
      <w:r w:rsidR="00687F57" w:rsidRPr="002E31F5">
        <w:rPr>
          <w:rFonts w:ascii="Arial" w:hAnsi="Arial" w:cs="Arial"/>
        </w:rPr>
        <w:t xml:space="preserve"> con </w:t>
      </w:r>
      <w:r w:rsidR="0087349A" w:rsidRPr="002E31F5">
        <w:rPr>
          <w:rFonts w:ascii="Arial" w:hAnsi="Arial" w:cs="Arial"/>
        </w:rPr>
        <w:t>8.</w:t>
      </w:r>
      <w:r w:rsidR="0052450D">
        <w:rPr>
          <w:rFonts w:ascii="Arial" w:hAnsi="Arial" w:cs="Arial"/>
        </w:rPr>
        <w:t>4</w:t>
      </w:r>
      <w:r w:rsidR="00081B83" w:rsidRPr="002E31F5">
        <w:rPr>
          <w:rFonts w:ascii="Arial" w:hAnsi="Arial" w:cs="Arial"/>
        </w:rPr>
        <w:t>%</w:t>
      </w:r>
      <w:r w:rsidR="00517A16" w:rsidRPr="002E31F5">
        <w:rPr>
          <w:rFonts w:ascii="Arial" w:hAnsi="Arial" w:cs="Arial"/>
        </w:rPr>
        <w:t xml:space="preserve">, las Sociedades financieras </w:t>
      </w:r>
      <w:r w:rsidR="00E56887">
        <w:rPr>
          <w:rFonts w:ascii="Arial" w:hAnsi="Arial" w:cs="Arial"/>
        </w:rPr>
        <w:t>4</w:t>
      </w:r>
      <w:r w:rsidR="0052450D">
        <w:rPr>
          <w:rFonts w:ascii="Arial" w:hAnsi="Arial" w:cs="Arial"/>
        </w:rPr>
        <w:t>.1</w:t>
      </w:r>
      <w:r w:rsidR="00081B83" w:rsidRPr="002E31F5">
        <w:rPr>
          <w:rFonts w:ascii="Arial" w:hAnsi="Arial" w:cs="Arial"/>
        </w:rPr>
        <w:t xml:space="preserve">% y las </w:t>
      </w:r>
      <w:r w:rsidR="00AC5882" w:rsidRPr="00EB7677">
        <w:rPr>
          <w:rFonts w:ascii="Arial" w:hAnsi="Arial" w:cs="Arial"/>
        </w:rPr>
        <w:t>Instituciones sin Fines de Lucro que sirven a los Hogares</w:t>
      </w:r>
      <w:r w:rsidR="00AC5882" w:rsidRPr="002E31F5">
        <w:rPr>
          <w:rFonts w:ascii="Arial" w:hAnsi="Arial" w:cs="Arial"/>
        </w:rPr>
        <w:t xml:space="preserve"> </w:t>
      </w:r>
      <w:r w:rsidR="00AC5882">
        <w:rPr>
          <w:rFonts w:ascii="Arial" w:hAnsi="Arial" w:cs="Arial"/>
        </w:rPr>
        <w:t xml:space="preserve"> (</w:t>
      </w:r>
      <w:r w:rsidR="00387C35" w:rsidRPr="002E31F5">
        <w:rPr>
          <w:rFonts w:ascii="Arial" w:hAnsi="Arial" w:cs="Arial"/>
        </w:rPr>
        <w:t>ISF</w:t>
      </w:r>
      <w:r w:rsidR="00121F4C" w:rsidRPr="002E31F5">
        <w:rPr>
          <w:rFonts w:ascii="Arial" w:hAnsi="Arial" w:cs="Arial"/>
        </w:rPr>
        <w:t>LSH</w:t>
      </w:r>
      <w:r w:rsidR="00AC5882">
        <w:rPr>
          <w:rFonts w:ascii="Arial" w:hAnsi="Arial" w:cs="Arial"/>
        </w:rPr>
        <w:t>)</w:t>
      </w:r>
      <w:r w:rsidRPr="002E31F5">
        <w:rPr>
          <w:rFonts w:ascii="Arial" w:hAnsi="Arial" w:cs="Arial"/>
        </w:rPr>
        <w:t xml:space="preserve"> con </w:t>
      </w:r>
      <w:r w:rsidR="000474C3">
        <w:rPr>
          <w:rFonts w:ascii="Arial" w:hAnsi="Arial" w:cs="Arial"/>
        </w:rPr>
        <w:t xml:space="preserve">el </w:t>
      </w:r>
      <w:r w:rsidRPr="002E31F5">
        <w:rPr>
          <w:rFonts w:ascii="Arial" w:hAnsi="Arial" w:cs="Arial"/>
        </w:rPr>
        <w:t>1% restante</w:t>
      </w:r>
      <w:r w:rsidR="00081B83" w:rsidRPr="002E31F5">
        <w:rPr>
          <w:rFonts w:ascii="Arial" w:hAnsi="Arial" w:cs="Arial"/>
          <w:sz w:val="20"/>
          <w:vertAlign w:val="superscript"/>
        </w:rPr>
        <w:footnoteReference w:id="4"/>
      </w:r>
      <w:r w:rsidR="00E41821" w:rsidRPr="002E31F5">
        <w:rPr>
          <w:rFonts w:ascii="Arial" w:hAnsi="Arial" w:cs="Arial"/>
        </w:rPr>
        <w:t xml:space="preserve"> (ver gráfica </w:t>
      </w:r>
      <w:r w:rsidR="00E41821">
        <w:rPr>
          <w:rFonts w:ascii="Arial" w:hAnsi="Arial" w:cs="Arial"/>
        </w:rPr>
        <w:t>siguiente)</w:t>
      </w:r>
      <w:r w:rsidR="00081B83" w:rsidRPr="004C5F05">
        <w:rPr>
          <w:rFonts w:ascii="Arial" w:hAnsi="Arial" w:cs="Arial"/>
        </w:rPr>
        <w:t>.</w:t>
      </w:r>
    </w:p>
    <w:p w14:paraId="6C23D47B" w14:textId="77777777" w:rsidR="00E7569A" w:rsidRPr="00AD4CC1" w:rsidRDefault="00F96171" w:rsidP="0058569B">
      <w:pPr>
        <w:spacing w:before="480" w:after="0" w:line="240" w:lineRule="auto"/>
        <w:ind w:right="31"/>
        <w:jc w:val="center"/>
        <w:rPr>
          <w:rFonts w:ascii="Arial" w:eastAsia="Arial" w:hAnsi="Arial" w:cs="Arial"/>
          <w:bCs/>
          <w:spacing w:val="-1"/>
          <w:sz w:val="24"/>
          <w:szCs w:val="18"/>
        </w:rPr>
      </w:pPr>
      <w:r w:rsidRPr="00AD4CC1">
        <w:rPr>
          <w:rFonts w:ascii="Arial" w:eastAsia="Arial" w:hAnsi="Arial" w:cs="Arial"/>
          <w:bCs/>
          <w:spacing w:val="-1"/>
          <w:sz w:val="24"/>
          <w:szCs w:val="18"/>
        </w:rPr>
        <w:t>Gráfica 1</w:t>
      </w:r>
    </w:p>
    <w:p w14:paraId="359B62A1" w14:textId="77777777" w:rsidR="004C5F05" w:rsidRDefault="003F6A47" w:rsidP="004C5F05">
      <w:pPr>
        <w:pStyle w:val="consang"/>
        <w:spacing w:after="0" w:line="240" w:lineRule="auto"/>
        <w:ind w:right="57" w:firstLine="0"/>
        <w:jc w:val="center"/>
        <w:rPr>
          <w:rFonts w:ascii="Arial" w:hAnsi="Arial" w:cs="Arial"/>
          <w:b/>
          <w:smallCaps/>
        </w:rPr>
      </w:pPr>
      <w:r>
        <w:rPr>
          <w:rFonts w:ascii="Arial" w:hAnsi="Arial" w:cs="Arial"/>
          <w:b/>
          <w:smallCaps/>
        </w:rPr>
        <w:t>Composición de</w:t>
      </w:r>
      <w:r w:rsidR="00005B5E">
        <w:rPr>
          <w:rFonts w:ascii="Arial" w:hAnsi="Arial" w:cs="Arial"/>
          <w:b/>
          <w:smallCaps/>
        </w:rPr>
        <w:t xml:space="preserve">l Producto Interno Bruto </w:t>
      </w:r>
      <w:r w:rsidR="00E01564">
        <w:rPr>
          <w:rFonts w:ascii="Arial" w:hAnsi="Arial" w:cs="Arial"/>
          <w:b/>
          <w:smallCaps/>
        </w:rPr>
        <w:t>por</w:t>
      </w:r>
      <w:r w:rsidR="00005B5E">
        <w:rPr>
          <w:rFonts w:ascii="Arial" w:hAnsi="Arial" w:cs="Arial"/>
          <w:b/>
          <w:smallCaps/>
        </w:rPr>
        <w:t xml:space="preserve"> Sector I</w:t>
      </w:r>
      <w:r>
        <w:rPr>
          <w:rFonts w:ascii="Arial" w:hAnsi="Arial" w:cs="Arial"/>
          <w:b/>
          <w:smallCaps/>
        </w:rPr>
        <w:t>nstitucional,</w:t>
      </w:r>
      <w:r w:rsidR="004C5F05" w:rsidRPr="00386106">
        <w:rPr>
          <w:rFonts w:ascii="Arial" w:hAnsi="Arial" w:cs="Arial"/>
          <w:b/>
          <w:smallCaps/>
        </w:rPr>
        <w:t xml:space="preserve"> </w:t>
      </w:r>
      <w:r w:rsidR="0052450D">
        <w:rPr>
          <w:rFonts w:ascii="Arial" w:hAnsi="Arial" w:cs="Arial"/>
          <w:b/>
          <w:smallCaps/>
        </w:rPr>
        <w:t>2018</w:t>
      </w:r>
    </w:p>
    <w:p w14:paraId="25237C5A" w14:textId="77777777" w:rsidR="00812A92" w:rsidRDefault="00812A92" w:rsidP="00812A92">
      <w:pPr>
        <w:tabs>
          <w:tab w:val="left" w:pos="8364"/>
          <w:tab w:val="left" w:pos="8505"/>
        </w:tabs>
        <w:spacing w:after="0" w:line="240" w:lineRule="auto"/>
        <w:ind w:right="91"/>
        <w:jc w:val="center"/>
        <w:rPr>
          <w:rFonts w:ascii="Arial" w:eastAsia="Arial" w:hAnsi="Arial" w:cs="Arial"/>
          <w:w w:val="101"/>
          <w:sz w:val="18"/>
          <w:szCs w:val="18"/>
        </w:rPr>
      </w:pPr>
      <w:r w:rsidRPr="00967568">
        <w:rPr>
          <w:rFonts w:ascii="Arial" w:eastAsia="Arial" w:hAnsi="Arial" w:cs="Arial"/>
          <w:spacing w:val="1"/>
          <w:sz w:val="18"/>
          <w:szCs w:val="18"/>
        </w:rPr>
        <w:t>(</w:t>
      </w:r>
      <w:r w:rsidRPr="00967568">
        <w:rPr>
          <w:rFonts w:ascii="Arial" w:eastAsia="Arial" w:hAnsi="Arial" w:cs="Arial"/>
          <w:spacing w:val="-2"/>
          <w:sz w:val="18"/>
          <w:szCs w:val="18"/>
        </w:rPr>
        <w:t>E</w:t>
      </w:r>
      <w:r w:rsidRPr="00967568">
        <w:rPr>
          <w:rFonts w:ascii="Arial" w:eastAsia="Arial" w:hAnsi="Arial" w:cs="Arial"/>
          <w:sz w:val="18"/>
          <w:szCs w:val="18"/>
        </w:rPr>
        <w:t>s</w:t>
      </w:r>
      <w:r w:rsidRPr="00967568">
        <w:rPr>
          <w:rFonts w:ascii="Arial" w:eastAsia="Arial" w:hAnsi="Arial" w:cs="Arial"/>
          <w:spacing w:val="2"/>
          <w:sz w:val="18"/>
          <w:szCs w:val="18"/>
        </w:rPr>
        <w:t>t</w:t>
      </w:r>
      <w:r w:rsidRPr="00967568">
        <w:rPr>
          <w:rFonts w:ascii="Arial" w:eastAsia="Arial" w:hAnsi="Arial" w:cs="Arial"/>
          <w:spacing w:val="1"/>
          <w:sz w:val="18"/>
          <w:szCs w:val="18"/>
        </w:rPr>
        <w:t>r</w:t>
      </w:r>
      <w:r w:rsidRPr="00967568">
        <w:rPr>
          <w:rFonts w:ascii="Arial" w:eastAsia="Arial" w:hAnsi="Arial" w:cs="Arial"/>
          <w:spacing w:val="-1"/>
          <w:sz w:val="18"/>
          <w:szCs w:val="18"/>
        </w:rPr>
        <w:t>u</w:t>
      </w:r>
      <w:r w:rsidRPr="00967568">
        <w:rPr>
          <w:rFonts w:ascii="Arial" w:eastAsia="Arial" w:hAnsi="Arial" w:cs="Arial"/>
          <w:sz w:val="18"/>
          <w:szCs w:val="18"/>
        </w:rPr>
        <w:t>c</w:t>
      </w:r>
      <w:r w:rsidRPr="00967568">
        <w:rPr>
          <w:rFonts w:ascii="Arial" w:eastAsia="Arial" w:hAnsi="Arial" w:cs="Arial"/>
          <w:spacing w:val="2"/>
          <w:sz w:val="18"/>
          <w:szCs w:val="18"/>
        </w:rPr>
        <w:t>t</w:t>
      </w:r>
      <w:r w:rsidRPr="00967568">
        <w:rPr>
          <w:rFonts w:ascii="Arial" w:eastAsia="Arial" w:hAnsi="Arial" w:cs="Arial"/>
          <w:spacing w:val="-1"/>
          <w:sz w:val="18"/>
          <w:szCs w:val="18"/>
        </w:rPr>
        <w:t>u</w:t>
      </w:r>
      <w:r w:rsidRPr="00967568">
        <w:rPr>
          <w:rFonts w:ascii="Arial" w:eastAsia="Arial" w:hAnsi="Arial" w:cs="Arial"/>
          <w:spacing w:val="1"/>
          <w:sz w:val="18"/>
          <w:szCs w:val="18"/>
        </w:rPr>
        <w:t>r</w:t>
      </w:r>
      <w:r w:rsidRPr="00967568">
        <w:rPr>
          <w:rFonts w:ascii="Arial" w:eastAsia="Arial" w:hAnsi="Arial" w:cs="Arial"/>
          <w:sz w:val="18"/>
          <w:szCs w:val="18"/>
        </w:rPr>
        <w:t>a</w:t>
      </w:r>
      <w:r w:rsidRPr="00967568">
        <w:rPr>
          <w:rFonts w:ascii="Arial" w:eastAsia="Arial" w:hAnsi="Arial" w:cs="Arial"/>
          <w:spacing w:val="11"/>
          <w:sz w:val="18"/>
          <w:szCs w:val="18"/>
        </w:rPr>
        <w:t xml:space="preserve"> </w:t>
      </w:r>
      <w:r w:rsidRPr="00967568">
        <w:rPr>
          <w:rFonts w:ascii="Arial" w:eastAsia="Arial" w:hAnsi="Arial" w:cs="Arial"/>
          <w:spacing w:val="-2"/>
          <w:w w:val="101"/>
          <w:sz w:val="18"/>
          <w:szCs w:val="18"/>
        </w:rPr>
        <w:t>P</w:t>
      </w:r>
      <w:r w:rsidRPr="00967568">
        <w:rPr>
          <w:rFonts w:ascii="Arial" w:eastAsia="Arial" w:hAnsi="Arial" w:cs="Arial"/>
          <w:spacing w:val="-1"/>
          <w:w w:val="101"/>
          <w:sz w:val="18"/>
          <w:szCs w:val="18"/>
        </w:rPr>
        <w:t>o</w:t>
      </w:r>
      <w:r w:rsidRPr="00967568">
        <w:rPr>
          <w:rFonts w:ascii="Arial" w:eastAsia="Arial" w:hAnsi="Arial" w:cs="Arial"/>
          <w:spacing w:val="1"/>
          <w:w w:val="101"/>
          <w:sz w:val="18"/>
          <w:szCs w:val="18"/>
        </w:rPr>
        <w:t>r</w:t>
      </w:r>
      <w:r w:rsidRPr="00967568">
        <w:rPr>
          <w:rFonts w:ascii="Arial" w:eastAsia="Arial" w:hAnsi="Arial" w:cs="Arial"/>
          <w:w w:val="101"/>
          <w:sz w:val="18"/>
          <w:szCs w:val="18"/>
        </w:rPr>
        <w:t>c</w:t>
      </w:r>
      <w:r w:rsidRPr="00967568">
        <w:rPr>
          <w:rFonts w:ascii="Arial" w:eastAsia="Arial" w:hAnsi="Arial" w:cs="Arial"/>
          <w:spacing w:val="-5"/>
          <w:w w:val="101"/>
          <w:sz w:val="18"/>
          <w:szCs w:val="18"/>
        </w:rPr>
        <w:t>e</w:t>
      </w:r>
      <w:r w:rsidRPr="00967568">
        <w:rPr>
          <w:rFonts w:ascii="Arial" w:eastAsia="Arial" w:hAnsi="Arial" w:cs="Arial"/>
          <w:spacing w:val="-1"/>
          <w:w w:val="101"/>
          <w:sz w:val="18"/>
          <w:szCs w:val="18"/>
        </w:rPr>
        <w:t>n</w:t>
      </w:r>
      <w:r w:rsidRPr="00967568">
        <w:rPr>
          <w:rFonts w:ascii="Arial" w:eastAsia="Arial" w:hAnsi="Arial" w:cs="Arial"/>
          <w:spacing w:val="2"/>
          <w:w w:val="101"/>
          <w:sz w:val="18"/>
          <w:szCs w:val="18"/>
        </w:rPr>
        <w:t>t</w:t>
      </w:r>
      <w:r w:rsidRPr="00967568">
        <w:rPr>
          <w:rFonts w:ascii="Arial" w:eastAsia="Arial" w:hAnsi="Arial" w:cs="Arial"/>
          <w:spacing w:val="-1"/>
          <w:w w:val="101"/>
          <w:sz w:val="18"/>
          <w:szCs w:val="18"/>
        </w:rPr>
        <w:t>ua</w:t>
      </w:r>
      <w:r w:rsidRPr="00967568">
        <w:rPr>
          <w:rFonts w:ascii="Arial" w:eastAsia="Arial" w:hAnsi="Arial" w:cs="Arial"/>
          <w:spacing w:val="3"/>
          <w:w w:val="101"/>
          <w:sz w:val="18"/>
          <w:szCs w:val="18"/>
        </w:rPr>
        <w:t>l</w:t>
      </w:r>
      <w:r w:rsidRPr="00967568">
        <w:rPr>
          <w:rFonts w:ascii="Arial" w:eastAsia="Arial" w:hAnsi="Arial" w:cs="Arial"/>
          <w:w w:val="101"/>
          <w:sz w:val="18"/>
          <w:szCs w:val="18"/>
        </w:rPr>
        <w:t>)</w:t>
      </w:r>
    </w:p>
    <w:p w14:paraId="5D665592" w14:textId="77777777" w:rsidR="00812A92" w:rsidRPr="004C5F05" w:rsidRDefault="0052450D" w:rsidP="004C5F05">
      <w:pPr>
        <w:tabs>
          <w:tab w:val="left" w:pos="8364"/>
          <w:tab w:val="left" w:pos="8505"/>
        </w:tabs>
        <w:spacing w:after="0" w:line="240" w:lineRule="auto"/>
        <w:ind w:right="91"/>
        <w:jc w:val="center"/>
        <w:rPr>
          <w:rFonts w:ascii="Arial" w:eastAsia="Arial" w:hAnsi="Arial" w:cs="Arial"/>
          <w:w w:val="101"/>
          <w:sz w:val="18"/>
          <w:szCs w:val="18"/>
        </w:rPr>
      </w:pPr>
      <w:r w:rsidRPr="0052450D">
        <w:rPr>
          <w:noProof/>
          <w:lang w:eastAsia="es-MX"/>
        </w:rPr>
        <w:drawing>
          <wp:inline distT="0" distB="0" distL="0" distR="0" wp14:anchorId="1D0CFE80" wp14:editId="168C438D">
            <wp:extent cx="5796458" cy="28440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6458" cy="2844000"/>
                    </a:xfrm>
                    <a:prstGeom prst="rect">
                      <a:avLst/>
                    </a:prstGeom>
                    <a:noFill/>
                    <a:ln>
                      <a:noFill/>
                    </a:ln>
                  </pic:spPr>
                </pic:pic>
              </a:graphicData>
            </a:graphic>
          </wp:inline>
        </w:drawing>
      </w:r>
    </w:p>
    <w:p w14:paraId="39EDA9D1" w14:textId="77777777" w:rsidR="00D71B0E" w:rsidRDefault="00D71B0E" w:rsidP="00A35916">
      <w:pPr>
        <w:tabs>
          <w:tab w:val="left" w:pos="8364"/>
          <w:tab w:val="left" w:pos="8505"/>
        </w:tabs>
        <w:spacing w:after="0" w:line="240" w:lineRule="auto"/>
        <w:ind w:right="91"/>
        <w:rPr>
          <w:rFonts w:ascii="Arial" w:eastAsia="Arial" w:hAnsi="Arial" w:cs="Arial"/>
          <w:spacing w:val="-1"/>
          <w:sz w:val="16"/>
          <w:szCs w:val="16"/>
        </w:rPr>
      </w:pPr>
      <w:r>
        <w:rPr>
          <w:rFonts w:ascii="Arial" w:hAnsi="Arial" w:cs="Arial"/>
          <w:sz w:val="16"/>
        </w:rPr>
        <w:t xml:space="preserve"> </w:t>
      </w:r>
      <w:r w:rsidRPr="00C77061">
        <w:rPr>
          <w:rFonts w:ascii="Arial" w:hAnsi="Arial" w:cs="Arial"/>
          <w:sz w:val="16"/>
        </w:rPr>
        <w:t xml:space="preserve">Nota: La suma de los </w:t>
      </w:r>
      <w:r w:rsidRPr="00D15309">
        <w:rPr>
          <w:rFonts w:ascii="Arial" w:eastAsia="Arial" w:hAnsi="Arial" w:cs="Arial"/>
          <w:spacing w:val="-1"/>
          <w:sz w:val="16"/>
          <w:szCs w:val="16"/>
        </w:rPr>
        <w:t>parciales</w:t>
      </w:r>
      <w:r w:rsidRPr="00C77061">
        <w:rPr>
          <w:rFonts w:ascii="Arial" w:hAnsi="Arial" w:cs="Arial"/>
          <w:sz w:val="16"/>
        </w:rPr>
        <w:t xml:space="preserve"> puede no coincidir con </w:t>
      </w:r>
      <w:r>
        <w:rPr>
          <w:rFonts w:ascii="Arial" w:hAnsi="Arial" w:cs="Arial"/>
          <w:sz w:val="16"/>
        </w:rPr>
        <w:t>el</w:t>
      </w:r>
      <w:r w:rsidRPr="00C77061">
        <w:rPr>
          <w:rFonts w:ascii="Arial" w:hAnsi="Arial" w:cs="Arial"/>
          <w:sz w:val="16"/>
        </w:rPr>
        <w:t xml:space="preserve"> total debido al redondeo.</w:t>
      </w:r>
    </w:p>
    <w:p w14:paraId="6D98805A" w14:textId="77777777" w:rsidR="00405B83" w:rsidRPr="00967568" w:rsidRDefault="00D71B0E" w:rsidP="00A35916">
      <w:pPr>
        <w:tabs>
          <w:tab w:val="left" w:pos="8364"/>
          <w:tab w:val="left" w:pos="8505"/>
        </w:tabs>
        <w:spacing w:after="0" w:line="240" w:lineRule="auto"/>
        <w:ind w:right="91"/>
        <w:rPr>
          <w:rFonts w:ascii="Arial" w:eastAsia="Arial" w:hAnsi="Arial" w:cs="Arial"/>
          <w:sz w:val="16"/>
          <w:szCs w:val="16"/>
        </w:rPr>
      </w:pPr>
      <w:r>
        <w:rPr>
          <w:rFonts w:ascii="Arial" w:eastAsia="Arial" w:hAnsi="Arial" w:cs="Arial"/>
          <w:spacing w:val="-1"/>
          <w:sz w:val="16"/>
          <w:szCs w:val="16"/>
        </w:rPr>
        <w:t xml:space="preserve"> </w:t>
      </w:r>
      <w:r w:rsidR="00405B83" w:rsidRPr="00A13425">
        <w:rPr>
          <w:rFonts w:ascii="Arial" w:eastAsia="Arial" w:hAnsi="Arial" w:cs="Arial"/>
          <w:spacing w:val="-1"/>
          <w:sz w:val="16"/>
          <w:szCs w:val="16"/>
        </w:rPr>
        <w:t>F</w:t>
      </w:r>
      <w:r w:rsidR="00405B83" w:rsidRPr="00A13425">
        <w:rPr>
          <w:rFonts w:ascii="Arial" w:eastAsia="Arial" w:hAnsi="Arial" w:cs="Arial"/>
          <w:spacing w:val="-2"/>
          <w:sz w:val="16"/>
          <w:szCs w:val="16"/>
        </w:rPr>
        <w:t>u</w:t>
      </w:r>
      <w:r w:rsidR="00405B83" w:rsidRPr="00A13425">
        <w:rPr>
          <w:rFonts w:ascii="Arial" w:eastAsia="Arial" w:hAnsi="Arial" w:cs="Arial"/>
          <w:spacing w:val="-6"/>
          <w:sz w:val="16"/>
          <w:szCs w:val="16"/>
        </w:rPr>
        <w:t>e</w:t>
      </w:r>
      <w:r w:rsidR="00405B83" w:rsidRPr="00A13425">
        <w:rPr>
          <w:rFonts w:ascii="Arial" w:eastAsia="Arial" w:hAnsi="Arial" w:cs="Arial"/>
          <w:spacing w:val="-2"/>
          <w:sz w:val="16"/>
          <w:szCs w:val="16"/>
        </w:rPr>
        <w:t>n</w:t>
      </w:r>
      <w:r w:rsidR="00405B83" w:rsidRPr="00A13425">
        <w:rPr>
          <w:rFonts w:ascii="Arial" w:eastAsia="Arial" w:hAnsi="Arial" w:cs="Arial"/>
          <w:spacing w:val="-1"/>
          <w:sz w:val="16"/>
          <w:szCs w:val="16"/>
        </w:rPr>
        <w:t>t</w:t>
      </w:r>
      <w:r w:rsidR="00405B83" w:rsidRPr="00A13425">
        <w:rPr>
          <w:rFonts w:ascii="Arial" w:eastAsia="Arial" w:hAnsi="Arial" w:cs="Arial"/>
          <w:spacing w:val="-6"/>
          <w:sz w:val="16"/>
          <w:szCs w:val="16"/>
        </w:rPr>
        <w:t>e</w:t>
      </w:r>
      <w:r w:rsidR="00405B83" w:rsidRPr="00A13425">
        <w:rPr>
          <w:rFonts w:ascii="Arial" w:eastAsia="Arial" w:hAnsi="Arial" w:cs="Arial"/>
          <w:sz w:val="16"/>
          <w:szCs w:val="16"/>
        </w:rPr>
        <w:t>:</w:t>
      </w:r>
      <w:r w:rsidR="00405B83" w:rsidRPr="00A13425">
        <w:rPr>
          <w:rFonts w:ascii="Arial" w:eastAsia="Arial" w:hAnsi="Arial" w:cs="Arial"/>
          <w:spacing w:val="-13"/>
          <w:sz w:val="16"/>
          <w:szCs w:val="16"/>
        </w:rPr>
        <w:t xml:space="preserve"> </w:t>
      </w:r>
      <w:r w:rsidR="00405B83" w:rsidRPr="00A13425">
        <w:rPr>
          <w:rFonts w:ascii="Arial" w:eastAsia="Arial" w:hAnsi="Arial" w:cs="Arial"/>
          <w:spacing w:val="-1"/>
          <w:sz w:val="16"/>
          <w:szCs w:val="16"/>
        </w:rPr>
        <w:t>I</w:t>
      </w:r>
      <w:r w:rsidR="00405B83" w:rsidRPr="00A13425">
        <w:rPr>
          <w:rFonts w:ascii="Arial" w:eastAsia="Arial" w:hAnsi="Arial" w:cs="Arial"/>
          <w:spacing w:val="1"/>
          <w:sz w:val="16"/>
          <w:szCs w:val="16"/>
        </w:rPr>
        <w:t>N</w:t>
      </w:r>
      <w:r w:rsidR="00405B83" w:rsidRPr="00A13425">
        <w:rPr>
          <w:rFonts w:ascii="Arial" w:eastAsia="Arial" w:hAnsi="Arial" w:cs="Arial"/>
          <w:sz w:val="16"/>
          <w:szCs w:val="16"/>
        </w:rPr>
        <w:t>E</w:t>
      </w:r>
      <w:r w:rsidR="00405B83" w:rsidRPr="00A13425">
        <w:rPr>
          <w:rFonts w:ascii="Arial" w:eastAsia="Arial" w:hAnsi="Arial" w:cs="Arial"/>
          <w:spacing w:val="1"/>
          <w:sz w:val="16"/>
          <w:szCs w:val="16"/>
        </w:rPr>
        <w:t>G</w:t>
      </w:r>
      <w:r w:rsidR="00405B83" w:rsidRPr="00A13425">
        <w:rPr>
          <w:rFonts w:ascii="Arial" w:eastAsia="Arial" w:hAnsi="Arial" w:cs="Arial"/>
          <w:spacing w:val="-1"/>
          <w:sz w:val="16"/>
          <w:szCs w:val="16"/>
        </w:rPr>
        <w:t>I</w:t>
      </w:r>
      <w:r w:rsidR="00405B83" w:rsidRPr="00A13425">
        <w:rPr>
          <w:rFonts w:ascii="Arial" w:eastAsia="Arial" w:hAnsi="Arial" w:cs="Arial"/>
          <w:sz w:val="16"/>
          <w:szCs w:val="16"/>
        </w:rPr>
        <w:t>.</w:t>
      </w:r>
    </w:p>
    <w:p w14:paraId="0E80FD33" w14:textId="77777777" w:rsidR="00CC4F8B" w:rsidRPr="0058569B" w:rsidRDefault="0058569B" w:rsidP="004F6636">
      <w:pPr>
        <w:widowControl/>
        <w:spacing w:before="600" w:line="240" w:lineRule="auto"/>
        <w:jc w:val="both"/>
        <w:rPr>
          <w:rFonts w:ascii="Arial" w:eastAsia="Arial" w:hAnsi="Arial" w:cs="Arial"/>
          <w:szCs w:val="19"/>
        </w:rPr>
      </w:pPr>
      <w:r>
        <w:rPr>
          <w:rFonts w:ascii="Arial" w:eastAsia="Calibri" w:hAnsi="Arial" w:cs="Arial"/>
          <w:b/>
          <w:sz w:val="24"/>
          <w:szCs w:val="28"/>
        </w:rPr>
        <w:t>Remuneraciones de Asalariados</w:t>
      </w:r>
    </w:p>
    <w:p w14:paraId="057E54CA" w14:textId="77777777" w:rsidR="00025F8C" w:rsidRDefault="002E31F5" w:rsidP="00D71B0E">
      <w:pPr>
        <w:spacing w:before="360" w:after="0" w:line="246" w:lineRule="auto"/>
        <w:jc w:val="both"/>
        <w:rPr>
          <w:rFonts w:ascii="Arial" w:eastAsia="Arial" w:hAnsi="Arial" w:cs="Arial"/>
          <w:bCs/>
          <w:spacing w:val="-1"/>
          <w:sz w:val="24"/>
          <w:szCs w:val="18"/>
        </w:rPr>
      </w:pPr>
      <w:r>
        <w:rPr>
          <w:rFonts w:ascii="Arial" w:eastAsia="Arial" w:hAnsi="Arial" w:cs="Arial"/>
          <w:sz w:val="24"/>
          <w:szCs w:val="24"/>
        </w:rPr>
        <w:t>En cuanto</w:t>
      </w:r>
      <w:r w:rsidR="00EA4260" w:rsidRPr="00967568">
        <w:rPr>
          <w:rFonts w:ascii="Arial" w:eastAsia="Arial" w:hAnsi="Arial" w:cs="Arial"/>
          <w:sz w:val="24"/>
          <w:szCs w:val="24"/>
        </w:rPr>
        <w:t xml:space="preserve"> a las remuneraciones totales en el país </w:t>
      </w:r>
      <w:r w:rsidR="00576351">
        <w:rPr>
          <w:rFonts w:ascii="Arial" w:eastAsia="Arial" w:hAnsi="Arial" w:cs="Arial"/>
          <w:sz w:val="24"/>
          <w:szCs w:val="24"/>
        </w:rPr>
        <w:t>durante</w:t>
      </w:r>
      <w:r w:rsidR="00EA4260" w:rsidRPr="00967568">
        <w:rPr>
          <w:rFonts w:ascii="Arial" w:eastAsia="Arial" w:hAnsi="Arial" w:cs="Arial"/>
          <w:sz w:val="24"/>
          <w:szCs w:val="24"/>
        </w:rPr>
        <w:t xml:space="preserve"> </w:t>
      </w:r>
      <w:r w:rsidR="0052450D">
        <w:rPr>
          <w:rFonts w:ascii="Arial" w:eastAsia="Arial" w:hAnsi="Arial" w:cs="Arial"/>
          <w:sz w:val="24"/>
          <w:szCs w:val="24"/>
        </w:rPr>
        <w:t>2018</w:t>
      </w:r>
      <w:r w:rsidR="00576351" w:rsidRPr="00F43DEC">
        <w:rPr>
          <w:rFonts w:ascii="Arial" w:eastAsia="Arial" w:hAnsi="Arial" w:cs="Arial"/>
          <w:sz w:val="24"/>
          <w:szCs w:val="24"/>
        </w:rPr>
        <w:t>,</w:t>
      </w:r>
      <w:r w:rsidR="00EA4260" w:rsidRPr="00F43DEC">
        <w:rPr>
          <w:rFonts w:ascii="Arial" w:eastAsia="Arial" w:hAnsi="Arial" w:cs="Arial"/>
          <w:sz w:val="24"/>
          <w:szCs w:val="24"/>
        </w:rPr>
        <w:t xml:space="preserve"> </w:t>
      </w:r>
      <w:r w:rsidR="00F43DEC" w:rsidRPr="00F43DEC">
        <w:rPr>
          <w:rFonts w:ascii="Arial" w:eastAsia="Arial" w:hAnsi="Arial" w:cs="Arial"/>
          <w:sz w:val="24"/>
          <w:szCs w:val="24"/>
        </w:rPr>
        <w:t xml:space="preserve">la mayor proporción de éstas </w:t>
      </w:r>
      <w:r w:rsidR="00F43DEC">
        <w:rPr>
          <w:rFonts w:ascii="Arial" w:eastAsia="Arial" w:hAnsi="Arial" w:cs="Arial"/>
          <w:sz w:val="24"/>
          <w:szCs w:val="24"/>
        </w:rPr>
        <w:t xml:space="preserve">las </w:t>
      </w:r>
      <w:r w:rsidR="00F43DEC" w:rsidRPr="00F43DEC">
        <w:rPr>
          <w:rFonts w:ascii="Arial" w:eastAsia="Arial" w:hAnsi="Arial" w:cs="Arial"/>
          <w:sz w:val="24"/>
          <w:szCs w:val="24"/>
        </w:rPr>
        <w:t xml:space="preserve">pagaron </w:t>
      </w:r>
      <w:r w:rsidR="00EA4260" w:rsidRPr="00F43DEC">
        <w:rPr>
          <w:rFonts w:ascii="Arial" w:eastAsia="Arial" w:hAnsi="Arial" w:cs="Arial"/>
          <w:sz w:val="24"/>
          <w:szCs w:val="24"/>
        </w:rPr>
        <w:t>las</w:t>
      </w:r>
      <w:r w:rsidR="004325E5" w:rsidRPr="00F43DEC">
        <w:rPr>
          <w:rFonts w:ascii="Arial" w:eastAsia="Arial" w:hAnsi="Arial" w:cs="Arial"/>
          <w:sz w:val="24"/>
          <w:szCs w:val="24"/>
        </w:rPr>
        <w:t xml:space="preserve"> </w:t>
      </w:r>
      <w:r w:rsidR="002441D0" w:rsidRPr="00F43DEC">
        <w:rPr>
          <w:rFonts w:ascii="Arial" w:eastAsia="Arial" w:hAnsi="Arial" w:cs="Arial"/>
          <w:sz w:val="24"/>
          <w:szCs w:val="24"/>
        </w:rPr>
        <w:t>Sociedades no f</w:t>
      </w:r>
      <w:r w:rsidR="00EA4260" w:rsidRPr="00F43DEC">
        <w:rPr>
          <w:rFonts w:ascii="Arial" w:eastAsia="Arial" w:hAnsi="Arial" w:cs="Arial"/>
          <w:sz w:val="24"/>
          <w:szCs w:val="24"/>
        </w:rPr>
        <w:t>inancieras al cubrir el</w:t>
      </w:r>
      <w:r w:rsidR="004325E5" w:rsidRPr="00F43DEC">
        <w:rPr>
          <w:rFonts w:ascii="Arial" w:eastAsia="Arial" w:hAnsi="Arial" w:cs="Arial"/>
          <w:sz w:val="24"/>
          <w:szCs w:val="24"/>
        </w:rPr>
        <w:t xml:space="preserve"> </w:t>
      </w:r>
      <w:r w:rsidR="00E6003C" w:rsidRPr="00F43DEC">
        <w:rPr>
          <w:rFonts w:ascii="Arial" w:eastAsia="Arial" w:hAnsi="Arial" w:cs="Arial"/>
          <w:sz w:val="24"/>
          <w:szCs w:val="24"/>
        </w:rPr>
        <w:t>4</w:t>
      </w:r>
      <w:r w:rsidR="004810A2">
        <w:rPr>
          <w:rFonts w:ascii="Arial" w:eastAsia="Arial" w:hAnsi="Arial" w:cs="Arial"/>
          <w:sz w:val="24"/>
          <w:szCs w:val="24"/>
        </w:rPr>
        <w:t>4.2</w:t>
      </w:r>
      <w:r w:rsidR="00EA4260" w:rsidRPr="00F43DEC">
        <w:rPr>
          <w:rFonts w:ascii="Arial" w:eastAsia="Arial" w:hAnsi="Arial" w:cs="Arial"/>
          <w:sz w:val="24"/>
          <w:szCs w:val="24"/>
        </w:rPr>
        <w:t xml:space="preserve">% </w:t>
      </w:r>
      <w:r w:rsidR="00EA4260" w:rsidRPr="00967568">
        <w:rPr>
          <w:rFonts w:ascii="Arial" w:eastAsia="Arial" w:hAnsi="Arial" w:cs="Arial"/>
          <w:sz w:val="24"/>
          <w:szCs w:val="24"/>
        </w:rPr>
        <w:t xml:space="preserve">del total. El </w:t>
      </w:r>
      <w:r w:rsidR="002A7458" w:rsidRPr="00967568">
        <w:rPr>
          <w:rFonts w:ascii="Arial" w:eastAsia="Arial" w:hAnsi="Arial" w:cs="Arial"/>
          <w:sz w:val="24"/>
          <w:szCs w:val="24"/>
        </w:rPr>
        <w:t>Gobierno general</w:t>
      </w:r>
      <w:r w:rsidR="00EA4260" w:rsidRPr="00967568">
        <w:rPr>
          <w:rFonts w:ascii="Arial" w:eastAsia="Arial" w:hAnsi="Arial" w:cs="Arial"/>
          <w:sz w:val="24"/>
          <w:szCs w:val="24"/>
        </w:rPr>
        <w:t xml:space="preserve"> </w:t>
      </w:r>
      <w:r w:rsidR="00F43DEC" w:rsidRPr="00F43DEC">
        <w:rPr>
          <w:rFonts w:ascii="Arial" w:eastAsia="Arial" w:hAnsi="Arial" w:cs="Arial"/>
          <w:sz w:val="24"/>
          <w:szCs w:val="24"/>
        </w:rPr>
        <w:t xml:space="preserve">aportó </w:t>
      </w:r>
      <w:r w:rsidR="00EA4260" w:rsidRPr="00F43DEC">
        <w:rPr>
          <w:rFonts w:ascii="Arial" w:eastAsia="Arial" w:hAnsi="Arial" w:cs="Arial"/>
          <w:sz w:val="24"/>
          <w:szCs w:val="24"/>
        </w:rPr>
        <w:t xml:space="preserve">el </w:t>
      </w:r>
      <w:r w:rsidR="00E6003C" w:rsidRPr="00F43DEC">
        <w:rPr>
          <w:rFonts w:ascii="Arial" w:eastAsia="Arial" w:hAnsi="Arial" w:cs="Arial"/>
          <w:sz w:val="24"/>
          <w:szCs w:val="24"/>
        </w:rPr>
        <w:t>3</w:t>
      </w:r>
      <w:r w:rsidR="004810A2">
        <w:rPr>
          <w:rFonts w:ascii="Arial" w:eastAsia="Arial" w:hAnsi="Arial" w:cs="Arial"/>
          <w:sz w:val="24"/>
          <w:szCs w:val="24"/>
        </w:rPr>
        <w:t>1.6</w:t>
      </w:r>
      <w:r w:rsidR="00EA4260" w:rsidRPr="00F43DEC">
        <w:rPr>
          <w:rFonts w:ascii="Arial" w:eastAsia="Arial" w:hAnsi="Arial" w:cs="Arial"/>
          <w:sz w:val="24"/>
          <w:szCs w:val="24"/>
        </w:rPr>
        <w:t>% de l</w:t>
      </w:r>
      <w:r w:rsidR="00A65328" w:rsidRPr="00F43DEC">
        <w:rPr>
          <w:rFonts w:ascii="Arial" w:eastAsia="Arial" w:hAnsi="Arial" w:cs="Arial"/>
          <w:sz w:val="24"/>
          <w:szCs w:val="24"/>
        </w:rPr>
        <w:t>as remuneraciones, elemento</w:t>
      </w:r>
      <w:r w:rsidR="00AB7120" w:rsidRPr="00F43DEC">
        <w:rPr>
          <w:rFonts w:ascii="Arial" w:eastAsia="Arial" w:hAnsi="Arial" w:cs="Arial"/>
          <w:sz w:val="24"/>
          <w:szCs w:val="24"/>
        </w:rPr>
        <w:t xml:space="preserve"> </w:t>
      </w:r>
      <w:r w:rsidR="00576351" w:rsidRPr="00F43DEC">
        <w:rPr>
          <w:rFonts w:ascii="Arial" w:eastAsia="Arial" w:hAnsi="Arial" w:cs="Arial"/>
          <w:sz w:val="24"/>
          <w:szCs w:val="24"/>
        </w:rPr>
        <w:t xml:space="preserve">que </w:t>
      </w:r>
      <w:r w:rsidR="00EA4260" w:rsidRPr="00F43DEC">
        <w:rPr>
          <w:rFonts w:ascii="Arial" w:eastAsia="Arial" w:hAnsi="Arial" w:cs="Arial"/>
          <w:sz w:val="24"/>
          <w:szCs w:val="24"/>
        </w:rPr>
        <w:t xml:space="preserve">conforma una </w:t>
      </w:r>
      <w:r w:rsidR="00AE5868" w:rsidRPr="00F43DEC">
        <w:rPr>
          <w:rFonts w:ascii="Arial" w:eastAsia="Arial" w:hAnsi="Arial" w:cs="Arial"/>
          <w:sz w:val="24"/>
          <w:szCs w:val="24"/>
        </w:rPr>
        <w:t>gran parte de su valor agregado. Por su parte,</w:t>
      </w:r>
      <w:r w:rsidR="00EA4260" w:rsidRPr="00F43DEC">
        <w:rPr>
          <w:rFonts w:ascii="Arial" w:eastAsia="Arial" w:hAnsi="Arial" w:cs="Arial"/>
          <w:sz w:val="24"/>
          <w:szCs w:val="24"/>
        </w:rPr>
        <w:t xml:space="preserve"> los Hogares </w:t>
      </w:r>
      <w:r w:rsidR="00AC5882">
        <w:rPr>
          <w:rFonts w:ascii="Arial" w:eastAsia="Arial" w:hAnsi="Arial" w:cs="Arial"/>
          <w:sz w:val="24"/>
          <w:szCs w:val="24"/>
        </w:rPr>
        <w:t>erogaron</w:t>
      </w:r>
      <w:r w:rsidR="00F43DEC" w:rsidRPr="00F43DEC">
        <w:rPr>
          <w:rFonts w:ascii="Arial" w:eastAsia="Arial" w:hAnsi="Arial" w:cs="Arial"/>
          <w:sz w:val="24"/>
          <w:szCs w:val="24"/>
        </w:rPr>
        <w:t xml:space="preserve"> </w:t>
      </w:r>
      <w:r w:rsidR="00AE5868" w:rsidRPr="00F43DEC">
        <w:rPr>
          <w:rFonts w:ascii="Arial" w:eastAsia="Arial" w:hAnsi="Arial" w:cs="Arial"/>
          <w:sz w:val="24"/>
          <w:szCs w:val="24"/>
        </w:rPr>
        <w:t xml:space="preserve">el </w:t>
      </w:r>
      <w:r w:rsidR="00E6003C" w:rsidRPr="00F43DEC">
        <w:rPr>
          <w:rFonts w:ascii="Arial" w:eastAsia="Arial" w:hAnsi="Arial" w:cs="Arial"/>
          <w:sz w:val="24"/>
          <w:szCs w:val="24"/>
        </w:rPr>
        <w:t>1</w:t>
      </w:r>
      <w:r w:rsidR="004810A2">
        <w:rPr>
          <w:rFonts w:ascii="Arial" w:eastAsia="Arial" w:hAnsi="Arial" w:cs="Arial"/>
          <w:sz w:val="24"/>
          <w:szCs w:val="24"/>
        </w:rPr>
        <w:t>9</w:t>
      </w:r>
      <w:r w:rsidR="003C4635" w:rsidRPr="00F43DEC">
        <w:rPr>
          <w:rFonts w:ascii="Arial" w:eastAsia="Arial" w:hAnsi="Arial" w:cs="Arial"/>
          <w:sz w:val="24"/>
          <w:szCs w:val="24"/>
        </w:rPr>
        <w:t>%, las Soci</w:t>
      </w:r>
      <w:r w:rsidR="003C4635">
        <w:rPr>
          <w:rFonts w:ascii="Arial" w:eastAsia="Arial" w:hAnsi="Arial" w:cs="Arial"/>
          <w:sz w:val="24"/>
          <w:szCs w:val="24"/>
        </w:rPr>
        <w:t xml:space="preserve">edades </w:t>
      </w:r>
      <w:r w:rsidR="003C4635" w:rsidRPr="00F43DEC">
        <w:rPr>
          <w:rFonts w:ascii="Arial" w:eastAsia="Arial" w:hAnsi="Arial" w:cs="Arial"/>
          <w:sz w:val="24"/>
          <w:szCs w:val="24"/>
        </w:rPr>
        <w:t>f</w:t>
      </w:r>
      <w:r w:rsidR="00EA4260" w:rsidRPr="00F43DEC">
        <w:rPr>
          <w:rFonts w:ascii="Arial" w:eastAsia="Arial" w:hAnsi="Arial" w:cs="Arial"/>
          <w:sz w:val="24"/>
          <w:szCs w:val="24"/>
        </w:rPr>
        <w:t xml:space="preserve">inancieras </w:t>
      </w:r>
      <w:r w:rsidR="005A03D1" w:rsidRPr="00F43DEC">
        <w:rPr>
          <w:rFonts w:ascii="Arial" w:eastAsia="Arial" w:hAnsi="Arial" w:cs="Arial"/>
          <w:sz w:val="24"/>
          <w:szCs w:val="24"/>
        </w:rPr>
        <w:t>3.</w:t>
      </w:r>
      <w:r w:rsidR="004810A2">
        <w:rPr>
          <w:rFonts w:ascii="Arial" w:eastAsia="Arial" w:hAnsi="Arial" w:cs="Arial"/>
          <w:sz w:val="24"/>
          <w:szCs w:val="24"/>
        </w:rPr>
        <w:t>4</w:t>
      </w:r>
      <w:r w:rsidR="00EA4260" w:rsidRPr="00F43DEC">
        <w:rPr>
          <w:rFonts w:ascii="Arial" w:eastAsia="Arial" w:hAnsi="Arial" w:cs="Arial"/>
          <w:sz w:val="24"/>
          <w:szCs w:val="24"/>
        </w:rPr>
        <w:t xml:space="preserve">% y las </w:t>
      </w:r>
      <w:r w:rsidR="00D93129" w:rsidRPr="00F43DEC">
        <w:rPr>
          <w:rFonts w:ascii="Arial" w:eastAsia="Arial" w:hAnsi="Arial" w:cs="Arial"/>
          <w:sz w:val="24"/>
          <w:szCs w:val="24"/>
        </w:rPr>
        <w:t>ISFLSH</w:t>
      </w:r>
      <w:r w:rsidR="00EA4260" w:rsidRPr="00F43DEC">
        <w:rPr>
          <w:rFonts w:ascii="Arial" w:eastAsia="Arial" w:hAnsi="Arial" w:cs="Arial"/>
          <w:sz w:val="24"/>
          <w:szCs w:val="24"/>
        </w:rPr>
        <w:t xml:space="preserve"> el</w:t>
      </w:r>
      <w:r w:rsidR="00D45F62" w:rsidRPr="00F43DEC">
        <w:rPr>
          <w:rFonts w:ascii="Arial" w:eastAsia="Arial" w:hAnsi="Arial" w:cs="Arial"/>
          <w:sz w:val="24"/>
          <w:szCs w:val="24"/>
        </w:rPr>
        <w:t xml:space="preserve"> 1</w:t>
      </w:r>
      <w:r w:rsidR="00E7569A" w:rsidRPr="00F43DEC">
        <w:rPr>
          <w:rFonts w:ascii="Arial" w:eastAsia="Arial" w:hAnsi="Arial" w:cs="Arial"/>
          <w:sz w:val="24"/>
          <w:szCs w:val="24"/>
        </w:rPr>
        <w:t>.</w:t>
      </w:r>
      <w:r w:rsidR="004810A2">
        <w:rPr>
          <w:rFonts w:ascii="Arial" w:eastAsia="Arial" w:hAnsi="Arial" w:cs="Arial"/>
          <w:sz w:val="24"/>
          <w:szCs w:val="24"/>
        </w:rPr>
        <w:t>8</w:t>
      </w:r>
      <w:r w:rsidR="00EA4260" w:rsidRPr="00F43DEC">
        <w:rPr>
          <w:rFonts w:ascii="Arial" w:eastAsia="Arial" w:hAnsi="Arial" w:cs="Arial"/>
          <w:sz w:val="24"/>
          <w:szCs w:val="24"/>
        </w:rPr>
        <w:t>% restante</w:t>
      </w:r>
      <w:r w:rsidR="00E41821" w:rsidRPr="00F43DEC">
        <w:rPr>
          <w:rFonts w:ascii="Arial" w:eastAsia="Arial" w:hAnsi="Arial" w:cs="Arial"/>
          <w:sz w:val="24"/>
          <w:szCs w:val="24"/>
        </w:rPr>
        <w:t xml:space="preserve"> </w:t>
      </w:r>
      <w:r w:rsidR="00E41821">
        <w:rPr>
          <w:rFonts w:ascii="Arial" w:eastAsia="Arial" w:hAnsi="Arial" w:cs="Arial"/>
          <w:sz w:val="24"/>
          <w:szCs w:val="24"/>
        </w:rPr>
        <w:t>(ver gráfica siguiente)</w:t>
      </w:r>
      <w:r w:rsidR="00EA4260" w:rsidRPr="00967568">
        <w:rPr>
          <w:rFonts w:ascii="Arial" w:eastAsia="Arial" w:hAnsi="Arial" w:cs="Arial"/>
          <w:sz w:val="24"/>
          <w:szCs w:val="24"/>
        </w:rPr>
        <w:t>.</w:t>
      </w:r>
    </w:p>
    <w:p w14:paraId="5A8772E4" w14:textId="77777777" w:rsidR="0058569B" w:rsidRPr="00AD4CC1" w:rsidRDefault="0058569B" w:rsidP="004F6636">
      <w:pPr>
        <w:spacing w:before="240" w:after="0" w:line="240" w:lineRule="auto"/>
        <w:ind w:right="31"/>
        <w:jc w:val="center"/>
        <w:rPr>
          <w:rFonts w:ascii="Arial" w:eastAsia="Arial" w:hAnsi="Arial" w:cs="Arial"/>
          <w:bCs/>
          <w:spacing w:val="-1"/>
          <w:sz w:val="24"/>
          <w:szCs w:val="18"/>
        </w:rPr>
      </w:pPr>
      <w:r w:rsidRPr="00AD4CC1">
        <w:rPr>
          <w:rFonts w:ascii="Arial" w:eastAsia="Arial" w:hAnsi="Arial" w:cs="Arial"/>
          <w:bCs/>
          <w:spacing w:val="-1"/>
          <w:sz w:val="24"/>
          <w:szCs w:val="18"/>
        </w:rPr>
        <w:lastRenderedPageBreak/>
        <w:t xml:space="preserve">Gráfica </w:t>
      </w:r>
      <w:r>
        <w:rPr>
          <w:rFonts w:ascii="Arial" w:eastAsia="Arial" w:hAnsi="Arial" w:cs="Arial"/>
          <w:bCs/>
          <w:spacing w:val="-1"/>
          <w:sz w:val="24"/>
          <w:szCs w:val="18"/>
        </w:rPr>
        <w:t>2</w:t>
      </w:r>
    </w:p>
    <w:p w14:paraId="194F86CC" w14:textId="77777777" w:rsidR="0064647D" w:rsidRPr="0064647D" w:rsidRDefault="0058569B" w:rsidP="0058569B">
      <w:pPr>
        <w:spacing w:after="0" w:line="240" w:lineRule="auto"/>
        <w:ind w:right="31"/>
        <w:jc w:val="center"/>
        <w:rPr>
          <w:rFonts w:ascii="Arial" w:hAnsi="Arial" w:cs="Arial"/>
          <w:b/>
          <w:smallCaps/>
          <w:sz w:val="24"/>
        </w:rPr>
      </w:pPr>
      <w:r w:rsidRPr="0064647D">
        <w:rPr>
          <w:rFonts w:ascii="Arial" w:hAnsi="Arial" w:cs="Arial"/>
          <w:b/>
          <w:smallCaps/>
          <w:sz w:val="24"/>
        </w:rPr>
        <w:t>Composición de la Remuneración de Asalariados</w:t>
      </w:r>
      <w:r w:rsidR="00005B5E">
        <w:rPr>
          <w:rFonts w:ascii="Arial" w:hAnsi="Arial" w:cs="Arial"/>
          <w:b/>
          <w:smallCaps/>
          <w:sz w:val="24"/>
        </w:rPr>
        <w:t xml:space="preserve"> por S</w:t>
      </w:r>
      <w:r w:rsidR="0064647D" w:rsidRPr="0064647D">
        <w:rPr>
          <w:rFonts w:ascii="Arial" w:hAnsi="Arial" w:cs="Arial"/>
          <w:b/>
          <w:smallCaps/>
          <w:sz w:val="24"/>
        </w:rPr>
        <w:t xml:space="preserve">ector </w:t>
      </w:r>
    </w:p>
    <w:p w14:paraId="1AF2FE27" w14:textId="77777777" w:rsidR="00A47946" w:rsidRPr="0064647D" w:rsidRDefault="00005B5E" w:rsidP="0058569B">
      <w:pPr>
        <w:spacing w:after="0" w:line="240" w:lineRule="auto"/>
        <w:ind w:right="31"/>
        <w:jc w:val="center"/>
        <w:rPr>
          <w:rFonts w:ascii="Arial" w:eastAsia="Arial" w:hAnsi="Arial" w:cs="Arial"/>
          <w:sz w:val="20"/>
          <w:szCs w:val="18"/>
        </w:rPr>
      </w:pPr>
      <w:r>
        <w:rPr>
          <w:rFonts w:ascii="Arial" w:hAnsi="Arial" w:cs="Arial"/>
          <w:b/>
          <w:smallCaps/>
          <w:sz w:val="24"/>
        </w:rPr>
        <w:t>I</w:t>
      </w:r>
      <w:r w:rsidR="0064647D" w:rsidRPr="0064647D">
        <w:rPr>
          <w:rFonts w:ascii="Arial" w:hAnsi="Arial" w:cs="Arial"/>
          <w:b/>
          <w:smallCaps/>
          <w:sz w:val="24"/>
        </w:rPr>
        <w:t>nstitucional</w:t>
      </w:r>
      <w:r w:rsidR="0058569B" w:rsidRPr="0064647D">
        <w:rPr>
          <w:rFonts w:ascii="Arial" w:hAnsi="Arial" w:cs="Arial"/>
          <w:b/>
          <w:smallCaps/>
          <w:sz w:val="24"/>
        </w:rPr>
        <w:t xml:space="preserve">, </w:t>
      </w:r>
      <w:r w:rsidR="00AC5882">
        <w:rPr>
          <w:rFonts w:ascii="Arial" w:hAnsi="Arial" w:cs="Arial"/>
          <w:b/>
          <w:smallCaps/>
          <w:sz w:val="24"/>
        </w:rPr>
        <w:t>2018</w:t>
      </w:r>
    </w:p>
    <w:p w14:paraId="770CE0ED" w14:textId="77777777" w:rsidR="00DD2327" w:rsidRPr="00967568" w:rsidRDefault="00A47946" w:rsidP="0058569B">
      <w:pPr>
        <w:spacing w:after="0" w:line="203" w:lineRule="exact"/>
        <w:ind w:left="3469" w:right="3445"/>
        <w:jc w:val="center"/>
        <w:rPr>
          <w:rFonts w:ascii="Arial" w:eastAsia="Arial" w:hAnsi="Arial" w:cs="Arial"/>
          <w:spacing w:val="-1"/>
          <w:sz w:val="16"/>
          <w:szCs w:val="16"/>
        </w:rPr>
      </w:pPr>
      <w:r w:rsidRPr="00967568">
        <w:rPr>
          <w:rFonts w:ascii="Arial" w:eastAsia="Arial" w:hAnsi="Arial" w:cs="Arial"/>
          <w:spacing w:val="1"/>
          <w:position w:val="-1"/>
          <w:sz w:val="18"/>
          <w:szCs w:val="18"/>
        </w:rPr>
        <w:t>(</w:t>
      </w:r>
      <w:r w:rsidRPr="00967568">
        <w:rPr>
          <w:rFonts w:ascii="Arial" w:eastAsia="Arial" w:hAnsi="Arial" w:cs="Arial"/>
          <w:spacing w:val="-2"/>
          <w:position w:val="-1"/>
          <w:sz w:val="18"/>
          <w:szCs w:val="18"/>
        </w:rPr>
        <w:t>E</w:t>
      </w:r>
      <w:r w:rsidRPr="00967568">
        <w:rPr>
          <w:rFonts w:ascii="Arial" w:eastAsia="Arial" w:hAnsi="Arial" w:cs="Arial"/>
          <w:position w:val="-1"/>
          <w:sz w:val="18"/>
          <w:szCs w:val="18"/>
        </w:rPr>
        <w:t>s</w:t>
      </w:r>
      <w:r w:rsidRPr="00967568">
        <w:rPr>
          <w:rFonts w:ascii="Arial" w:eastAsia="Arial" w:hAnsi="Arial" w:cs="Arial"/>
          <w:spacing w:val="2"/>
          <w:position w:val="-1"/>
          <w:sz w:val="18"/>
          <w:szCs w:val="18"/>
        </w:rPr>
        <w:t>t</w:t>
      </w:r>
      <w:r w:rsidRPr="00967568">
        <w:rPr>
          <w:rFonts w:ascii="Arial" w:eastAsia="Arial" w:hAnsi="Arial" w:cs="Arial"/>
          <w:spacing w:val="1"/>
          <w:position w:val="-1"/>
          <w:sz w:val="18"/>
          <w:szCs w:val="18"/>
        </w:rPr>
        <w:t>r</w:t>
      </w:r>
      <w:r w:rsidRPr="00967568">
        <w:rPr>
          <w:rFonts w:ascii="Arial" w:eastAsia="Arial" w:hAnsi="Arial" w:cs="Arial"/>
          <w:spacing w:val="-1"/>
          <w:position w:val="-1"/>
          <w:sz w:val="18"/>
          <w:szCs w:val="18"/>
        </w:rPr>
        <w:t>u</w:t>
      </w:r>
      <w:r w:rsidRPr="00967568">
        <w:rPr>
          <w:rFonts w:ascii="Arial" w:eastAsia="Arial" w:hAnsi="Arial" w:cs="Arial"/>
          <w:position w:val="-1"/>
          <w:sz w:val="18"/>
          <w:szCs w:val="18"/>
        </w:rPr>
        <w:t>c</w:t>
      </w:r>
      <w:r w:rsidRPr="00967568">
        <w:rPr>
          <w:rFonts w:ascii="Arial" w:eastAsia="Arial" w:hAnsi="Arial" w:cs="Arial"/>
          <w:spacing w:val="2"/>
          <w:position w:val="-1"/>
          <w:sz w:val="18"/>
          <w:szCs w:val="18"/>
        </w:rPr>
        <w:t>t</w:t>
      </w:r>
      <w:r w:rsidRPr="00967568">
        <w:rPr>
          <w:rFonts w:ascii="Arial" w:eastAsia="Arial" w:hAnsi="Arial" w:cs="Arial"/>
          <w:spacing w:val="-1"/>
          <w:position w:val="-1"/>
          <w:sz w:val="18"/>
          <w:szCs w:val="18"/>
        </w:rPr>
        <w:t>u</w:t>
      </w:r>
      <w:r w:rsidRPr="00967568">
        <w:rPr>
          <w:rFonts w:ascii="Arial" w:eastAsia="Arial" w:hAnsi="Arial" w:cs="Arial"/>
          <w:spacing w:val="1"/>
          <w:position w:val="-1"/>
          <w:sz w:val="18"/>
          <w:szCs w:val="18"/>
        </w:rPr>
        <w:t>r</w:t>
      </w:r>
      <w:r w:rsidRPr="00967568">
        <w:rPr>
          <w:rFonts w:ascii="Arial" w:eastAsia="Arial" w:hAnsi="Arial" w:cs="Arial"/>
          <w:position w:val="-1"/>
          <w:sz w:val="18"/>
          <w:szCs w:val="18"/>
        </w:rPr>
        <w:t>a</w:t>
      </w:r>
      <w:r w:rsidRPr="00967568">
        <w:rPr>
          <w:rFonts w:ascii="Arial" w:eastAsia="Arial" w:hAnsi="Arial" w:cs="Arial"/>
          <w:spacing w:val="11"/>
          <w:position w:val="-1"/>
          <w:sz w:val="18"/>
          <w:szCs w:val="18"/>
        </w:rPr>
        <w:t xml:space="preserve"> </w:t>
      </w:r>
      <w:r w:rsidRPr="00967568">
        <w:rPr>
          <w:rFonts w:ascii="Arial" w:eastAsia="Arial" w:hAnsi="Arial" w:cs="Arial"/>
          <w:spacing w:val="-2"/>
          <w:w w:val="101"/>
          <w:position w:val="-1"/>
          <w:sz w:val="18"/>
          <w:szCs w:val="18"/>
        </w:rPr>
        <w:t>P</w:t>
      </w:r>
      <w:r w:rsidRPr="00967568">
        <w:rPr>
          <w:rFonts w:ascii="Arial" w:eastAsia="Arial" w:hAnsi="Arial" w:cs="Arial"/>
          <w:spacing w:val="-1"/>
          <w:w w:val="101"/>
          <w:position w:val="-1"/>
          <w:sz w:val="18"/>
          <w:szCs w:val="18"/>
        </w:rPr>
        <w:t>o</w:t>
      </w:r>
      <w:r w:rsidRPr="00967568">
        <w:rPr>
          <w:rFonts w:ascii="Arial" w:eastAsia="Arial" w:hAnsi="Arial" w:cs="Arial"/>
          <w:spacing w:val="1"/>
          <w:w w:val="101"/>
          <w:position w:val="-1"/>
          <w:sz w:val="18"/>
          <w:szCs w:val="18"/>
        </w:rPr>
        <w:t>r</w:t>
      </w:r>
      <w:r w:rsidRPr="00967568">
        <w:rPr>
          <w:rFonts w:ascii="Arial" w:eastAsia="Arial" w:hAnsi="Arial" w:cs="Arial"/>
          <w:w w:val="101"/>
          <w:position w:val="-1"/>
          <w:sz w:val="18"/>
          <w:szCs w:val="18"/>
        </w:rPr>
        <w:t>c</w:t>
      </w:r>
      <w:r w:rsidRPr="00967568">
        <w:rPr>
          <w:rFonts w:ascii="Arial" w:eastAsia="Arial" w:hAnsi="Arial" w:cs="Arial"/>
          <w:spacing w:val="-5"/>
          <w:w w:val="101"/>
          <w:position w:val="-1"/>
          <w:sz w:val="18"/>
          <w:szCs w:val="18"/>
        </w:rPr>
        <w:t>e</w:t>
      </w:r>
      <w:r w:rsidRPr="00967568">
        <w:rPr>
          <w:rFonts w:ascii="Arial" w:eastAsia="Arial" w:hAnsi="Arial" w:cs="Arial"/>
          <w:spacing w:val="-1"/>
          <w:w w:val="101"/>
          <w:position w:val="-1"/>
          <w:sz w:val="18"/>
          <w:szCs w:val="18"/>
        </w:rPr>
        <w:t>n</w:t>
      </w:r>
      <w:r w:rsidRPr="00967568">
        <w:rPr>
          <w:rFonts w:ascii="Arial" w:eastAsia="Arial" w:hAnsi="Arial" w:cs="Arial"/>
          <w:spacing w:val="2"/>
          <w:w w:val="101"/>
          <w:position w:val="-1"/>
          <w:sz w:val="18"/>
          <w:szCs w:val="18"/>
        </w:rPr>
        <w:t>t</w:t>
      </w:r>
      <w:r w:rsidRPr="00967568">
        <w:rPr>
          <w:rFonts w:ascii="Arial" w:eastAsia="Arial" w:hAnsi="Arial" w:cs="Arial"/>
          <w:spacing w:val="-1"/>
          <w:w w:val="101"/>
          <w:position w:val="-1"/>
          <w:sz w:val="18"/>
          <w:szCs w:val="18"/>
        </w:rPr>
        <w:t>ua</w:t>
      </w:r>
      <w:r w:rsidRPr="00967568">
        <w:rPr>
          <w:rFonts w:ascii="Arial" w:eastAsia="Arial" w:hAnsi="Arial" w:cs="Arial"/>
          <w:spacing w:val="3"/>
          <w:w w:val="101"/>
          <w:position w:val="-1"/>
          <w:sz w:val="18"/>
          <w:szCs w:val="18"/>
        </w:rPr>
        <w:t>l</w:t>
      </w:r>
      <w:r w:rsidRPr="00967568">
        <w:rPr>
          <w:rFonts w:ascii="Arial" w:eastAsia="Arial" w:hAnsi="Arial" w:cs="Arial"/>
          <w:w w:val="101"/>
          <w:position w:val="-1"/>
          <w:sz w:val="18"/>
          <w:szCs w:val="18"/>
        </w:rPr>
        <w:t>)</w:t>
      </w:r>
    </w:p>
    <w:p w14:paraId="441DDE3B" w14:textId="77777777" w:rsidR="00D15309" w:rsidRPr="00D15309" w:rsidRDefault="00AC5882" w:rsidP="00D15309">
      <w:pPr>
        <w:spacing w:before="80" w:after="0" w:line="244" w:lineRule="auto"/>
        <w:ind w:right="31"/>
        <w:jc w:val="center"/>
        <w:rPr>
          <w:rFonts w:ascii="Arial" w:eastAsia="Arial" w:hAnsi="Arial" w:cs="Arial"/>
          <w:spacing w:val="-1"/>
          <w:sz w:val="16"/>
          <w:szCs w:val="16"/>
        </w:rPr>
      </w:pPr>
      <w:r w:rsidRPr="00AC5882">
        <w:rPr>
          <w:noProof/>
          <w:lang w:eastAsia="es-MX"/>
        </w:rPr>
        <w:drawing>
          <wp:inline distT="0" distB="0" distL="0" distR="0" wp14:anchorId="1E0843E7" wp14:editId="3E21B9ED">
            <wp:extent cx="4830721" cy="3240000"/>
            <wp:effectExtent l="19050" t="19050" r="27305" b="177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830721" cy="3240000"/>
                    </a:xfrm>
                    <a:prstGeom prst="rect">
                      <a:avLst/>
                    </a:prstGeom>
                    <a:noFill/>
                    <a:ln>
                      <a:solidFill>
                        <a:schemeClr val="tx1"/>
                      </a:solidFill>
                    </a:ln>
                  </pic:spPr>
                </pic:pic>
              </a:graphicData>
            </a:graphic>
          </wp:inline>
        </w:drawing>
      </w:r>
    </w:p>
    <w:p w14:paraId="48E35A45" w14:textId="77777777" w:rsidR="003F1E04" w:rsidRDefault="00B95B1D" w:rsidP="00330A88">
      <w:pPr>
        <w:spacing w:after="0" w:line="244" w:lineRule="auto"/>
        <w:ind w:left="709" w:right="31"/>
        <w:rPr>
          <w:rFonts w:ascii="Arial" w:eastAsia="Arial" w:hAnsi="Arial" w:cs="Arial"/>
          <w:spacing w:val="-1"/>
          <w:sz w:val="16"/>
          <w:szCs w:val="16"/>
        </w:rPr>
      </w:pPr>
      <w:r w:rsidRPr="00967568">
        <w:rPr>
          <w:rFonts w:ascii="Arial" w:eastAsia="Arial" w:hAnsi="Arial" w:cs="Arial"/>
          <w:spacing w:val="-1"/>
          <w:sz w:val="16"/>
          <w:szCs w:val="16"/>
        </w:rPr>
        <w:t>F</w:t>
      </w:r>
      <w:r w:rsidRPr="00967568">
        <w:rPr>
          <w:rFonts w:ascii="Arial" w:eastAsia="Arial" w:hAnsi="Arial" w:cs="Arial"/>
          <w:spacing w:val="-2"/>
          <w:sz w:val="16"/>
          <w:szCs w:val="16"/>
        </w:rPr>
        <w:t>u</w:t>
      </w:r>
      <w:r w:rsidRPr="00967568">
        <w:rPr>
          <w:rFonts w:ascii="Arial" w:eastAsia="Arial" w:hAnsi="Arial" w:cs="Arial"/>
          <w:spacing w:val="-6"/>
          <w:sz w:val="16"/>
          <w:szCs w:val="16"/>
        </w:rPr>
        <w:t>e</w:t>
      </w:r>
      <w:r w:rsidRPr="00967568">
        <w:rPr>
          <w:rFonts w:ascii="Arial" w:eastAsia="Arial" w:hAnsi="Arial" w:cs="Arial"/>
          <w:spacing w:val="-2"/>
          <w:sz w:val="16"/>
          <w:szCs w:val="16"/>
        </w:rPr>
        <w:t>n</w:t>
      </w:r>
      <w:r w:rsidRPr="00967568">
        <w:rPr>
          <w:rFonts w:ascii="Arial" w:eastAsia="Arial" w:hAnsi="Arial" w:cs="Arial"/>
          <w:spacing w:val="-1"/>
          <w:sz w:val="16"/>
          <w:szCs w:val="16"/>
        </w:rPr>
        <w:t>t</w:t>
      </w:r>
      <w:r w:rsidRPr="00967568">
        <w:rPr>
          <w:rFonts w:ascii="Arial" w:eastAsia="Arial" w:hAnsi="Arial" w:cs="Arial"/>
          <w:spacing w:val="-6"/>
          <w:sz w:val="16"/>
          <w:szCs w:val="16"/>
        </w:rPr>
        <w:t>e</w:t>
      </w:r>
      <w:r w:rsidRPr="00967568">
        <w:rPr>
          <w:rFonts w:ascii="Arial" w:eastAsia="Arial" w:hAnsi="Arial" w:cs="Arial"/>
          <w:sz w:val="16"/>
          <w:szCs w:val="16"/>
        </w:rPr>
        <w:t>:</w:t>
      </w:r>
      <w:r w:rsidRPr="00967568">
        <w:rPr>
          <w:rFonts w:ascii="Arial" w:eastAsia="Arial" w:hAnsi="Arial" w:cs="Arial"/>
          <w:spacing w:val="-7"/>
          <w:sz w:val="16"/>
          <w:szCs w:val="16"/>
        </w:rPr>
        <w:t xml:space="preserve"> </w:t>
      </w:r>
      <w:r w:rsidRPr="00967568">
        <w:rPr>
          <w:rFonts w:ascii="Arial" w:eastAsia="Arial" w:hAnsi="Arial" w:cs="Arial"/>
          <w:spacing w:val="-1"/>
          <w:sz w:val="16"/>
          <w:szCs w:val="16"/>
        </w:rPr>
        <w:t>I</w:t>
      </w:r>
      <w:r w:rsidRPr="00967568">
        <w:rPr>
          <w:rFonts w:ascii="Arial" w:eastAsia="Arial" w:hAnsi="Arial" w:cs="Arial"/>
          <w:spacing w:val="1"/>
          <w:sz w:val="16"/>
          <w:szCs w:val="16"/>
        </w:rPr>
        <w:t>N</w:t>
      </w:r>
      <w:r w:rsidRPr="00967568">
        <w:rPr>
          <w:rFonts w:ascii="Arial" w:eastAsia="Arial" w:hAnsi="Arial" w:cs="Arial"/>
          <w:sz w:val="16"/>
          <w:szCs w:val="16"/>
        </w:rPr>
        <w:t>E</w:t>
      </w:r>
      <w:r w:rsidRPr="00967568">
        <w:rPr>
          <w:rFonts w:ascii="Arial" w:eastAsia="Arial" w:hAnsi="Arial" w:cs="Arial"/>
          <w:spacing w:val="1"/>
          <w:sz w:val="16"/>
          <w:szCs w:val="16"/>
        </w:rPr>
        <w:t>G</w:t>
      </w:r>
      <w:r w:rsidRPr="00967568">
        <w:rPr>
          <w:rFonts w:ascii="Arial" w:eastAsia="Arial" w:hAnsi="Arial" w:cs="Arial"/>
          <w:spacing w:val="-1"/>
          <w:sz w:val="16"/>
          <w:szCs w:val="16"/>
        </w:rPr>
        <w:t>I</w:t>
      </w:r>
    </w:p>
    <w:p w14:paraId="550AE4ED" w14:textId="70B41E2E" w:rsidR="00CC4F8B" w:rsidRPr="00967568" w:rsidRDefault="00332F75" w:rsidP="00330A88">
      <w:pPr>
        <w:widowControl/>
        <w:spacing w:before="240" w:line="240" w:lineRule="auto"/>
        <w:jc w:val="both"/>
        <w:rPr>
          <w:rFonts w:ascii="Arial" w:eastAsia="Arial" w:hAnsi="Arial" w:cs="Arial"/>
          <w:b/>
          <w:bCs/>
          <w:sz w:val="24"/>
          <w:szCs w:val="24"/>
        </w:rPr>
      </w:pPr>
      <w:r>
        <w:rPr>
          <w:rFonts w:ascii="Arial" w:eastAsia="Calibri" w:hAnsi="Arial" w:cs="Arial"/>
          <w:b/>
          <w:sz w:val="24"/>
          <w:szCs w:val="28"/>
        </w:rPr>
        <w:t>Determinación y d</w:t>
      </w:r>
      <w:r w:rsidR="00A51977">
        <w:rPr>
          <w:rFonts w:ascii="Arial" w:eastAsia="Calibri" w:hAnsi="Arial" w:cs="Arial"/>
          <w:b/>
          <w:sz w:val="24"/>
          <w:szCs w:val="28"/>
        </w:rPr>
        <w:t xml:space="preserve">istribución del Ingreso Nacional </w:t>
      </w:r>
      <w:r w:rsidR="00E10F59">
        <w:rPr>
          <w:rFonts w:ascii="Arial" w:eastAsia="Calibri" w:hAnsi="Arial" w:cs="Arial"/>
          <w:b/>
          <w:sz w:val="24"/>
          <w:szCs w:val="28"/>
        </w:rPr>
        <w:t>Disponible</w:t>
      </w:r>
      <w:r w:rsidR="00514432" w:rsidRPr="00514432">
        <w:rPr>
          <w:rFonts w:ascii="Arial" w:eastAsia="Calibri" w:hAnsi="Arial" w:cs="Arial"/>
          <w:b/>
          <w:sz w:val="24"/>
          <w:szCs w:val="28"/>
        </w:rPr>
        <w:t xml:space="preserve"> </w:t>
      </w:r>
      <w:r w:rsidR="00514432">
        <w:rPr>
          <w:rFonts w:ascii="Arial" w:eastAsia="Calibri" w:hAnsi="Arial" w:cs="Arial"/>
          <w:b/>
          <w:sz w:val="24"/>
          <w:szCs w:val="28"/>
        </w:rPr>
        <w:t>Bruto</w:t>
      </w:r>
    </w:p>
    <w:p w14:paraId="6A11E8C8" w14:textId="464599B7" w:rsidR="0037163F" w:rsidRDefault="00116F39" w:rsidP="00EF117C">
      <w:pPr>
        <w:spacing w:before="120" w:after="0" w:line="246" w:lineRule="auto"/>
        <w:jc w:val="both"/>
        <w:rPr>
          <w:rFonts w:ascii="Arial" w:eastAsia="Arial" w:hAnsi="Arial" w:cs="Arial"/>
          <w:sz w:val="24"/>
          <w:szCs w:val="24"/>
        </w:rPr>
      </w:pPr>
      <w:r>
        <w:rPr>
          <w:rFonts w:ascii="Arial" w:eastAsia="Arial" w:hAnsi="Arial" w:cs="Arial"/>
          <w:sz w:val="24"/>
          <w:szCs w:val="24"/>
        </w:rPr>
        <w:t>El Ingreso N</w:t>
      </w:r>
      <w:r w:rsidR="00EA4260" w:rsidRPr="00967568">
        <w:rPr>
          <w:rFonts w:ascii="Arial" w:eastAsia="Arial" w:hAnsi="Arial" w:cs="Arial"/>
          <w:sz w:val="24"/>
          <w:szCs w:val="24"/>
        </w:rPr>
        <w:t>acional</w:t>
      </w:r>
      <w:r>
        <w:rPr>
          <w:rFonts w:ascii="Arial" w:eastAsia="Arial" w:hAnsi="Arial" w:cs="Arial"/>
          <w:sz w:val="24"/>
          <w:szCs w:val="24"/>
        </w:rPr>
        <w:t xml:space="preserve"> Disponible</w:t>
      </w:r>
      <w:r w:rsidR="00EA4260" w:rsidRPr="00967568">
        <w:rPr>
          <w:rFonts w:ascii="Arial" w:eastAsia="Arial" w:hAnsi="Arial" w:cs="Arial"/>
          <w:sz w:val="24"/>
          <w:szCs w:val="24"/>
        </w:rPr>
        <w:t xml:space="preserve"> </w:t>
      </w:r>
      <w:r w:rsidR="003F06E3">
        <w:rPr>
          <w:rFonts w:ascii="Arial" w:eastAsia="Arial" w:hAnsi="Arial" w:cs="Arial"/>
          <w:sz w:val="24"/>
          <w:szCs w:val="24"/>
        </w:rPr>
        <w:t xml:space="preserve">Bruto </w:t>
      </w:r>
      <w:r w:rsidR="00EA4260" w:rsidRPr="00967568">
        <w:rPr>
          <w:rFonts w:ascii="Arial" w:eastAsia="Arial" w:hAnsi="Arial" w:cs="Arial"/>
          <w:sz w:val="24"/>
          <w:szCs w:val="24"/>
        </w:rPr>
        <w:t>representa los ingresos generados por los sectores institucionales, derivados de su participac</w:t>
      </w:r>
      <w:r w:rsidR="00A564BF">
        <w:rPr>
          <w:rFonts w:ascii="Arial" w:eastAsia="Arial" w:hAnsi="Arial" w:cs="Arial"/>
          <w:sz w:val="24"/>
          <w:szCs w:val="24"/>
        </w:rPr>
        <w:t>ión en el proceso productivo, las</w:t>
      </w:r>
      <w:r w:rsidR="00EA4260" w:rsidRPr="00967568">
        <w:rPr>
          <w:rFonts w:ascii="Arial" w:eastAsia="Arial" w:hAnsi="Arial" w:cs="Arial"/>
          <w:sz w:val="24"/>
          <w:szCs w:val="24"/>
        </w:rPr>
        <w:t xml:space="preserve"> rentas de la propiedad</w:t>
      </w:r>
      <w:r w:rsidR="00A564BF">
        <w:rPr>
          <w:rFonts w:ascii="Arial" w:eastAsia="Arial" w:hAnsi="Arial" w:cs="Arial"/>
          <w:sz w:val="24"/>
          <w:szCs w:val="24"/>
        </w:rPr>
        <w:t xml:space="preserve"> y</w:t>
      </w:r>
      <w:r w:rsidR="00A51977">
        <w:rPr>
          <w:rFonts w:ascii="Arial" w:eastAsia="Arial" w:hAnsi="Arial" w:cs="Arial"/>
          <w:sz w:val="24"/>
          <w:szCs w:val="24"/>
        </w:rPr>
        <w:t xml:space="preserve"> las transferencias</w:t>
      </w:r>
      <w:r w:rsidR="00A564BF">
        <w:rPr>
          <w:rFonts w:ascii="Arial" w:eastAsia="Arial" w:hAnsi="Arial" w:cs="Arial"/>
          <w:sz w:val="24"/>
          <w:szCs w:val="24"/>
        </w:rPr>
        <w:t xml:space="preserve"> corrientes</w:t>
      </w:r>
      <w:r w:rsidR="00A51977">
        <w:rPr>
          <w:rFonts w:ascii="Arial" w:eastAsia="Arial" w:hAnsi="Arial" w:cs="Arial"/>
          <w:sz w:val="24"/>
          <w:szCs w:val="24"/>
        </w:rPr>
        <w:t xml:space="preserve"> del exterior</w:t>
      </w:r>
      <w:r w:rsidR="00EA4260" w:rsidRPr="00967568">
        <w:rPr>
          <w:rFonts w:ascii="Arial" w:eastAsia="Arial" w:hAnsi="Arial" w:cs="Arial"/>
          <w:sz w:val="24"/>
          <w:szCs w:val="24"/>
        </w:rPr>
        <w:t>. Está conformado por la remuneración que perciben los asalariados, por el excedente de operación (ganancias empresariales asociadas a su actividad), el ingreso mixto de los Hogares, las rentas de la pr</w:t>
      </w:r>
      <w:r w:rsidR="00A51977">
        <w:rPr>
          <w:rFonts w:ascii="Arial" w:eastAsia="Arial" w:hAnsi="Arial" w:cs="Arial"/>
          <w:sz w:val="24"/>
          <w:szCs w:val="24"/>
        </w:rPr>
        <w:t>opiedad, la renta de la tierra,</w:t>
      </w:r>
      <w:r w:rsidR="00EA4260" w:rsidRPr="00967568">
        <w:rPr>
          <w:rFonts w:ascii="Arial" w:eastAsia="Arial" w:hAnsi="Arial" w:cs="Arial"/>
          <w:sz w:val="24"/>
          <w:szCs w:val="24"/>
        </w:rPr>
        <w:t xml:space="preserve"> los impuestos a la producción netos de subsidios cobrados por el Gobierno</w:t>
      </w:r>
      <w:r w:rsidR="00A564BF">
        <w:rPr>
          <w:rFonts w:ascii="Arial" w:eastAsia="Arial" w:hAnsi="Arial" w:cs="Arial"/>
          <w:sz w:val="24"/>
          <w:szCs w:val="24"/>
        </w:rPr>
        <w:t xml:space="preserve"> y la</w:t>
      </w:r>
      <w:r w:rsidR="00A51977">
        <w:rPr>
          <w:rFonts w:ascii="Arial" w:eastAsia="Arial" w:hAnsi="Arial" w:cs="Arial"/>
          <w:sz w:val="24"/>
          <w:szCs w:val="24"/>
        </w:rPr>
        <w:t>s</w:t>
      </w:r>
      <w:r w:rsidR="00A564BF">
        <w:rPr>
          <w:rFonts w:ascii="Arial" w:eastAsia="Arial" w:hAnsi="Arial" w:cs="Arial"/>
          <w:sz w:val="24"/>
          <w:szCs w:val="24"/>
        </w:rPr>
        <w:t xml:space="preserve"> denominadas “otras transferencias corrientes” netas recibidas del </w:t>
      </w:r>
      <w:r w:rsidR="00A564BF" w:rsidRPr="00332F75">
        <w:rPr>
          <w:rFonts w:ascii="Arial" w:eastAsia="Arial" w:hAnsi="Arial" w:cs="Arial"/>
          <w:sz w:val="24"/>
          <w:szCs w:val="24"/>
        </w:rPr>
        <w:t>exterior</w:t>
      </w:r>
      <w:r w:rsidR="00A564BF" w:rsidRPr="00332F75">
        <w:rPr>
          <w:rStyle w:val="Refdenotaalpie"/>
          <w:rFonts w:ascii="Arial" w:eastAsia="Arial" w:hAnsi="Arial" w:cs="Arial"/>
          <w:sz w:val="20"/>
          <w:szCs w:val="24"/>
        </w:rPr>
        <w:footnoteReference w:id="5"/>
      </w:r>
      <w:r w:rsidR="00AC401C" w:rsidRPr="00332F75">
        <w:rPr>
          <w:rFonts w:ascii="Arial" w:eastAsia="Arial" w:hAnsi="Arial" w:cs="Arial"/>
          <w:sz w:val="24"/>
          <w:szCs w:val="24"/>
        </w:rPr>
        <w:t xml:space="preserve"> (véase cuadro siguiente)</w:t>
      </w:r>
      <w:r w:rsidR="00EA4260" w:rsidRPr="00332F75">
        <w:rPr>
          <w:rFonts w:ascii="Arial" w:eastAsia="Arial" w:hAnsi="Arial" w:cs="Arial"/>
          <w:sz w:val="24"/>
          <w:szCs w:val="24"/>
        </w:rPr>
        <w:t>.</w:t>
      </w:r>
      <w:r w:rsidR="00EA4260" w:rsidRPr="00967568">
        <w:rPr>
          <w:rFonts w:ascii="Arial" w:eastAsia="Arial" w:hAnsi="Arial" w:cs="Arial"/>
          <w:sz w:val="24"/>
          <w:szCs w:val="24"/>
        </w:rPr>
        <w:t xml:space="preserve"> </w:t>
      </w:r>
    </w:p>
    <w:p w14:paraId="723911DE" w14:textId="77777777" w:rsidR="0037163F" w:rsidRDefault="0037163F" w:rsidP="00EF117C">
      <w:pPr>
        <w:spacing w:before="120" w:after="0" w:line="246" w:lineRule="auto"/>
        <w:jc w:val="both"/>
        <w:rPr>
          <w:rFonts w:ascii="Arial" w:eastAsia="Arial" w:hAnsi="Arial" w:cs="Arial"/>
          <w:sz w:val="24"/>
          <w:szCs w:val="24"/>
        </w:rPr>
      </w:pPr>
    </w:p>
    <w:p w14:paraId="57A652FE" w14:textId="77777777" w:rsidR="0037163F" w:rsidRDefault="0037163F" w:rsidP="00EF117C">
      <w:pPr>
        <w:spacing w:before="120" w:after="0" w:line="246" w:lineRule="auto"/>
        <w:jc w:val="both"/>
        <w:rPr>
          <w:rFonts w:ascii="Arial" w:eastAsia="Arial" w:hAnsi="Arial" w:cs="Arial"/>
          <w:sz w:val="24"/>
          <w:szCs w:val="24"/>
        </w:rPr>
      </w:pPr>
    </w:p>
    <w:p w14:paraId="5963408E" w14:textId="77777777" w:rsidR="0037163F" w:rsidRDefault="0037163F" w:rsidP="00EF117C">
      <w:pPr>
        <w:spacing w:before="120" w:after="0" w:line="246" w:lineRule="auto"/>
        <w:jc w:val="both"/>
        <w:rPr>
          <w:rFonts w:ascii="Arial" w:eastAsia="Arial" w:hAnsi="Arial" w:cs="Arial"/>
          <w:sz w:val="24"/>
          <w:szCs w:val="24"/>
        </w:rPr>
      </w:pPr>
    </w:p>
    <w:p w14:paraId="3CFAFFBE" w14:textId="77777777" w:rsidR="0037163F" w:rsidRDefault="0037163F" w:rsidP="00EF117C">
      <w:pPr>
        <w:spacing w:before="120" w:after="0" w:line="246" w:lineRule="auto"/>
        <w:jc w:val="both"/>
        <w:rPr>
          <w:rFonts w:ascii="Arial" w:eastAsia="Arial" w:hAnsi="Arial" w:cs="Arial"/>
          <w:sz w:val="24"/>
          <w:szCs w:val="24"/>
        </w:rPr>
      </w:pPr>
    </w:p>
    <w:p w14:paraId="0D0241D4" w14:textId="1ADC43C3" w:rsidR="0037163F" w:rsidRDefault="0037163F" w:rsidP="00EF117C">
      <w:pPr>
        <w:spacing w:before="120" w:after="0" w:line="246" w:lineRule="auto"/>
        <w:jc w:val="both"/>
        <w:rPr>
          <w:rFonts w:ascii="Arial" w:eastAsia="Arial" w:hAnsi="Arial" w:cs="Arial"/>
          <w:sz w:val="24"/>
          <w:szCs w:val="24"/>
        </w:rPr>
      </w:pPr>
    </w:p>
    <w:p w14:paraId="48003559" w14:textId="77777777" w:rsidR="00AC401C" w:rsidRPr="00AC401C" w:rsidRDefault="00AC401C" w:rsidP="00AC401C">
      <w:pPr>
        <w:spacing w:before="480" w:after="0" w:line="247" w:lineRule="auto"/>
        <w:jc w:val="center"/>
        <w:rPr>
          <w:rFonts w:ascii="Arial" w:eastAsia="Arial" w:hAnsi="Arial" w:cs="Arial"/>
          <w:spacing w:val="-2"/>
          <w:sz w:val="24"/>
          <w:szCs w:val="24"/>
        </w:rPr>
      </w:pPr>
      <w:r w:rsidRPr="00AC401C">
        <w:rPr>
          <w:rFonts w:ascii="Arial" w:eastAsia="Arial" w:hAnsi="Arial" w:cs="Arial"/>
          <w:spacing w:val="-2"/>
          <w:sz w:val="24"/>
          <w:szCs w:val="24"/>
        </w:rPr>
        <w:t>Cuadro 1</w:t>
      </w:r>
    </w:p>
    <w:p w14:paraId="4B0B7584" w14:textId="0C89D659" w:rsidR="00AC401C" w:rsidRPr="00AC401C" w:rsidRDefault="00AC401C" w:rsidP="005A2AFE">
      <w:pPr>
        <w:spacing w:after="0" w:line="240" w:lineRule="auto"/>
        <w:ind w:left="-284" w:right="31"/>
        <w:jc w:val="center"/>
        <w:rPr>
          <w:rFonts w:ascii="Arial" w:eastAsia="Arial" w:hAnsi="Arial" w:cs="Arial"/>
          <w:sz w:val="24"/>
        </w:rPr>
      </w:pPr>
      <w:r>
        <w:rPr>
          <w:rFonts w:ascii="Arial" w:hAnsi="Arial" w:cs="Arial"/>
          <w:b/>
          <w:smallCaps/>
          <w:sz w:val="24"/>
        </w:rPr>
        <w:t>Determinación</w:t>
      </w:r>
      <w:r w:rsidRPr="00AC401C">
        <w:rPr>
          <w:rFonts w:ascii="Arial" w:hAnsi="Arial" w:cs="Arial"/>
          <w:b/>
          <w:smallCaps/>
          <w:sz w:val="24"/>
        </w:rPr>
        <w:t xml:space="preserve"> del Ingreso Nacional Disponible Bruto, 2018</w:t>
      </w:r>
    </w:p>
    <w:p w14:paraId="11A82F29" w14:textId="77777777" w:rsidR="00AC401C" w:rsidRPr="00AC401C" w:rsidRDefault="00AC401C" w:rsidP="005A2AFE">
      <w:pPr>
        <w:spacing w:before="5" w:after="0" w:line="203" w:lineRule="exact"/>
        <w:ind w:left="-284" w:right="-20"/>
        <w:jc w:val="center"/>
        <w:rPr>
          <w:rFonts w:ascii="Arial" w:eastAsia="Arial" w:hAnsi="Arial" w:cs="Arial"/>
          <w:sz w:val="18"/>
          <w:szCs w:val="18"/>
        </w:rPr>
      </w:pPr>
      <w:r w:rsidRPr="00AC401C">
        <w:rPr>
          <w:noProof/>
          <w:lang w:eastAsia="es-MX"/>
        </w:rPr>
        <mc:AlternateContent>
          <mc:Choice Requires="wpg">
            <w:drawing>
              <wp:anchor distT="0" distB="0" distL="114300" distR="114300" simplePos="0" relativeHeight="251662336" behindDoc="1" locked="0" layoutInCell="1" allowOverlap="1" wp14:anchorId="25DB7B93" wp14:editId="70207A23">
                <wp:simplePos x="0" y="0"/>
                <wp:positionH relativeFrom="page">
                  <wp:posOffset>1061085</wp:posOffset>
                </wp:positionH>
                <wp:positionV relativeFrom="paragraph">
                  <wp:posOffset>436245</wp:posOffset>
                </wp:positionV>
                <wp:extent cx="18415" cy="1270"/>
                <wp:effectExtent l="0" t="0" r="19685" b="1778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15" cy="1270"/>
                          <a:chOff x="1671" y="687"/>
                          <a:chExt cx="29" cy="2"/>
                        </a:xfrm>
                      </wpg:grpSpPr>
                      <wps:wsp>
                        <wps:cNvPr id="5" name="Freeform 3"/>
                        <wps:cNvSpPr>
                          <a:spLocks/>
                        </wps:cNvSpPr>
                        <wps:spPr bwMode="auto">
                          <a:xfrm>
                            <a:off x="1671" y="687"/>
                            <a:ext cx="29" cy="2"/>
                          </a:xfrm>
                          <a:custGeom>
                            <a:avLst/>
                            <a:gdLst>
                              <a:gd name="T0" fmla="+- 0 1671 1671"/>
                              <a:gd name="T1" fmla="*/ T0 w 29"/>
                              <a:gd name="T2" fmla="+- 0 1700 1671"/>
                              <a:gd name="T3" fmla="*/ T2 w 29"/>
                            </a:gdLst>
                            <a:ahLst/>
                            <a:cxnLst>
                              <a:cxn ang="0">
                                <a:pos x="T1" y="0"/>
                              </a:cxn>
                              <a:cxn ang="0">
                                <a:pos x="T3" y="0"/>
                              </a:cxn>
                            </a:cxnLst>
                            <a:rect l="0" t="0" r="r" b="b"/>
                            <a:pathLst>
                              <a:path w="29">
                                <a:moveTo>
                                  <a:pt x="0" y="0"/>
                                </a:moveTo>
                                <a:lnTo>
                                  <a:pt x="2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EA94A8" id="Group 2" o:spid="_x0000_s1026" style="position:absolute;margin-left:83.55pt;margin-top:34.35pt;width:1.45pt;height:.1pt;z-index:-251654144;mso-position-horizontal-relative:page" coordorigin="1671,687" coordsize="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flG/gIAAOsGAAAOAAAAZHJzL2Uyb0RvYy54bWykVdtu2zAMfR+wfxD0uKH1pUmTGnWKoW2C&#10;Ad1WoNkHKLJ8wWRJk5Q43dePkuzETTcM6PLgUCF9eHhIMdc3+5ajHdOmkSLHyXmMERNUFo2ocvx9&#10;vTybY2QsEQXhUrAcPzODbxbv3113KmOprCUvmEYAIkzWqRzX1qosigytWUvMuVRMgLOUuiUWjrqK&#10;Ck06QG95lMbxZdRJXSgtKTMGfr0LTrzw+GXJqP1WloZZxHMM3Kx/av/cuGe0uCZZpYmqG9rTIG9g&#10;0ZJGQNID1B2xBG118wqqbaiWRpb2nMo2kmXZUOZrgGqS+KSalZZb5Wupsq5SB5lA2hOd3gxLv+4e&#10;NWqKHF9gJEgLLfJZUeqk6VSVQcRKqyf1qEN9YD5I+sOAOzr1u3MVgtGm+yILgCNbK700+1K3DgKK&#10;RnvfgedDB9jeIgo/JvNJMsWIgidJZ317aA09dK8kl7MEI/Bdzmehc7S+799Mr8JrnndEspDNM+wZ&#10;uXJgyMxRR/N/Oj7VRDHfHuNU6nUE+kHHpWbMDS66CFL6oEFHMxZx5HEUDWj9T/leazFo+GclSEa3&#10;xq6Y9D0guwdjw+wXYPnOFj3vNdyTsuVwDT6eoRi5RP7R35VDGLQihH2I0DpGHYLEPeSAlA4hAWkW&#10;B7jTMBi9I1J6QIIuVgM7Ug+E6V70jMFCxO2Z2M+XksYNyTqMiJ8dQIAgV91fYiHzMIRDbPjuU2hY&#10;IKerQ2MEq2MTilDEOmYuhTNRl2OQwR1buWNr6R32ZN4hxdHLxTjKNW/EKDgh3oHDhQuGT+h4jjoq&#10;5LLh3OvPhaORXE2nc8/ESN4UzuvIGF1tbrlGO+I2ov+4SgDtRRhsHlF4tJqR4r63LWl4sCGeg7Bw&#10;v8K8hsu1kcUzzK6WYc/C/wIYtdS/MOpgx+bY/NwSzTDinwVcvqtkMnFL2R8m01kKBz32bMYeIihA&#10;5dhi6Lozb21Y5Fulm6qGTIkvV8hPsHLKxs235xdY9Qe4/97yGxWsFyt7fPZRx/+oxW8AAAD//wMA&#10;UEsDBBQABgAIAAAAIQAED/tj3gAAAAkBAAAPAAAAZHJzL2Rvd25yZXYueG1sTI9BS8NAEIXvgv9h&#10;GcGb3UQxqTGbUop6KoKtIN6m2WkSmt0N2W2S/nsnJ3t8bz7evJevJtOKgXrfOKsgXkQgyJZON7ZS&#10;8L1/f1iC8AGtxtZZUnAhD6vi9ibHTLvRftGwC5XgEOszVFCH0GVS+rImg37hOrJ8O7reYGDZV1L3&#10;OHK4aeVjFCXSYGP5Q40dbWoqT7uzUfAx4rh+it+G7em4ufzunz9/tjEpdX83rV9BBJrCPwxzfa4O&#10;BXc6uLPVXrSskzRmVEGyTEHMQBrxuMNsvIAscnm9oPgDAAD//wMAUEsBAi0AFAAGAAgAAAAhALaD&#10;OJL+AAAA4QEAABMAAAAAAAAAAAAAAAAAAAAAAFtDb250ZW50X1R5cGVzXS54bWxQSwECLQAUAAYA&#10;CAAAACEAOP0h/9YAAACUAQAACwAAAAAAAAAAAAAAAAAvAQAAX3JlbHMvLnJlbHNQSwECLQAUAAYA&#10;CAAAACEAdnX5Rv4CAADrBgAADgAAAAAAAAAAAAAAAAAuAgAAZHJzL2Uyb0RvYy54bWxQSwECLQAU&#10;AAYACAAAACEABA/7Y94AAAAJAQAADwAAAAAAAAAAAAAAAABYBQAAZHJzL2Rvd25yZXYueG1sUEsF&#10;BgAAAAAEAAQA8wAAAGMGAAAAAA==&#10;">
                <v:shape id="Freeform 3" o:spid="_x0000_s1027" style="position:absolute;left:1671;top:687;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3LKwQAAANoAAAAPAAAAZHJzL2Rvd25yZXYueG1sRI/RisIw&#10;FETfBf8hXME3TRUrUo0iouCDi1r9gGtzbYvNTWmidv9+syD4OMzMGWaxak0lXtS40rKC0TACQZxZ&#10;XXKu4HrZDWYgnEfWWFkmBb/kYLXsdhaYaPvmM71Sn4sAYZeggsL7OpHSZQUZdENbEwfvbhuDPsgm&#10;l7rBd4CbSo6jaCoNlhwWCqxpU1D2SJ9Gga722WQ7fpwOufk5momMT/UtVqrfa9dzEJ5a/w1/2nut&#10;IIb/K+EGyOUfAAAA//8DAFBLAQItABQABgAIAAAAIQDb4fbL7gAAAIUBAAATAAAAAAAAAAAAAAAA&#10;AAAAAABbQ29udGVudF9UeXBlc10ueG1sUEsBAi0AFAAGAAgAAAAhAFr0LFu/AAAAFQEAAAsAAAAA&#10;AAAAAAAAAAAAHwEAAF9yZWxzLy5yZWxzUEsBAi0AFAAGAAgAAAAhAIh7csrBAAAA2gAAAA8AAAAA&#10;AAAAAAAAAAAABwIAAGRycy9kb3ducmV2LnhtbFBLBQYAAAAAAwADALcAAAD1AgAAAAA=&#10;" path="m,l29,e" filled="f" strokeweight="1.54pt">
                  <v:path arrowok="t" o:connecttype="custom" o:connectlocs="0,0;29,0" o:connectangles="0,0"/>
                </v:shape>
                <w10:wrap anchorx="page"/>
              </v:group>
            </w:pict>
          </mc:Fallback>
        </mc:AlternateContent>
      </w:r>
      <w:r w:rsidRPr="00AC401C">
        <w:rPr>
          <w:rFonts w:ascii="Arial" w:eastAsia="Arial" w:hAnsi="Arial" w:cs="Arial"/>
          <w:spacing w:val="1"/>
          <w:position w:val="-1"/>
          <w:sz w:val="18"/>
          <w:szCs w:val="18"/>
        </w:rPr>
        <w:t>(Millones de pesos corrientes y p</w:t>
      </w:r>
      <w:r w:rsidRPr="00AC401C">
        <w:rPr>
          <w:rFonts w:ascii="Arial" w:eastAsia="Arial" w:hAnsi="Arial" w:cs="Arial"/>
          <w:spacing w:val="-1"/>
          <w:position w:val="-1"/>
          <w:sz w:val="18"/>
          <w:szCs w:val="18"/>
        </w:rPr>
        <w:t>a</w:t>
      </w:r>
      <w:r w:rsidRPr="00AC401C">
        <w:rPr>
          <w:rFonts w:ascii="Arial" w:eastAsia="Arial" w:hAnsi="Arial" w:cs="Arial"/>
          <w:spacing w:val="1"/>
          <w:position w:val="-1"/>
          <w:sz w:val="18"/>
          <w:szCs w:val="18"/>
        </w:rPr>
        <w:t>r</w:t>
      </w:r>
      <w:r w:rsidRPr="00AC401C">
        <w:rPr>
          <w:rFonts w:ascii="Arial" w:eastAsia="Arial" w:hAnsi="Arial" w:cs="Arial"/>
          <w:spacing w:val="2"/>
          <w:position w:val="-1"/>
          <w:sz w:val="18"/>
          <w:szCs w:val="18"/>
        </w:rPr>
        <w:t>t</w:t>
      </w:r>
      <w:r w:rsidRPr="00AC401C">
        <w:rPr>
          <w:rFonts w:ascii="Arial" w:eastAsia="Arial" w:hAnsi="Arial" w:cs="Arial"/>
          <w:spacing w:val="3"/>
          <w:position w:val="-1"/>
          <w:sz w:val="18"/>
          <w:szCs w:val="18"/>
        </w:rPr>
        <w:t>i</w:t>
      </w:r>
      <w:r w:rsidRPr="00AC401C">
        <w:rPr>
          <w:rFonts w:ascii="Arial" w:eastAsia="Arial" w:hAnsi="Arial" w:cs="Arial"/>
          <w:position w:val="-1"/>
          <w:sz w:val="18"/>
          <w:szCs w:val="18"/>
        </w:rPr>
        <w:t>c</w:t>
      </w:r>
      <w:r w:rsidRPr="00AC401C">
        <w:rPr>
          <w:rFonts w:ascii="Arial" w:eastAsia="Arial" w:hAnsi="Arial" w:cs="Arial"/>
          <w:spacing w:val="3"/>
          <w:position w:val="-1"/>
          <w:sz w:val="18"/>
          <w:szCs w:val="18"/>
        </w:rPr>
        <w:t>i</w:t>
      </w:r>
      <w:r w:rsidRPr="00AC401C">
        <w:rPr>
          <w:rFonts w:ascii="Arial" w:eastAsia="Arial" w:hAnsi="Arial" w:cs="Arial"/>
          <w:spacing w:val="-1"/>
          <w:position w:val="-1"/>
          <w:sz w:val="18"/>
          <w:szCs w:val="18"/>
        </w:rPr>
        <w:t>pa</w:t>
      </w:r>
      <w:r w:rsidRPr="00AC401C">
        <w:rPr>
          <w:rFonts w:ascii="Arial" w:eastAsia="Arial" w:hAnsi="Arial" w:cs="Arial"/>
          <w:position w:val="-1"/>
          <w:sz w:val="18"/>
          <w:szCs w:val="18"/>
        </w:rPr>
        <w:t>c</w:t>
      </w:r>
      <w:r w:rsidRPr="00AC401C">
        <w:rPr>
          <w:rFonts w:ascii="Arial" w:eastAsia="Arial" w:hAnsi="Arial" w:cs="Arial"/>
          <w:spacing w:val="3"/>
          <w:position w:val="-1"/>
          <w:sz w:val="18"/>
          <w:szCs w:val="18"/>
        </w:rPr>
        <w:t>i</w:t>
      </w:r>
      <w:r w:rsidRPr="00AC401C">
        <w:rPr>
          <w:rFonts w:ascii="Arial" w:eastAsia="Arial" w:hAnsi="Arial" w:cs="Arial"/>
          <w:spacing w:val="-1"/>
          <w:position w:val="-1"/>
          <w:sz w:val="18"/>
          <w:szCs w:val="18"/>
        </w:rPr>
        <w:t>ó</w:t>
      </w:r>
      <w:r w:rsidRPr="00AC401C">
        <w:rPr>
          <w:rFonts w:ascii="Arial" w:eastAsia="Arial" w:hAnsi="Arial" w:cs="Arial"/>
          <w:position w:val="-1"/>
          <w:sz w:val="18"/>
          <w:szCs w:val="18"/>
        </w:rPr>
        <w:t>n</w:t>
      </w:r>
      <w:r w:rsidRPr="00AC401C">
        <w:rPr>
          <w:rFonts w:ascii="Arial" w:eastAsia="Arial" w:hAnsi="Arial" w:cs="Arial"/>
          <w:spacing w:val="13"/>
          <w:position w:val="-1"/>
          <w:sz w:val="18"/>
          <w:szCs w:val="18"/>
        </w:rPr>
        <w:t xml:space="preserve"> </w:t>
      </w:r>
      <w:r w:rsidRPr="00AC401C">
        <w:rPr>
          <w:rFonts w:ascii="Arial" w:eastAsia="Arial" w:hAnsi="Arial" w:cs="Arial"/>
          <w:spacing w:val="1"/>
          <w:position w:val="-1"/>
          <w:sz w:val="18"/>
          <w:szCs w:val="18"/>
        </w:rPr>
        <w:t>r</w:t>
      </w:r>
      <w:r w:rsidRPr="00AC401C">
        <w:rPr>
          <w:rFonts w:ascii="Arial" w:eastAsia="Arial" w:hAnsi="Arial" w:cs="Arial"/>
          <w:spacing w:val="-5"/>
          <w:position w:val="-1"/>
          <w:sz w:val="18"/>
          <w:szCs w:val="18"/>
        </w:rPr>
        <w:t>e</w:t>
      </w:r>
      <w:r w:rsidRPr="00AC401C">
        <w:rPr>
          <w:rFonts w:ascii="Arial" w:eastAsia="Arial" w:hAnsi="Arial" w:cs="Arial"/>
          <w:position w:val="-1"/>
          <w:sz w:val="18"/>
          <w:szCs w:val="18"/>
        </w:rPr>
        <w:t>s</w:t>
      </w:r>
      <w:r w:rsidRPr="00AC401C">
        <w:rPr>
          <w:rFonts w:ascii="Arial" w:eastAsia="Arial" w:hAnsi="Arial" w:cs="Arial"/>
          <w:spacing w:val="-1"/>
          <w:position w:val="-1"/>
          <w:sz w:val="18"/>
          <w:szCs w:val="18"/>
        </w:rPr>
        <w:t>p</w:t>
      </w:r>
      <w:r w:rsidRPr="00AC401C">
        <w:rPr>
          <w:rFonts w:ascii="Arial" w:eastAsia="Arial" w:hAnsi="Arial" w:cs="Arial"/>
          <w:spacing w:val="-5"/>
          <w:position w:val="-1"/>
          <w:sz w:val="18"/>
          <w:szCs w:val="18"/>
        </w:rPr>
        <w:t>e</w:t>
      </w:r>
      <w:r w:rsidRPr="00AC401C">
        <w:rPr>
          <w:rFonts w:ascii="Arial" w:eastAsia="Arial" w:hAnsi="Arial" w:cs="Arial"/>
          <w:position w:val="-1"/>
          <w:sz w:val="18"/>
          <w:szCs w:val="18"/>
        </w:rPr>
        <w:t>c</w:t>
      </w:r>
      <w:r w:rsidRPr="00AC401C">
        <w:rPr>
          <w:rFonts w:ascii="Arial" w:eastAsia="Arial" w:hAnsi="Arial" w:cs="Arial"/>
          <w:spacing w:val="2"/>
          <w:position w:val="-1"/>
          <w:sz w:val="18"/>
          <w:szCs w:val="18"/>
        </w:rPr>
        <w:t>t</w:t>
      </w:r>
      <w:r w:rsidRPr="00AC401C">
        <w:rPr>
          <w:rFonts w:ascii="Arial" w:eastAsia="Arial" w:hAnsi="Arial" w:cs="Arial"/>
          <w:position w:val="-1"/>
          <w:sz w:val="18"/>
          <w:szCs w:val="18"/>
        </w:rPr>
        <w:t>o</w:t>
      </w:r>
      <w:r w:rsidRPr="00AC401C">
        <w:rPr>
          <w:rFonts w:ascii="Arial" w:eastAsia="Arial" w:hAnsi="Arial" w:cs="Arial"/>
          <w:spacing w:val="9"/>
          <w:position w:val="-1"/>
          <w:sz w:val="18"/>
          <w:szCs w:val="18"/>
        </w:rPr>
        <w:t xml:space="preserve"> </w:t>
      </w:r>
      <w:r w:rsidRPr="00AC401C">
        <w:rPr>
          <w:rFonts w:ascii="Arial" w:eastAsia="Arial" w:hAnsi="Arial" w:cs="Arial"/>
          <w:spacing w:val="-1"/>
          <w:position w:val="-1"/>
          <w:sz w:val="18"/>
          <w:szCs w:val="18"/>
        </w:rPr>
        <w:t>a</w:t>
      </w:r>
      <w:r w:rsidRPr="00AC401C">
        <w:rPr>
          <w:rFonts w:ascii="Arial" w:eastAsia="Arial" w:hAnsi="Arial" w:cs="Arial"/>
          <w:position w:val="-1"/>
          <w:sz w:val="18"/>
          <w:szCs w:val="18"/>
        </w:rPr>
        <w:t>l</w:t>
      </w:r>
      <w:r w:rsidRPr="00AC401C">
        <w:rPr>
          <w:rFonts w:ascii="Arial" w:eastAsia="Arial" w:hAnsi="Arial" w:cs="Arial"/>
          <w:spacing w:val="6"/>
          <w:position w:val="-1"/>
          <w:sz w:val="18"/>
          <w:szCs w:val="18"/>
        </w:rPr>
        <w:t xml:space="preserve"> </w:t>
      </w:r>
      <w:r w:rsidRPr="00AC401C">
        <w:rPr>
          <w:rFonts w:ascii="Arial" w:eastAsia="Arial" w:hAnsi="Arial" w:cs="Arial"/>
          <w:spacing w:val="-2"/>
          <w:position w:val="-1"/>
          <w:sz w:val="18"/>
          <w:szCs w:val="18"/>
        </w:rPr>
        <w:t>P</w:t>
      </w:r>
      <w:r w:rsidRPr="00AC401C">
        <w:rPr>
          <w:rFonts w:ascii="Arial" w:eastAsia="Arial" w:hAnsi="Arial" w:cs="Arial"/>
          <w:spacing w:val="2"/>
          <w:position w:val="-1"/>
          <w:sz w:val="18"/>
          <w:szCs w:val="18"/>
        </w:rPr>
        <w:t>I</w:t>
      </w:r>
      <w:r w:rsidRPr="00AC401C">
        <w:rPr>
          <w:rFonts w:ascii="Arial" w:eastAsia="Arial" w:hAnsi="Arial" w:cs="Arial"/>
          <w:position w:val="-1"/>
          <w:sz w:val="18"/>
          <w:szCs w:val="18"/>
        </w:rPr>
        <w:t>B</w:t>
      </w:r>
      <w:r w:rsidRPr="00AC401C">
        <w:rPr>
          <w:rFonts w:ascii="Arial" w:eastAsia="Arial" w:hAnsi="Arial" w:cs="Arial"/>
          <w:spacing w:val="4"/>
          <w:position w:val="-1"/>
          <w:sz w:val="18"/>
          <w:szCs w:val="18"/>
        </w:rPr>
        <w:t xml:space="preserve"> </w:t>
      </w:r>
      <w:r w:rsidRPr="00AC401C">
        <w:rPr>
          <w:rFonts w:ascii="Arial" w:eastAsia="Arial" w:hAnsi="Arial" w:cs="Arial"/>
          <w:spacing w:val="2"/>
          <w:position w:val="-1"/>
          <w:sz w:val="18"/>
          <w:szCs w:val="18"/>
        </w:rPr>
        <w:t>t</w:t>
      </w:r>
      <w:r w:rsidRPr="00AC401C">
        <w:rPr>
          <w:rFonts w:ascii="Arial" w:eastAsia="Arial" w:hAnsi="Arial" w:cs="Arial"/>
          <w:spacing w:val="3"/>
          <w:position w:val="-1"/>
          <w:sz w:val="18"/>
          <w:szCs w:val="18"/>
        </w:rPr>
        <w:t>o</w:t>
      </w:r>
      <w:r w:rsidRPr="00AC401C">
        <w:rPr>
          <w:rFonts w:ascii="Arial" w:eastAsia="Arial" w:hAnsi="Arial" w:cs="Arial"/>
          <w:spacing w:val="2"/>
          <w:position w:val="-1"/>
          <w:sz w:val="18"/>
          <w:szCs w:val="18"/>
        </w:rPr>
        <w:t>t</w:t>
      </w:r>
      <w:r w:rsidRPr="00AC401C">
        <w:rPr>
          <w:rFonts w:ascii="Arial" w:eastAsia="Arial" w:hAnsi="Arial" w:cs="Arial"/>
          <w:spacing w:val="-1"/>
          <w:position w:val="-1"/>
          <w:sz w:val="18"/>
          <w:szCs w:val="18"/>
        </w:rPr>
        <w:t>a</w:t>
      </w:r>
      <w:r w:rsidRPr="00AC401C">
        <w:rPr>
          <w:rFonts w:ascii="Arial" w:eastAsia="Arial" w:hAnsi="Arial" w:cs="Arial"/>
          <w:position w:val="-1"/>
          <w:sz w:val="18"/>
          <w:szCs w:val="18"/>
        </w:rPr>
        <w:t>l</w:t>
      </w:r>
      <w:r w:rsidRPr="00AC401C">
        <w:rPr>
          <w:rFonts w:ascii="Arial" w:eastAsia="Arial" w:hAnsi="Arial" w:cs="Arial"/>
          <w:spacing w:val="8"/>
          <w:position w:val="-1"/>
          <w:sz w:val="18"/>
          <w:szCs w:val="18"/>
        </w:rPr>
        <w:t xml:space="preserve"> </w:t>
      </w:r>
      <w:r w:rsidRPr="00AC401C">
        <w:rPr>
          <w:rFonts w:ascii="Arial" w:eastAsia="Arial" w:hAnsi="Arial" w:cs="Arial"/>
          <w:position w:val="-1"/>
          <w:sz w:val="18"/>
          <w:szCs w:val="18"/>
        </w:rPr>
        <w:t>a</w:t>
      </w:r>
      <w:r w:rsidRPr="00AC401C">
        <w:rPr>
          <w:rFonts w:ascii="Arial" w:eastAsia="Arial" w:hAnsi="Arial" w:cs="Arial"/>
          <w:spacing w:val="3"/>
          <w:position w:val="-1"/>
          <w:sz w:val="18"/>
          <w:szCs w:val="18"/>
        </w:rPr>
        <w:t xml:space="preserve"> </w:t>
      </w:r>
      <w:r w:rsidRPr="00AC401C">
        <w:rPr>
          <w:rFonts w:ascii="Arial" w:eastAsia="Arial" w:hAnsi="Arial" w:cs="Arial"/>
          <w:spacing w:val="-1"/>
          <w:position w:val="-1"/>
          <w:sz w:val="18"/>
          <w:szCs w:val="18"/>
        </w:rPr>
        <w:t>p</w:t>
      </w:r>
      <w:r w:rsidRPr="00AC401C">
        <w:rPr>
          <w:rFonts w:ascii="Arial" w:eastAsia="Arial" w:hAnsi="Arial" w:cs="Arial"/>
          <w:spacing w:val="1"/>
          <w:position w:val="-1"/>
          <w:sz w:val="18"/>
          <w:szCs w:val="18"/>
        </w:rPr>
        <w:t>r</w:t>
      </w:r>
      <w:r w:rsidRPr="00AC401C">
        <w:rPr>
          <w:rFonts w:ascii="Arial" w:eastAsia="Arial" w:hAnsi="Arial" w:cs="Arial"/>
          <w:spacing w:val="-5"/>
          <w:position w:val="-1"/>
          <w:sz w:val="18"/>
          <w:szCs w:val="18"/>
        </w:rPr>
        <w:t>e</w:t>
      </w:r>
      <w:r w:rsidRPr="00AC401C">
        <w:rPr>
          <w:rFonts w:ascii="Arial" w:eastAsia="Arial" w:hAnsi="Arial" w:cs="Arial"/>
          <w:position w:val="-1"/>
          <w:sz w:val="18"/>
          <w:szCs w:val="18"/>
        </w:rPr>
        <w:t>c</w:t>
      </w:r>
      <w:r w:rsidRPr="00AC401C">
        <w:rPr>
          <w:rFonts w:ascii="Arial" w:eastAsia="Arial" w:hAnsi="Arial" w:cs="Arial"/>
          <w:spacing w:val="3"/>
          <w:position w:val="-1"/>
          <w:sz w:val="18"/>
          <w:szCs w:val="18"/>
        </w:rPr>
        <w:t>i</w:t>
      </w:r>
      <w:r w:rsidRPr="00AC401C">
        <w:rPr>
          <w:rFonts w:ascii="Arial" w:eastAsia="Arial" w:hAnsi="Arial" w:cs="Arial"/>
          <w:spacing w:val="-1"/>
          <w:position w:val="-1"/>
          <w:sz w:val="18"/>
          <w:szCs w:val="18"/>
        </w:rPr>
        <w:t>o</w:t>
      </w:r>
      <w:r w:rsidRPr="00AC401C">
        <w:rPr>
          <w:rFonts w:ascii="Arial" w:eastAsia="Arial" w:hAnsi="Arial" w:cs="Arial"/>
          <w:position w:val="-1"/>
          <w:sz w:val="18"/>
          <w:szCs w:val="18"/>
        </w:rPr>
        <w:t>s</w:t>
      </w:r>
      <w:r w:rsidRPr="00AC401C">
        <w:rPr>
          <w:rFonts w:ascii="Arial" w:eastAsia="Arial" w:hAnsi="Arial" w:cs="Arial"/>
          <w:spacing w:val="8"/>
          <w:position w:val="-1"/>
          <w:sz w:val="18"/>
          <w:szCs w:val="18"/>
        </w:rPr>
        <w:t xml:space="preserve"> </w:t>
      </w:r>
      <w:r w:rsidRPr="00AC401C">
        <w:rPr>
          <w:rFonts w:ascii="Arial" w:eastAsia="Arial" w:hAnsi="Arial" w:cs="Arial"/>
          <w:spacing w:val="-1"/>
          <w:position w:val="-1"/>
          <w:sz w:val="18"/>
          <w:szCs w:val="18"/>
        </w:rPr>
        <w:t>d</w:t>
      </w:r>
      <w:r w:rsidRPr="00AC401C">
        <w:rPr>
          <w:rFonts w:ascii="Arial" w:eastAsia="Arial" w:hAnsi="Arial" w:cs="Arial"/>
          <w:position w:val="-1"/>
          <w:sz w:val="18"/>
          <w:szCs w:val="18"/>
        </w:rPr>
        <w:t>e</w:t>
      </w:r>
      <w:r w:rsidRPr="00AC401C">
        <w:rPr>
          <w:rFonts w:ascii="Arial" w:eastAsia="Arial" w:hAnsi="Arial" w:cs="Arial"/>
          <w:spacing w:val="-1"/>
          <w:position w:val="-1"/>
          <w:sz w:val="18"/>
          <w:szCs w:val="18"/>
        </w:rPr>
        <w:t xml:space="preserve"> </w:t>
      </w:r>
      <w:r w:rsidRPr="00AC401C">
        <w:rPr>
          <w:rFonts w:ascii="Arial" w:eastAsia="Arial" w:hAnsi="Arial" w:cs="Arial"/>
          <w:spacing w:val="6"/>
          <w:w w:val="101"/>
          <w:position w:val="-1"/>
          <w:sz w:val="18"/>
          <w:szCs w:val="18"/>
        </w:rPr>
        <w:t>m</w:t>
      </w:r>
      <w:r w:rsidRPr="00AC401C">
        <w:rPr>
          <w:rFonts w:ascii="Arial" w:eastAsia="Arial" w:hAnsi="Arial" w:cs="Arial"/>
          <w:spacing w:val="-5"/>
          <w:w w:val="101"/>
          <w:position w:val="-1"/>
          <w:sz w:val="18"/>
          <w:szCs w:val="18"/>
        </w:rPr>
        <w:t>e</w:t>
      </w:r>
      <w:r w:rsidRPr="00AC401C">
        <w:rPr>
          <w:rFonts w:ascii="Arial" w:eastAsia="Arial" w:hAnsi="Arial" w:cs="Arial"/>
          <w:spacing w:val="1"/>
          <w:w w:val="101"/>
          <w:position w:val="-1"/>
          <w:sz w:val="18"/>
          <w:szCs w:val="18"/>
        </w:rPr>
        <w:t>r</w:t>
      </w:r>
      <w:r w:rsidRPr="00AC401C">
        <w:rPr>
          <w:rFonts w:ascii="Arial" w:eastAsia="Arial" w:hAnsi="Arial" w:cs="Arial"/>
          <w:w w:val="101"/>
          <w:position w:val="-1"/>
          <w:sz w:val="18"/>
          <w:szCs w:val="18"/>
        </w:rPr>
        <w:t>c</w:t>
      </w:r>
      <w:r w:rsidRPr="00AC401C">
        <w:rPr>
          <w:rFonts w:ascii="Arial" w:eastAsia="Arial" w:hAnsi="Arial" w:cs="Arial"/>
          <w:spacing w:val="-1"/>
          <w:w w:val="101"/>
          <w:position w:val="-1"/>
          <w:sz w:val="18"/>
          <w:szCs w:val="18"/>
        </w:rPr>
        <w:t>ado</w:t>
      </w:r>
      <w:r w:rsidRPr="00AC401C">
        <w:rPr>
          <w:rFonts w:ascii="Arial" w:eastAsia="Arial" w:hAnsi="Arial" w:cs="Arial"/>
          <w:w w:val="101"/>
          <w:position w:val="-1"/>
          <w:sz w:val="18"/>
          <w:szCs w:val="18"/>
        </w:rPr>
        <w:t>)</w:t>
      </w:r>
    </w:p>
    <w:tbl>
      <w:tblPr>
        <w:tblW w:w="7658" w:type="dxa"/>
        <w:tblInd w:w="562" w:type="dxa"/>
        <w:tblBorders>
          <w:top w:val="single" w:sz="4" w:space="0" w:color="000000"/>
          <w:left w:val="single" w:sz="4" w:space="0" w:color="000000"/>
          <w:bottom w:val="single" w:sz="4" w:space="0" w:color="000000"/>
          <w:right w:val="single" w:sz="4" w:space="0" w:color="000000"/>
          <w:insideV w:val="single" w:sz="4" w:space="0" w:color="000000"/>
        </w:tblBorders>
        <w:tblLayout w:type="fixed"/>
        <w:tblLook w:val="04A0" w:firstRow="1" w:lastRow="0" w:firstColumn="1" w:lastColumn="0" w:noHBand="0" w:noVBand="1"/>
      </w:tblPr>
      <w:tblGrid>
        <w:gridCol w:w="567"/>
        <w:gridCol w:w="4111"/>
        <w:gridCol w:w="1701"/>
        <w:gridCol w:w="1279"/>
      </w:tblGrid>
      <w:tr w:rsidR="00AC401C" w:rsidRPr="00AC401C" w14:paraId="67013248" w14:textId="77777777" w:rsidTr="00290DB7">
        <w:tc>
          <w:tcPr>
            <w:tcW w:w="567" w:type="dxa"/>
            <w:tcBorders>
              <w:top w:val="single" w:sz="4" w:space="0" w:color="auto"/>
              <w:left w:val="single" w:sz="4" w:space="0" w:color="auto"/>
              <w:bottom w:val="single" w:sz="4" w:space="0" w:color="000000"/>
            </w:tcBorders>
            <w:shd w:val="clear" w:color="auto" w:fill="984806" w:themeFill="accent6" w:themeFillShade="80"/>
            <w:vAlign w:val="center"/>
          </w:tcPr>
          <w:p w14:paraId="7C25E213" w14:textId="77777777" w:rsidR="00AC401C" w:rsidRPr="00AC401C" w:rsidRDefault="00AC401C" w:rsidP="00290DB7">
            <w:pPr>
              <w:pStyle w:val="p0"/>
              <w:spacing w:before="120" w:after="120"/>
              <w:ind w:left="0" w:right="0" w:firstLine="0"/>
              <w:jc w:val="center"/>
              <w:rPr>
                <w:b/>
                <w:color w:val="FFFFFF" w:themeColor="background1"/>
                <w:sz w:val="14"/>
                <w:szCs w:val="14"/>
              </w:rPr>
            </w:pPr>
          </w:p>
        </w:tc>
        <w:tc>
          <w:tcPr>
            <w:tcW w:w="4111" w:type="dxa"/>
            <w:tcBorders>
              <w:top w:val="single" w:sz="4" w:space="0" w:color="auto"/>
              <w:bottom w:val="single" w:sz="4" w:space="0" w:color="000000"/>
            </w:tcBorders>
            <w:shd w:val="clear" w:color="auto" w:fill="984806" w:themeFill="accent6" w:themeFillShade="80"/>
            <w:vAlign w:val="center"/>
          </w:tcPr>
          <w:p w14:paraId="545EFD38" w14:textId="77777777" w:rsidR="00AC401C" w:rsidRPr="00AC401C" w:rsidRDefault="00AC401C" w:rsidP="00290DB7">
            <w:pPr>
              <w:pStyle w:val="p0"/>
              <w:spacing w:before="120" w:after="120"/>
              <w:ind w:left="0" w:right="0" w:firstLine="0"/>
              <w:jc w:val="center"/>
              <w:rPr>
                <w:b/>
                <w:color w:val="FFFFFF" w:themeColor="background1"/>
                <w:sz w:val="12"/>
                <w:szCs w:val="12"/>
              </w:rPr>
            </w:pPr>
            <w:r w:rsidRPr="00AC401C">
              <w:rPr>
                <w:b/>
                <w:color w:val="FFFFFF" w:themeColor="background1"/>
                <w:sz w:val="16"/>
                <w:szCs w:val="12"/>
              </w:rPr>
              <w:t>Concepto</w:t>
            </w:r>
          </w:p>
        </w:tc>
        <w:tc>
          <w:tcPr>
            <w:tcW w:w="1701" w:type="dxa"/>
            <w:tcBorders>
              <w:top w:val="single" w:sz="4" w:space="0" w:color="auto"/>
              <w:bottom w:val="single" w:sz="4" w:space="0" w:color="000000"/>
            </w:tcBorders>
            <w:shd w:val="clear" w:color="auto" w:fill="984806" w:themeFill="accent6" w:themeFillShade="80"/>
            <w:vAlign w:val="center"/>
          </w:tcPr>
          <w:p w14:paraId="5B25332C" w14:textId="77777777" w:rsidR="00AC401C" w:rsidRPr="00AC401C" w:rsidRDefault="00AC401C" w:rsidP="00290DB7">
            <w:pPr>
              <w:pStyle w:val="p0"/>
              <w:spacing w:before="120" w:after="120"/>
              <w:ind w:left="0" w:right="0" w:firstLine="0"/>
              <w:jc w:val="center"/>
              <w:rPr>
                <w:b/>
                <w:color w:val="FFFFFF" w:themeColor="background1"/>
                <w:sz w:val="13"/>
                <w:szCs w:val="13"/>
              </w:rPr>
            </w:pPr>
            <w:r w:rsidRPr="00AC401C">
              <w:rPr>
                <w:b/>
                <w:color w:val="FFFFFF" w:themeColor="background1"/>
                <w:sz w:val="13"/>
                <w:szCs w:val="13"/>
              </w:rPr>
              <w:t>2018</w:t>
            </w:r>
          </w:p>
        </w:tc>
        <w:tc>
          <w:tcPr>
            <w:tcW w:w="1279" w:type="dxa"/>
            <w:tcBorders>
              <w:top w:val="single" w:sz="4" w:space="0" w:color="auto"/>
              <w:bottom w:val="single" w:sz="4" w:space="0" w:color="000000"/>
            </w:tcBorders>
            <w:shd w:val="clear" w:color="auto" w:fill="984806" w:themeFill="accent6" w:themeFillShade="80"/>
            <w:vAlign w:val="center"/>
          </w:tcPr>
          <w:p w14:paraId="3D28F30E" w14:textId="77777777" w:rsidR="00AC401C" w:rsidRPr="00AC401C" w:rsidRDefault="00AC401C" w:rsidP="00290DB7">
            <w:pPr>
              <w:pStyle w:val="p0"/>
              <w:spacing w:before="120" w:after="120"/>
              <w:ind w:left="0" w:right="0" w:firstLine="0"/>
              <w:jc w:val="center"/>
              <w:rPr>
                <w:b/>
                <w:color w:val="FFFFFF" w:themeColor="background1"/>
                <w:sz w:val="13"/>
                <w:szCs w:val="13"/>
              </w:rPr>
            </w:pPr>
            <w:r w:rsidRPr="00AC401C">
              <w:rPr>
                <w:b/>
                <w:color w:val="FFFFFF" w:themeColor="background1"/>
                <w:sz w:val="13"/>
                <w:szCs w:val="13"/>
              </w:rPr>
              <w:t>%</w:t>
            </w:r>
          </w:p>
        </w:tc>
      </w:tr>
      <w:tr w:rsidR="00AC401C" w:rsidRPr="00AC401C" w14:paraId="535FF8F5" w14:textId="77777777" w:rsidTr="00290DB7">
        <w:tc>
          <w:tcPr>
            <w:tcW w:w="567" w:type="dxa"/>
            <w:tcBorders>
              <w:top w:val="single" w:sz="4" w:space="0" w:color="000000"/>
              <w:left w:val="single" w:sz="4" w:space="0" w:color="auto"/>
              <w:bottom w:val="nil"/>
              <w:right w:val="single" w:sz="4" w:space="0" w:color="000000"/>
            </w:tcBorders>
            <w:shd w:val="clear" w:color="auto" w:fill="FDE9D9" w:themeFill="accent6" w:themeFillTint="33"/>
          </w:tcPr>
          <w:p w14:paraId="33F2D7F6" w14:textId="77777777" w:rsidR="00AC401C" w:rsidRPr="00AC401C" w:rsidRDefault="00AC401C" w:rsidP="00290DB7">
            <w:pPr>
              <w:pStyle w:val="p0"/>
              <w:spacing w:before="60" w:after="60"/>
              <w:ind w:left="0" w:right="0" w:firstLine="0"/>
              <w:jc w:val="center"/>
              <w:rPr>
                <w:color w:val="auto"/>
                <w:sz w:val="14"/>
                <w:szCs w:val="14"/>
              </w:rPr>
            </w:pPr>
          </w:p>
        </w:tc>
        <w:tc>
          <w:tcPr>
            <w:tcW w:w="4111" w:type="dxa"/>
            <w:tcBorders>
              <w:top w:val="single" w:sz="4" w:space="0" w:color="000000"/>
              <w:left w:val="single" w:sz="4" w:space="0" w:color="000000"/>
              <w:bottom w:val="nil"/>
              <w:right w:val="single" w:sz="4" w:space="0" w:color="000000"/>
            </w:tcBorders>
            <w:shd w:val="clear" w:color="auto" w:fill="FDE9D9" w:themeFill="accent6" w:themeFillTint="33"/>
          </w:tcPr>
          <w:p w14:paraId="0653D01D" w14:textId="77777777" w:rsidR="00AC401C" w:rsidRPr="00AC401C" w:rsidRDefault="00AC401C" w:rsidP="00290DB7">
            <w:pPr>
              <w:pStyle w:val="p0"/>
              <w:spacing w:before="60" w:after="60"/>
              <w:ind w:left="0" w:right="0" w:firstLine="0"/>
              <w:rPr>
                <w:b/>
                <w:color w:val="auto"/>
                <w:sz w:val="16"/>
                <w:szCs w:val="16"/>
              </w:rPr>
            </w:pPr>
            <w:r w:rsidRPr="00AC401C">
              <w:rPr>
                <w:b/>
                <w:color w:val="auto"/>
                <w:sz w:val="16"/>
                <w:szCs w:val="16"/>
              </w:rPr>
              <w:t>Producto Interno Bruto</w:t>
            </w:r>
          </w:p>
        </w:tc>
        <w:tc>
          <w:tcPr>
            <w:tcW w:w="1701" w:type="dxa"/>
            <w:tcBorders>
              <w:top w:val="single" w:sz="4" w:space="0" w:color="000000"/>
              <w:left w:val="single" w:sz="4" w:space="0" w:color="000000"/>
              <w:bottom w:val="nil"/>
              <w:right w:val="single" w:sz="4" w:space="0" w:color="000000"/>
            </w:tcBorders>
            <w:shd w:val="clear" w:color="auto" w:fill="FDE9D9" w:themeFill="accent6" w:themeFillTint="33"/>
          </w:tcPr>
          <w:p w14:paraId="5863908C" w14:textId="77777777" w:rsidR="00AC401C" w:rsidRPr="00AC401C" w:rsidRDefault="00AC401C" w:rsidP="00290DB7">
            <w:pPr>
              <w:pStyle w:val="p0"/>
              <w:spacing w:before="60" w:after="60"/>
              <w:ind w:left="0" w:right="268" w:firstLine="0"/>
              <w:jc w:val="right"/>
              <w:rPr>
                <w:b/>
                <w:color w:val="auto"/>
                <w:sz w:val="16"/>
                <w:szCs w:val="16"/>
              </w:rPr>
            </w:pPr>
            <w:r w:rsidRPr="00AC401C">
              <w:rPr>
                <w:b/>
                <w:color w:val="auto"/>
                <w:sz w:val="16"/>
                <w:szCs w:val="16"/>
              </w:rPr>
              <w:t>23 491 507</w:t>
            </w:r>
          </w:p>
        </w:tc>
        <w:tc>
          <w:tcPr>
            <w:tcW w:w="1279" w:type="dxa"/>
            <w:tcBorders>
              <w:top w:val="single" w:sz="4" w:space="0" w:color="000000"/>
              <w:left w:val="single" w:sz="4" w:space="0" w:color="000000"/>
              <w:bottom w:val="nil"/>
              <w:right w:val="single" w:sz="4" w:space="0" w:color="000000"/>
            </w:tcBorders>
            <w:shd w:val="clear" w:color="auto" w:fill="FDE9D9" w:themeFill="accent6" w:themeFillTint="33"/>
          </w:tcPr>
          <w:p w14:paraId="7EAD248C" w14:textId="77777777" w:rsidR="00AC401C" w:rsidRPr="00AC401C" w:rsidRDefault="00AC401C" w:rsidP="00290DB7">
            <w:pPr>
              <w:pStyle w:val="p0"/>
              <w:spacing w:before="60" w:after="60"/>
              <w:ind w:left="0" w:right="240" w:firstLine="0"/>
              <w:jc w:val="right"/>
              <w:rPr>
                <w:b/>
                <w:color w:val="auto"/>
                <w:sz w:val="16"/>
                <w:szCs w:val="16"/>
              </w:rPr>
            </w:pPr>
            <w:r w:rsidRPr="00AC401C">
              <w:rPr>
                <w:b/>
                <w:color w:val="auto"/>
                <w:sz w:val="16"/>
                <w:szCs w:val="16"/>
              </w:rPr>
              <w:t>100.0%</w:t>
            </w:r>
          </w:p>
        </w:tc>
      </w:tr>
      <w:tr w:rsidR="00AC401C" w:rsidRPr="00AC401C" w14:paraId="77628D6A" w14:textId="77777777" w:rsidTr="00290DB7">
        <w:tc>
          <w:tcPr>
            <w:tcW w:w="567" w:type="dxa"/>
            <w:tcBorders>
              <w:top w:val="nil"/>
              <w:left w:val="single" w:sz="4" w:space="0" w:color="auto"/>
              <w:bottom w:val="nil"/>
              <w:right w:val="single" w:sz="4" w:space="0" w:color="000000"/>
            </w:tcBorders>
          </w:tcPr>
          <w:p w14:paraId="23DEB0A3" w14:textId="77777777" w:rsidR="00AC401C" w:rsidRPr="00AC401C" w:rsidRDefault="00AC401C" w:rsidP="00290DB7">
            <w:pPr>
              <w:pStyle w:val="p0"/>
              <w:spacing w:before="60" w:after="60"/>
              <w:ind w:left="0" w:right="0" w:firstLine="0"/>
              <w:jc w:val="center"/>
              <w:rPr>
                <w:color w:val="auto"/>
                <w:sz w:val="14"/>
                <w:szCs w:val="14"/>
              </w:rPr>
            </w:pPr>
          </w:p>
        </w:tc>
        <w:tc>
          <w:tcPr>
            <w:tcW w:w="4111" w:type="dxa"/>
            <w:tcBorders>
              <w:top w:val="nil"/>
              <w:left w:val="single" w:sz="4" w:space="0" w:color="000000"/>
              <w:bottom w:val="nil"/>
              <w:right w:val="single" w:sz="4" w:space="0" w:color="000000"/>
            </w:tcBorders>
          </w:tcPr>
          <w:p w14:paraId="312B2AB1" w14:textId="77777777" w:rsidR="00AC401C" w:rsidRPr="00AC401C" w:rsidRDefault="00AC401C" w:rsidP="00290DB7">
            <w:pPr>
              <w:pStyle w:val="p0"/>
              <w:spacing w:before="60" w:after="60"/>
              <w:ind w:left="0" w:right="0" w:firstLine="0"/>
              <w:rPr>
                <w:color w:val="auto"/>
                <w:sz w:val="16"/>
                <w:szCs w:val="16"/>
              </w:rPr>
            </w:pPr>
            <w:r w:rsidRPr="00AC401C">
              <w:rPr>
                <w:color w:val="auto"/>
                <w:sz w:val="16"/>
                <w:szCs w:val="16"/>
              </w:rPr>
              <w:t xml:space="preserve">   Remuneraciones</w:t>
            </w:r>
          </w:p>
        </w:tc>
        <w:tc>
          <w:tcPr>
            <w:tcW w:w="1701" w:type="dxa"/>
            <w:tcBorders>
              <w:top w:val="nil"/>
              <w:left w:val="single" w:sz="4" w:space="0" w:color="000000"/>
              <w:bottom w:val="nil"/>
              <w:right w:val="single" w:sz="4" w:space="0" w:color="000000"/>
            </w:tcBorders>
            <w:vAlign w:val="center"/>
          </w:tcPr>
          <w:p w14:paraId="60119B18" w14:textId="77777777" w:rsidR="00AC401C" w:rsidRPr="00AC401C" w:rsidRDefault="00AC401C" w:rsidP="00290DB7">
            <w:pPr>
              <w:pStyle w:val="p0"/>
              <w:spacing w:before="60" w:after="60"/>
              <w:ind w:left="0" w:right="268" w:firstLine="0"/>
              <w:jc w:val="right"/>
              <w:rPr>
                <w:color w:val="auto"/>
                <w:sz w:val="16"/>
                <w:szCs w:val="16"/>
              </w:rPr>
            </w:pPr>
            <w:r w:rsidRPr="00AC401C">
              <w:rPr>
                <w:color w:val="auto"/>
                <w:sz w:val="16"/>
                <w:szCs w:val="16"/>
              </w:rPr>
              <w:t>6 157 956</w:t>
            </w:r>
          </w:p>
        </w:tc>
        <w:tc>
          <w:tcPr>
            <w:tcW w:w="1279" w:type="dxa"/>
            <w:tcBorders>
              <w:top w:val="nil"/>
              <w:left w:val="single" w:sz="4" w:space="0" w:color="000000"/>
              <w:bottom w:val="nil"/>
              <w:right w:val="single" w:sz="4" w:space="0" w:color="000000"/>
            </w:tcBorders>
            <w:vAlign w:val="center"/>
          </w:tcPr>
          <w:p w14:paraId="1E77DCE9" w14:textId="77777777" w:rsidR="00AC401C" w:rsidRPr="00AC401C" w:rsidRDefault="00AC401C" w:rsidP="00290DB7">
            <w:pPr>
              <w:pStyle w:val="p0"/>
              <w:spacing w:before="60" w:after="60"/>
              <w:ind w:left="0" w:right="240" w:firstLine="0"/>
              <w:jc w:val="right"/>
              <w:rPr>
                <w:color w:val="auto"/>
                <w:sz w:val="16"/>
                <w:szCs w:val="16"/>
              </w:rPr>
            </w:pPr>
            <w:r w:rsidRPr="00AC401C">
              <w:rPr>
                <w:color w:val="auto"/>
                <w:sz w:val="16"/>
                <w:szCs w:val="16"/>
              </w:rPr>
              <w:t>26.2%</w:t>
            </w:r>
          </w:p>
        </w:tc>
      </w:tr>
      <w:tr w:rsidR="00AC401C" w:rsidRPr="00AC401C" w14:paraId="794877BB" w14:textId="77777777" w:rsidTr="00290DB7">
        <w:tc>
          <w:tcPr>
            <w:tcW w:w="567" w:type="dxa"/>
            <w:tcBorders>
              <w:top w:val="nil"/>
              <w:left w:val="single" w:sz="4" w:space="0" w:color="auto"/>
            </w:tcBorders>
          </w:tcPr>
          <w:p w14:paraId="1AD8133F" w14:textId="77777777" w:rsidR="00AC401C" w:rsidRPr="00AC401C" w:rsidRDefault="00AC401C" w:rsidP="00290DB7">
            <w:pPr>
              <w:pStyle w:val="p0"/>
              <w:spacing w:before="60" w:after="60"/>
              <w:ind w:left="0" w:right="0" w:firstLine="0"/>
              <w:jc w:val="center"/>
              <w:rPr>
                <w:color w:val="auto"/>
                <w:sz w:val="14"/>
                <w:szCs w:val="14"/>
              </w:rPr>
            </w:pPr>
          </w:p>
        </w:tc>
        <w:tc>
          <w:tcPr>
            <w:tcW w:w="4111" w:type="dxa"/>
            <w:tcBorders>
              <w:top w:val="nil"/>
            </w:tcBorders>
            <w:vAlign w:val="bottom"/>
          </w:tcPr>
          <w:p w14:paraId="6E67158D" w14:textId="77777777" w:rsidR="00AC401C" w:rsidRPr="00AC401C" w:rsidRDefault="00AC401C" w:rsidP="00290DB7">
            <w:pPr>
              <w:pStyle w:val="p0"/>
              <w:spacing w:before="60" w:after="60"/>
              <w:ind w:left="0" w:right="0" w:firstLine="0"/>
              <w:rPr>
                <w:color w:val="auto"/>
                <w:sz w:val="16"/>
                <w:szCs w:val="16"/>
              </w:rPr>
            </w:pPr>
            <w:r w:rsidRPr="00AC401C">
              <w:rPr>
                <w:color w:val="auto"/>
                <w:sz w:val="16"/>
                <w:szCs w:val="16"/>
              </w:rPr>
              <w:t xml:space="preserve">   Excedente bruto de operación</w:t>
            </w:r>
          </w:p>
        </w:tc>
        <w:tc>
          <w:tcPr>
            <w:tcW w:w="1701" w:type="dxa"/>
            <w:tcBorders>
              <w:top w:val="nil"/>
            </w:tcBorders>
            <w:vAlign w:val="center"/>
          </w:tcPr>
          <w:p w14:paraId="03B2AEDF" w14:textId="77777777" w:rsidR="00AC401C" w:rsidRPr="00AC401C" w:rsidRDefault="00AC401C" w:rsidP="00290DB7">
            <w:pPr>
              <w:pStyle w:val="p0"/>
              <w:spacing w:before="60" w:after="60"/>
              <w:ind w:left="0" w:right="268" w:firstLine="0"/>
              <w:jc w:val="right"/>
              <w:rPr>
                <w:color w:val="auto"/>
                <w:sz w:val="16"/>
                <w:szCs w:val="16"/>
              </w:rPr>
            </w:pPr>
            <w:r w:rsidRPr="00AC401C">
              <w:rPr>
                <w:color w:val="auto"/>
                <w:sz w:val="16"/>
                <w:szCs w:val="16"/>
              </w:rPr>
              <w:t>10 934 960</w:t>
            </w:r>
          </w:p>
        </w:tc>
        <w:tc>
          <w:tcPr>
            <w:tcW w:w="1279" w:type="dxa"/>
            <w:tcBorders>
              <w:top w:val="nil"/>
            </w:tcBorders>
            <w:vAlign w:val="center"/>
          </w:tcPr>
          <w:p w14:paraId="78EB632C" w14:textId="77777777" w:rsidR="00AC401C" w:rsidRPr="00AC401C" w:rsidRDefault="00AC401C" w:rsidP="00290DB7">
            <w:pPr>
              <w:pStyle w:val="p0"/>
              <w:spacing w:before="60" w:after="60"/>
              <w:ind w:left="0" w:right="240" w:firstLine="0"/>
              <w:jc w:val="right"/>
              <w:rPr>
                <w:color w:val="auto"/>
                <w:sz w:val="16"/>
                <w:szCs w:val="16"/>
              </w:rPr>
            </w:pPr>
            <w:r w:rsidRPr="00AC401C">
              <w:rPr>
                <w:color w:val="auto"/>
                <w:sz w:val="16"/>
                <w:szCs w:val="16"/>
              </w:rPr>
              <w:t>46.5%</w:t>
            </w:r>
          </w:p>
        </w:tc>
      </w:tr>
      <w:tr w:rsidR="00AC401C" w:rsidRPr="00AC401C" w14:paraId="6B1C5FB5" w14:textId="77777777" w:rsidTr="00290DB7">
        <w:tc>
          <w:tcPr>
            <w:tcW w:w="567" w:type="dxa"/>
            <w:tcBorders>
              <w:top w:val="nil"/>
              <w:left w:val="single" w:sz="4" w:space="0" w:color="auto"/>
            </w:tcBorders>
          </w:tcPr>
          <w:p w14:paraId="6C263EBC" w14:textId="77777777" w:rsidR="00AC401C" w:rsidRPr="00AC401C" w:rsidRDefault="00AC401C" w:rsidP="00290DB7">
            <w:pPr>
              <w:pStyle w:val="p0"/>
              <w:spacing w:before="60" w:after="60"/>
              <w:ind w:left="0" w:right="0" w:firstLine="0"/>
              <w:jc w:val="center"/>
              <w:rPr>
                <w:color w:val="auto"/>
                <w:sz w:val="14"/>
                <w:szCs w:val="14"/>
              </w:rPr>
            </w:pPr>
          </w:p>
        </w:tc>
        <w:tc>
          <w:tcPr>
            <w:tcW w:w="4111" w:type="dxa"/>
            <w:tcBorders>
              <w:top w:val="nil"/>
            </w:tcBorders>
            <w:vAlign w:val="bottom"/>
          </w:tcPr>
          <w:p w14:paraId="1241B19A" w14:textId="77777777" w:rsidR="00AC401C" w:rsidRPr="00AC401C" w:rsidRDefault="00AC401C" w:rsidP="00290DB7">
            <w:pPr>
              <w:pStyle w:val="p0"/>
              <w:spacing w:before="60" w:after="60"/>
              <w:ind w:left="0" w:right="0" w:firstLine="0"/>
              <w:rPr>
                <w:color w:val="auto"/>
                <w:sz w:val="16"/>
                <w:szCs w:val="16"/>
              </w:rPr>
            </w:pPr>
            <w:r w:rsidRPr="00AC401C">
              <w:rPr>
                <w:color w:val="auto"/>
                <w:sz w:val="16"/>
                <w:szCs w:val="16"/>
              </w:rPr>
              <w:t xml:space="preserve">   Ingreso mixto bruto</w:t>
            </w:r>
          </w:p>
        </w:tc>
        <w:tc>
          <w:tcPr>
            <w:tcW w:w="1701" w:type="dxa"/>
            <w:tcBorders>
              <w:top w:val="nil"/>
            </w:tcBorders>
            <w:vAlign w:val="center"/>
          </w:tcPr>
          <w:p w14:paraId="7D472BCC" w14:textId="77777777" w:rsidR="00AC401C" w:rsidRPr="00AC401C" w:rsidRDefault="00AC401C" w:rsidP="00290DB7">
            <w:pPr>
              <w:pStyle w:val="p0"/>
              <w:spacing w:before="60" w:after="60"/>
              <w:ind w:left="0" w:right="268" w:firstLine="0"/>
              <w:jc w:val="right"/>
              <w:rPr>
                <w:color w:val="auto"/>
                <w:sz w:val="16"/>
                <w:szCs w:val="16"/>
              </w:rPr>
            </w:pPr>
            <w:r w:rsidRPr="00AC401C">
              <w:rPr>
                <w:color w:val="auto"/>
                <w:sz w:val="16"/>
                <w:szCs w:val="16"/>
              </w:rPr>
              <w:t>4 962 631</w:t>
            </w:r>
          </w:p>
        </w:tc>
        <w:tc>
          <w:tcPr>
            <w:tcW w:w="1279" w:type="dxa"/>
            <w:tcBorders>
              <w:top w:val="nil"/>
            </w:tcBorders>
            <w:vAlign w:val="center"/>
          </w:tcPr>
          <w:p w14:paraId="2E681C8F" w14:textId="77777777" w:rsidR="00AC401C" w:rsidRPr="00AC401C" w:rsidRDefault="00AC401C" w:rsidP="00290DB7">
            <w:pPr>
              <w:pStyle w:val="p0"/>
              <w:spacing w:before="60" w:after="60"/>
              <w:ind w:left="0" w:right="240" w:firstLine="0"/>
              <w:jc w:val="right"/>
              <w:rPr>
                <w:color w:val="auto"/>
                <w:sz w:val="16"/>
                <w:szCs w:val="16"/>
              </w:rPr>
            </w:pPr>
            <w:r w:rsidRPr="00AC401C">
              <w:rPr>
                <w:color w:val="auto"/>
                <w:sz w:val="16"/>
                <w:szCs w:val="16"/>
              </w:rPr>
              <w:t>21.1%</w:t>
            </w:r>
          </w:p>
        </w:tc>
      </w:tr>
      <w:tr w:rsidR="00AC401C" w:rsidRPr="00AC401C" w14:paraId="2492147E" w14:textId="77777777" w:rsidTr="00290DB7">
        <w:tc>
          <w:tcPr>
            <w:tcW w:w="567" w:type="dxa"/>
            <w:tcBorders>
              <w:top w:val="nil"/>
              <w:left w:val="single" w:sz="4" w:space="0" w:color="auto"/>
            </w:tcBorders>
          </w:tcPr>
          <w:p w14:paraId="3A9080B7" w14:textId="77777777" w:rsidR="00AC401C" w:rsidRPr="00AC401C" w:rsidRDefault="00AC401C" w:rsidP="00290DB7">
            <w:pPr>
              <w:pStyle w:val="p0"/>
              <w:spacing w:before="60" w:after="60"/>
              <w:ind w:left="0" w:right="0" w:firstLine="0"/>
              <w:jc w:val="center"/>
              <w:rPr>
                <w:color w:val="auto"/>
                <w:sz w:val="14"/>
                <w:szCs w:val="14"/>
              </w:rPr>
            </w:pPr>
          </w:p>
        </w:tc>
        <w:tc>
          <w:tcPr>
            <w:tcW w:w="4111" w:type="dxa"/>
            <w:tcBorders>
              <w:top w:val="nil"/>
            </w:tcBorders>
            <w:vAlign w:val="bottom"/>
          </w:tcPr>
          <w:p w14:paraId="54A6BDED" w14:textId="77777777" w:rsidR="00AC401C" w:rsidRPr="00AC401C" w:rsidRDefault="00AC401C" w:rsidP="00290DB7">
            <w:pPr>
              <w:pStyle w:val="p0"/>
              <w:spacing w:before="60" w:after="60"/>
              <w:ind w:left="114" w:right="0" w:hanging="114"/>
              <w:rPr>
                <w:color w:val="auto"/>
                <w:sz w:val="16"/>
                <w:szCs w:val="16"/>
              </w:rPr>
            </w:pPr>
            <w:r w:rsidRPr="00AC401C">
              <w:rPr>
                <w:color w:val="auto"/>
                <w:sz w:val="16"/>
                <w:szCs w:val="16"/>
              </w:rPr>
              <w:t xml:space="preserve">   Impuestos sobre la producción y las importaciones netos de subsidios</w:t>
            </w:r>
          </w:p>
        </w:tc>
        <w:tc>
          <w:tcPr>
            <w:tcW w:w="1701" w:type="dxa"/>
            <w:tcBorders>
              <w:top w:val="nil"/>
            </w:tcBorders>
            <w:vAlign w:val="center"/>
          </w:tcPr>
          <w:p w14:paraId="1BD117F3" w14:textId="77777777" w:rsidR="00AC401C" w:rsidRPr="00AC401C" w:rsidRDefault="00AC401C" w:rsidP="00290DB7">
            <w:pPr>
              <w:pStyle w:val="p0"/>
              <w:spacing w:before="60" w:after="60"/>
              <w:ind w:left="0" w:right="268" w:firstLine="0"/>
              <w:jc w:val="right"/>
              <w:rPr>
                <w:color w:val="auto"/>
                <w:sz w:val="16"/>
                <w:szCs w:val="16"/>
              </w:rPr>
            </w:pPr>
            <w:r w:rsidRPr="00AC401C">
              <w:rPr>
                <w:color w:val="auto"/>
                <w:sz w:val="16"/>
                <w:szCs w:val="16"/>
              </w:rPr>
              <w:t>1 435 959</w:t>
            </w:r>
          </w:p>
        </w:tc>
        <w:tc>
          <w:tcPr>
            <w:tcW w:w="1279" w:type="dxa"/>
            <w:tcBorders>
              <w:top w:val="nil"/>
            </w:tcBorders>
            <w:vAlign w:val="center"/>
          </w:tcPr>
          <w:p w14:paraId="3F907981" w14:textId="77777777" w:rsidR="00AC401C" w:rsidRPr="00AC401C" w:rsidRDefault="00AC401C" w:rsidP="00290DB7">
            <w:pPr>
              <w:pStyle w:val="p0"/>
              <w:spacing w:before="60" w:after="60"/>
              <w:ind w:left="0" w:right="240" w:firstLine="0"/>
              <w:jc w:val="right"/>
              <w:rPr>
                <w:color w:val="auto"/>
                <w:sz w:val="16"/>
                <w:szCs w:val="16"/>
              </w:rPr>
            </w:pPr>
            <w:r w:rsidRPr="00AC401C">
              <w:rPr>
                <w:color w:val="auto"/>
                <w:sz w:val="16"/>
                <w:szCs w:val="16"/>
              </w:rPr>
              <w:t>6.1%</w:t>
            </w:r>
          </w:p>
        </w:tc>
      </w:tr>
      <w:tr w:rsidR="00AC401C" w:rsidRPr="00AC401C" w14:paraId="1A2024A4" w14:textId="77777777" w:rsidTr="00290DB7">
        <w:tc>
          <w:tcPr>
            <w:tcW w:w="567" w:type="dxa"/>
            <w:tcBorders>
              <w:left w:val="single" w:sz="4" w:space="0" w:color="auto"/>
            </w:tcBorders>
            <w:shd w:val="clear" w:color="auto" w:fill="FABF8F" w:themeFill="accent6" w:themeFillTint="99"/>
          </w:tcPr>
          <w:p w14:paraId="1328FC52" w14:textId="77777777" w:rsidR="00AC401C" w:rsidRPr="00AC401C" w:rsidRDefault="00AC401C" w:rsidP="00290DB7">
            <w:pPr>
              <w:pStyle w:val="p0"/>
              <w:spacing w:before="60" w:after="60"/>
              <w:ind w:left="0" w:right="0" w:firstLine="0"/>
              <w:jc w:val="center"/>
              <w:rPr>
                <w:color w:val="auto"/>
                <w:sz w:val="14"/>
                <w:szCs w:val="14"/>
              </w:rPr>
            </w:pPr>
            <w:r w:rsidRPr="00AC401C">
              <w:rPr>
                <w:color w:val="auto"/>
                <w:sz w:val="14"/>
                <w:szCs w:val="14"/>
              </w:rPr>
              <w:t>(+)</w:t>
            </w:r>
          </w:p>
        </w:tc>
        <w:tc>
          <w:tcPr>
            <w:tcW w:w="4111" w:type="dxa"/>
            <w:shd w:val="clear" w:color="auto" w:fill="FABF8F" w:themeFill="accent6" w:themeFillTint="99"/>
            <w:vAlign w:val="bottom"/>
          </w:tcPr>
          <w:p w14:paraId="26648166" w14:textId="77777777" w:rsidR="00AC401C" w:rsidRPr="00AC401C" w:rsidRDefault="00AC401C" w:rsidP="00290DB7">
            <w:pPr>
              <w:pStyle w:val="p0"/>
              <w:spacing w:before="60" w:after="60"/>
              <w:ind w:left="0" w:right="0" w:firstLine="0"/>
              <w:rPr>
                <w:color w:val="auto"/>
                <w:sz w:val="16"/>
                <w:szCs w:val="16"/>
              </w:rPr>
            </w:pPr>
            <w:r w:rsidRPr="00AC401C">
              <w:rPr>
                <w:color w:val="auto"/>
                <w:sz w:val="16"/>
                <w:szCs w:val="16"/>
              </w:rPr>
              <w:t xml:space="preserve">Remuneraciones netas con el exterior </w:t>
            </w:r>
          </w:p>
        </w:tc>
        <w:tc>
          <w:tcPr>
            <w:tcW w:w="1701" w:type="dxa"/>
            <w:shd w:val="clear" w:color="auto" w:fill="FABF8F" w:themeFill="accent6" w:themeFillTint="99"/>
            <w:vAlign w:val="center"/>
          </w:tcPr>
          <w:p w14:paraId="78C4F4F3" w14:textId="77777777" w:rsidR="00AC401C" w:rsidRPr="00AC401C" w:rsidRDefault="00AC401C" w:rsidP="00290DB7">
            <w:pPr>
              <w:pStyle w:val="p0"/>
              <w:spacing w:before="60" w:after="60"/>
              <w:ind w:left="0" w:right="268" w:firstLine="0"/>
              <w:jc w:val="right"/>
              <w:rPr>
                <w:color w:val="auto"/>
                <w:sz w:val="16"/>
                <w:szCs w:val="16"/>
              </w:rPr>
            </w:pPr>
            <w:r w:rsidRPr="00AC401C">
              <w:rPr>
                <w:color w:val="auto"/>
                <w:sz w:val="16"/>
                <w:szCs w:val="16"/>
              </w:rPr>
              <w:t>40 245</w:t>
            </w:r>
          </w:p>
        </w:tc>
        <w:tc>
          <w:tcPr>
            <w:tcW w:w="1279" w:type="dxa"/>
            <w:shd w:val="clear" w:color="auto" w:fill="FABF8F" w:themeFill="accent6" w:themeFillTint="99"/>
            <w:vAlign w:val="center"/>
          </w:tcPr>
          <w:p w14:paraId="36F618BF" w14:textId="77777777" w:rsidR="00AC401C" w:rsidRPr="00AC401C" w:rsidRDefault="00AC401C" w:rsidP="00290DB7">
            <w:pPr>
              <w:pStyle w:val="p0"/>
              <w:spacing w:before="60" w:after="60"/>
              <w:ind w:left="0" w:right="240" w:firstLine="0"/>
              <w:jc w:val="right"/>
              <w:rPr>
                <w:color w:val="auto"/>
                <w:sz w:val="16"/>
                <w:szCs w:val="16"/>
              </w:rPr>
            </w:pPr>
            <w:r w:rsidRPr="00AC401C">
              <w:rPr>
                <w:color w:val="auto"/>
                <w:sz w:val="16"/>
                <w:szCs w:val="16"/>
              </w:rPr>
              <w:t>0.2%</w:t>
            </w:r>
          </w:p>
        </w:tc>
      </w:tr>
      <w:tr w:rsidR="00AC401C" w:rsidRPr="00AC401C" w14:paraId="5DA0376B" w14:textId="77777777" w:rsidTr="00290DB7">
        <w:tc>
          <w:tcPr>
            <w:tcW w:w="567" w:type="dxa"/>
            <w:tcBorders>
              <w:left w:val="single" w:sz="4" w:space="0" w:color="auto"/>
            </w:tcBorders>
            <w:shd w:val="clear" w:color="auto" w:fill="FABF8F" w:themeFill="accent6" w:themeFillTint="99"/>
          </w:tcPr>
          <w:p w14:paraId="5E2A6578" w14:textId="77777777" w:rsidR="00AC401C" w:rsidRPr="00AC401C" w:rsidRDefault="00AC401C" w:rsidP="00290DB7">
            <w:pPr>
              <w:pStyle w:val="p0"/>
              <w:spacing w:before="60" w:after="60"/>
              <w:ind w:left="0" w:right="0" w:firstLine="0"/>
              <w:jc w:val="center"/>
              <w:rPr>
                <w:color w:val="auto"/>
                <w:sz w:val="14"/>
                <w:szCs w:val="14"/>
              </w:rPr>
            </w:pPr>
            <w:r w:rsidRPr="00AC401C">
              <w:rPr>
                <w:color w:val="auto"/>
                <w:sz w:val="14"/>
                <w:szCs w:val="14"/>
              </w:rPr>
              <w:t>(-)</w:t>
            </w:r>
          </w:p>
        </w:tc>
        <w:tc>
          <w:tcPr>
            <w:tcW w:w="4111" w:type="dxa"/>
            <w:shd w:val="clear" w:color="auto" w:fill="FABF8F" w:themeFill="accent6" w:themeFillTint="99"/>
            <w:vAlign w:val="bottom"/>
          </w:tcPr>
          <w:p w14:paraId="1B8387C9" w14:textId="77777777" w:rsidR="00AC401C" w:rsidRPr="00AC401C" w:rsidRDefault="00AC401C" w:rsidP="00290DB7">
            <w:pPr>
              <w:pStyle w:val="p0"/>
              <w:spacing w:before="60" w:after="60"/>
              <w:ind w:left="0" w:right="0" w:firstLine="0"/>
              <w:rPr>
                <w:color w:val="auto"/>
                <w:sz w:val="16"/>
                <w:szCs w:val="16"/>
              </w:rPr>
            </w:pPr>
            <w:r w:rsidRPr="00AC401C">
              <w:rPr>
                <w:color w:val="auto"/>
                <w:sz w:val="16"/>
                <w:szCs w:val="16"/>
              </w:rPr>
              <w:t>Rentas netas de la propiedad con el exterior</w:t>
            </w:r>
          </w:p>
        </w:tc>
        <w:tc>
          <w:tcPr>
            <w:tcW w:w="1701" w:type="dxa"/>
            <w:shd w:val="clear" w:color="auto" w:fill="FABF8F" w:themeFill="accent6" w:themeFillTint="99"/>
            <w:vAlign w:val="center"/>
          </w:tcPr>
          <w:p w14:paraId="1FFCDFAC" w14:textId="77777777" w:rsidR="00AC401C" w:rsidRPr="00AC401C" w:rsidRDefault="00AC401C" w:rsidP="00290DB7">
            <w:pPr>
              <w:pStyle w:val="p0"/>
              <w:spacing w:before="60" w:after="60"/>
              <w:ind w:left="0" w:right="268" w:firstLine="0"/>
              <w:jc w:val="right"/>
              <w:rPr>
                <w:color w:val="auto"/>
                <w:sz w:val="16"/>
                <w:szCs w:val="16"/>
              </w:rPr>
            </w:pPr>
            <w:r w:rsidRPr="00AC401C">
              <w:rPr>
                <w:color w:val="auto"/>
                <w:sz w:val="16"/>
                <w:szCs w:val="16"/>
              </w:rPr>
              <w:t>643 305</w:t>
            </w:r>
          </w:p>
        </w:tc>
        <w:tc>
          <w:tcPr>
            <w:tcW w:w="1279" w:type="dxa"/>
            <w:shd w:val="clear" w:color="auto" w:fill="FABF8F" w:themeFill="accent6" w:themeFillTint="99"/>
            <w:vAlign w:val="center"/>
          </w:tcPr>
          <w:p w14:paraId="431D7F0F" w14:textId="77777777" w:rsidR="00AC401C" w:rsidRPr="00AC401C" w:rsidRDefault="00AC401C" w:rsidP="00290DB7">
            <w:pPr>
              <w:pStyle w:val="p0"/>
              <w:spacing w:before="60" w:after="60"/>
              <w:ind w:left="0" w:right="240" w:firstLine="0"/>
              <w:jc w:val="right"/>
              <w:rPr>
                <w:color w:val="auto"/>
                <w:sz w:val="16"/>
                <w:szCs w:val="16"/>
              </w:rPr>
            </w:pPr>
            <w:r w:rsidRPr="00AC401C">
              <w:rPr>
                <w:color w:val="auto"/>
                <w:sz w:val="16"/>
                <w:szCs w:val="16"/>
              </w:rPr>
              <w:t>2.7%</w:t>
            </w:r>
          </w:p>
        </w:tc>
      </w:tr>
      <w:tr w:rsidR="00AC401C" w:rsidRPr="00AC401C" w14:paraId="194F2099" w14:textId="77777777" w:rsidTr="00290DB7">
        <w:tc>
          <w:tcPr>
            <w:tcW w:w="567" w:type="dxa"/>
            <w:tcBorders>
              <w:left w:val="single" w:sz="4" w:space="0" w:color="auto"/>
            </w:tcBorders>
            <w:shd w:val="clear" w:color="auto" w:fill="FDE9D9" w:themeFill="accent6" w:themeFillTint="33"/>
          </w:tcPr>
          <w:p w14:paraId="667ADCF5" w14:textId="77777777" w:rsidR="00AC401C" w:rsidRPr="00AC401C" w:rsidRDefault="00AC401C" w:rsidP="00290DB7">
            <w:pPr>
              <w:pStyle w:val="p0"/>
              <w:spacing w:before="60" w:after="60"/>
              <w:ind w:left="0" w:right="-108" w:firstLine="0"/>
              <w:jc w:val="center"/>
              <w:rPr>
                <w:color w:val="auto"/>
                <w:sz w:val="14"/>
                <w:szCs w:val="14"/>
              </w:rPr>
            </w:pPr>
          </w:p>
        </w:tc>
        <w:tc>
          <w:tcPr>
            <w:tcW w:w="4111" w:type="dxa"/>
            <w:shd w:val="clear" w:color="auto" w:fill="FDE9D9" w:themeFill="accent6" w:themeFillTint="33"/>
            <w:vAlign w:val="bottom"/>
          </w:tcPr>
          <w:p w14:paraId="127BA216" w14:textId="77777777" w:rsidR="00AC401C" w:rsidRPr="00AC401C" w:rsidRDefault="00AC401C" w:rsidP="00290DB7">
            <w:pPr>
              <w:pStyle w:val="p0"/>
              <w:spacing w:before="60" w:after="60"/>
              <w:ind w:left="0" w:right="0" w:firstLine="0"/>
              <w:rPr>
                <w:b/>
                <w:color w:val="auto"/>
                <w:sz w:val="16"/>
                <w:szCs w:val="16"/>
              </w:rPr>
            </w:pPr>
            <w:r w:rsidRPr="00AC401C">
              <w:rPr>
                <w:b/>
                <w:color w:val="auto"/>
                <w:sz w:val="16"/>
                <w:szCs w:val="16"/>
              </w:rPr>
              <w:t>Ingreso Nacional Bruto</w:t>
            </w:r>
          </w:p>
        </w:tc>
        <w:tc>
          <w:tcPr>
            <w:tcW w:w="1701" w:type="dxa"/>
            <w:shd w:val="clear" w:color="auto" w:fill="FDE9D9" w:themeFill="accent6" w:themeFillTint="33"/>
            <w:vAlign w:val="center"/>
          </w:tcPr>
          <w:p w14:paraId="2C05DBDE" w14:textId="77777777" w:rsidR="00AC401C" w:rsidRPr="00AC401C" w:rsidRDefault="00AC401C" w:rsidP="00290DB7">
            <w:pPr>
              <w:pStyle w:val="p0"/>
              <w:spacing w:before="60" w:after="60"/>
              <w:ind w:left="0" w:right="268" w:firstLine="0"/>
              <w:jc w:val="right"/>
              <w:rPr>
                <w:b/>
                <w:color w:val="auto"/>
                <w:sz w:val="16"/>
                <w:szCs w:val="16"/>
              </w:rPr>
            </w:pPr>
            <w:r w:rsidRPr="00AC401C">
              <w:rPr>
                <w:b/>
                <w:color w:val="auto"/>
                <w:sz w:val="16"/>
                <w:szCs w:val="16"/>
              </w:rPr>
              <w:t>22 888 447</w:t>
            </w:r>
          </w:p>
        </w:tc>
        <w:tc>
          <w:tcPr>
            <w:tcW w:w="1279" w:type="dxa"/>
            <w:shd w:val="clear" w:color="auto" w:fill="FDE9D9" w:themeFill="accent6" w:themeFillTint="33"/>
            <w:vAlign w:val="center"/>
          </w:tcPr>
          <w:p w14:paraId="77D09E20" w14:textId="77777777" w:rsidR="00AC401C" w:rsidRPr="00AC401C" w:rsidRDefault="00AC401C" w:rsidP="00290DB7">
            <w:pPr>
              <w:pStyle w:val="p0"/>
              <w:spacing w:before="60" w:after="60"/>
              <w:ind w:left="0" w:right="240" w:firstLine="0"/>
              <w:jc w:val="right"/>
              <w:rPr>
                <w:b/>
                <w:color w:val="auto"/>
                <w:sz w:val="16"/>
                <w:szCs w:val="16"/>
              </w:rPr>
            </w:pPr>
            <w:r w:rsidRPr="00AC401C">
              <w:rPr>
                <w:b/>
                <w:color w:val="auto"/>
                <w:sz w:val="16"/>
                <w:szCs w:val="16"/>
              </w:rPr>
              <w:t>97.4%</w:t>
            </w:r>
          </w:p>
        </w:tc>
      </w:tr>
      <w:tr w:rsidR="00AC401C" w:rsidRPr="00AC401C" w14:paraId="211D8129" w14:textId="77777777" w:rsidTr="00290DB7">
        <w:tc>
          <w:tcPr>
            <w:tcW w:w="567" w:type="dxa"/>
            <w:tcBorders>
              <w:left w:val="single" w:sz="4" w:space="0" w:color="auto"/>
            </w:tcBorders>
            <w:shd w:val="clear" w:color="auto" w:fill="FABF8F" w:themeFill="accent6" w:themeFillTint="99"/>
          </w:tcPr>
          <w:p w14:paraId="0BA24183" w14:textId="77777777" w:rsidR="00AC401C" w:rsidRPr="00AC401C" w:rsidRDefault="00AC401C" w:rsidP="00290DB7">
            <w:pPr>
              <w:pStyle w:val="p0"/>
              <w:spacing w:before="60" w:after="60"/>
              <w:ind w:left="0" w:right="0" w:firstLine="0"/>
              <w:jc w:val="center"/>
              <w:rPr>
                <w:color w:val="auto"/>
                <w:sz w:val="14"/>
                <w:szCs w:val="14"/>
              </w:rPr>
            </w:pPr>
            <w:r w:rsidRPr="00AC401C">
              <w:rPr>
                <w:color w:val="auto"/>
                <w:sz w:val="14"/>
                <w:szCs w:val="14"/>
              </w:rPr>
              <w:t>(+)</w:t>
            </w:r>
          </w:p>
        </w:tc>
        <w:tc>
          <w:tcPr>
            <w:tcW w:w="4111" w:type="dxa"/>
            <w:shd w:val="clear" w:color="auto" w:fill="FABF8F" w:themeFill="accent6" w:themeFillTint="99"/>
            <w:vAlign w:val="bottom"/>
          </w:tcPr>
          <w:p w14:paraId="6AB7ED58" w14:textId="77777777" w:rsidR="00AC401C" w:rsidRPr="00AC401C" w:rsidRDefault="00AC401C" w:rsidP="00290DB7">
            <w:pPr>
              <w:pStyle w:val="p0"/>
              <w:spacing w:before="60" w:after="60"/>
              <w:ind w:left="0" w:right="0" w:firstLine="0"/>
              <w:rPr>
                <w:color w:val="auto"/>
                <w:sz w:val="16"/>
                <w:szCs w:val="16"/>
              </w:rPr>
            </w:pPr>
            <w:r w:rsidRPr="00AC401C">
              <w:rPr>
                <w:color w:val="auto"/>
                <w:sz w:val="16"/>
                <w:szCs w:val="16"/>
              </w:rPr>
              <w:t>Transferencias netas corrientes diversas</w:t>
            </w:r>
          </w:p>
        </w:tc>
        <w:tc>
          <w:tcPr>
            <w:tcW w:w="1701" w:type="dxa"/>
            <w:shd w:val="clear" w:color="auto" w:fill="FABF8F" w:themeFill="accent6" w:themeFillTint="99"/>
            <w:vAlign w:val="center"/>
          </w:tcPr>
          <w:p w14:paraId="2D192FFF" w14:textId="77777777" w:rsidR="00AC401C" w:rsidRPr="00AC401C" w:rsidRDefault="00AC401C" w:rsidP="00290DB7">
            <w:pPr>
              <w:pStyle w:val="p0"/>
              <w:spacing w:before="60" w:after="60"/>
              <w:ind w:left="0" w:right="268" w:firstLine="0"/>
              <w:jc w:val="right"/>
              <w:rPr>
                <w:color w:val="auto"/>
                <w:sz w:val="16"/>
                <w:szCs w:val="16"/>
              </w:rPr>
            </w:pPr>
            <w:r w:rsidRPr="00AC401C">
              <w:rPr>
                <w:color w:val="auto"/>
                <w:sz w:val="16"/>
                <w:szCs w:val="16"/>
              </w:rPr>
              <w:t>632 171</w:t>
            </w:r>
          </w:p>
        </w:tc>
        <w:tc>
          <w:tcPr>
            <w:tcW w:w="1279" w:type="dxa"/>
            <w:shd w:val="clear" w:color="auto" w:fill="FABF8F" w:themeFill="accent6" w:themeFillTint="99"/>
            <w:vAlign w:val="center"/>
          </w:tcPr>
          <w:p w14:paraId="3A531A1C" w14:textId="77777777" w:rsidR="00AC401C" w:rsidRPr="00AC401C" w:rsidRDefault="00AC401C" w:rsidP="00290DB7">
            <w:pPr>
              <w:pStyle w:val="p0"/>
              <w:spacing w:before="60" w:after="60"/>
              <w:ind w:left="0" w:right="240" w:firstLine="0"/>
              <w:jc w:val="right"/>
              <w:rPr>
                <w:color w:val="auto"/>
                <w:sz w:val="16"/>
                <w:szCs w:val="16"/>
              </w:rPr>
            </w:pPr>
            <w:r w:rsidRPr="00AC401C">
              <w:rPr>
                <w:color w:val="auto"/>
                <w:sz w:val="16"/>
                <w:szCs w:val="16"/>
              </w:rPr>
              <w:t>2.7%</w:t>
            </w:r>
          </w:p>
        </w:tc>
      </w:tr>
      <w:tr w:rsidR="00AC401C" w:rsidRPr="00AC401C" w14:paraId="7804CBD9" w14:textId="77777777" w:rsidTr="00290DB7">
        <w:tc>
          <w:tcPr>
            <w:tcW w:w="567" w:type="dxa"/>
            <w:tcBorders>
              <w:left w:val="single" w:sz="4" w:space="0" w:color="auto"/>
            </w:tcBorders>
            <w:shd w:val="clear" w:color="auto" w:fill="FABF8F" w:themeFill="accent6" w:themeFillTint="99"/>
          </w:tcPr>
          <w:p w14:paraId="03F0C556" w14:textId="77777777" w:rsidR="00AC401C" w:rsidRPr="00AC401C" w:rsidRDefault="00AC401C" w:rsidP="00290DB7">
            <w:pPr>
              <w:pStyle w:val="p0"/>
              <w:spacing w:before="60" w:after="60"/>
              <w:ind w:left="0" w:right="0" w:firstLine="0"/>
              <w:jc w:val="center"/>
              <w:rPr>
                <w:color w:val="auto"/>
                <w:sz w:val="14"/>
                <w:szCs w:val="14"/>
              </w:rPr>
            </w:pPr>
            <w:r w:rsidRPr="00AC401C">
              <w:rPr>
                <w:color w:val="auto"/>
                <w:sz w:val="14"/>
                <w:szCs w:val="14"/>
              </w:rPr>
              <w:t>(-)</w:t>
            </w:r>
          </w:p>
        </w:tc>
        <w:tc>
          <w:tcPr>
            <w:tcW w:w="4111" w:type="dxa"/>
            <w:shd w:val="clear" w:color="auto" w:fill="FABF8F" w:themeFill="accent6" w:themeFillTint="99"/>
          </w:tcPr>
          <w:p w14:paraId="46CF13A3" w14:textId="77777777" w:rsidR="00AC401C" w:rsidRPr="00AC401C" w:rsidRDefault="00AC401C" w:rsidP="00290DB7">
            <w:pPr>
              <w:pStyle w:val="p0"/>
              <w:spacing w:before="60" w:after="60"/>
              <w:ind w:left="0" w:right="0" w:firstLine="0"/>
              <w:rPr>
                <w:color w:val="auto"/>
                <w:sz w:val="16"/>
                <w:szCs w:val="16"/>
              </w:rPr>
            </w:pPr>
            <w:r w:rsidRPr="00AC401C">
              <w:rPr>
                <w:color w:val="auto"/>
                <w:sz w:val="16"/>
                <w:szCs w:val="16"/>
              </w:rPr>
              <w:t>Ajuste por reaseguro con el exterior</w:t>
            </w:r>
          </w:p>
        </w:tc>
        <w:tc>
          <w:tcPr>
            <w:tcW w:w="1701" w:type="dxa"/>
            <w:shd w:val="clear" w:color="auto" w:fill="FABF8F" w:themeFill="accent6" w:themeFillTint="99"/>
            <w:vAlign w:val="center"/>
          </w:tcPr>
          <w:p w14:paraId="1131322E" w14:textId="77777777" w:rsidR="00AC401C" w:rsidRPr="00AC401C" w:rsidRDefault="00AC401C" w:rsidP="00290DB7">
            <w:pPr>
              <w:pStyle w:val="p0"/>
              <w:spacing w:before="60" w:after="60"/>
              <w:ind w:left="0" w:right="268" w:firstLine="0"/>
              <w:jc w:val="right"/>
              <w:rPr>
                <w:color w:val="auto"/>
                <w:sz w:val="16"/>
                <w:szCs w:val="16"/>
              </w:rPr>
            </w:pPr>
            <w:r w:rsidRPr="00AC401C">
              <w:rPr>
                <w:color w:val="auto"/>
                <w:sz w:val="16"/>
                <w:szCs w:val="16"/>
              </w:rPr>
              <w:t>2 441</w:t>
            </w:r>
          </w:p>
        </w:tc>
        <w:tc>
          <w:tcPr>
            <w:tcW w:w="1279" w:type="dxa"/>
            <w:shd w:val="clear" w:color="auto" w:fill="FABF8F" w:themeFill="accent6" w:themeFillTint="99"/>
            <w:vAlign w:val="center"/>
          </w:tcPr>
          <w:p w14:paraId="275EB9A6" w14:textId="77777777" w:rsidR="00AC401C" w:rsidRPr="00AC401C" w:rsidRDefault="00AC401C" w:rsidP="00290DB7">
            <w:pPr>
              <w:pStyle w:val="p0"/>
              <w:spacing w:before="60" w:after="60"/>
              <w:ind w:left="0" w:right="240" w:firstLine="0"/>
              <w:jc w:val="right"/>
              <w:rPr>
                <w:color w:val="auto"/>
                <w:sz w:val="16"/>
                <w:szCs w:val="16"/>
              </w:rPr>
            </w:pPr>
            <w:r w:rsidRPr="00AC401C">
              <w:rPr>
                <w:color w:val="auto"/>
                <w:sz w:val="16"/>
                <w:szCs w:val="16"/>
              </w:rPr>
              <w:t>0.0%</w:t>
            </w:r>
          </w:p>
        </w:tc>
      </w:tr>
      <w:tr w:rsidR="00AC401C" w:rsidRPr="00AC401C" w14:paraId="4723074A" w14:textId="77777777" w:rsidTr="00290DB7">
        <w:tc>
          <w:tcPr>
            <w:tcW w:w="567" w:type="dxa"/>
            <w:tcBorders>
              <w:left w:val="single" w:sz="4" w:space="0" w:color="auto"/>
              <w:bottom w:val="single" w:sz="4" w:space="0" w:color="auto"/>
            </w:tcBorders>
            <w:shd w:val="clear" w:color="auto" w:fill="FDE9D9" w:themeFill="accent6" w:themeFillTint="33"/>
          </w:tcPr>
          <w:p w14:paraId="6B0D4D06" w14:textId="77777777" w:rsidR="00AC401C" w:rsidRPr="00AC401C" w:rsidRDefault="00AC401C" w:rsidP="00290DB7">
            <w:pPr>
              <w:pStyle w:val="p0"/>
              <w:spacing w:before="60" w:after="60"/>
              <w:ind w:left="0" w:right="0" w:firstLine="0"/>
              <w:jc w:val="center"/>
              <w:rPr>
                <w:color w:val="auto"/>
                <w:sz w:val="14"/>
                <w:szCs w:val="14"/>
              </w:rPr>
            </w:pPr>
          </w:p>
        </w:tc>
        <w:tc>
          <w:tcPr>
            <w:tcW w:w="4111" w:type="dxa"/>
            <w:tcBorders>
              <w:bottom w:val="single" w:sz="4" w:space="0" w:color="auto"/>
            </w:tcBorders>
            <w:shd w:val="clear" w:color="auto" w:fill="FDE9D9" w:themeFill="accent6" w:themeFillTint="33"/>
            <w:vAlign w:val="bottom"/>
          </w:tcPr>
          <w:p w14:paraId="7850CF7E" w14:textId="77777777" w:rsidR="00AC401C" w:rsidRPr="00AC401C" w:rsidRDefault="00AC401C" w:rsidP="00290DB7">
            <w:pPr>
              <w:pStyle w:val="p0"/>
              <w:spacing w:before="60" w:after="60"/>
              <w:ind w:left="0" w:right="0" w:firstLine="0"/>
              <w:rPr>
                <w:b/>
                <w:color w:val="auto"/>
                <w:sz w:val="16"/>
                <w:szCs w:val="16"/>
              </w:rPr>
            </w:pPr>
            <w:r w:rsidRPr="00AC401C">
              <w:rPr>
                <w:b/>
                <w:color w:val="auto"/>
                <w:sz w:val="16"/>
                <w:szCs w:val="16"/>
              </w:rPr>
              <w:t>Ingreso Disponible Bruto</w:t>
            </w:r>
          </w:p>
        </w:tc>
        <w:tc>
          <w:tcPr>
            <w:tcW w:w="1701" w:type="dxa"/>
            <w:tcBorders>
              <w:bottom w:val="single" w:sz="4" w:space="0" w:color="auto"/>
            </w:tcBorders>
            <w:shd w:val="clear" w:color="auto" w:fill="FDE9D9" w:themeFill="accent6" w:themeFillTint="33"/>
            <w:vAlign w:val="center"/>
          </w:tcPr>
          <w:p w14:paraId="4F351FC4" w14:textId="77777777" w:rsidR="00AC401C" w:rsidRPr="00AC401C" w:rsidRDefault="00AC401C" w:rsidP="00290DB7">
            <w:pPr>
              <w:pStyle w:val="p0"/>
              <w:spacing w:before="60" w:after="60"/>
              <w:ind w:left="0" w:right="268" w:firstLine="0"/>
              <w:jc w:val="right"/>
              <w:rPr>
                <w:b/>
                <w:color w:val="auto"/>
                <w:sz w:val="16"/>
                <w:szCs w:val="16"/>
              </w:rPr>
            </w:pPr>
            <w:r w:rsidRPr="00AC401C">
              <w:rPr>
                <w:b/>
                <w:color w:val="auto"/>
                <w:sz w:val="16"/>
                <w:szCs w:val="16"/>
              </w:rPr>
              <w:t>23 518 176</w:t>
            </w:r>
          </w:p>
        </w:tc>
        <w:tc>
          <w:tcPr>
            <w:tcW w:w="1279" w:type="dxa"/>
            <w:tcBorders>
              <w:bottom w:val="single" w:sz="4" w:space="0" w:color="auto"/>
            </w:tcBorders>
            <w:shd w:val="clear" w:color="auto" w:fill="FDE9D9" w:themeFill="accent6" w:themeFillTint="33"/>
            <w:vAlign w:val="center"/>
          </w:tcPr>
          <w:p w14:paraId="441079F2" w14:textId="3DF835E4" w:rsidR="00AC401C" w:rsidRPr="00AC401C" w:rsidRDefault="00AC401C" w:rsidP="00290DB7">
            <w:pPr>
              <w:pStyle w:val="p0"/>
              <w:spacing w:before="60" w:after="60"/>
              <w:ind w:left="0" w:right="240" w:firstLine="0"/>
              <w:jc w:val="right"/>
              <w:rPr>
                <w:b/>
                <w:color w:val="auto"/>
                <w:sz w:val="16"/>
                <w:szCs w:val="16"/>
              </w:rPr>
            </w:pPr>
            <w:r w:rsidRPr="00AC401C">
              <w:rPr>
                <w:b/>
                <w:color w:val="auto"/>
                <w:sz w:val="16"/>
                <w:szCs w:val="16"/>
              </w:rPr>
              <w:t>100.</w:t>
            </w:r>
            <w:r w:rsidR="00332F75">
              <w:rPr>
                <w:b/>
                <w:color w:val="auto"/>
                <w:sz w:val="16"/>
                <w:szCs w:val="16"/>
              </w:rPr>
              <w:t>1</w:t>
            </w:r>
            <w:r w:rsidRPr="00AC401C">
              <w:rPr>
                <w:b/>
                <w:color w:val="auto"/>
                <w:sz w:val="16"/>
                <w:szCs w:val="16"/>
              </w:rPr>
              <w:t>%</w:t>
            </w:r>
          </w:p>
        </w:tc>
      </w:tr>
    </w:tbl>
    <w:p w14:paraId="533C5AE6" w14:textId="77777777" w:rsidR="00AC401C" w:rsidRPr="00AC401C" w:rsidRDefault="00AC401C" w:rsidP="00AC401C">
      <w:pPr>
        <w:spacing w:after="0" w:line="240" w:lineRule="exact"/>
        <w:ind w:left="709"/>
        <w:rPr>
          <w:rFonts w:ascii="Arial" w:hAnsi="Arial" w:cs="Arial"/>
          <w:sz w:val="16"/>
        </w:rPr>
      </w:pPr>
      <w:r w:rsidRPr="00AC401C">
        <w:rPr>
          <w:rFonts w:ascii="Arial" w:hAnsi="Arial" w:cs="Arial"/>
          <w:sz w:val="16"/>
        </w:rPr>
        <w:t xml:space="preserve">Nota: La suma de los </w:t>
      </w:r>
      <w:r w:rsidRPr="00AC401C">
        <w:rPr>
          <w:rFonts w:ascii="Arial" w:eastAsia="Arial" w:hAnsi="Arial" w:cs="Arial"/>
          <w:spacing w:val="-1"/>
          <w:sz w:val="16"/>
          <w:szCs w:val="16"/>
        </w:rPr>
        <w:t>parciales</w:t>
      </w:r>
      <w:r w:rsidRPr="00AC401C">
        <w:rPr>
          <w:rFonts w:ascii="Arial" w:hAnsi="Arial" w:cs="Arial"/>
          <w:sz w:val="16"/>
        </w:rPr>
        <w:t xml:space="preserve"> puede no coincidir con el total debido al redondeo.</w:t>
      </w:r>
    </w:p>
    <w:p w14:paraId="4D781AEC" w14:textId="77777777" w:rsidR="00AC401C" w:rsidRDefault="00AC401C" w:rsidP="00AC401C">
      <w:pPr>
        <w:spacing w:after="0" w:line="240" w:lineRule="exact"/>
        <w:ind w:left="709"/>
        <w:rPr>
          <w:rFonts w:ascii="Arial" w:eastAsia="Arial" w:hAnsi="Arial" w:cs="Arial"/>
          <w:sz w:val="16"/>
          <w:szCs w:val="16"/>
        </w:rPr>
      </w:pPr>
      <w:r w:rsidRPr="00AC401C">
        <w:rPr>
          <w:rFonts w:ascii="Arial" w:eastAsia="Arial" w:hAnsi="Arial" w:cs="Arial"/>
          <w:spacing w:val="-1"/>
          <w:sz w:val="16"/>
          <w:szCs w:val="16"/>
        </w:rPr>
        <w:t>F</w:t>
      </w:r>
      <w:r w:rsidRPr="00AC401C">
        <w:rPr>
          <w:rFonts w:ascii="Arial" w:eastAsia="Arial" w:hAnsi="Arial" w:cs="Arial"/>
          <w:spacing w:val="-2"/>
          <w:sz w:val="16"/>
          <w:szCs w:val="16"/>
        </w:rPr>
        <w:t>u</w:t>
      </w:r>
      <w:r w:rsidRPr="00AC401C">
        <w:rPr>
          <w:rFonts w:ascii="Arial" w:eastAsia="Arial" w:hAnsi="Arial" w:cs="Arial"/>
          <w:spacing w:val="-6"/>
          <w:sz w:val="16"/>
          <w:szCs w:val="16"/>
        </w:rPr>
        <w:t>e</w:t>
      </w:r>
      <w:r w:rsidRPr="00AC401C">
        <w:rPr>
          <w:rFonts w:ascii="Arial" w:eastAsia="Arial" w:hAnsi="Arial" w:cs="Arial"/>
          <w:spacing w:val="-2"/>
          <w:sz w:val="16"/>
          <w:szCs w:val="16"/>
        </w:rPr>
        <w:t>n</w:t>
      </w:r>
      <w:r w:rsidRPr="00AC401C">
        <w:rPr>
          <w:rFonts w:ascii="Arial" w:eastAsia="Arial" w:hAnsi="Arial" w:cs="Arial"/>
          <w:spacing w:val="-1"/>
          <w:sz w:val="16"/>
          <w:szCs w:val="16"/>
        </w:rPr>
        <w:t>t</w:t>
      </w:r>
      <w:r w:rsidRPr="00AC401C">
        <w:rPr>
          <w:rFonts w:ascii="Arial" w:eastAsia="Arial" w:hAnsi="Arial" w:cs="Arial"/>
          <w:spacing w:val="-6"/>
          <w:sz w:val="16"/>
          <w:szCs w:val="16"/>
        </w:rPr>
        <w:t>e</w:t>
      </w:r>
      <w:r w:rsidRPr="00AC401C">
        <w:rPr>
          <w:rFonts w:ascii="Arial" w:eastAsia="Arial" w:hAnsi="Arial" w:cs="Arial"/>
          <w:sz w:val="16"/>
          <w:szCs w:val="16"/>
        </w:rPr>
        <w:t>:</w:t>
      </w:r>
      <w:r w:rsidRPr="00AC401C">
        <w:rPr>
          <w:rFonts w:ascii="Arial" w:eastAsia="Arial" w:hAnsi="Arial" w:cs="Arial"/>
          <w:spacing w:val="-13"/>
          <w:sz w:val="16"/>
          <w:szCs w:val="16"/>
        </w:rPr>
        <w:t xml:space="preserve"> </w:t>
      </w:r>
      <w:r w:rsidRPr="00AC401C">
        <w:rPr>
          <w:rFonts w:ascii="Arial" w:eastAsia="Arial" w:hAnsi="Arial" w:cs="Arial"/>
          <w:spacing w:val="-1"/>
          <w:sz w:val="16"/>
          <w:szCs w:val="16"/>
        </w:rPr>
        <w:t>I</w:t>
      </w:r>
      <w:r w:rsidRPr="00AC401C">
        <w:rPr>
          <w:rFonts w:ascii="Arial" w:eastAsia="Arial" w:hAnsi="Arial" w:cs="Arial"/>
          <w:spacing w:val="1"/>
          <w:sz w:val="16"/>
          <w:szCs w:val="16"/>
        </w:rPr>
        <w:t>N</w:t>
      </w:r>
      <w:r w:rsidRPr="00AC401C">
        <w:rPr>
          <w:rFonts w:ascii="Arial" w:eastAsia="Arial" w:hAnsi="Arial" w:cs="Arial"/>
          <w:sz w:val="16"/>
          <w:szCs w:val="16"/>
        </w:rPr>
        <w:t>E</w:t>
      </w:r>
      <w:r w:rsidRPr="00AC401C">
        <w:rPr>
          <w:rFonts w:ascii="Arial" w:eastAsia="Arial" w:hAnsi="Arial" w:cs="Arial"/>
          <w:spacing w:val="1"/>
          <w:sz w:val="16"/>
          <w:szCs w:val="16"/>
        </w:rPr>
        <w:t>G</w:t>
      </w:r>
      <w:r w:rsidRPr="00AC401C">
        <w:rPr>
          <w:rFonts w:ascii="Arial" w:eastAsia="Arial" w:hAnsi="Arial" w:cs="Arial"/>
          <w:spacing w:val="-1"/>
          <w:sz w:val="16"/>
          <w:szCs w:val="16"/>
        </w:rPr>
        <w:t>I</w:t>
      </w:r>
      <w:r w:rsidRPr="00AC401C">
        <w:rPr>
          <w:rFonts w:ascii="Arial" w:eastAsia="Arial" w:hAnsi="Arial" w:cs="Arial"/>
          <w:sz w:val="16"/>
          <w:szCs w:val="16"/>
        </w:rPr>
        <w:t>.</w:t>
      </w:r>
    </w:p>
    <w:p w14:paraId="0F205D05" w14:textId="77777777" w:rsidR="00AC401C" w:rsidRDefault="00AC401C" w:rsidP="00EF117C">
      <w:pPr>
        <w:spacing w:before="120" w:after="0" w:line="246" w:lineRule="auto"/>
        <w:jc w:val="both"/>
        <w:rPr>
          <w:rFonts w:ascii="Arial" w:eastAsia="Arial" w:hAnsi="Arial" w:cs="Arial"/>
          <w:sz w:val="24"/>
          <w:szCs w:val="24"/>
        </w:rPr>
      </w:pPr>
    </w:p>
    <w:p w14:paraId="1DFD4C77" w14:textId="77AB1443" w:rsidR="00CC4F8B" w:rsidRDefault="00EA4260" w:rsidP="00EF117C">
      <w:pPr>
        <w:spacing w:before="120" w:after="0" w:line="246" w:lineRule="auto"/>
        <w:jc w:val="both"/>
        <w:rPr>
          <w:rFonts w:ascii="Arial" w:eastAsia="Arial" w:hAnsi="Arial" w:cs="Arial"/>
          <w:sz w:val="24"/>
          <w:szCs w:val="24"/>
        </w:rPr>
      </w:pPr>
      <w:r w:rsidRPr="00967568">
        <w:rPr>
          <w:rFonts w:ascii="Arial" w:eastAsia="Arial" w:hAnsi="Arial" w:cs="Arial"/>
          <w:sz w:val="24"/>
          <w:szCs w:val="24"/>
        </w:rPr>
        <w:t>En</w:t>
      </w:r>
      <w:r w:rsidR="00576351">
        <w:rPr>
          <w:rFonts w:ascii="Arial" w:eastAsia="Arial" w:hAnsi="Arial" w:cs="Arial"/>
          <w:sz w:val="24"/>
          <w:szCs w:val="24"/>
        </w:rPr>
        <w:t xml:space="preserve"> el</w:t>
      </w:r>
      <w:r w:rsidR="00DD2327" w:rsidRPr="00967568">
        <w:rPr>
          <w:rFonts w:ascii="Arial" w:eastAsia="Arial" w:hAnsi="Arial" w:cs="Arial"/>
          <w:sz w:val="24"/>
          <w:szCs w:val="24"/>
        </w:rPr>
        <w:t xml:space="preserve"> </w:t>
      </w:r>
      <w:r w:rsidR="007F7ADE">
        <w:rPr>
          <w:rFonts w:ascii="Arial" w:eastAsia="Arial" w:hAnsi="Arial" w:cs="Arial"/>
          <w:sz w:val="24"/>
          <w:szCs w:val="24"/>
        </w:rPr>
        <w:t>2018</w:t>
      </w:r>
      <w:r w:rsidRPr="00967568">
        <w:rPr>
          <w:rFonts w:ascii="Arial" w:eastAsia="Arial" w:hAnsi="Arial" w:cs="Arial"/>
          <w:sz w:val="24"/>
          <w:szCs w:val="24"/>
        </w:rPr>
        <w:t xml:space="preserve">, </w:t>
      </w:r>
      <w:r w:rsidR="00116F39">
        <w:rPr>
          <w:rFonts w:ascii="Arial" w:eastAsia="Arial" w:hAnsi="Arial" w:cs="Arial"/>
          <w:spacing w:val="5"/>
          <w:sz w:val="24"/>
          <w:szCs w:val="24"/>
        </w:rPr>
        <w:t>el I</w:t>
      </w:r>
      <w:r w:rsidR="001E1780" w:rsidRPr="00967568">
        <w:rPr>
          <w:rFonts w:ascii="Arial" w:eastAsia="Arial" w:hAnsi="Arial" w:cs="Arial"/>
          <w:spacing w:val="5"/>
          <w:sz w:val="24"/>
          <w:szCs w:val="24"/>
        </w:rPr>
        <w:t xml:space="preserve">ngreso </w:t>
      </w:r>
      <w:r w:rsidR="00116F39">
        <w:rPr>
          <w:rFonts w:ascii="Arial" w:eastAsia="Arial" w:hAnsi="Arial" w:cs="Arial"/>
          <w:spacing w:val="5"/>
          <w:sz w:val="24"/>
          <w:szCs w:val="24"/>
        </w:rPr>
        <w:t>N</w:t>
      </w:r>
      <w:r w:rsidR="001E1780" w:rsidRPr="00967568">
        <w:rPr>
          <w:rFonts w:ascii="Arial" w:eastAsia="Arial" w:hAnsi="Arial" w:cs="Arial"/>
          <w:spacing w:val="5"/>
          <w:sz w:val="24"/>
          <w:szCs w:val="24"/>
        </w:rPr>
        <w:t xml:space="preserve">acional </w:t>
      </w:r>
      <w:r w:rsidR="00116F39">
        <w:rPr>
          <w:rFonts w:ascii="Arial" w:eastAsia="Arial" w:hAnsi="Arial" w:cs="Arial"/>
          <w:spacing w:val="5"/>
          <w:sz w:val="24"/>
          <w:szCs w:val="24"/>
        </w:rPr>
        <w:t>D</w:t>
      </w:r>
      <w:r w:rsidR="00255FF0">
        <w:rPr>
          <w:rFonts w:ascii="Arial" w:eastAsia="Arial" w:hAnsi="Arial" w:cs="Arial"/>
          <w:spacing w:val="5"/>
          <w:sz w:val="24"/>
          <w:szCs w:val="24"/>
        </w:rPr>
        <w:t>isponible</w:t>
      </w:r>
      <w:r w:rsidR="00A87124" w:rsidRPr="00A87124">
        <w:rPr>
          <w:rFonts w:ascii="Arial" w:eastAsia="Arial" w:hAnsi="Arial" w:cs="Arial"/>
          <w:spacing w:val="5"/>
          <w:sz w:val="24"/>
          <w:szCs w:val="24"/>
        </w:rPr>
        <w:t xml:space="preserve"> </w:t>
      </w:r>
      <w:r w:rsidR="00A87124">
        <w:rPr>
          <w:rFonts w:ascii="Arial" w:eastAsia="Arial" w:hAnsi="Arial" w:cs="Arial"/>
          <w:spacing w:val="5"/>
          <w:sz w:val="24"/>
          <w:szCs w:val="24"/>
        </w:rPr>
        <w:t>Bruto</w:t>
      </w:r>
      <w:r w:rsidR="00255FF0">
        <w:rPr>
          <w:rFonts w:ascii="Arial" w:eastAsia="Arial" w:hAnsi="Arial" w:cs="Arial"/>
          <w:spacing w:val="5"/>
          <w:sz w:val="24"/>
          <w:szCs w:val="24"/>
        </w:rPr>
        <w:t xml:space="preserve"> </w:t>
      </w:r>
      <w:r w:rsidR="001E1780" w:rsidRPr="00967568">
        <w:rPr>
          <w:rFonts w:ascii="Arial" w:eastAsia="Arial" w:hAnsi="Arial" w:cs="Arial"/>
          <w:spacing w:val="5"/>
          <w:sz w:val="24"/>
          <w:szCs w:val="24"/>
        </w:rPr>
        <w:t xml:space="preserve">se ubicó en </w:t>
      </w:r>
      <w:r w:rsidR="007F3A1C">
        <w:rPr>
          <w:rFonts w:ascii="Arial" w:eastAsia="Arial" w:hAnsi="Arial" w:cs="Arial"/>
          <w:spacing w:val="5"/>
          <w:sz w:val="24"/>
          <w:szCs w:val="24"/>
        </w:rPr>
        <w:t>2</w:t>
      </w:r>
      <w:r w:rsidR="007F7ADE">
        <w:rPr>
          <w:rFonts w:ascii="Arial" w:eastAsia="Arial" w:hAnsi="Arial" w:cs="Arial"/>
          <w:spacing w:val="5"/>
          <w:sz w:val="24"/>
          <w:szCs w:val="24"/>
        </w:rPr>
        <w:t>3</w:t>
      </w:r>
      <w:r w:rsidR="007F3A1C">
        <w:rPr>
          <w:rFonts w:ascii="Arial" w:eastAsia="Arial" w:hAnsi="Arial" w:cs="Arial"/>
          <w:spacing w:val="5"/>
          <w:sz w:val="24"/>
          <w:szCs w:val="24"/>
        </w:rPr>
        <w:t>,5</w:t>
      </w:r>
      <w:r w:rsidR="007F7ADE">
        <w:rPr>
          <w:rFonts w:ascii="Arial" w:eastAsia="Arial" w:hAnsi="Arial" w:cs="Arial"/>
          <w:spacing w:val="5"/>
          <w:sz w:val="24"/>
          <w:szCs w:val="24"/>
        </w:rPr>
        <w:t>18</w:t>
      </w:r>
      <w:r w:rsidR="007F3A1C">
        <w:rPr>
          <w:rFonts w:ascii="Arial" w:eastAsia="Arial" w:hAnsi="Arial" w:cs="Arial"/>
          <w:spacing w:val="5"/>
          <w:sz w:val="24"/>
          <w:szCs w:val="24"/>
        </w:rPr>
        <w:t>,</w:t>
      </w:r>
      <w:r w:rsidR="007F7ADE">
        <w:rPr>
          <w:rFonts w:ascii="Arial" w:eastAsia="Arial" w:hAnsi="Arial" w:cs="Arial"/>
          <w:spacing w:val="5"/>
          <w:sz w:val="24"/>
          <w:szCs w:val="24"/>
        </w:rPr>
        <w:t>176</w:t>
      </w:r>
      <w:r w:rsidR="002A1E5F" w:rsidRPr="00C6048B">
        <w:rPr>
          <w:rFonts w:ascii="Arial" w:eastAsia="Arial" w:hAnsi="Arial" w:cs="Arial"/>
          <w:spacing w:val="5"/>
          <w:sz w:val="24"/>
          <w:szCs w:val="24"/>
        </w:rPr>
        <w:t xml:space="preserve"> </w:t>
      </w:r>
      <w:r w:rsidR="001E1780" w:rsidRPr="00967568">
        <w:rPr>
          <w:rFonts w:ascii="Arial" w:eastAsia="Arial" w:hAnsi="Arial" w:cs="Arial"/>
          <w:spacing w:val="5"/>
          <w:sz w:val="24"/>
          <w:szCs w:val="24"/>
        </w:rPr>
        <w:t xml:space="preserve">millones de pesos y </w:t>
      </w:r>
      <w:r w:rsidR="001E1780" w:rsidRPr="00967568">
        <w:rPr>
          <w:rFonts w:ascii="Arial" w:eastAsia="Arial" w:hAnsi="Arial" w:cs="Arial"/>
          <w:spacing w:val="4"/>
          <w:sz w:val="24"/>
          <w:szCs w:val="24"/>
        </w:rPr>
        <w:t>l</w:t>
      </w:r>
      <w:r w:rsidR="001E1780" w:rsidRPr="00967568">
        <w:rPr>
          <w:rFonts w:ascii="Arial" w:eastAsia="Arial" w:hAnsi="Arial" w:cs="Arial"/>
          <w:sz w:val="24"/>
          <w:szCs w:val="24"/>
        </w:rPr>
        <w:t>a</w:t>
      </w:r>
      <w:r w:rsidR="001E1780" w:rsidRPr="00967568">
        <w:rPr>
          <w:rFonts w:ascii="Arial" w:eastAsia="Arial" w:hAnsi="Arial" w:cs="Arial"/>
          <w:spacing w:val="5"/>
          <w:sz w:val="24"/>
          <w:szCs w:val="24"/>
        </w:rPr>
        <w:t xml:space="preserve"> </w:t>
      </w:r>
      <w:r w:rsidR="00332F75">
        <w:rPr>
          <w:rFonts w:ascii="Arial" w:eastAsia="Arial" w:hAnsi="Arial" w:cs="Arial"/>
          <w:spacing w:val="5"/>
          <w:sz w:val="24"/>
          <w:szCs w:val="24"/>
        </w:rPr>
        <w:t xml:space="preserve">distribución </w:t>
      </w:r>
      <w:r w:rsidR="00AC401C" w:rsidRPr="00332F75">
        <w:rPr>
          <w:rFonts w:ascii="Arial" w:eastAsia="Arial" w:hAnsi="Arial" w:cs="Arial"/>
          <w:spacing w:val="5"/>
          <w:sz w:val="24"/>
          <w:szCs w:val="24"/>
        </w:rPr>
        <w:t>por sector institucional</w:t>
      </w:r>
      <w:r w:rsidR="00AC401C">
        <w:rPr>
          <w:rFonts w:ascii="Arial" w:eastAsia="Arial" w:hAnsi="Arial" w:cs="Arial"/>
          <w:spacing w:val="5"/>
          <w:sz w:val="24"/>
          <w:szCs w:val="24"/>
        </w:rPr>
        <w:t xml:space="preserve"> </w:t>
      </w:r>
      <w:r w:rsidR="001E1780" w:rsidRPr="00967568">
        <w:rPr>
          <w:rFonts w:ascii="Arial" w:eastAsia="Arial" w:hAnsi="Arial" w:cs="Arial"/>
          <w:sz w:val="24"/>
          <w:szCs w:val="24"/>
        </w:rPr>
        <w:t>f</w:t>
      </w:r>
      <w:r w:rsidR="001E1780" w:rsidRPr="00967568">
        <w:rPr>
          <w:rFonts w:ascii="Arial" w:eastAsia="Arial" w:hAnsi="Arial" w:cs="Arial"/>
          <w:spacing w:val="1"/>
          <w:sz w:val="24"/>
          <w:szCs w:val="24"/>
        </w:rPr>
        <w:t>u</w:t>
      </w:r>
      <w:r w:rsidR="001E1780" w:rsidRPr="00967568">
        <w:rPr>
          <w:rFonts w:ascii="Arial" w:eastAsia="Arial" w:hAnsi="Arial" w:cs="Arial"/>
          <w:sz w:val="24"/>
          <w:szCs w:val="24"/>
        </w:rPr>
        <w:t>e</w:t>
      </w:r>
      <w:r w:rsidR="001E1780" w:rsidRPr="00967568">
        <w:rPr>
          <w:rFonts w:ascii="Arial" w:eastAsia="Arial" w:hAnsi="Arial" w:cs="Arial"/>
          <w:spacing w:val="6"/>
          <w:sz w:val="24"/>
          <w:szCs w:val="24"/>
        </w:rPr>
        <w:t xml:space="preserve"> </w:t>
      </w:r>
      <w:r w:rsidR="001E1780" w:rsidRPr="00967568">
        <w:rPr>
          <w:rFonts w:ascii="Arial" w:eastAsia="Arial" w:hAnsi="Arial" w:cs="Arial"/>
          <w:spacing w:val="4"/>
          <w:sz w:val="24"/>
          <w:szCs w:val="24"/>
        </w:rPr>
        <w:t>l</w:t>
      </w:r>
      <w:r w:rsidR="001E1780" w:rsidRPr="00967568">
        <w:rPr>
          <w:rFonts w:ascii="Arial" w:eastAsia="Arial" w:hAnsi="Arial" w:cs="Arial"/>
          <w:sz w:val="24"/>
          <w:szCs w:val="24"/>
        </w:rPr>
        <w:t>a</w:t>
      </w:r>
      <w:r w:rsidR="001E1780" w:rsidRPr="00967568">
        <w:rPr>
          <w:rFonts w:ascii="Arial" w:eastAsia="Arial" w:hAnsi="Arial" w:cs="Arial"/>
          <w:spacing w:val="1"/>
          <w:sz w:val="24"/>
          <w:szCs w:val="24"/>
        </w:rPr>
        <w:t xml:space="preserve"> </w:t>
      </w:r>
      <w:r w:rsidR="001E1780" w:rsidRPr="00967568">
        <w:rPr>
          <w:rFonts w:ascii="Arial" w:eastAsia="Arial" w:hAnsi="Arial" w:cs="Arial"/>
          <w:sz w:val="24"/>
          <w:szCs w:val="24"/>
        </w:rPr>
        <w:t>s</w:t>
      </w:r>
      <w:r w:rsidR="001E1780" w:rsidRPr="00967568">
        <w:rPr>
          <w:rFonts w:ascii="Arial" w:eastAsia="Arial" w:hAnsi="Arial" w:cs="Arial"/>
          <w:spacing w:val="5"/>
          <w:sz w:val="24"/>
          <w:szCs w:val="24"/>
        </w:rPr>
        <w:t>i</w:t>
      </w:r>
      <w:r w:rsidR="001E1780" w:rsidRPr="00967568">
        <w:rPr>
          <w:rFonts w:ascii="Arial" w:eastAsia="Arial" w:hAnsi="Arial" w:cs="Arial"/>
          <w:spacing w:val="1"/>
          <w:sz w:val="24"/>
          <w:szCs w:val="24"/>
        </w:rPr>
        <w:t>gu</w:t>
      </w:r>
      <w:r w:rsidR="001E1780" w:rsidRPr="00967568">
        <w:rPr>
          <w:rFonts w:ascii="Arial" w:eastAsia="Arial" w:hAnsi="Arial" w:cs="Arial"/>
          <w:spacing w:val="4"/>
          <w:sz w:val="24"/>
          <w:szCs w:val="24"/>
        </w:rPr>
        <w:t>i</w:t>
      </w:r>
      <w:r w:rsidR="001E1780" w:rsidRPr="00967568">
        <w:rPr>
          <w:rFonts w:ascii="Arial" w:eastAsia="Arial" w:hAnsi="Arial" w:cs="Arial"/>
          <w:spacing w:val="1"/>
          <w:sz w:val="24"/>
          <w:szCs w:val="24"/>
        </w:rPr>
        <w:t>en</w:t>
      </w:r>
      <w:r w:rsidR="001E1780" w:rsidRPr="00967568">
        <w:rPr>
          <w:rFonts w:ascii="Arial" w:eastAsia="Arial" w:hAnsi="Arial" w:cs="Arial"/>
          <w:sz w:val="24"/>
          <w:szCs w:val="24"/>
        </w:rPr>
        <w:t>t</w:t>
      </w:r>
      <w:r w:rsidR="001E1780" w:rsidRPr="00967568">
        <w:rPr>
          <w:rFonts w:ascii="Arial" w:eastAsia="Arial" w:hAnsi="Arial" w:cs="Arial"/>
          <w:spacing w:val="1"/>
          <w:sz w:val="24"/>
          <w:szCs w:val="24"/>
        </w:rPr>
        <w:t>e:</w:t>
      </w:r>
      <w:r w:rsidR="001E1780" w:rsidRPr="00967568">
        <w:rPr>
          <w:rFonts w:ascii="Arial" w:eastAsia="Arial" w:hAnsi="Arial" w:cs="Arial"/>
          <w:sz w:val="24"/>
          <w:szCs w:val="24"/>
        </w:rPr>
        <w:t xml:space="preserve"> </w:t>
      </w:r>
      <w:r w:rsidRPr="00967568">
        <w:rPr>
          <w:rFonts w:ascii="Arial" w:eastAsia="Arial" w:hAnsi="Arial" w:cs="Arial"/>
          <w:sz w:val="24"/>
          <w:szCs w:val="24"/>
        </w:rPr>
        <w:t xml:space="preserve">los Hogares </w:t>
      </w:r>
      <w:r w:rsidRPr="00C6048B">
        <w:rPr>
          <w:rFonts w:ascii="Arial" w:eastAsia="Arial" w:hAnsi="Arial" w:cs="Arial"/>
          <w:sz w:val="24"/>
          <w:szCs w:val="24"/>
        </w:rPr>
        <w:t xml:space="preserve">recibieron el </w:t>
      </w:r>
      <w:r w:rsidR="00405B83" w:rsidRPr="00C6048B">
        <w:rPr>
          <w:rFonts w:ascii="Arial" w:eastAsia="Arial" w:hAnsi="Arial" w:cs="Arial"/>
          <w:sz w:val="24"/>
          <w:szCs w:val="24"/>
        </w:rPr>
        <w:t>7</w:t>
      </w:r>
      <w:r w:rsidR="007F7ADE">
        <w:rPr>
          <w:rFonts w:ascii="Arial" w:eastAsia="Arial" w:hAnsi="Arial" w:cs="Arial"/>
          <w:sz w:val="24"/>
          <w:szCs w:val="24"/>
        </w:rPr>
        <w:t>3.5</w:t>
      </w:r>
      <w:r w:rsidR="0029508B" w:rsidRPr="00C6048B">
        <w:rPr>
          <w:rFonts w:ascii="Arial" w:eastAsia="Arial" w:hAnsi="Arial" w:cs="Arial"/>
          <w:sz w:val="24"/>
          <w:szCs w:val="24"/>
        </w:rPr>
        <w:t xml:space="preserve">%, </w:t>
      </w:r>
      <w:r w:rsidR="00C6048B" w:rsidRPr="00C6048B">
        <w:rPr>
          <w:rFonts w:ascii="Arial" w:eastAsia="Arial" w:hAnsi="Arial" w:cs="Arial"/>
          <w:sz w:val="24"/>
          <w:szCs w:val="24"/>
        </w:rPr>
        <w:t xml:space="preserve">el Gobierno general </w:t>
      </w:r>
      <w:r w:rsidR="007F7ADE">
        <w:rPr>
          <w:rFonts w:ascii="Arial" w:eastAsia="Arial" w:hAnsi="Arial" w:cs="Arial"/>
          <w:sz w:val="24"/>
          <w:szCs w:val="24"/>
        </w:rPr>
        <w:t>y</w:t>
      </w:r>
      <w:r w:rsidR="00C6048B">
        <w:rPr>
          <w:rFonts w:ascii="Arial" w:eastAsia="Arial" w:hAnsi="Arial" w:cs="Arial"/>
          <w:sz w:val="24"/>
          <w:szCs w:val="24"/>
        </w:rPr>
        <w:t xml:space="preserve"> </w:t>
      </w:r>
      <w:r w:rsidR="00154862" w:rsidRPr="00C6048B">
        <w:rPr>
          <w:rFonts w:ascii="Arial" w:eastAsia="Arial" w:hAnsi="Arial" w:cs="Arial"/>
          <w:sz w:val="24"/>
          <w:szCs w:val="24"/>
        </w:rPr>
        <w:t xml:space="preserve">las Sociedades no financieras </w:t>
      </w:r>
      <w:r w:rsidR="007F7ADE">
        <w:rPr>
          <w:rFonts w:ascii="Arial" w:eastAsia="Arial" w:hAnsi="Arial" w:cs="Arial"/>
          <w:sz w:val="24"/>
          <w:szCs w:val="24"/>
        </w:rPr>
        <w:t>9.4</w:t>
      </w:r>
      <w:r w:rsidR="00154862" w:rsidRPr="00C6048B">
        <w:rPr>
          <w:rFonts w:ascii="Arial" w:eastAsia="Arial" w:hAnsi="Arial" w:cs="Arial"/>
          <w:sz w:val="24"/>
          <w:szCs w:val="24"/>
        </w:rPr>
        <w:t>%,</w:t>
      </w:r>
      <w:r w:rsidR="007F7ADE">
        <w:rPr>
          <w:rFonts w:ascii="Arial" w:eastAsia="Arial" w:hAnsi="Arial" w:cs="Arial"/>
          <w:sz w:val="24"/>
          <w:szCs w:val="24"/>
        </w:rPr>
        <w:t xml:space="preserve"> cada una,</w:t>
      </w:r>
      <w:r w:rsidR="00154862" w:rsidRPr="00C6048B">
        <w:rPr>
          <w:rFonts w:ascii="Arial" w:eastAsia="Arial" w:hAnsi="Arial" w:cs="Arial"/>
          <w:sz w:val="24"/>
          <w:szCs w:val="24"/>
        </w:rPr>
        <w:t xml:space="preserve"> </w:t>
      </w:r>
      <w:r w:rsidR="0029508B" w:rsidRPr="00C6048B">
        <w:rPr>
          <w:rFonts w:ascii="Arial" w:eastAsia="Arial" w:hAnsi="Arial" w:cs="Arial"/>
          <w:sz w:val="24"/>
          <w:szCs w:val="24"/>
        </w:rPr>
        <w:t>las Sociedades f</w:t>
      </w:r>
      <w:r w:rsidRPr="00C6048B">
        <w:rPr>
          <w:rFonts w:ascii="Arial" w:eastAsia="Arial" w:hAnsi="Arial" w:cs="Arial"/>
          <w:sz w:val="24"/>
          <w:szCs w:val="24"/>
        </w:rPr>
        <w:t xml:space="preserve">inancieras </w:t>
      </w:r>
      <w:r w:rsidR="007F7ADE">
        <w:rPr>
          <w:rFonts w:ascii="Arial" w:eastAsia="Arial" w:hAnsi="Arial" w:cs="Arial"/>
          <w:sz w:val="24"/>
          <w:szCs w:val="24"/>
        </w:rPr>
        <w:t>5.6</w:t>
      </w:r>
      <w:r w:rsidRPr="00C6048B">
        <w:rPr>
          <w:rFonts w:ascii="Arial" w:eastAsia="Arial" w:hAnsi="Arial" w:cs="Arial"/>
          <w:sz w:val="24"/>
          <w:szCs w:val="24"/>
        </w:rPr>
        <w:t>% y las</w:t>
      </w:r>
      <w:r w:rsidR="001E1780" w:rsidRPr="00C6048B">
        <w:rPr>
          <w:rFonts w:ascii="Arial" w:eastAsia="Arial" w:hAnsi="Arial" w:cs="Arial"/>
          <w:sz w:val="24"/>
          <w:szCs w:val="24"/>
        </w:rPr>
        <w:t xml:space="preserve"> </w:t>
      </w:r>
      <w:r w:rsidR="00387C35" w:rsidRPr="00C6048B">
        <w:rPr>
          <w:rFonts w:ascii="Arial" w:eastAsia="Arial" w:hAnsi="Arial" w:cs="Arial"/>
          <w:sz w:val="24"/>
          <w:szCs w:val="24"/>
        </w:rPr>
        <w:t>ISFLSH</w:t>
      </w:r>
      <w:r w:rsidRPr="00C6048B">
        <w:rPr>
          <w:rFonts w:ascii="Arial" w:eastAsia="Arial" w:hAnsi="Arial" w:cs="Arial"/>
          <w:sz w:val="24"/>
          <w:szCs w:val="24"/>
        </w:rPr>
        <w:t xml:space="preserve"> </w:t>
      </w:r>
      <w:r w:rsidR="007F7ADE">
        <w:rPr>
          <w:rFonts w:ascii="Arial" w:eastAsia="Arial" w:hAnsi="Arial" w:cs="Arial"/>
          <w:sz w:val="24"/>
          <w:szCs w:val="24"/>
        </w:rPr>
        <w:t>2.2</w:t>
      </w:r>
      <w:r w:rsidR="00B13436">
        <w:rPr>
          <w:rFonts w:ascii="Arial" w:eastAsia="Arial" w:hAnsi="Arial" w:cs="Arial"/>
          <w:sz w:val="24"/>
          <w:szCs w:val="24"/>
        </w:rPr>
        <w:t>% (véase gráfica siguiente).</w:t>
      </w:r>
    </w:p>
    <w:p w14:paraId="148ECE90" w14:textId="45972D00" w:rsidR="00AC401C" w:rsidRDefault="00AC401C">
      <w:pPr>
        <w:rPr>
          <w:rFonts w:ascii="Arial" w:eastAsia="Arial" w:hAnsi="Arial" w:cs="Arial"/>
          <w:sz w:val="24"/>
          <w:szCs w:val="24"/>
        </w:rPr>
      </w:pPr>
      <w:r>
        <w:rPr>
          <w:rFonts w:ascii="Arial" w:eastAsia="Arial" w:hAnsi="Arial" w:cs="Arial"/>
          <w:sz w:val="24"/>
          <w:szCs w:val="24"/>
        </w:rPr>
        <w:br w:type="page"/>
      </w:r>
    </w:p>
    <w:p w14:paraId="196B2815" w14:textId="77777777" w:rsidR="009C31D7" w:rsidRPr="00967568" w:rsidRDefault="00A51977" w:rsidP="00425FAB">
      <w:pPr>
        <w:spacing w:before="720" w:after="0" w:line="246" w:lineRule="auto"/>
        <w:jc w:val="center"/>
        <w:rPr>
          <w:rFonts w:ascii="Arial" w:eastAsia="Arial" w:hAnsi="Arial" w:cs="Arial"/>
          <w:sz w:val="24"/>
          <w:szCs w:val="24"/>
        </w:rPr>
      </w:pPr>
      <w:r>
        <w:rPr>
          <w:rFonts w:ascii="Arial" w:eastAsia="Arial" w:hAnsi="Arial" w:cs="Arial"/>
          <w:sz w:val="24"/>
          <w:szCs w:val="24"/>
        </w:rPr>
        <w:lastRenderedPageBreak/>
        <w:t>Gráfica 3</w:t>
      </w:r>
    </w:p>
    <w:p w14:paraId="3EED5F9B" w14:textId="77777777" w:rsidR="00425FAB" w:rsidRPr="0064647D" w:rsidRDefault="00A564BF" w:rsidP="00425FAB">
      <w:pPr>
        <w:spacing w:after="0" w:line="240" w:lineRule="auto"/>
        <w:ind w:right="31"/>
        <w:jc w:val="center"/>
        <w:rPr>
          <w:rFonts w:ascii="Arial" w:hAnsi="Arial" w:cs="Arial"/>
          <w:b/>
          <w:smallCaps/>
          <w:sz w:val="24"/>
        </w:rPr>
      </w:pPr>
      <w:r w:rsidRPr="0064647D">
        <w:rPr>
          <w:rFonts w:ascii="Arial" w:hAnsi="Arial" w:cs="Arial"/>
          <w:b/>
          <w:smallCaps/>
          <w:sz w:val="24"/>
        </w:rPr>
        <w:t xml:space="preserve">Distribución del Ingreso Nacional Disponible Bruto </w:t>
      </w:r>
      <w:r w:rsidR="00AA21AF">
        <w:rPr>
          <w:rFonts w:ascii="Arial" w:hAnsi="Arial" w:cs="Arial"/>
          <w:b/>
          <w:smallCaps/>
          <w:sz w:val="24"/>
        </w:rPr>
        <w:t>por</w:t>
      </w:r>
      <w:r w:rsidRPr="0064647D">
        <w:rPr>
          <w:rFonts w:ascii="Arial" w:hAnsi="Arial" w:cs="Arial"/>
          <w:b/>
          <w:smallCaps/>
          <w:sz w:val="24"/>
        </w:rPr>
        <w:t xml:space="preserve"> </w:t>
      </w:r>
    </w:p>
    <w:p w14:paraId="33799D11" w14:textId="77777777" w:rsidR="00A564BF" w:rsidRPr="0064647D" w:rsidRDefault="00005B5E" w:rsidP="00425FAB">
      <w:pPr>
        <w:spacing w:after="0" w:line="240" w:lineRule="auto"/>
        <w:ind w:right="31"/>
        <w:jc w:val="center"/>
        <w:rPr>
          <w:rFonts w:ascii="Arial" w:eastAsia="Arial" w:hAnsi="Arial" w:cs="Arial"/>
          <w:sz w:val="20"/>
          <w:szCs w:val="18"/>
        </w:rPr>
      </w:pPr>
      <w:r>
        <w:rPr>
          <w:rFonts w:ascii="Arial" w:hAnsi="Arial" w:cs="Arial"/>
          <w:b/>
          <w:smallCaps/>
          <w:sz w:val="24"/>
        </w:rPr>
        <w:t>Sector I</w:t>
      </w:r>
      <w:r w:rsidR="00A564BF" w:rsidRPr="0064647D">
        <w:rPr>
          <w:rFonts w:ascii="Arial" w:hAnsi="Arial" w:cs="Arial"/>
          <w:b/>
          <w:smallCaps/>
          <w:sz w:val="24"/>
        </w:rPr>
        <w:t xml:space="preserve">nstitucional, </w:t>
      </w:r>
      <w:r w:rsidR="007F7ADE">
        <w:rPr>
          <w:rFonts w:ascii="Arial" w:hAnsi="Arial" w:cs="Arial"/>
          <w:b/>
          <w:smallCaps/>
          <w:sz w:val="24"/>
        </w:rPr>
        <w:t>2018</w:t>
      </w:r>
    </w:p>
    <w:p w14:paraId="5B8B7442" w14:textId="77777777" w:rsidR="009C31D7" w:rsidRDefault="009C31D7" w:rsidP="00425FAB">
      <w:pPr>
        <w:spacing w:after="0" w:line="240" w:lineRule="auto"/>
        <w:jc w:val="center"/>
        <w:rPr>
          <w:rFonts w:ascii="Arial" w:eastAsia="Arial" w:hAnsi="Arial" w:cs="Arial"/>
          <w:w w:val="101"/>
          <w:sz w:val="18"/>
          <w:szCs w:val="18"/>
        </w:rPr>
      </w:pPr>
      <w:r w:rsidRPr="00967568">
        <w:rPr>
          <w:rFonts w:ascii="Arial" w:eastAsia="Arial" w:hAnsi="Arial" w:cs="Arial"/>
          <w:spacing w:val="1"/>
          <w:sz w:val="18"/>
          <w:szCs w:val="18"/>
        </w:rPr>
        <w:t>(</w:t>
      </w:r>
      <w:r w:rsidRPr="00967568">
        <w:rPr>
          <w:rFonts w:ascii="Arial" w:eastAsia="Arial" w:hAnsi="Arial" w:cs="Arial"/>
          <w:spacing w:val="-2"/>
          <w:sz w:val="18"/>
          <w:szCs w:val="18"/>
        </w:rPr>
        <w:t>E</w:t>
      </w:r>
      <w:r w:rsidRPr="00967568">
        <w:rPr>
          <w:rFonts w:ascii="Arial" w:eastAsia="Arial" w:hAnsi="Arial" w:cs="Arial"/>
          <w:sz w:val="18"/>
          <w:szCs w:val="18"/>
        </w:rPr>
        <w:t>s</w:t>
      </w:r>
      <w:r w:rsidRPr="00967568">
        <w:rPr>
          <w:rFonts w:ascii="Arial" w:eastAsia="Arial" w:hAnsi="Arial" w:cs="Arial"/>
          <w:spacing w:val="2"/>
          <w:sz w:val="18"/>
          <w:szCs w:val="18"/>
        </w:rPr>
        <w:t>t</w:t>
      </w:r>
      <w:r w:rsidRPr="00967568">
        <w:rPr>
          <w:rFonts w:ascii="Arial" w:eastAsia="Arial" w:hAnsi="Arial" w:cs="Arial"/>
          <w:spacing w:val="1"/>
          <w:sz w:val="18"/>
          <w:szCs w:val="18"/>
        </w:rPr>
        <w:t>r</w:t>
      </w:r>
      <w:r w:rsidRPr="00967568">
        <w:rPr>
          <w:rFonts w:ascii="Arial" w:eastAsia="Arial" w:hAnsi="Arial" w:cs="Arial"/>
          <w:spacing w:val="-1"/>
          <w:sz w:val="18"/>
          <w:szCs w:val="18"/>
        </w:rPr>
        <w:t>u</w:t>
      </w:r>
      <w:r w:rsidRPr="00967568">
        <w:rPr>
          <w:rFonts w:ascii="Arial" w:eastAsia="Arial" w:hAnsi="Arial" w:cs="Arial"/>
          <w:sz w:val="18"/>
          <w:szCs w:val="18"/>
        </w:rPr>
        <w:t>c</w:t>
      </w:r>
      <w:r w:rsidRPr="00967568">
        <w:rPr>
          <w:rFonts w:ascii="Arial" w:eastAsia="Arial" w:hAnsi="Arial" w:cs="Arial"/>
          <w:spacing w:val="2"/>
          <w:sz w:val="18"/>
          <w:szCs w:val="18"/>
        </w:rPr>
        <w:t>t</w:t>
      </w:r>
      <w:r w:rsidRPr="00967568">
        <w:rPr>
          <w:rFonts w:ascii="Arial" w:eastAsia="Arial" w:hAnsi="Arial" w:cs="Arial"/>
          <w:spacing w:val="-1"/>
          <w:sz w:val="18"/>
          <w:szCs w:val="18"/>
        </w:rPr>
        <w:t>u</w:t>
      </w:r>
      <w:r w:rsidRPr="00967568">
        <w:rPr>
          <w:rFonts w:ascii="Arial" w:eastAsia="Arial" w:hAnsi="Arial" w:cs="Arial"/>
          <w:spacing w:val="1"/>
          <w:sz w:val="18"/>
          <w:szCs w:val="18"/>
        </w:rPr>
        <w:t>r</w:t>
      </w:r>
      <w:r w:rsidRPr="00967568">
        <w:rPr>
          <w:rFonts w:ascii="Arial" w:eastAsia="Arial" w:hAnsi="Arial" w:cs="Arial"/>
          <w:sz w:val="18"/>
          <w:szCs w:val="18"/>
        </w:rPr>
        <w:t>a</w:t>
      </w:r>
      <w:r w:rsidRPr="00967568">
        <w:rPr>
          <w:rFonts w:ascii="Arial" w:eastAsia="Arial" w:hAnsi="Arial" w:cs="Arial"/>
          <w:spacing w:val="11"/>
          <w:sz w:val="18"/>
          <w:szCs w:val="18"/>
        </w:rPr>
        <w:t xml:space="preserve"> </w:t>
      </w:r>
      <w:r w:rsidRPr="00967568">
        <w:rPr>
          <w:rFonts w:ascii="Arial" w:eastAsia="Arial" w:hAnsi="Arial" w:cs="Arial"/>
          <w:spacing w:val="-2"/>
          <w:w w:val="101"/>
          <w:sz w:val="18"/>
          <w:szCs w:val="18"/>
        </w:rPr>
        <w:t>P</w:t>
      </w:r>
      <w:r w:rsidRPr="00967568">
        <w:rPr>
          <w:rFonts w:ascii="Arial" w:eastAsia="Arial" w:hAnsi="Arial" w:cs="Arial"/>
          <w:spacing w:val="-1"/>
          <w:w w:val="101"/>
          <w:sz w:val="18"/>
          <w:szCs w:val="18"/>
        </w:rPr>
        <w:t>o</w:t>
      </w:r>
      <w:r w:rsidRPr="00967568">
        <w:rPr>
          <w:rFonts w:ascii="Arial" w:eastAsia="Arial" w:hAnsi="Arial" w:cs="Arial"/>
          <w:spacing w:val="1"/>
          <w:w w:val="101"/>
          <w:sz w:val="18"/>
          <w:szCs w:val="18"/>
        </w:rPr>
        <w:t>r</w:t>
      </w:r>
      <w:r w:rsidRPr="00967568">
        <w:rPr>
          <w:rFonts w:ascii="Arial" w:eastAsia="Arial" w:hAnsi="Arial" w:cs="Arial"/>
          <w:w w:val="101"/>
          <w:sz w:val="18"/>
          <w:szCs w:val="18"/>
        </w:rPr>
        <w:t>c</w:t>
      </w:r>
      <w:r w:rsidRPr="00967568">
        <w:rPr>
          <w:rFonts w:ascii="Arial" w:eastAsia="Arial" w:hAnsi="Arial" w:cs="Arial"/>
          <w:spacing w:val="-5"/>
          <w:w w:val="101"/>
          <w:sz w:val="18"/>
          <w:szCs w:val="18"/>
        </w:rPr>
        <w:t>e</w:t>
      </w:r>
      <w:r w:rsidRPr="00967568">
        <w:rPr>
          <w:rFonts w:ascii="Arial" w:eastAsia="Arial" w:hAnsi="Arial" w:cs="Arial"/>
          <w:spacing w:val="-1"/>
          <w:w w:val="101"/>
          <w:sz w:val="18"/>
          <w:szCs w:val="18"/>
        </w:rPr>
        <w:t>n</w:t>
      </w:r>
      <w:r w:rsidRPr="00967568">
        <w:rPr>
          <w:rFonts w:ascii="Arial" w:eastAsia="Arial" w:hAnsi="Arial" w:cs="Arial"/>
          <w:spacing w:val="2"/>
          <w:w w:val="101"/>
          <w:sz w:val="18"/>
          <w:szCs w:val="18"/>
        </w:rPr>
        <w:t>t</w:t>
      </w:r>
      <w:r w:rsidRPr="00967568">
        <w:rPr>
          <w:rFonts w:ascii="Arial" w:eastAsia="Arial" w:hAnsi="Arial" w:cs="Arial"/>
          <w:spacing w:val="-1"/>
          <w:w w:val="101"/>
          <w:sz w:val="18"/>
          <w:szCs w:val="18"/>
        </w:rPr>
        <w:t>ua</w:t>
      </w:r>
      <w:r w:rsidRPr="00967568">
        <w:rPr>
          <w:rFonts w:ascii="Arial" w:eastAsia="Arial" w:hAnsi="Arial" w:cs="Arial"/>
          <w:spacing w:val="3"/>
          <w:w w:val="101"/>
          <w:sz w:val="18"/>
          <w:szCs w:val="18"/>
        </w:rPr>
        <w:t>l</w:t>
      </w:r>
      <w:r w:rsidRPr="00967568">
        <w:rPr>
          <w:rFonts w:ascii="Arial" w:eastAsia="Arial" w:hAnsi="Arial" w:cs="Arial"/>
          <w:w w:val="101"/>
          <w:sz w:val="18"/>
          <w:szCs w:val="18"/>
        </w:rPr>
        <w:t>)</w:t>
      </w:r>
    </w:p>
    <w:p w14:paraId="0FF7F513" w14:textId="77777777" w:rsidR="009C31D7" w:rsidRPr="00967568" w:rsidRDefault="00D71B0E" w:rsidP="00425FAB">
      <w:pPr>
        <w:spacing w:after="0" w:line="240" w:lineRule="auto"/>
        <w:ind w:right="31"/>
        <w:jc w:val="center"/>
        <w:rPr>
          <w:rFonts w:ascii="Arial" w:eastAsia="Arial" w:hAnsi="Arial" w:cs="Arial"/>
          <w:sz w:val="24"/>
          <w:szCs w:val="24"/>
        </w:rPr>
      </w:pPr>
      <w:r w:rsidRPr="00D71B0E">
        <w:rPr>
          <w:noProof/>
          <w:lang w:eastAsia="es-MX"/>
        </w:rPr>
        <w:drawing>
          <wp:inline distT="0" distB="0" distL="0" distR="0" wp14:anchorId="2EE69E1A" wp14:editId="604C1F97">
            <wp:extent cx="4380227" cy="3780000"/>
            <wp:effectExtent l="0" t="0" r="190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380227" cy="3780000"/>
                    </a:xfrm>
                    <a:prstGeom prst="rect">
                      <a:avLst/>
                    </a:prstGeom>
                    <a:noFill/>
                    <a:ln>
                      <a:noFill/>
                    </a:ln>
                  </pic:spPr>
                </pic:pic>
              </a:graphicData>
            </a:graphic>
          </wp:inline>
        </w:drawing>
      </w:r>
    </w:p>
    <w:p w14:paraId="36819F5D" w14:textId="77777777" w:rsidR="00D15309" w:rsidRPr="00C77061" w:rsidRDefault="00D15309" w:rsidP="00D15309">
      <w:pPr>
        <w:spacing w:after="0" w:line="240" w:lineRule="exact"/>
        <w:ind w:left="1134"/>
        <w:rPr>
          <w:rFonts w:ascii="Arial" w:hAnsi="Arial" w:cs="Arial"/>
          <w:sz w:val="16"/>
        </w:rPr>
      </w:pPr>
      <w:r w:rsidRPr="00C77061">
        <w:rPr>
          <w:rFonts w:ascii="Arial" w:hAnsi="Arial" w:cs="Arial"/>
          <w:sz w:val="16"/>
        </w:rPr>
        <w:t xml:space="preserve">Nota: La suma de los </w:t>
      </w:r>
      <w:r w:rsidRPr="00D15309">
        <w:rPr>
          <w:rFonts w:ascii="Arial" w:eastAsia="Arial" w:hAnsi="Arial" w:cs="Arial"/>
          <w:spacing w:val="-1"/>
          <w:sz w:val="16"/>
          <w:szCs w:val="16"/>
        </w:rPr>
        <w:t>parciales</w:t>
      </w:r>
      <w:r w:rsidR="00D71B0E">
        <w:rPr>
          <w:rFonts w:ascii="Arial" w:hAnsi="Arial" w:cs="Arial"/>
          <w:sz w:val="16"/>
        </w:rPr>
        <w:t xml:space="preserve"> puede</w:t>
      </w:r>
      <w:r w:rsidRPr="00C77061">
        <w:rPr>
          <w:rFonts w:ascii="Arial" w:hAnsi="Arial" w:cs="Arial"/>
          <w:sz w:val="16"/>
        </w:rPr>
        <w:t xml:space="preserve"> no coincidir con </w:t>
      </w:r>
      <w:r>
        <w:rPr>
          <w:rFonts w:ascii="Arial" w:hAnsi="Arial" w:cs="Arial"/>
          <w:sz w:val="16"/>
        </w:rPr>
        <w:t>el</w:t>
      </w:r>
      <w:r w:rsidRPr="00C77061">
        <w:rPr>
          <w:rFonts w:ascii="Arial" w:hAnsi="Arial" w:cs="Arial"/>
          <w:sz w:val="16"/>
        </w:rPr>
        <w:t xml:space="preserve"> total debido al redondeo.</w:t>
      </w:r>
    </w:p>
    <w:p w14:paraId="25CB74E0" w14:textId="77777777" w:rsidR="003F1E04" w:rsidRDefault="00EA4260" w:rsidP="002A5961">
      <w:pPr>
        <w:spacing w:after="0" w:line="240" w:lineRule="exact"/>
        <w:ind w:left="1134"/>
        <w:rPr>
          <w:rFonts w:ascii="Arial" w:eastAsia="Arial" w:hAnsi="Arial" w:cs="Arial"/>
          <w:sz w:val="16"/>
          <w:szCs w:val="16"/>
        </w:rPr>
      </w:pPr>
      <w:r w:rsidRPr="00967568">
        <w:rPr>
          <w:rFonts w:ascii="Arial" w:eastAsia="Arial" w:hAnsi="Arial" w:cs="Arial"/>
          <w:spacing w:val="-1"/>
          <w:sz w:val="16"/>
          <w:szCs w:val="16"/>
        </w:rPr>
        <w:t>F</w:t>
      </w:r>
      <w:r w:rsidRPr="00967568">
        <w:rPr>
          <w:rFonts w:ascii="Arial" w:eastAsia="Arial" w:hAnsi="Arial" w:cs="Arial"/>
          <w:spacing w:val="-2"/>
          <w:sz w:val="16"/>
          <w:szCs w:val="16"/>
        </w:rPr>
        <w:t>u</w:t>
      </w:r>
      <w:r w:rsidRPr="00967568">
        <w:rPr>
          <w:rFonts w:ascii="Arial" w:eastAsia="Arial" w:hAnsi="Arial" w:cs="Arial"/>
          <w:spacing w:val="-6"/>
          <w:sz w:val="16"/>
          <w:szCs w:val="16"/>
        </w:rPr>
        <w:t>e</w:t>
      </w:r>
      <w:r w:rsidRPr="00967568">
        <w:rPr>
          <w:rFonts w:ascii="Arial" w:eastAsia="Arial" w:hAnsi="Arial" w:cs="Arial"/>
          <w:spacing w:val="-2"/>
          <w:sz w:val="16"/>
          <w:szCs w:val="16"/>
        </w:rPr>
        <w:t>n</w:t>
      </w:r>
      <w:r w:rsidRPr="00967568">
        <w:rPr>
          <w:rFonts w:ascii="Arial" w:eastAsia="Arial" w:hAnsi="Arial" w:cs="Arial"/>
          <w:spacing w:val="-1"/>
          <w:sz w:val="16"/>
          <w:szCs w:val="16"/>
        </w:rPr>
        <w:t>t</w:t>
      </w:r>
      <w:r w:rsidRPr="00967568">
        <w:rPr>
          <w:rFonts w:ascii="Arial" w:eastAsia="Arial" w:hAnsi="Arial" w:cs="Arial"/>
          <w:spacing w:val="-6"/>
          <w:sz w:val="16"/>
          <w:szCs w:val="16"/>
        </w:rPr>
        <w:t>e</w:t>
      </w:r>
      <w:r w:rsidRPr="00967568">
        <w:rPr>
          <w:rFonts w:ascii="Arial" w:eastAsia="Arial" w:hAnsi="Arial" w:cs="Arial"/>
          <w:sz w:val="16"/>
          <w:szCs w:val="16"/>
        </w:rPr>
        <w:t>:</w:t>
      </w:r>
      <w:r w:rsidRPr="00967568">
        <w:rPr>
          <w:rFonts w:ascii="Arial" w:eastAsia="Arial" w:hAnsi="Arial" w:cs="Arial"/>
          <w:spacing w:val="-13"/>
          <w:sz w:val="16"/>
          <w:szCs w:val="16"/>
        </w:rPr>
        <w:t xml:space="preserve"> </w:t>
      </w:r>
      <w:r w:rsidRPr="00967568">
        <w:rPr>
          <w:rFonts w:ascii="Arial" w:eastAsia="Arial" w:hAnsi="Arial" w:cs="Arial"/>
          <w:spacing w:val="-1"/>
          <w:sz w:val="16"/>
          <w:szCs w:val="16"/>
        </w:rPr>
        <w:t>I</w:t>
      </w:r>
      <w:r w:rsidRPr="00967568">
        <w:rPr>
          <w:rFonts w:ascii="Arial" w:eastAsia="Arial" w:hAnsi="Arial" w:cs="Arial"/>
          <w:spacing w:val="1"/>
          <w:sz w:val="16"/>
          <w:szCs w:val="16"/>
        </w:rPr>
        <w:t>N</w:t>
      </w:r>
      <w:r w:rsidRPr="00967568">
        <w:rPr>
          <w:rFonts w:ascii="Arial" w:eastAsia="Arial" w:hAnsi="Arial" w:cs="Arial"/>
          <w:sz w:val="16"/>
          <w:szCs w:val="16"/>
        </w:rPr>
        <w:t>E</w:t>
      </w:r>
      <w:r w:rsidRPr="00967568">
        <w:rPr>
          <w:rFonts w:ascii="Arial" w:eastAsia="Arial" w:hAnsi="Arial" w:cs="Arial"/>
          <w:spacing w:val="1"/>
          <w:sz w:val="16"/>
          <w:szCs w:val="16"/>
        </w:rPr>
        <w:t>G</w:t>
      </w:r>
      <w:r w:rsidRPr="00967568">
        <w:rPr>
          <w:rFonts w:ascii="Arial" w:eastAsia="Arial" w:hAnsi="Arial" w:cs="Arial"/>
          <w:spacing w:val="-1"/>
          <w:sz w:val="16"/>
          <w:szCs w:val="16"/>
        </w:rPr>
        <w:t>I</w:t>
      </w:r>
      <w:r w:rsidR="00180E3F" w:rsidRPr="00967568">
        <w:rPr>
          <w:rFonts w:ascii="Arial" w:eastAsia="Arial" w:hAnsi="Arial" w:cs="Arial"/>
          <w:sz w:val="16"/>
          <w:szCs w:val="16"/>
        </w:rPr>
        <w:t>.</w:t>
      </w:r>
    </w:p>
    <w:p w14:paraId="094F70CC" w14:textId="77777777" w:rsidR="00425FAB" w:rsidRPr="00967568" w:rsidRDefault="00255FF0" w:rsidP="00BB38C1">
      <w:pPr>
        <w:widowControl/>
        <w:spacing w:before="720" w:line="240" w:lineRule="auto"/>
        <w:jc w:val="both"/>
        <w:rPr>
          <w:rFonts w:ascii="Arial" w:eastAsia="Arial" w:hAnsi="Arial" w:cs="Arial"/>
          <w:b/>
          <w:bCs/>
          <w:sz w:val="24"/>
          <w:szCs w:val="24"/>
        </w:rPr>
      </w:pPr>
      <w:r>
        <w:rPr>
          <w:rFonts w:ascii="Arial" w:eastAsia="Calibri" w:hAnsi="Arial" w:cs="Arial"/>
          <w:b/>
          <w:sz w:val="24"/>
          <w:szCs w:val="28"/>
        </w:rPr>
        <w:t>Formación Bruta de Capital Fijo</w:t>
      </w:r>
    </w:p>
    <w:p w14:paraId="47A6F729" w14:textId="77777777" w:rsidR="00FD3271" w:rsidRPr="00BF12D1" w:rsidRDefault="00255FF0" w:rsidP="005951BA">
      <w:pPr>
        <w:spacing w:before="360" w:after="0" w:line="246" w:lineRule="auto"/>
        <w:jc w:val="both"/>
        <w:rPr>
          <w:rFonts w:ascii="Arial" w:eastAsia="Arial" w:hAnsi="Arial" w:cs="Arial"/>
          <w:sz w:val="24"/>
          <w:szCs w:val="24"/>
        </w:rPr>
      </w:pPr>
      <w:r w:rsidRPr="00BF12D1">
        <w:rPr>
          <w:rFonts w:ascii="Arial" w:eastAsia="Arial" w:hAnsi="Arial" w:cs="Arial"/>
          <w:sz w:val="24"/>
          <w:szCs w:val="24"/>
        </w:rPr>
        <w:t xml:space="preserve">La Formación Bruta de Capital Fijo da cuenta del gasto en inversión realizado en infraestructura, maquinaria y equipo, el cual permite ampliar la capacidad productiva de la economía. </w:t>
      </w:r>
      <w:r w:rsidR="00EA5AAD">
        <w:rPr>
          <w:rFonts w:ascii="Arial" w:eastAsia="Arial" w:hAnsi="Arial" w:cs="Arial"/>
          <w:sz w:val="24"/>
          <w:szCs w:val="24"/>
        </w:rPr>
        <w:t xml:space="preserve">En 2018 dicha formación alcanzó un nivel de 5,183,253 millones de pesos. </w:t>
      </w:r>
      <w:r w:rsidR="00EA4260" w:rsidRPr="00BF12D1">
        <w:rPr>
          <w:rFonts w:ascii="Arial" w:eastAsia="Arial" w:hAnsi="Arial" w:cs="Arial"/>
          <w:sz w:val="24"/>
          <w:szCs w:val="24"/>
        </w:rPr>
        <w:t>Por</w:t>
      </w:r>
      <w:r w:rsidRPr="00BF12D1">
        <w:rPr>
          <w:rFonts w:ascii="Arial" w:eastAsia="Arial" w:hAnsi="Arial" w:cs="Arial"/>
          <w:sz w:val="24"/>
          <w:szCs w:val="24"/>
        </w:rPr>
        <w:t xml:space="preserve"> sector institucional se observó</w:t>
      </w:r>
      <w:r w:rsidR="001401A0">
        <w:rPr>
          <w:rFonts w:ascii="Arial" w:eastAsia="Arial" w:hAnsi="Arial" w:cs="Arial"/>
          <w:sz w:val="24"/>
          <w:szCs w:val="24"/>
        </w:rPr>
        <w:t xml:space="preserve"> </w:t>
      </w:r>
      <w:r w:rsidRPr="00BF12D1">
        <w:rPr>
          <w:rFonts w:ascii="Arial" w:eastAsia="Arial" w:hAnsi="Arial" w:cs="Arial"/>
          <w:sz w:val="24"/>
          <w:szCs w:val="24"/>
        </w:rPr>
        <w:t>que</w:t>
      </w:r>
      <w:r w:rsidR="00EA5AAD">
        <w:rPr>
          <w:rFonts w:ascii="Arial" w:eastAsia="Arial" w:hAnsi="Arial" w:cs="Arial"/>
          <w:sz w:val="24"/>
          <w:szCs w:val="24"/>
        </w:rPr>
        <w:t xml:space="preserve"> </w:t>
      </w:r>
      <w:r w:rsidR="00EA4260" w:rsidRPr="00BF12D1">
        <w:rPr>
          <w:rFonts w:ascii="Arial" w:eastAsia="Arial" w:hAnsi="Arial" w:cs="Arial"/>
          <w:sz w:val="24"/>
          <w:szCs w:val="24"/>
        </w:rPr>
        <w:t>el porcentaje más alto de gasto de inversión fija l</w:t>
      </w:r>
      <w:r w:rsidR="00624E9B" w:rsidRPr="00BF12D1">
        <w:rPr>
          <w:rFonts w:ascii="Arial" w:eastAsia="Arial" w:hAnsi="Arial" w:cs="Arial"/>
          <w:sz w:val="24"/>
          <w:szCs w:val="24"/>
        </w:rPr>
        <w:t>o realizaron las Sociedades no f</w:t>
      </w:r>
      <w:r w:rsidR="00EA4260" w:rsidRPr="00BF12D1">
        <w:rPr>
          <w:rFonts w:ascii="Arial" w:eastAsia="Arial" w:hAnsi="Arial" w:cs="Arial"/>
          <w:sz w:val="24"/>
          <w:szCs w:val="24"/>
        </w:rPr>
        <w:t xml:space="preserve">inancieras con </w:t>
      </w:r>
      <w:r w:rsidR="009D02AE" w:rsidRPr="00184DF0">
        <w:rPr>
          <w:rFonts w:ascii="Arial" w:eastAsia="Arial" w:hAnsi="Arial" w:cs="Arial"/>
          <w:sz w:val="24"/>
          <w:szCs w:val="24"/>
        </w:rPr>
        <w:t>6</w:t>
      </w:r>
      <w:r w:rsidR="00022F0B">
        <w:rPr>
          <w:rFonts w:ascii="Arial" w:eastAsia="Arial" w:hAnsi="Arial" w:cs="Arial"/>
          <w:sz w:val="24"/>
          <w:szCs w:val="24"/>
        </w:rPr>
        <w:t>2</w:t>
      </w:r>
      <w:r w:rsidR="00BC6250">
        <w:rPr>
          <w:rFonts w:ascii="Arial" w:eastAsia="Arial" w:hAnsi="Arial" w:cs="Arial"/>
          <w:sz w:val="24"/>
          <w:szCs w:val="24"/>
        </w:rPr>
        <w:t>.5</w:t>
      </w:r>
      <w:r w:rsidR="00EA4260" w:rsidRPr="00184DF0">
        <w:rPr>
          <w:rFonts w:ascii="Arial" w:eastAsia="Arial" w:hAnsi="Arial" w:cs="Arial"/>
          <w:sz w:val="24"/>
          <w:szCs w:val="24"/>
        </w:rPr>
        <w:t xml:space="preserve">% del total nacional, los Hogares participaron con el </w:t>
      </w:r>
      <w:r w:rsidR="00FD3271" w:rsidRPr="00184DF0">
        <w:rPr>
          <w:rFonts w:ascii="Arial" w:eastAsia="Arial" w:hAnsi="Arial" w:cs="Arial"/>
          <w:sz w:val="24"/>
          <w:szCs w:val="24"/>
        </w:rPr>
        <w:t>2</w:t>
      </w:r>
      <w:r w:rsidR="00BC6250">
        <w:rPr>
          <w:rFonts w:ascii="Arial" w:eastAsia="Arial" w:hAnsi="Arial" w:cs="Arial"/>
          <w:sz w:val="24"/>
          <w:szCs w:val="24"/>
        </w:rPr>
        <w:t>8</w:t>
      </w:r>
      <w:r w:rsidR="00EA4260" w:rsidRPr="00184DF0">
        <w:rPr>
          <w:rFonts w:ascii="Arial" w:eastAsia="Arial" w:hAnsi="Arial" w:cs="Arial"/>
          <w:sz w:val="24"/>
          <w:szCs w:val="24"/>
        </w:rPr>
        <w:t xml:space="preserve">%, el </w:t>
      </w:r>
      <w:r w:rsidR="002A7458" w:rsidRPr="00184DF0">
        <w:rPr>
          <w:rFonts w:ascii="Arial" w:eastAsia="Arial" w:hAnsi="Arial" w:cs="Arial"/>
          <w:sz w:val="24"/>
          <w:szCs w:val="24"/>
        </w:rPr>
        <w:t>Gobierno general</w:t>
      </w:r>
      <w:r w:rsidR="00EA4260" w:rsidRPr="00184DF0">
        <w:rPr>
          <w:rFonts w:ascii="Arial" w:eastAsia="Arial" w:hAnsi="Arial" w:cs="Arial"/>
          <w:sz w:val="24"/>
          <w:szCs w:val="24"/>
        </w:rPr>
        <w:t xml:space="preserve"> </w:t>
      </w:r>
      <w:r w:rsidR="00BC6250">
        <w:rPr>
          <w:rFonts w:ascii="Arial" w:eastAsia="Arial" w:hAnsi="Arial" w:cs="Arial"/>
          <w:sz w:val="24"/>
          <w:szCs w:val="24"/>
        </w:rPr>
        <w:t>8.1</w:t>
      </w:r>
      <w:r w:rsidR="00EA4260" w:rsidRPr="00184DF0">
        <w:rPr>
          <w:rFonts w:ascii="Arial" w:eastAsia="Arial" w:hAnsi="Arial" w:cs="Arial"/>
          <w:sz w:val="24"/>
          <w:szCs w:val="24"/>
        </w:rPr>
        <w:t>%, las</w:t>
      </w:r>
      <w:r w:rsidR="00624E9B" w:rsidRPr="00184DF0">
        <w:rPr>
          <w:rFonts w:ascii="Arial" w:eastAsia="Arial" w:hAnsi="Arial" w:cs="Arial"/>
          <w:sz w:val="24"/>
          <w:szCs w:val="24"/>
        </w:rPr>
        <w:t xml:space="preserve"> Sociedades f</w:t>
      </w:r>
      <w:r w:rsidRPr="00184DF0">
        <w:rPr>
          <w:rFonts w:ascii="Arial" w:eastAsia="Arial" w:hAnsi="Arial" w:cs="Arial"/>
          <w:sz w:val="24"/>
          <w:szCs w:val="24"/>
        </w:rPr>
        <w:t xml:space="preserve">inancieras </w:t>
      </w:r>
      <w:r w:rsidR="009D02AE" w:rsidRPr="00184DF0">
        <w:rPr>
          <w:rFonts w:ascii="Arial" w:eastAsia="Arial" w:hAnsi="Arial" w:cs="Arial"/>
          <w:sz w:val="24"/>
          <w:szCs w:val="24"/>
        </w:rPr>
        <w:t>1.</w:t>
      </w:r>
      <w:r w:rsidR="00BC6250">
        <w:rPr>
          <w:rFonts w:ascii="Arial" w:eastAsia="Arial" w:hAnsi="Arial" w:cs="Arial"/>
          <w:sz w:val="24"/>
          <w:szCs w:val="24"/>
        </w:rPr>
        <w:t>2</w:t>
      </w:r>
      <w:r w:rsidRPr="00184DF0">
        <w:rPr>
          <w:rFonts w:ascii="Arial" w:eastAsia="Arial" w:hAnsi="Arial" w:cs="Arial"/>
          <w:sz w:val="24"/>
          <w:szCs w:val="24"/>
        </w:rPr>
        <w:t>%</w:t>
      </w:r>
      <w:r w:rsidR="00FF1AC2" w:rsidRPr="00184DF0">
        <w:rPr>
          <w:rFonts w:ascii="Arial" w:eastAsia="Arial" w:hAnsi="Arial" w:cs="Arial"/>
          <w:sz w:val="24"/>
          <w:szCs w:val="24"/>
        </w:rPr>
        <w:t xml:space="preserve"> y las </w:t>
      </w:r>
      <w:r w:rsidR="00387C35" w:rsidRPr="00184DF0">
        <w:rPr>
          <w:rFonts w:ascii="Arial" w:eastAsia="Arial" w:hAnsi="Arial" w:cs="Arial"/>
          <w:sz w:val="24"/>
          <w:szCs w:val="24"/>
        </w:rPr>
        <w:t>ISFLSH</w:t>
      </w:r>
      <w:r w:rsidR="00EA4260" w:rsidRPr="00184DF0">
        <w:rPr>
          <w:rFonts w:ascii="Arial" w:eastAsia="Arial" w:hAnsi="Arial" w:cs="Arial"/>
          <w:sz w:val="24"/>
          <w:szCs w:val="24"/>
        </w:rPr>
        <w:t xml:space="preserve"> </w:t>
      </w:r>
      <w:r w:rsidR="00435318" w:rsidRPr="00184DF0">
        <w:rPr>
          <w:rFonts w:ascii="Arial" w:eastAsia="Arial" w:hAnsi="Arial" w:cs="Arial"/>
          <w:sz w:val="24"/>
          <w:szCs w:val="24"/>
        </w:rPr>
        <w:t>0.</w:t>
      </w:r>
      <w:r w:rsidR="00BB38C1">
        <w:rPr>
          <w:rFonts w:ascii="Arial" w:eastAsia="Arial" w:hAnsi="Arial" w:cs="Arial"/>
          <w:sz w:val="24"/>
          <w:szCs w:val="24"/>
        </w:rPr>
        <w:t xml:space="preserve">2 </w:t>
      </w:r>
      <w:r w:rsidR="00FF1AC2" w:rsidRPr="00184DF0">
        <w:rPr>
          <w:rFonts w:ascii="Arial" w:eastAsia="Arial" w:hAnsi="Arial" w:cs="Arial"/>
          <w:sz w:val="24"/>
          <w:szCs w:val="24"/>
        </w:rPr>
        <w:t xml:space="preserve">por </w:t>
      </w:r>
      <w:r w:rsidR="00FF1AC2" w:rsidRPr="00BF12D1">
        <w:rPr>
          <w:rFonts w:ascii="Arial" w:eastAsia="Arial" w:hAnsi="Arial" w:cs="Arial"/>
          <w:sz w:val="24"/>
          <w:szCs w:val="24"/>
        </w:rPr>
        <w:t>ciento.</w:t>
      </w:r>
    </w:p>
    <w:p w14:paraId="6B64AA72" w14:textId="77777777" w:rsidR="00CC4F8B" w:rsidRPr="00967568" w:rsidRDefault="00255FF0" w:rsidP="00330A88">
      <w:pPr>
        <w:widowControl/>
        <w:spacing w:before="1200" w:line="240" w:lineRule="auto"/>
        <w:jc w:val="both"/>
        <w:rPr>
          <w:rFonts w:ascii="Arial" w:eastAsia="Arial" w:hAnsi="Arial" w:cs="Arial"/>
          <w:b/>
          <w:bCs/>
          <w:spacing w:val="-2"/>
          <w:sz w:val="24"/>
          <w:szCs w:val="24"/>
        </w:rPr>
      </w:pPr>
      <w:r>
        <w:rPr>
          <w:rFonts w:ascii="Arial" w:eastAsia="Calibri" w:hAnsi="Arial" w:cs="Arial"/>
          <w:b/>
          <w:sz w:val="24"/>
          <w:szCs w:val="28"/>
        </w:rPr>
        <w:lastRenderedPageBreak/>
        <w:t>Estructura del Ahorro Bruto</w:t>
      </w:r>
    </w:p>
    <w:p w14:paraId="0FEBCD5B" w14:textId="77777777" w:rsidR="00CC4F8B" w:rsidRPr="00BF12D1" w:rsidRDefault="00EA4260" w:rsidP="00EA5AAD">
      <w:pPr>
        <w:spacing w:before="480" w:after="0" w:line="246" w:lineRule="auto"/>
        <w:jc w:val="both"/>
        <w:rPr>
          <w:rFonts w:ascii="Arial" w:eastAsia="Arial" w:hAnsi="Arial" w:cs="Arial"/>
          <w:sz w:val="24"/>
          <w:szCs w:val="24"/>
        </w:rPr>
      </w:pPr>
      <w:r w:rsidRPr="00BF12D1">
        <w:rPr>
          <w:rFonts w:ascii="Arial" w:eastAsia="Arial" w:hAnsi="Arial" w:cs="Arial"/>
          <w:sz w:val="24"/>
          <w:szCs w:val="24"/>
        </w:rPr>
        <w:t xml:space="preserve">Las Cuentas por Sectores Institucionales muestran que en </w:t>
      </w:r>
      <w:r w:rsidR="00BC6250">
        <w:rPr>
          <w:rFonts w:ascii="Arial" w:eastAsia="Arial" w:hAnsi="Arial" w:cs="Arial"/>
          <w:sz w:val="24"/>
          <w:szCs w:val="24"/>
        </w:rPr>
        <w:t>2018</w:t>
      </w:r>
      <w:r w:rsidRPr="00184DF0">
        <w:rPr>
          <w:rFonts w:ascii="Arial" w:eastAsia="Arial" w:hAnsi="Arial" w:cs="Arial"/>
          <w:sz w:val="24"/>
          <w:szCs w:val="24"/>
        </w:rPr>
        <w:t xml:space="preserve"> </w:t>
      </w:r>
      <w:r w:rsidRPr="00BF12D1">
        <w:rPr>
          <w:rFonts w:ascii="Arial" w:eastAsia="Arial" w:hAnsi="Arial" w:cs="Arial"/>
          <w:sz w:val="24"/>
          <w:szCs w:val="24"/>
        </w:rPr>
        <w:t xml:space="preserve">un monto </w:t>
      </w:r>
      <w:r w:rsidR="00D15309">
        <w:rPr>
          <w:rFonts w:ascii="Arial" w:eastAsia="Arial" w:hAnsi="Arial" w:cs="Arial"/>
          <w:sz w:val="24"/>
          <w:szCs w:val="24"/>
        </w:rPr>
        <w:t>relevante</w:t>
      </w:r>
      <w:r w:rsidRPr="00BF12D1">
        <w:rPr>
          <w:rFonts w:ascii="Arial" w:eastAsia="Arial" w:hAnsi="Arial" w:cs="Arial"/>
          <w:sz w:val="24"/>
          <w:szCs w:val="24"/>
        </w:rPr>
        <w:t xml:space="preserve"> del </w:t>
      </w:r>
      <w:r w:rsidR="007902B2" w:rsidRPr="00BF12D1">
        <w:rPr>
          <w:rFonts w:ascii="Arial" w:eastAsia="Arial" w:hAnsi="Arial" w:cs="Arial"/>
          <w:sz w:val="24"/>
          <w:szCs w:val="24"/>
        </w:rPr>
        <w:t>A</w:t>
      </w:r>
      <w:r w:rsidR="00116F39" w:rsidRPr="00BF12D1">
        <w:rPr>
          <w:rFonts w:ascii="Arial" w:eastAsia="Arial" w:hAnsi="Arial" w:cs="Arial"/>
          <w:sz w:val="24"/>
          <w:szCs w:val="24"/>
        </w:rPr>
        <w:t>horro B</w:t>
      </w:r>
      <w:r w:rsidRPr="00BF12D1">
        <w:rPr>
          <w:rFonts w:ascii="Arial" w:eastAsia="Arial" w:hAnsi="Arial" w:cs="Arial"/>
          <w:sz w:val="24"/>
          <w:szCs w:val="24"/>
        </w:rPr>
        <w:t>ruto total fue aportado por l</w:t>
      </w:r>
      <w:r w:rsidR="0062640B" w:rsidRPr="00BF12D1">
        <w:rPr>
          <w:rFonts w:ascii="Arial" w:eastAsia="Arial" w:hAnsi="Arial" w:cs="Arial"/>
          <w:sz w:val="24"/>
          <w:szCs w:val="24"/>
        </w:rPr>
        <w:t>os Hogares y l</w:t>
      </w:r>
      <w:r w:rsidR="00DB3D17" w:rsidRPr="00BF12D1">
        <w:rPr>
          <w:rFonts w:ascii="Arial" w:eastAsia="Arial" w:hAnsi="Arial" w:cs="Arial"/>
          <w:sz w:val="24"/>
          <w:szCs w:val="24"/>
        </w:rPr>
        <w:t>as Sociedades no f</w:t>
      </w:r>
      <w:r w:rsidRPr="00BF12D1">
        <w:rPr>
          <w:rFonts w:ascii="Arial" w:eastAsia="Arial" w:hAnsi="Arial" w:cs="Arial"/>
          <w:sz w:val="24"/>
          <w:szCs w:val="24"/>
        </w:rPr>
        <w:t xml:space="preserve">inancieras con </w:t>
      </w:r>
      <w:r w:rsidRPr="00184DF0">
        <w:rPr>
          <w:rFonts w:ascii="Arial" w:eastAsia="Arial" w:hAnsi="Arial" w:cs="Arial"/>
          <w:sz w:val="24"/>
          <w:szCs w:val="24"/>
        </w:rPr>
        <w:t xml:space="preserve">el </w:t>
      </w:r>
      <w:r w:rsidR="00BC6250">
        <w:rPr>
          <w:rFonts w:ascii="Arial" w:eastAsia="Arial" w:hAnsi="Arial" w:cs="Arial"/>
          <w:sz w:val="24"/>
          <w:szCs w:val="24"/>
        </w:rPr>
        <w:t>44.4</w:t>
      </w:r>
      <w:r w:rsidR="0062640B" w:rsidRPr="00184DF0">
        <w:rPr>
          <w:rFonts w:ascii="Arial" w:eastAsia="Arial" w:hAnsi="Arial" w:cs="Arial"/>
          <w:sz w:val="24"/>
          <w:szCs w:val="24"/>
        </w:rPr>
        <w:t xml:space="preserve">% y </w:t>
      </w:r>
      <w:r w:rsidR="00BC6250">
        <w:rPr>
          <w:rFonts w:ascii="Arial" w:eastAsia="Arial" w:hAnsi="Arial" w:cs="Arial"/>
          <w:sz w:val="24"/>
          <w:szCs w:val="24"/>
        </w:rPr>
        <w:t>3</w:t>
      </w:r>
      <w:r w:rsidR="00022F0B">
        <w:rPr>
          <w:rFonts w:ascii="Arial" w:eastAsia="Arial" w:hAnsi="Arial" w:cs="Arial"/>
          <w:sz w:val="24"/>
          <w:szCs w:val="24"/>
        </w:rPr>
        <w:t>7</w:t>
      </w:r>
      <w:r w:rsidRPr="00184DF0">
        <w:rPr>
          <w:rFonts w:ascii="Arial" w:eastAsia="Arial" w:hAnsi="Arial" w:cs="Arial"/>
          <w:sz w:val="24"/>
          <w:szCs w:val="24"/>
        </w:rPr>
        <w:t xml:space="preserve">%, </w:t>
      </w:r>
      <w:r w:rsidRPr="00F1200A">
        <w:rPr>
          <w:rFonts w:ascii="Arial" w:eastAsia="Arial" w:hAnsi="Arial" w:cs="Arial"/>
          <w:sz w:val="24"/>
          <w:szCs w:val="24"/>
        </w:rPr>
        <w:t xml:space="preserve">respectivamente; </w:t>
      </w:r>
      <w:r w:rsidR="00116F39" w:rsidRPr="00F1200A">
        <w:rPr>
          <w:rFonts w:ascii="Arial" w:eastAsia="Arial" w:hAnsi="Arial" w:cs="Arial"/>
          <w:sz w:val="24"/>
          <w:szCs w:val="24"/>
        </w:rPr>
        <w:t xml:space="preserve">le siguieron </w:t>
      </w:r>
      <w:r w:rsidR="00DB3D17" w:rsidRPr="00F1200A">
        <w:rPr>
          <w:rFonts w:ascii="Arial" w:eastAsia="Arial" w:hAnsi="Arial" w:cs="Arial"/>
          <w:sz w:val="24"/>
          <w:szCs w:val="24"/>
        </w:rPr>
        <w:t>las Sociedades f</w:t>
      </w:r>
      <w:r w:rsidRPr="00F1200A">
        <w:rPr>
          <w:rFonts w:ascii="Arial" w:eastAsia="Arial" w:hAnsi="Arial" w:cs="Arial"/>
          <w:sz w:val="24"/>
          <w:szCs w:val="24"/>
        </w:rPr>
        <w:t xml:space="preserve">inancieras </w:t>
      </w:r>
      <w:r w:rsidR="00116F39" w:rsidRPr="00F1200A">
        <w:rPr>
          <w:rFonts w:ascii="Arial" w:eastAsia="Arial" w:hAnsi="Arial" w:cs="Arial"/>
          <w:sz w:val="24"/>
          <w:szCs w:val="24"/>
        </w:rPr>
        <w:t xml:space="preserve">con </w:t>
      </w:r>
      <w:r w:rsidR="001E79A2" w:rsidRPr="00F1200A">
        <w:rPr>
          <w:rFonts w:ascii="Arial" w:eastAsia="Arial" w:hAnsi="Arial" w:cs="Arial"/>
          <w:sz w:val="24"/>
          <w:szCs w:val="24"/>
        </w:rPr>
        <w:t>1</w:t>
      </w:r>
      <w:r w:rsidR="00022F0B">
        <w:rPr>
          <w:rFonts w:ascii="Arial" w:eastAsia="Arial" w:hAnsi="Arial" w:cs="Arial"/>
          <w:sz w:val="24"/>
          <w:szCs w:val="24"/>
        </w:rPr>
        <w:t>6</w:t>
      </w:r>
      <w:r w:rsidR="00BC6250">
        <w:rPr>
          <w:rFonts w:ascii="Arial" w:eastAsia="Arial" w:hAnsi="Arial" w:cs="Arial"/>
          <w:sz w:val="24"/>
          <w:szCs w:val="24"/>
        </w:rPr>
        <w:t>.9</w:t>
      </w:r>
      <w:r w:rsidRPr="00F1200A">
        <w:rPr>
          <w:rFonts w:ascii="Arial" w:eastAsia="Arial" w:hAnsi="Arial" w:cs="Arial"/>
          <w:sz w:val="24"/>
          <w:szCs w:val="24"/>
        </w:rPr>
        <w:t>%,</w:t>
      </w:r>
      <w:r w:rsidR="00022F0B">
        <w:rPr>
          <w:rFonts w:ascii="Arial" w:eastAsia="Arial" w:hAnsi="Arial" w:cs="Arial"/>
          <w:sz w:val="24"/>
          <w:szCs w:val="24"/>
        </w:rPr>
        <w:t xml:space="preserve"> y</w:t>
      </w:r>
      <w:r w:rsidR="00F1200A">
        <w:rPr>
          <w:rFonts w:ascii="Arial" w:eastAsia="Arial" w:hAnsi="Arial" w:cs="Arial"/>
          <w:sz w:val="24"/>
          <w:szCs w:val="24"/>
        </w:rPr>
        <w:t xml:space="preserve"> </w:t>
      </w:r>
      <w:r w:rsidRPr="00F1200A">
        <w:rPr>
          <w:rFonts w:ascii="Arial" w:eastAsia="Arial" w:hAnsi="Arial" w:cs="Arial"/>
          <w:sz w:val="24"/>
          <w:szCs w:val="24"/>
        </w:rPr>
        <w:t xml:space="preserve">las </w:t>
      </w:r>
      <w:r w:rsidR="00387C35" w:rsidRPr="00F1200A">
        <w:rPr>
          <w:rFonts w:ascii="Arial" w:eastAsia="Arial" w:hAnsi="Arial" w:cs="Arial"/>
          <w:sz w:val="24"/>
          <w:szCs w:val="24"/>
        </w:rPr>
        <w:t>ISFLSH</w:t>
      </w:r>
      <w:r w:rsidRPr="00F1200A">
        <w:rPr>
          <w:rFonts w:ascii="Arial" w:eastAsia="Arial" w:hAnsi="Arial" w:cs="Arial"/>
          <w:sz w:val="24"/>
          <w:szCs w:val="24"/>
        </w:rPr>
        <w:t xml:space="preserve"> </w:t>
      </w:r>
      <w:r w:rsidR="00022F0B">
        <w:rPr>
          <w:rFonts w:ascii="Arial" w:eastAsia="Arial" w:hAnsi="Arial" w:cs="Arial"/>
          <w:sz w:val="24"/>
          <w:szCs w:val="24"/>
        </w:rPr>
        <w:t>3</w:t>
      </w:r>
      <w:r w:rsidR="00BC6250">
        <w:rPr>
          <w:rFonts w:ascii="Arial" w:eastAsia="Arial" w:hAnsi="Arial" w:cs="Arial"/>
          <w:sz w:val="24"/>
          <w:szCs w:val="24"/>
        </w:rPr>
        <w:t>.7</w:t>
      </w:r>
      <w:r w:rsidR="00116F39" w:rsidRPr="00F1200A">
        <w:rPr>
          <w:rFonts w:ascii="Arial" w:eastAsia="Arial" w:hAnsi="Arial" w:cs="Arial"/>
          <w:sz w:val="24"/>
          <w:szCs w:val="24"/>
        </w:rPr>
        <w:t>%</w:t>
      </w:r>
      <w:r w:rsidR="00022F0B">
        <w:rPr>
          <w:rFonts w:ascii="Arial" w:eastAsia="Arial" w:hAnsi="Arial" w:cs="Arial"/>
          <w:sz w:val="24"/>
          <w:szCs w:val="24"/>
        </w:rPr>
        <w:t>;</w:t>
      </w:r>
      <w:r w:rsidR="00F1200A" w:rsidRPr="00F1200A">
        <w:rPr>
          <w:rFonts w:ascii="Arial" w:eastAsia="Arial" w:hAnsi="Arial" w:cs="Arial"/>
          <w:sz w:val="24"/>
          <w:szCs w:val="24"/>
        </w:rPr>
        <w:t xml:space="preserve"> </w:t>
      </w:r>
      <w:r w:rsidR="00F1200A">
        <w:rPr>
          <w:rFonts w:ascii="Arial" w:eastAsia="Arial" w:hAnsi="Arial" w:cs="Arial"/>
          <w:sz w:val="24"/>
          <w:szCs w:val="24"/>
        </w:rPr>
        <w:t>m</w:t>
      </w:r>
      <w:r w:rsidR="00F1200A" w:rsidRPr="00BF12D1">
        <w:rPr>
          <w:rFonts w:ascii="Arial" w:eastAsia="Arial" w:hAnsi="Arial" w:cs="Arial"/>
          <w:sz w:val="24"/>
          <w:szCs w:val="24"/>
        </w:rPr>
        <w:t>ientras que</w:t>
      </w:r>
      <w:r w:rsidR="00F1200A" w:rsidRPr="00F1200A">
        <w:rPr>
          <w:rFonts w:ascii="Arial" w:eastAsia="Arial" w:hAnsi="Arial" w:cs="Arial"/>
          <w:sz w:val="24"/>
          <w:szCs w:val="24"/>
        </w:rPr>
        <w:t xml:space="preserve"> el Gobierno </w:t>
      </w:r>
      <w:r w:rsidR="00F1200A">
        <w:rPr>
          <w:rFonts w:ascii="Arial" w:eastAsia="Arial" w:hAnsi="Arial" w:cs="Arial"/>
          <w:sz w:val="24"/>
          <w:szCs w:val="24"/>
        </w:rPr>
        <w:t xml:space="preserve">observó </w:t>
      </w:r>
      <w:r w:rsidR="008661AB">
        <w:rPr>
          <w:rFonts w:ascii="Arial" w:eastAsia="Arial" w:hAnsi="Arial" w:cs="Arial"/>
          <w:sz w:val="24"/>
          <w:szCs w:val="24"/>
        </w:rPr>
        <w:t>un desahorro</w:t>
      </w:r>
      <w:r w:rsidR="00F1200A" w:rsidRPr="001774D5">
        <w:rPr>
          <w:rFonts w:ascii="Arial" w:eastAsia="Arial" w:hAnsi="Arial" w:cs="Arial"/>
          <w:sz w:val="24"/>
          <w:szCs w:val="24"/>
        </w:rPr>
        <w:t xml:space="preserve"> </w:t>
      </w:r>
      <w:r w:rsidR="00F40DFD">
        <w:rPr>
          <w:rFonts w:ascii="Arial" w:eastAsia="Arial" w:hAnsi="Arial" w:cs="Arial"/>
          <w:sz w:val="24"/>
          <w:szCs w:val="24"/>
        </w:rPr>
        <w:t>de</w:t>
      </w:r>
      <w:r w:rsidR="00F1200A" w:rsidRPr="00F1200A">
        <w:rPr>
          <w:rFonts w:ascii="Arial" w:eastAsia="Arial" w:hAnsi="Arial" w:cs="Arial"/>
          <w:sz w:val="24"/>
          <w:szCs w:val="24"/>
        </w:rPr>
        <w:t xml:space="preserve"> (</w:t>
      </w:r>
      <w:r w:rsidR="00F1200A" w:rsidRPr="00F1200A">
        <w:rPr>
          <w:rFonts w:ascii="Arial" w:eastAsia="Arial" w:hAnsi="Arial" w:cs="Arial"/>
          <w:sz w:val="24"/>
          <w:szCs w:val="24"/>
        </w:rPr>
        <w:noBreakHyphen/>
        <w:t>)</w:t>
      </w:r>
      <w:r w:rsidR="00BC6250">
        <w:rPr>
          <w:rFonts w:ascii="Arial" w:eastAsia="Arial" w:hAnsi="Arial" w:cs="Arial"/>
          <w:sz w:val="24"/>
          <w:szCs w:val="24"/>
        </w:rPr>
        <w:t>8.9</w:t>
      </w:r>
      <w:r w:rsidR="00F40DFD">
        <w:rPr>
          <w:rFonts w:ascii="Arial" w:eastAsia="Arial" w:hAnsi="Arial" w:cs="Arial"/>
          <w:sz w:val="24"/>
          <w:szCs w:val="24"/>
        </w:rPr>
        <w:t>%</w:t>
      </w:r>
      <w:r w:rsidR="00374729">
        <w:rPr>
          <w:rFonts w:ascii="Arial" w:eastAsia="Arial" w:hAnsi="Arial" w:cs="Arial"/>
          <w:sz w:val="24"/>
          <w:szCs w:val="24"/>
        </w:rPr>
        <w:t xml:space="preserve"> y</w:t>
      </w:r>
      <w:r w:rsidR="00116F39" w:rsidRPr="00F1200A">
        <w:rPr>
          <w:rFonts w:ascii="Arial" w:eastAsia="Arial" w:hAnsi="Arial" w:cs="Arial"/>
          <w:sz w:val="24"/>
          <w:szCs w:val="24"/>
        </w:rPr>
        <w:t xml:space="preserve"> </w:t>
      </w:r>
      <w:r w:rsidR="00F1200A" w:rsidRPr="00BF12D1">
        <w:rPr>
          <w:rFonts w:ascii="Arial" w:eastAsia="Arial" w:hAnsi="Arial" w:cs="Arial"/>
          <w:sz w:val="24"/>
          <w:szCs w:val="24"/>
        </w:rPr>
        <w:t xml:space="preserve">el restante </w:t>
      </w:r>
      <w:r w:rsidR="00BC6250">
        <w:rPr>
          <w:rFonts w:ascii="Arial" w:eastAsia="Arial" w:hAnsi="Arial" w:cs="Arial"/>
          <w:sz w:val="24"/>
          <w:szCs w:val="24"/>
        </w:rPr>
        <w:t>6.9</w:t>
      </w:r>
      <w:r w:rsidR="00F1200A" w:rsidRPr="00F1200A">
        <w:rPr>
          <w:rFonts w:ascii="Arial" w:eastAsia="Arial" w:hAnsi="Arial" w:cs="Arial"/>
          <w:sz w:val="24"/>
          <w:szCs w:val="24"/>
        </w:rPr>
        <w:t>%</w:t>
      </w:r>
      <w:r w:rsidR="00F1200A" w:rsidRPr="00BF12D1">
        <w:rPr>
          <w:rFonts w:ascii="Arial" w:eastAsia="Arial" w:hAnsi="Arial" w:cs="Arial"/>
          <w:sz w:val="24"/>
          <w:szCs w:val="24"/>
        </w:rPr>
        <w:t xml:space="preserve"> </w:t>
      </w:r>
      <w:r w:rsidR="00F40DFD">
        <w:rPr>
          <w:rFonts w:ascii="Arial" w:eastAsia="Arial" w:hAnsi="Arial" w:cs="Arial"/>
          <w:sz w:val="24"/>
          <w:szCs w:val="24"/>
        </w:rPr>
        <w:t>fue cubierto</w:t>
      </w:r>
      <w:r w:rsidR="00F1200A" w:rsidRPr="00BF12D1">
        <w:rPr>
          <w:rFonts w:ascii="Arial" w:eastAsia="Arial" w:hAnsi="Arial" w:cs="Arial"/>
          <w:sz w:val="24"/>
          <w:szCs w:val="24"/>
        </w:rPr>
        <w:t xml:space="preserve"> con ahorro proveniente del exterior</w:t>
      </w:r>
      <w:r w:rsidRPr="00BF12D1">
        <w:rPr>
          <w:rFonts w:ascii="Arial" w:eastAsia="Arial" w:hAnsi="Arial" w:cs="Arial"/>
          <w:sz w:val="24"/>
          <w:szCs w:val="24"/>
        </w:rPr>
        <w:t>.</w:t>
      </w:r>
    </w:p>
    <w:p w14:paraId="6431CBF0" w14:textId="77777777" w:rsidR="008267F4" w:rsidRPr="00967568" w:rsidRDefault="00EA4260" w:rsidP="005951BA">
      <w:pPr>
        <w:spacing w:before="360" w:after="0" w:line="246" w:lineRule="auto"/>
        <w:jc w:val="both"/>
        <w:rPr>
          <w:rFonts w:ascii="Arial" w:eastAsia="Arial" w:hAnsi="Arial" w:cs="Arial"/>
          <w:spacing w:val="-2"/>
          <w:sz w:val="24"/>
          <w:szCs w:val="24"/>
        </w:rPr>
      </w:pPr>
      <w:r w:rsidRPr="00967568">
        <w:rPr>
          <w:rFonts w:ascii="Arial" w:eastAsia="Arial" w:hAnsi="Arial" w:cs="Arial"/>
          <w:spacing w:val="-2"/>
          <w:sz w:val="24"/>
          <w:szCs w:val="24"/>
        </w:rPr>
        <w:t xml:space="preserve">Así, en el año de referencia la tasa de ahorro </w:t>
      </w:r>
      <w:r w:rsidR="003F06E3">
        <w:rPr>
          <w:rFonts w:ascii="Arial" w:eastAsia="Arial" w:hAnsi="Arial" w:cs="Arial"/>
          <w:spacing w:val="-2"/>
          <w:sz w:val="24"/>
          <w:szCs w:val="24"/>
        </w:rPr>
        <w:t xml:space="preserve">bruto </w:t>
      </w:r>
      <w:r w:rsidRPr="00967568">
        <w:rPr>
          <w:rFonts w:ascii="Arial" w:eastAsia="Arial" w:hAnsi="Arial" w:cs="Arial"/>
          <w:spacing w:val="-2"/>
          <w:sz w:val="24"/>
          <w:szCs w:val="24"/>
        </w:rPr>
        <w:t xml:space="preserve">total del país fue </w:t>
      </w:r>
      <w:r w:rsidR="006877EF">
        <w:rPr>
          <w:rFonts w:ascii="Arial" w:eastAsia="Arial" w:hAnsi="Arial" w:cs="Arial"/>
          <w:spacing w:val="-2"/>
          <w:sz w:val="24"/>
          <w:szCs w:val="24"/>
        </w:rPr>
        <w:t>equivalente al</w:t>
      </w:r>
      <w:r w:rsidRPr="00F40DFD">
        <w:rPr>
          <w:rFonts w:ascii="Arial" w:eastAsia="Arial" w:hAnsi="Arial" w:cs="Arial"/>
          <w:spacing w:val="-2"/>
          <w:sz w:val="24"/>
          <w:szCs w:val="24"/>
        </w:rPr>
        <w:t xml:space="preserve"> </w:t>
      </w:r>
      <w:r w:rsidR="001E79A2" w:rsidRPr="00F40DFD">
        <w:rPr>
          <w:rFonts w:ascii="Arial" w:eastAsia="Arial" w:hAnsi="Arial" w:cs="Arial"/>
          <w:spacing w:val="-2"/>
          <w:sz w:val="24"/>
          <w:szCs w:val="24"/>
        </w:rPr>
        <w:t>2</w:t>
      </w:r>
      <w:r w:rsidR="00BC6250">
        <w:rPr>
          <w:rFonts w:ascii="Arial" w:eastAsia="Arial" w:hAnsi="Arial" w:cs="Arial"/>
          <w:spacing w:val="-2"/>
          <w:sz w:val="24"/>
          <w:szCs w:val="24"/>
        </w:rPr>
        <w:t>5.4</w:t>
      </w:r>
      <w:r w:rsidRPr="00F40DFD">
        <w:rPr>
          <w:rFonts w:ascii="Arial" w:eastAsia="Arial" w:hAnsi="Arial" w:cs="Arial"/>
          <w:spacing w:val="-2"/>
          <w:sz w:val="24"/>
          <w:szCs w:val="24"/>
        </w:rPr>
        <w:t xml:space="preserve">% </w:t>
      </w:r>
      <w:r w:rsidR="006877EF">
        <w:rPr>
          <w:rFonts w:ascii="Arial" w:eastAsia="Arial" w:hAnsi="Arial" w:cs="Arial"/>
          <w:spacing w:val="-2"/>
          <w:sz w:val="24"/>
          <w:szCs w:val="24"/>
        </w:rPr>
        <w:t>de</w:t>
      </w:r>
      <w:r w:rsidRPr="00967568">
        <w:rPr>
          <w:rFonts w:ascii="Arial" w:eastAsia="Arial" w:hAnsi="Arial" w:cs="Arial"/>
          <w:spacing w:val="-2"/>
          <w:sz w:val="24"/>
          <w:szCs w:val="24"/>
        </w:rPr>
        <w:t xml:space="preserve">l PIB a precios de mercado, cifra </w:t>
      </w:r>
      <w:r w:rsidR="00005B5E">
        <w:rPr>
          <w:rFonts w:ascii="Arial" w:eastAsia="Arial" w:hAnsi="Arial" w:cs="Arial"/>
          <w:spacing w:val="-2"/>
          <w:sz w:val="24"/>
          <w:szCs w:val="24"/>
        </w:rPr>
        <w:t xml:space="preserve">mayor </w:t>
      </w:r>
      <w:r w:rsidR="00005B5E" w:rsidRPr="006877EF">
        <w:rPr>
          <w:rFonts w:ascii="Arial" w:eastAsia="Arial" w:hAnsi="Arial" w:cs="Arial"/>
          <w:spacing w:val="-2"/>
          <w:sz w:val="24"/>
          <w:szCs w:val="24"/>
        </w:rPr>
        <w:t>en</w:t>
      </w:r>
      <w:r w:rsidR="009E321A" w:rsidRPr="006877EF">
        <w:rPr>
          <w:rFonts w:ascii="Arial" w:eastAsia="Arial" w:hAnsi="Arial" w:cs="Arial"/>
          <w:spacing w:val="-2"/>
          <w:sz w:val="24"/>
          <w:szCs w:val="24"/>
        </w:rPr>
        <w:t xml:space="preserve"> </w:t>
      </w:r>
      <w:r w:rsidR="00547BB7" w:rsidRPr="006877EF">
        <w:rPr>
          <w:rFonts w:ascii="Arial" w:eastAsia="Arial" w:hAnsi="Arial" w:cs="Arial"/>
          <w:spacing w:val="-2"/>
          <w:sz w:val="24"/>
          <w:szCs w:val="24"/>
        </w:rPr>
        <w:t>0.</w:t>
      </w:r>
      <w:r w:rsidR="00BC6250">
        <w:rPr>
          <w:rFonts w:ascii="Arial" w:eastAsia="Arial" w:hAnsi="Arial" w:cs="Arial"/>
          <w:spacing w:val="-2"/>
          <w:sz w:val="24"/>
          <w:szCs w:val="24"/>
        </w:rPr>
        <w:t>5</w:t>
      </w:r>
      <w:r w:rsidRPr="006877EF">
        <w:rPr>
          <w:rFonts w:ascii="Arial" w:eastAsia="Arial" w:hAnsi="Arial" w:cs="Arial"/>
          <w:spacing w:val="-2"/>
          <w:sz w:val="24"/>
          <w:szCs w:val="24"/>
        </w:rPr>
        <w:t xml:space="preserve"> puntos </w:t>
      </w:r>
      <w:r w:rsidRPr="00967568">
        <w:rPr>
          <w:rFonts w:ascii="Arial" w:eastAsia="Arial" w:hAnsi="Arial" w:cs="Arial"/>
          <w:spacing w:val="-2"/>
          <w:sz w:val="24"/>
          <w:szCs w:val="24"/>
        </w:rPr>
        <w:t xml:space="preserve">porcentuales que la reportada en </w:t>
      </w:r>
      <w:r w:rsidR="00BE2548" w:rsidRPr="006877EF">
        <w:rPr>
          <w:rFonts w:ascii="Arial" w:eastAsia="Arial" w:hAnsi="Arial" w:cs="Arial"/>
          <w:spacing w:val="-2"/>
          <w:sz w:val="24"/>
          <w:szCs w:val="24"/>
        </w:rPr>
        <w:t>201</w:t>
      </w:r>
      <w:r w:rsidR="00BC6250">
        <w:rPr>
          <w:rFonts w:ascii="Arial" w:eastAsia="Arial" w:hAnsi="Arial" w:cs="Arial"/>
          <w:spacing w:val="-2"/>
          <w:sz w:val="24"/>
          <w:szCs w:val="24"/>
        </w:rPr>
        <w:t>7</w:t>
      </w:r>
      <w:r w:rsidRPr="00967568">
        <w:rPr>
          <w:rFonts w:ascii="Arial" w:eastAsia="Arial" w:hAnsi="Arial" w:cs="Arial"/>
          <w:spacing w:val="-2"/>
          <w:sz w:val="24"/>
          <w:szCs w:val="24"/>
        </w:rPr>
        <w:t xml:space="preserve">. Dicho comportamiento derivó </w:t>
      </w:r>
      <w:r w:rsidR="00033B56">
        <w:rPr>
          <w:rFonts w:ascii="Arial" w:eastAsia="Arial" w:hAnsi="Arial" w:cs="Arial"/>
          <w:spacing w:val="-2"/>
          <w:sz w:val="24"/>
          <w:szCs w:val="24"/>
        </w:rPr>
        <w:t xml:space="preserve">de </w:t>
      </w:r>
      <w:r w:rsidR="00033B56" w:rsidRPr="006877EF">
        <w:rPr>
          <w:rFonts w:ascii="Arial" w:eastAsia="Arial" w:hAnsi="Arial" w:cs="Arial"/>
          <w:spacing w:val="-2"/>
          <w:sz w:val="24"/>
          <w:szCs w:val="24"/>
        </w:rPr>
        <w:t>un aumento</w:t>
      </w:r>
      <w:r w:rsidR="005E4BB8" w:rsidRPr="006877EF">
        <w:rPr>
          <w:rFonts w:ascii="Arial" w:eastAsia="Arial" w:hAnsi="Arial" w:cs="Arial"/>
          <w:spacing w:val="-2"/>
          <w:sz w:val="24"/>
          <w:szCs w:val="24"/>
        </w:rPr>
        <w:t xml:space="preserve"> </w:t>
      </w:r>
      <w:r w:rsidRPr="006877EF">
        <w:rPr>
          <w:rFonts w:ascii="Arial" w:eastAsia="Arial" w:hAnsi="Arial" w:cs="Arial"/>
          <w:spacing w:val="-2"/>
          <w:sz w:val="24"/>
          <w:szCs w:val="24"/>
        </w:rPr>
        <w:t>registrad</w:t>
      </w:r>
      <w:r w:rsidR="00033B56" w:rsidRPr="006877EF">
        <w:rPr>
          <w:rFonts w:ascii="Arial" w:eastAsia="Arial" w:hAnsi="Arial" w:cs="Arial"/>
          <w:spacing w:val="-2"/>
          <w:sz w:val="24"/>
          <w:szCs w:val="24"/>
        </w:rPr>
        <w:t>o</w:t>
      </w:r>
      <w:r w:rsidRPr="006877EF">
        <w:rPr>
          <w:rFonts w:ascii="Arial" w:eastAsia="Arial" w:hAnsi="Arial" w:cs="Arial"/>
          <w:spacing w:val="-2"/>
          <w:sz w:val="24"/>
          <w:szCs w:val="24"/>
        </w:rPr>
        <w:t xml:space="preserve"> por </w:t>
      </w:r>
      <w:r w:rsidRPr="00967568">
        <w:rPr>
          <w:rFonts w:ascii="Arial" w:eastAsia="Arial" w:hAnsi="Arial" w:cs="Arial"/>
          <w:spacing w:val="-2"/>
          <w:sz w:val="24"/>
          <w:szCs w:val="24"/>
        </w:rPr>
        <w:t xml:space="preserve">la tasa de ahorro interno </w:t>
      </w:r>
      <w:r w:rsidRPr="006877EF">
        <w:rPr>
          <w:rFonts w:ascii="Arial" w:eastAsia="Arial" w:hAnsi="Arial" w:cs="Arial"/>
          <w:spacing w:val="-2"/>
          <w:sz w:val="24"/>
          <w:szCs w:val="24"/>
        </w:rPr>
        <w:t xml:space="preserve">de </w:t>
      </w:r>
      <w:r w:rsidR="0040738C">
        <w:rPr>
          <w:rFonts w:ascii="Arial" w:eastAsia="Arial" w:hAnsi="Arial" w:cs="Arial"/>
          <w:spacing w:val="-2"/>
          <w:sz w:val="24"/>
          <w:szCs w:val="24"/>
        </w:rPr>
        <w:t>0.5</w:t>
      </w:r>
      <w:r w:rsidRPr="006877EF">
        <w:rPr>
          <w:rFonts w:ascii="Arial" w:eastAsia="Arial" w:hAnsi="Arial" w:cs="Arial"/>
          <w:spacing w:val="-2"/>
          <w:sz w:val="24"/>
          <w:szCs w:val="24"/>
        </w:rPr>
        <w:t xml:space="preserve"> puntos </w:t>
      </w:r>
      <w:r w:rsidR="006877EF">
        <w:rPr>
          <w:rFonts w:ascii="Arial" w:eastAsia="Arial" w:hAnsi="Arial" w:cs="Arial"/>
          <w:spacing w:val="-2"/>
          <w:sz w:val="24"/>
          <w:szCs w:val="24"/>
        </w:rPr>
        <w:t>porcentuales (al pasar de</w:t>
      </w:r>
      <w:r w:rsidRPr="00967568">
        <w:rPr>
          <w:rFonts w:ascii="Arial" w:eastAsia="Arial" w:hAnsi="Arial" w:cs="Arial"/>
          <w:spacing w:val="-2"/>
          <w:sz w:val="24"/>
          <w:szCs w:val="24"/>
        </w:rPr>
        <w:t xml:space="preserve"> </w:t>
      </w:r>
      <w:r w:rsidR="00033B56" w:rsidRPr="006877EF">
        <w:rPr>
          <w:rFonts w:ascii="Arial" w:eastAsia="Arial" w:hAnsi="Arial" w:cs="Arial"/>
          <w:spacing w:val="-2"/>
          <w:sz w:val="24"/>
          <w:szCs w:val="24"/>
        </w:rPr>
        <w:t>2</w:t>
      </w:r>
      <w:r w:rsidR="00BC6250">
        <w:rPr>
          <w:rFonts w:ascii="Arial" w:eastAsia="Arial" w:hAnsi="Arial" w:cs="Arial"/>
          <w:spacing w:val="-2"/>
          <w:sz w:val="24"/>
          <w:szCs w:val="24"/>
        </w:rPr>
        <w:t>3.2</w:t>
      </w:r>
      <w:r w:rsidRPr="006877EF">
        <w:rPr>
          <w:rFonts w:ascii="Arial" w:eastAsia="Arial" w:hAnsi="Arial" w:cs="Arial"/>
          <w:spacing w:val="-2"/>
          <w:sz w:val="24"/>
          <w:szCs w:val="24"/>
        </w:rPr>
        <w:t xml:space="preserve">% en </w:t>
      </w:r>
      <w:r w:rsidR="00BE2548" w:rsidRPr="006877EF">
        <w:rPr>
          <w:rFonts w:ascii="Arial" w:eastAsia="Arial" w:hAnsi="Arial" w:cs="Arial"/>
          <w:spacing w:val="-2"/>
          <w:sz w:val="24"/>
          <w:szCs w:val="24"/>
        </w:rPr>
        <w:t>201</w:t>
      </w:r>
      <w:r w:rsidR="00BC6250">
        <w:rPr>
          <w:rFonts w:ascii="Arial" w:eastAsia="Arial" w:hAnsi="Arial" w:cs="Arial"/>
          <w:spacing w:val="-2"/>
          <w:sz w:val="24"/>
          <w:szCs w:val="24"/>
        </w:rPr>
        <w:t>7</w:t>
      </w:r>
      <w:r w:rsidR="000A4058" w:rsidRPr="006877EF">
        <w:rPr>
          <w:rFonts w:ascii="Arial" w:eastAsia="Arial" w:hAnsi="Arial" w:cs="Arial"/>
          <w:spacing w:val="-2"/>
          <w:sz w:val="24"/>
          <w:szCs w:val="24"/>
        </w:rPr>
        <w:t xml:space="preserve"> </w:t>
      </w:r>
      <w:r w:rsidRPr="006877EF">
        <w:rPr>
          <w:rFonts w:ascii="Arial" w:eastAsia="Arial" w:hAnsi="Arial" w:cs="Arial"/>
          <w:spacing w:val="-2"/>
          <w:sz w:val="24"/>
          <w:szCs w:val="24"/>
        </w:rPr>
        <w:t>a</w:t>
      </w:r>
      <w:r w:rsidR="00D708E7" w:rsidRPr="006877EF">
        <w:rPr>
          <w:rFonts w:ascii="Arial" w:eastAsia="Arial" w:hAnsi="Arial" w:cs="Arial"/>
          <w:spacing w:val="-2"/>
          <w:sz w:val="24"/>
          <w:szCs w:val="24"/>
        </w:rPr>
        <w:t xml:space="preserve"> </w:t>
      </w:r>
      <w:r w:rsidR="00033B56" w:rsidRPr="006877EF">
        <w:rPr>
          <w:rFonts w:ascii="Arial" w:eastAsia="Arial" w:hAnsi="Arial" w:cs="Arial"/>
          <w:spacing w:val="-2"/>
          <w:sz w:val="24"/>
          <w:szCs w:val="24"/>
        </w:rPr>
        <w:t>2</w:t>
      </w:r>
      <w:r w:rsidR="00BC6250">
        <w:rPr>
          <w:rFonts w:ascii="Arial" w:eastAsia="Arial" w:hAnsi="Arial" w:cs="Arial"/>
          <w:spacing w:val="-2"/>
          <w:sz w:val="24"/>
          <w:szCs w:val="24"/>
        </w:rPr>
        <w:t>3</w:t>
      </w:r>
      <w:r w:rsidR="00033B56" w:rsidRPr="006877EF">
        <w:rPr>
          <w:rFonts w:ascii="Arial" w:eastAsia="Arial" w:hAnsi="Arial" w:cs="Arial"/>
          <w:spacing w:val="-2"/>
          <w:sz w:val="24"/>
          <w:szCs w:val="24"/>
        </w:rPr>
        <w:t>.</w:t>
      </w:r>
      <w:r w:rsidR="00BC6250">
        <w:rPr>
          <w:rFonts w:ascii="Arial" w:eastAsia="Arial" w:hAnsi="Arial" w:cs="Arial"/>
          <w:spacing w:val="-2"/>
          <w:sz w:val="24"/>
          <w:szCs w:val="24"/>
        </w:rPr>
        <w:t>7</w:t>
      </w:r>
      <w:r w:rsidRPr="006877EF">
        <w:rPr>
          <w:rFonts w:ascii="Arial" w:eastAsia="Arial" w:hAnsi="Arial" w:cs="Arial"/>
          <w:spacing w:val="-2"/>
          <w:sz w:val="24"/>
          <w:szCs w:val="24"/>
        </w:rPr>
        <w:t xml:space="preserve">% </w:t>
      </w:r>
      <w:r w:rsidR="00BB4DE6" w:rsidRPr="006877EF">
        <w:rPr>
          <w:rFonts w:ascii="Arial" w:eastAsia="Arial" w:hAnsi="Arial" w:cs="Arial"/>
          <w:spacing w:val="-2"/>
          <w:sz w:val="24"/>
          <w:szCs w:val="24"/>
        </w:rPr>
        <w:t xml:space="preserve">en </w:t>
      </w:r>
      <w:r w:rsidR="00BE2548" w:rsidRPr="006877EF">
        <w:rPr>
          <w:rFonts w:ascii="Arial" w:eastAsia="Arial" w:hAnsi="Arial" w:cs="Arial"/>
          <w:spacing w:val="-2"/>
          <w:sz w:val="24"/>
          <w:szCs w:val="24"/>
        </w:rPr>
        <w:t>201</w:t>
      </w:r>
      <w:r w:rsidR="00BC6250">
        <w:rPr>
          <w:rFonts w:ascii="Arial" w:eastAsia="Arial" w:hAnsi="Arial" w:cs="Arial"/>
          <w:spacing w:val="-2"/>
          <w:sz w:val="24"/>
          <w:szCs w:val="24"/>
        </w:rPr>
        <w:t>8</w:t>
      </w:r>
      <w:r w:rsidR="00EF7667" w:rsidRPr="006877EF">
        <w:rPr>
          <w:rFonts w:ascii="Arial" w:eastAsia="Arial" w:hAnsi="Arial" w:cs="Arial"/>
          <w:spacing w:val="-2"/>
          <w:sz w:val="24"/>
          <w:szCs w:val="24"/>
        </w:rPr>
        <w:t>)</w:t>
      </w:r>
      <w:r w:rsidR="003122A8" w:rsidRPr="006877EF">
        <w:rPr>
          <w:rFonts w:ascii="Arial" w:eastAsia="Arial" w:hAnsi="Arial" w:cs="Arial"/>
          <w:spacing w:val="-2"/>
          <w:sz w:val="24"/>
          <w:szCs w:val="24"/>
        </w:rPr>
        <w:t>;</w:t>
      </w:r>
      <w:r w:rsidRPr="00967568">
        <w:rPr>
          <w:rFonts w:ascii="Arial" w:eastAsia="Arial" w:hAnsi="Arial" w:cs="Arial"/>
          <w:spacing w:val="-2"/>
          <w:sz w:val="24"/>
          <w:szCs w:val="24"/>
        </w:rPr>
        <w:t xml:space="preserve"> su otro</w:t>
      </w:r>
      <w:r w:rsidR="009E707E" w:rsidRPr="00967568">
        <w:rPr>
          <w:rFonts w:ascii="Arial" w:eastAsia="Arial" w:hAnsi="Arial" w:cs="Arial"/>
          <w:spacing w:val="-2"/>
          <w:sz w:val="24"/>
          <w:szCs w:val="24"/>
        </w:rPr>
        <w:t xml:space="preserve"> componente, el ahorro externo </w:t>
      </w:r>
      <w:r w:rsidR="00BC6250">
        <w:rPr>
          <w:rFonts w:ascii="Arial" w:eastAsia="Arial" w:hAnsi="Arial" w:cs="Arial"/>
          <w:spacing w:val="-2"/>
          <w:sz w:val="24"/>
          <w:szCs w:val="24"/>
        </w:rPr>
        <w:t>no presentó cambios</w:t>
      </w:r>
      <w:r w:rsidR="00374729">
        <w:rPr>
          <w:rFonts w:ascii="Arial" w:eastAsia="Arial" w:hAnsi="Arial" w:cs="Arial"/>
          <w:spacing w:val="-2"/>
          <w:sz w:val="24"/>
          <w:szCs w:val="24"/>
        </w:rPr>
        <w:t xml:space="preserve"> en</w:t>
      </w:r>
      <w:r w:rsidRPr="006877EF">
        <w:rPr>
          <w:rFonts w:ascii="Arial" w:eastAsia="Arial" w:hAnsi="Arial" w:cs="Arial"/>
          <w:spacing w:val="-2"/>
          <w:sz w:val="24"/>
          <w:szCs w:val="24"/>
        </w:rPr>
        <w:t xml:space="preserve"> </w:t>
      </w:r>
      <w:r w:rsidR="00005B5E" w:rsidRPr="006877EF">
        <w:rPr>
          <w:rFonts w:ascii="Arial" w:eastAsia="Arial" w:hAnsi="Arial" w:cs="Arial"/>
          <w:spacing w:val="-2"/>
          <w:sz w:val="24"/>
          <w:szCs w:val="24"/>
        </w:rPr>
        <w:t>igual lapso</w:t>
      </w:r>
      <w:r w:rsidRPr="00967568">
        <w:rPr>
          <w:rFonts w:ascii="Arial" w:eastAsia="Arial" w:hAnsi="Arial" w:cs="Arial"/>
          <w:spacing w:val="-2"/>
          <w:sz w:val="24"/>
          <w:szCs w:val="24"/>
        </w:rPr>
        <w:t>.</w:t>
      </w:r>
    </w:p>
    <w:p w14:paraId="656992A6" w14:textId="646839B5" w:rsidR="007A3BEE" w:rsidRPr="00967568" w:rsidRDefault="009E321A" w:rsidP="00EA5AAD">
      <w:pPr>
        <w:spacing w:before="480" w:after="0" w:line="247" w:lineRule="auto"/>
        <w:jc w:val="center"/>
        <w:rPr>
          <w:rFonts w:ascii="Arial" w:eastAsia="Arial" w:hAnsi="Arial" w:cs="Arial"/>
          <w:spacing w:val="-2"/>
          <w:sz w:val="24"/>
          <w:szCs w:val="24"/>
        </w:rPr>
      </w:pPr>
      <w:r>
        <w:rPr>
          <w:rFonts w:ascii="Arial" w:eastAsia="Arial" w:hAnsi="Arial" w:cs="Arial"/>
          <w:spacing w:val="-2"/>
          <w:sz w:val="24"/>
          <w:szCs w:val="24"/>
        </w:rPr>
        <w:t xml:space="preserve">Cuadro </w:t>
      </w:r>
      <w:r w:rsidR="00AC401C">
        <w:rPr>
          <w:rFonts w:ascii="Arial" w:eastAsia="Arial" w:hAnsi="Arial" w:cs="Arial"/>
          <w:spacing w:val="-2"/>
          <w:sz w:val="24"/>
          <w:szCs w:val="24"/>
        </w:rPr>
        <w:t>2</w:t>
      </w:r>
    </w:p>
    <w:p w14:paraId="1E2BC9B1" w14:textId="77777777" w:rsidR="00CC4F8B" w:rsidRPr="0064647D" w:rsidRDefault="00DA5907" w:rsidP="0064647D">
      <w:pPr>
        <w:spacing w:after="0" w:line="240" w:lineRule="auto"/>
        <w:ind w:right="31"/>
        <w:jc w:val="center"/>
        <w:rPr>
          <w:rFonts w:ascii="Arial" w:eastAsia="Arial" w:hAnsi="Arial" w:cs="Arial"/>
          <w:sz w:val="24"/>
        </w:rPr>
      </w:pPr>
      <w:r>
        <w:rPr>
          <w:rFonts w:ascii="Arial" w:hAnsi="Arial" w:cs="Arial"/>
          <w:b/>
          <w:smallCaps/>
          <w:sz w:val="24"/>
        </w:rPr>
        <w:t>Ahorro Bruto por Sector I</w:t>
      </w:r>
      <w:r w:rsidR="0064647D" w:rsidRPr="0064647D">
        <w:rPr>
          <w:rFonts w:ascii="Arial" w:hAnsi="Arial" w:cs="Arial"/>
          <w:b/>
          <w:smallCaps/>
          <w:sz w:val="24"/>
        </w:rPr>
        <w:t xml:space="preserve">nstitucional, </w:t>
      </w:r>
      <w:r w:rsidR="00022F0B">
        <w:rPr>
          <w:rFonts w:ascii="Arial" w:hAnsi="Arial" w:cs="Arial"/>
          <w:b/>
          <w:smallCaps/>
          <w:sz w:val="24"/>
        </w:rPr>
        <w:t>201</w:t>
      </w:r>
      <w:r w:rsidR="00BC6250">
        <w:rPr>
          <w:rFonts w:ascii="Arial" w:hAnsi="Arial" w:cs="Arial"/>
          <w:b/>
          <w:smallCaps/>
          <w:sz w:val="24"/>
        </w:rPr>
        <w:t>7</w:t>
      </w:r>
      <w:r w:rsidR="0064647D" w:rsidRPr="006877EF">
        <w:rPr>
          <w:rFonts w:ascii="Arial" w:hAnsi="Arial" w:cs="Arial"/>
          <w:b/>
          <w:smallCaps/>
          <w:sz w:val="24"/>
        </w:rPr>
        <w:t>-</w:t>
      </w:r>
      <w:r w:rsidR="00BE2548" w:rsidRPr="006877EF">
        <w:rPr>
          <w:rFonts w:ascii="Arial" w:hAnsi="Arial" w:cs="Arial"/>
          <w:b/>
          <w:smallCaps/>
          <w:sz w:val="24"/>
        </w:rPr>
        <w:t>201</w:t>
      </w:r>
      <w:r w:rsidR="00BC6250">
        <w:rPr>
          <w:rFonts w:ascii="Arial" w:hAnsi="Arial" w:cs="Arial"/>
          <w:b/>
          <w:smallCaps/>
          <w:sz w:val="24"/>
        </w:rPr>
        <w:t>8</w:t>
      </w:r>
    </w:p>
    <w:p w14:paraId="10E5478C" w14:textId="77777777" w:rsidR="0023796E" w:rsidRPr="00967568" w:rsidRDefault="0054092A" w:rsidP="009E321A">
      <w:pPr>
        <w:spacing w:before="5" w:after="0" w:line="203" w:lineRule="exact"/>
        <w:ind w:right="-20"/>
        <w:jc w:val="center"/>
        <w:rPr>
          <w:rFonts w:ascii="Arial" w:eastAsia="Arial" w:hAnsi="Arial" w:cs="Arial"/>
          <w:sz w:val="18"/>
          <w:szCs w:val="18"/>
        </w:rPr>
      </w:pPr>
      <w:r>
        <w:rPr>
          <w:noProof/>
          <w:lang w:eastAsia="es-MX"/>
        </w:rPr>
        <mc:AlternateContent>
          <mc:Choice Requires="wpg">
            <w:drawing>
              <wp:anchor distT="0" distB="0" distL="114300" distR="114300" simplePos="0" relativeHeight="251660288" behindDoc="1" locked="0" layoutInCell="1" allowOverlap="1" wp14:anchorId="6364BD05" wp14:editId="2AB44880">
                <wp:simplePos x="0" y="0"/>
                <wp:positionH relativeFrom="page">
                  <wp:posOffset>1061085</wp:posOffset>
                </wp:positionH>
                <wp:positionV relativeFrom="paragraph">
                  <wp:posOffset>436245</wp:posOffset>
                </wp:positionV>
                <wp:extent cx="18415" cy="1270"/>
                <wp:effectExtent l="0" t="0" r="19685" b="17780"/>
                <wp:wrapNone/>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15" cy="1270"/>
                          <a:chOff x="1671" y="687"/>
                          <a:chExt cx="29" cy="2"/>
                        </a:xfrm>
                      </wpg:grpSpPr>
                      <wps:wsp>
                        <wps:cNvPr id="10" name="Freeform 3"/>
                        <wps:cNvSpPr>
                          <a:spLocks/>
                        </wps:cNvSpPr>
                        <wps:spPr bwMode="auto">
                          <a:xfrm>
                            <a:off x="1671" y="687"/>
                            <a:ext cx="29" cy="2"/>
                          </a:xfrm>
                          <a:custGeom>
                            <a:avLst/>
                            <a:gdLst>
                              <a:gd name="T0" fmla="+- 0 1671 1671"/>
                              <a:gd name="T1" fmla="*/ T0 w 29"/>
                              <a:gd name="T2" fmla="+- 0 1700 1671"/>
                              <a:gd name="T3" fmla="*/ T2 w 29"/>
                            </a:gdLst>
                            <a:ahLst/>
                            <a:cxnLst>
                              <a:cxn ang="0">
                                <a:pos x="T1" y="0"/>
                              </a:cxn>
                              <a:cxn ang="0">
                                <a:pos x="T3" y="0"/>
                              </a:cxn>
                            </a:cxnLst>
                            <a:rect l="0" t="0" r="r" b="b"/>
                            <a:pathLst>
                              <a:path w="29">
                                <a:moveTo>
                                  <a:pt x="0" y="0"/>
                                </a:moveTo>
                                <a:lnTo>
                                  <a:pt x="2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E704F4" id="Group 2" o:spid="_x0000_s1026" style="position:absolute;margin-left:83.55pt;margin-top:34.35pt;width:1.45pt;height:.1pt;z-index:-251656192;mso-position-horizontal-relative:page" coordorigin="1671,687" coordsize="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dYtXAMAANQHAAAOAAAAZHJzL2Uyb0RvYy54bWykVduO2zgMfV+g/yDosUXGl3FuxniKIpfB&#10;Ar0BTT9AkeULakuupMSZFvvvS1F2JpPZxS7aPDiUSZOHhxR59/bUNuQotKmVzGh0E1IiJFd5LcuM&#10;ft1tJwtKjGUyZ42SIqOPwtC396/+uOu7VMSqUk0uNAEn0qR9l9HK2i4NAsMr0TJzozohQVko3TIL&#10;R10GuWY9eG+bIA7DWdArnXdacWEMvF17Jb1H/0UhuP1UFEZY0mQUsFl8anzu3TO4v2NpqVlX1XyA&#10;wX4BRctqCUHPrtbMMnLQ9QtXbc21MqqwN1y1gSqKmgvMAbKJwqtsHrQ6dJhLmfZld6YJqL3i6Zfd&#10;8o/Hz5rUeUZnlEjWQokwKokdNX1XpmDxoLsv3Wft8wPxveLfDKiDa707l96Y7PsPKgd37GAVUnMq&#10;dOtcQNLkhBV4PFdAnCzh8DJaJNGUEg6aKJ4P5eEV1NB9Es3mESWgmy3mvnK82gxfxkv/GeIOWOqj&#10;IcIBkUsHmsw88Wh+j8cvFesElsc4lgYeI2gzT+RWC+E6l9x6LtFqJNJcsnihcRgNkP2f/L0kYyTx&#10;n6lgKT8Y+yAUFoEd3xvrmz8HCUubD7h3kEHRNnAP3kxISFwgfAyX5WwGtfBmrwOyC0lPIPDgcvQU&#10;jybe0zz07q7Nbkcz5yk+e4IyliM6Vo2A+UkOiEEizA2aEBusU8Z1yc73CDYPeAAjl92/2ELksQtH&#10;W/8/hNAwQa5nh6YEZsfeJ9Ex65C5EE4kfUaBBnds1VHsFCrsVcNDiCdtIy+tXPEuEHkl2DvncOO8&#10;gAEdzouKSrWtmwb5b6SDES2n0wUiMaqpc6d1YIwu96tGkyNzIxF/LhPw9swMRo/M0VslWL4ZZMvq&#10;xstg3yCx0HVD/q7/cOb9XIbLzWKzSCZJPNtMknC9nrzbrpLJbBvNp+vb9Wq1jv5y0KIkreo8F9Kh&#10;G+dvlPy/ezlsAj85zxP4WRbPkt3i72WywXMYyAXkMv57ssd76afIXuWPcEe18gsFFiAIldI/KOlh&#10;mWTUfD8wLShp/pQwZZZRkrjtg4dkOo/hoC81+0sNkxxcZdRS6G4nrqzfWIdO12UFkSIsq1TvYLYW&#10;tbvHMOhM6lENBxh0KOHqwFyGNed20+UZrZ6W8f3fAAAA//8DAFBLAwQUAAYACAAAACEABA/7Y94A&#10;AAAJAQAADwAAAGRycy9kb3ducmV2LnhtbEyPQUvDQBCF74L/YRnBm91EMakxm1KKeiqCrSDeptlp&#10;EprdDdltkv57Jyd7fG8+3ryXrybTioF63zirIF5EIMiWTje2UvC9f39YgvABrcbWWVJwIQ+r4vYm&#10;x0y70X7RsAuV4BDrM1RQh9BlUvqyJoN+4TqyfDu63mBg2VdS9zhyuGnlYxQl0mBj+UONHW1qKk+7&#10;s1HwMeK4forfhu3puLn87p8/f7YxKXV/N61fQQSawj8Mc32uDgV3Oriz1V60rJM0ZlRBskxBzEAa&#10;8bjDbLyALHJ5vaD4AwAA//8DAFBLAQItABQABgAIAAAAIQC2gziS/gAAAOEBAAATAAAAAAAAAAAA&#10;AAAAAAAAAABbQ29udGVudF9UeXBlc10ueG1sUEsBAi0AFAAGAAgAAAAhADj9If/WAAAAlAEAAAsA&#10;AAAAAAAAAAAAAAAALwEAAF9yZWxzLy5yZWxzUEsBAi0AFAAGAAgAAAAhAJoJ1i1cAwAA1AcAAA4A&#10;AAAAAAAAAAAAAAAALgIAAGRycy9lMm9Eb2MueG1sUEsBAi0AFAAGAAgAAAAhAAQP+2PeAAAACQEA&#10;AA8AAAAAAAAAAAAAAAAAtgUAAGRycy9kb3ducmV2LnhtbFBLBQYAAAAABAAEAPMAAADBBgAAAAA=&#10;">
                <v:shape id="Freeform 3" o:spid="_x0000_s1027" style="position:absolute;left:1671;top:687;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yuhxAAAANsAAAAPAAAAZHJzL2Rvd25yZXYueG1sRI9Ba8JA&#10;EIXvBf/DMoK3ZqPEUtKsUqQFDxat+gOm2WkSzM6G7Griv+8chN5meG/e+6ZYj65VN+pD49nAPElB&#10;EZfeNlwZOJ8+n19BhYhssfVMBu4UYL2aPBWYWz/wN92OsVISwiFHA3WMXa51KGtyGBLfEYv263uH&#10;Uda+0rbHQcJdqxdp+qIdNiwNNXa0qam8HK/OgG23ZfaxuBx2lfvau0wvD93P0pjZdHx/AxVpjP/m&#10;x/XWCr7Qyy8ygF79AQAA//8DAFBLAQItABQABgAIAAAAIQDb4fbL7gAAAIUBAAATAAAAAAAAAAAA&#10;AAAAAAAAAABbQ29udGVudF9UeXBlc10ueG1sUEsBAi0AFAAGAAgAAAAhAFr0LFu/AAAAFQEAAAsA&#10;AAAAAAAAAAAAAAAAHwEAAF9yZWxzLy5yZWxzUEsBAi0AFAAGAAgAAAAhAEyLK6HEAAAA2wAAAA8A&#10;AAAAAAAAAAAAAAAABwIAAGRycy9kb3ducmV2LnhtbFBLBQYAAAAAAwADALcAAAD4AgAAAAA=&#10;" path="m,l29,e" filled="f" strokeweight="1.54pt">
                  <v:path arrowok="t" o:connecttype="custom" o:connectlocs="0,0;29,0" o:connectangles="0,0"/>
                </v:shape>
                <w10:wrap anchorx="page"/>
              </v:group>
            </w:pict>
          </mc:Fallback>
        </mc:AlternateContent>
      </w:r>
      <w:r w:rsidR="00EA4260" w:rsidRPr="00967568">
        <w:rPr>
          <w:rFonts w:ascii="Arial" w:eastAsia="Arial" w:hAnsi="Arial" w:cs="Arial"/>
          <w:spacing w:val="1"/>
          <w:position w:val="-1"/>
          <w:sz w:val="18"/>
          <w:szCs w:val="18"/>
        </w:rPr>
        <w:t>(</w:t>
      </w:r>
      <w:r w:rsidR="00EA4260" w:rsidRPr="00967568">
        <w:rPr>
          <w:rFonts w:ascii="Arial" w:eastAsia="Arial" w:hAnsi="Arial" w:cs="Arial"/>
          <w:spacing w:val="-2"/>
          <w:position w:val="-1"/>
          <w:sz w:val="18"/>
          <w:szCs w:val="18"/>
        </w:rPr>
        <w:t>P</w:t>
      </w:r>
      <w:r w:rsidR="00EA4260" w:rsidRPr="00967568">
        <w:rPr>
          <w:rFonts w:ascii="Arial" w:eastAsia="Arial" w:hAnsi="Arial" w:cs="Arial"/>
          <w:spacing w:val="-1"/>
          <w:position w:val="-1"/>
          <w:sz w:val="18"/>
          <w:szCs w:val="18"/>
        </w:rPr>
        <w:t>a</w:t>
      </w:r>
      <w:r w:rsidR="00EA4260" w:rsidRPr="00967568">
        <w:rPr>
          <w:rFonts w:ascii="Arial" w:eastAsia="Arial" w:hAnsi="Arial" w:cs="Arial"/>
          <w:spacing w:val="1"/>
          <w:position w:val="-1"/>
          <w:sz w:val="18"/>
          <w:szCs w:val="18"/>
        </w:rPr>
        <w:t>r</w:t>
      </w:r>
      <w:r w:rsidR="00EA4260" w:rsidRPr="00967568">
        <w:rPr>
          <w:rFonts w:ascii="Arial" w:eastAsia="Arial" w:hAnsi="Arial" w:cs="Arial"/>
          <w:spacing w:val="2"/>
          <w:position w:val="-1"/>
          <w:sz w:val="18"/>
          <w:szCs w:val="18"/>
        </w:rPr>
        <w:t>t</w:t>
      </w:r>
      <w:r w:rsidR="00EA4260" w:rsidRPr="00967568">
        <w:rPr>
          <w:rFonts w:ascii="Arial" w:eastAsia="Arial" w:hAnsi="Arial" w:cs="Arial"/>
          <w:spacing w:val="3"/>
          <w:position w:val="-1"/>
          <w:sz w:val="18"/>
          <w:szCs w:val="18"/>
        </w:rPr>
        <w:t>i</w:t>
      </w:r>
      <w:r w:rsidR="00EA4260" w:rsidRPr="00967568">
        <w:rPr>
          <w:rFonts w:ascii="Arial" w:eastAsia="Arial" w:hAnsi="Arial" w:cs="Arial"/>
          <w:position w:val="-1"/>
          <w:sz w:val="18"/>
          <w:szCs w:val="18"/>
        </w:rPr>
        <w:t>c</w:t>
      </w:r>
      <w:r w:rsidR="00EA4260" w:rsidRPr="00967568">
        <w:rPr>
          <w:rFonts w:ascii="Arial" w:eastAsia="Arial" w:hAnsi="Arial" w:cs="Arial"/>
          <w:spacing w:val="3"/>
          <w:position w:val="-1"/>
          <w:sz w:val="18"/>
          <w:szCs w:val="18"/>
        </w:rPr>
        <w:t>i</w:t>
      </w:r>
      <w:r w:rsidR="00EA4260" w:rsidRPr="00967568">
        <w:rPr>
          <w:rFonts w:ascii="Arial" w:eastAsia="Arial" w:hAnsi="Arial" w:cs="Arial"/>
          <w:spacing w:val="-1"/>
          <w:position w:val="-1"/>
          <w:sz w:val="18"/>
          <w:szCs w:val="18"/>
        </w:rPr>
        <w:t>pa</w:t>
      </w:r>
      <w:r w:rsidR="00EA4260" w:rsidRPr="00967568">
        <w:rPr>
          <w:rFonts w:ascii="Arial" w:eastAsia="Arial" w:hAnsi="Arial" w:cs="Arial"/>
          <w:position w:val="-1"/>
          <w:sz w:val="18"/>
          <w:szCs w:val="18"/>
        </w:rPr>
        <w:t>c</w:t>
      </w:r>
      <w:r w:rsidR="00EA4260" w:rsidRPr="00967568">
        <w:rPr>
          <w:rFonts w:ascii="Arial" w:eastAsia="Arial" w:hAnsi="Arial" w:cs="Arial"/>
          <w:spacing w:val="3"/>
          <w:position w:val="-1"/>
          <w:sz w:val="18"/>
          <w:szCs w:val="18"/>
        </w:rPr>
        <w:t>i</w:t>
      </w:r>
      <w:r w:rsidR="00EA4260" w:rsidRPr="00967568">
        <w:rPr>
          <w:rFonts w:ascii="Arial" w:eastAsia="Arial" w:hAnsi="Arial" w:cs="Arial"/>
          <w:spacing w:val="-1"/>
          <w:position w:val="-1"/>
          <w:sz w:val="18"/>
          <w:szCs w:val="18"/>
        </w:rPr>
        <w:t>ó</w:t>
      </w:r>
      <w:r w:rsidR="00EA4260" w:rsidRPr="00967568">
        <w:rPr>
          <w:rFonts w:ascii="Arial" w:eastAsia="Arial" w:hAnsi="Arial" w:cs="Arial"/>
          <w:position w:val="-1"/>
          <w:sz w:val="18"/>
          <w:szCs w:val="18"/>
        </w:rPr>
        <w:t>n</w:t>
      </w:r>
      <w:r w:rsidR="00EA4260" w:rsidRPr="00967568">
        <w:rPr>
          <w:rFonts w:ascii="Arial" w:eastAsia="Arial" w:hAnsi="Arial" w:cs="Arial"/>
          <w:spacing w:val="13"/>
          <w:position w:val="-1"/>
          <w:sz w:val="18"/>
          <w:szCs w:val="18"/>
        </w:rPr>
        <w:t xml:space="preserve"> </w:t>
      </w:r>
      <w:r w:rsidR="00EA4260" w:rsidRPr="00967568">
        <w:rPr>
          <w:rFonts w:ascii="Arial" w:eastAsia="Arial" w:hAnsi="Arial" w:cs="Arial"/>
          <w:spacing w:val="1"/>
          <w:position w:val="-1"/>
          <w:sz w:val="18"/>
          <w:szCs w:val="18"/>
        </w:rPr>
        <w:t>r</w:t>
      </w:r>
      <w:r w:rsidR="00EA4260" w:rsidRPr="00967568">
        <w:rPr>
          <w:rFonts w:ascii="Arial" w:eastAsia="Arial" w:hAnsi="Arial" w:cs="Arial"/>
          <w:spacing w:val="-5"/>
          <w:position w:val="-1"/>
          <w:sz w:val="18"/>
          <w:szCs w:val="18"/>
        </w:rPr>
        <w:t>e</w:t>
      </w:r>
      <w:r w:rsidR="00EA4260" w:rsidRPr="00967568">
        <w:rPr>
          <w:rFonts w:ascii="Arial" w:eastAsia="Arial" w:hAnsi="Arial" w:cs="Arial"/>
          <w:position w:val="-1"/>
          <w:sz w:val="18"/>
          <w:szCs w:val="18"/>
        </w:rPr>
        <w:t>s</w:t>
      </w:r>
      <w:r w:rsidR="00EA4260" w:rsidRPr="00967568">
        <w:rPr>
          <w:rFonts w:ascii="Arial" w:eastAsia="Arial" w:hAnsi="Arial" w:cs="Arial"/>
          <w:spacing w:val="-1"/>
          <w:position w:val="-1"/>
          <w:sz w:val="18"/>
          <w:szCs w:val="18"/>
        </w:rPr>
        <w:t>p</w:t>
      </w:r>
      <w:r w:rsidR="00EA4260" w:rsidRPr="00967568">
        <w:rPr>
          <w:rFonts w:ascii="Arial" w:eastAsia="Arial" w:hAnsi="Arial" w:cs="Arial"/>
          <w:spacing w:val="-5"/>
          <w:position w:val="-1"/>
          <w:sz w:val="18"/>
          <w:szCs w:val="18"/>
        </w:rPr>
        <w:t>e</w:t>
      </w:r>
      <w:r w:rsidR="00EA4260" w:rsidRPr="00967568">
        <w:rPr>
          <w:rFonts w:ascii="Arial" w:eastAsia="Arial" w:hAnsi="Arial" w:cs="Arial"/>
          <w:position w:val="-1"/>
          <w:sz w:val="18"/>
          <w:szCs w:val="18"/>
        </w:rPr>
        <w:t>c</w:t>
      </w:r>
      <w:r w:rsidR="00EA4260" w:rsidRPr="00967568">
        <w:rPr>
          <w:rFonts w:ascii="Arial" w:eastAsia="Arial" w:hAnsi="Arial" w:cs="Arial"/>
          <w:spacing w:val="2"/>
          <w:position w:val="-1"/>
          <w:sz w:val="18"/>
          <w:szCs w:val="18"/>
        </w:rPr>
        <w:t>t</w:t>
      </w:r>
      <w:r w:rsidR="00EA4260" w:rsidRPr="00967568">
        <w:rPr>
          <w:rFonts w:ascii="Arial" w:eastAsia="Arial" w:hAnsi="Arial" w:cs="Arial"/>
          <w:position w:val="-1"/>
          <w:sz w:val="18"/>
          <w:szCs w:val="18"/>
        </w:rPr>
        <w:t>o</w:t>
      </w:r>
      <w:r w:rsidR="00EA4260" w:rsidRPr="00967568">
        <w:rPr>
          <w:rFonts w:ascii="Arial" w:eastAsia="Arial" w:hAnsi="Arial" w:cs="Arial"/>
          <w:spacing w:val="9"/>
          <w:position w:val="-1"/>
          <w:sz w:val="18"/>
          <w:szCs w:val="18"/>
        </w:rPr>
        <w:t xml:space="preserve"> </w:t>
      </w:r>
      <w:r w:rsidR="00EA4260" w:rsidRPr="00967568">
        <w:rPr>
          <w:rFonts w:ascii="Arial" w:eastAsia="Arial" w:hAnsi="Arial" w:cs="Arial"/>
          <w:spacing w:val="-1"/>
          <w:position w:val="-1"/>
          <w:sz w:val="18"/>
          <w:szCs w:val="18"/>
        </w:rPr>
        <w:t>a</w:t>
      </w:r>
      <w:r w:rsidR="00EA4260" w:rsidRPr="00967568">
        <w:rPr>
          <w:rFonts w:ascii="Arial" w:eastAsia="Arial" w:hAnsi="Arial" w:cs="Arial"/>
          <w:position w:val="-1"/>
          <w:sz w:val="18"/>
          <w:szCs w:val="18"/>
        </w:rPr>
        <w:t>l</w:t>
      </w:r>
      <w:r w:rsidR="00EA4260" w:rsidRPr="00967568">
        <w:rPr>
          <w:rFonts w:ascii="Arial" w:eastAsia="Arial" w:hAnsi="Arial" w:cs="Arial"/>
          <w:spacing w:val="6"/>
          <w:position w:val="-1"/>
          <w:sz w:val="18"/>
          <w:szCs w:val="18"/>
        </w:rPr>
        <w:t xml:space="preserve"> </w:t>
      </w:r>
      <w:r w:rsidR="00EA4260" w:rsidRPr="00967568">
        <w:rPr>
          <w:rFonts w:ascii="Arial" w:eastAsia="Arial" w:hAnsi="Arial" w:cs="Arial"/>
          <w:spacing w:val="-2"/>
          <w:position w:val="-1"/>
          <w:sz w:val="18"/>
          <w:szCs w:val="18"/>
        </w:rPr>
        <w:t>P</w:t>
      </w:r>
      <w:r w:rsidR="00EA4260" w:rsidRPr="00967568">
        <w:rPr>
          <w:rFonts w:ascii="Arial" w:eastAsia="Arial" w:hAnsi="Arial" w:cs="Arial"/>
          <w:spacing w:val="2"/>
          <w:position w:val="-1"/>
          <w:sz w:val="18"/>
          <w:szCs w:val="18"/>
        </w:rPr>
        <w:t>I</w:t>
      </w:r>
      <w:r w:rsidR="00EA4260" w:rsidRPr="00967568">
        <w:rPr>
          <w:rFonts w:ascii="Arial" w:eastAsia="Arial" w:hAnsi="Arial" w:cs="Arial"/>
          <w:position w:val="-1"/>
          <w:sz w:val="18"/>
          <w:szCs w:val="18"/>
        </w:rPr>
        <w:t>B</w:t>
      </w:r>
      <w:r w:rsidR="00EA4260" w:rsidRPr="00967568">
        <w:rPr>
          <w:rFonts w:ascii="Arial" w:eastAsia="Arial" w:hAnsi="Arial" w:cs="Arial"/>
          <w:spacing w:val="4"/>
          <w:position w:val="-1"/>
          <w:sz w:val="18"/>
          <w:szCs w:val="18"/>
        </w:rPr>
        <w:t xml:space="preserve"> </w:t>
      </w:r>
      <w:r w:rsidR="00EA4260" w:rsidRPr="00967568">
        <w:rPr>
          <w:rFonts w:ascii="Arial" w:eastAsia="Arial" w:hAnsi="Arial" w:cs="Arial"/>
          <w:spacing w:val="2"/>
          <w:position w:val="-1"/>
          <w:sz w:val="18"/>
          <w:szCs w:val="18"/>
        </w:rPr>
        <w:t>t</w:t>
      </w:r>
      <w:r w:rsidR="00EA4260" w:rsidRPr="00967568">
        <w:rPr>
          <w:rFonts w:ascii="Arial" w:eastAsia="Arial" w:hAnsi="Arial" w:cs="Arial"/>
          <w:spacing w:val="3"/>
          <w:position w:val="-1"/>
          <w:sz w:val="18"/>
          <w:szCs w:val="18"/>
        </w:rPr>
        <w:t>o</w:t>
      </w:r>
      <w:r w:rsidR="00EA4260" w:rsidRPr="00967568">
        <w:rPr>
          <w:rFonts w:ascii="Arial" w:eastAsia="Arial" w:hAnsi="Arial" w:cs="Arial"/>
          <w:spacing w:val="2"/>
          <w:position w:val="-1"/>
          <w:sz w:val="18"/>
          <w:szCs w:val="18"/>
        </w:rPr>
        <w:t>t</w:t>
      </w:r>
      <w:r w:rsidR="00EA4260" w:rsidRPr="00967568">
        <w:rPr>
          <w:rFonts w:ascii="Arial" w:eastAsia="Arial" w:hAnsi="Arial" w:cs="Arial"/>
          <w:spacing w:val="-1"/>
          <w:position w:val="-1"/>
          <w:sz w:val="18"/>
          <w:szCs w:val="18"/>
        </w:rPr>
        <w:t>a</w:t>
      </w:r>
      <w:r w:rsidR="00EA4260" w:rsidRPr="00967568">
        <w:rPr>
          <w:rFonts w:ascii="Arial" w:eastAsia="Arial" w:hAnsi="Arial" w:cs="Arial"/>
          <w:position w:val="-1"/>
          <w:sz w:val="18"/>
          <w:szCs w:val="18"/>
        </w:rPr>
        <w:t>l</w:t>
      </w:r>
      <w:r w:rsidR="00EA4260" w:rsidRPr="00967568">
        <w:rPr>
          <w:rFonts w:ascii="Arial" w:eastAsia="Arial" w:hAnsi="Arial" w:cs="Arial"/>
          <w:spacing w:val="8"/>
          <w:position w:val="-1"/>
          <w:sz w:val="18"/>
          <w:szCs w:val="18"/>
        </w:rPr>
        <w:t xml:space="preserve"> </w:t>
      </w:r>
      <w:r w:rsidR="00EA4260" w:rsidRPr="00967568">
        <w:rPr>
          <w:rFonts w:ascii="Arial" w:eastAsia="Arial" w:hAnsi="Arial" w:cs="Arial"/>
          <w:position w:val="-1"/>
          <w:sz w:val="18"/>
          <w:szCs w:val="18"/>
        </w:rPr>
        <w:t>a</w:t>
      </w:r>
      <w:r w:rsidR="00EA4260" w:rsidRPr="00967568">
        <w:rPr>
          <w:rFonts w:ascii="Arial" w:eastAsia="Arial" w:hAnsi="Arial" w:cs="Arial"/>
          <w:spacing w:val="3"/>
          <w:position w:val="-1"/>
          <w:sz w:val="18"/>
          <w:szCs w:val="18"/>
        </w:rPr>
        <w:t xml:space="preserve"> </w:t>
      </w:r>
      <w:r w:rsidR="00EA4260" w:rsidRPr="00967568">
        <w:rPr>
          <w:rFonts w:ascii="Arial" w:eastAsia="Arial" w:hAnsi="Arial" w:cs="Arial"/>
          <w:spacing w:val="-1"/>
          <w:position w:val="-1"/>
          <w:sz w:val="18"/>
          <w:szCs w:val="18"/>
        </w:rPr>
        <w:t>p</w:t>
      </w:r>
      <w:r w:rsidR="00EA4260" w:rsidRPr="00967568">
        <w:rPr>
          <w:rFonts w:ascii="Arial" w:eastAsia="Arial" w:hAnsi="Arial" w:cs="Arial"/>
          <w:spacing w:val="1"/>
          <w:position w:val="-1"/>
          <w:sz w:val="18"/>
          <w:szCs w:val="18"/>
        </w:rPr>
        <w:t>r</w:t>
      </w:r>
      <w:r w:rsidR="00EA4260" w:rsidRPr="00967568">
        <w:rPr>
          <w:rFonts w:ascii="Arial" w:eastAsia="Arial" w:hAnsi="Arial" w:cs="Arial"/>
          <w:spacing w:val="-5"/>
          <w:position w:val="-1"/>
          <w:sz w:val="18"/>
          <w:szCs w:val="18"/>
        </w:rPr>
        <w:t>e</w:t>
      </w:r>
      <w:r w:rsidR="00EA4260" w:rsidRPr="00967568">
        <w:rPr>
          <w:rFonts w:ascii="Arial" w:eastAsia="Arial" w:hAnsi="Arial" w:cs="Arial"/>
          <w:position w:val="-1"/>
          <w:sz w:val="18"/>
          <w:szCs w:val="18"/>
        </w:rPr>
        <w:t>c</w:t>
      </w:r>
      <w:r w:rsidR="00EA4260" w:rsidRPr="00967568">
        <w:rPr>
          <w:rFonts w:ascii="Arial" w:eastAsia="Arial" w:hAnsi="Arial" w:cs="Arial"/>
          <w:spacing w:val="3"/>
          <w:position w:val="-1"/>
          <w:sz w:val="18"/>
          <w:szCs w:val="18"/>
        </w:rPr>
        <w:t>i</w:t>
      </w:r>
      <w:r w:rsidR="00EA4260" w:rsidRPr="00967568">
        <w:rPr>
          <w:rFonts w:ascii="Arial" w:eastAsia="Arial" w:hAnsi="Arial" w:cs="Arial"/>
          <w:spacing w:val="-1"/>
          <w:position w:val="-1"/>
          <w:sz w:val="18"/>
          <w:szCs w:val="18"/>
        </w:rPr>
        <w:t>o</w:t>
      </w:r>
      <w:r w:rsidR="00EA4260" w:rsidRPr="00967568">
        <w:rPr>
          <w:rFonts w:ascii="Arial" w:eastAsia="Arial" w:hAnsi="Arial" w:cs="Arial"/>
          <w:position w:val="-1"/>
          <w:sz w:val="18"/>
          <w:szCs w:val="18"/>
        </w:rPr>
        <w:t>s</w:t>
      </w:r>
      <w:r w:rsidR="00EA4260" w:rsidRPr="00967568">
        <w:rPr>
          <w:rFonts w:ascii="Arial" w:eastAsia="Arial" w:hAnsi="Arial" w:cs="Arial"/>
          <w:spacing w:val="8"/>
          <w:position w:val="-1"/>
          <w:sz w:val="18"/>
          <w:szCs w:val="18"/>
        </w:rPr>
        <w:t xml:space="preserve"> </w:t>
      </w:r>
      <w:r w:rsidR="00EA4260" w:rsidRPr="00967568">
        <w:rPr>
          <w:rFonts w:ascii="Arial" w:eastAsia="Arial" w:hAnsi="Arial" w:cs="Arial"/>
          <w:spacing w:val="-1"/>
          <w:position w:val="-1"/>
          <w:sz w:val="18"/>
          <w:szCs w:val="18"/>
        </w:rPr>
        <w:t>d</w:t>
      </w:r>
      <w:r w:rsidR="00EA4260" w:rsidRPr="00967568">
        <w:rPr>
          <w:rFonts w:ascii="Arial" w:eastAsia="Arial" w:hAnsi="Arial" w:cs="Arial"/>
          <w:position w:val="-1"/>
          <w:sz w:val="18"/>
          <w:szCs w:val="18"/>
        </w:rPr>
        <w:t>e</w:t>
      </w:r>
      <w:r w:rsidR="00EA4260" w:rsidRPr="00967568">
        <w:rPr>
          <w:rFonts w:ascii="Arial" w:eastAsia="Arial" w:hAnsi="Arial" w:cs="Arial"/>
          <w:spacing w:val="-1"/>
          <w:position w:val="-1"/>
          <w:sz w:val="18"/>
          <w:szCs w:val="18"/>
        </w:rPr>
        <w:t xml:space="preserve"> </w:t>
      </w:r>
      <w:r w:rsidR="00EA4260" w:rsidRPr="00967568">
        <w:rPr>
          <w:rFonts w:ascii="Arial" w:eastAsia="Arial" w:hAnsi="Arial" w:cs="Arial"/>
          <w:spacing w:val="6"/>
          <w:w w:val="101"/>
          <w:position w:val="-1"/>
          <w:sz w:val="18"/>
          <w:szCs w:val="18"/>
        </w:rPr>
        <w:t>m</w:t>
      </w:r>
      <w:r w:rsidR="00EA4260" w:rsidRPr="00967568">
        <w:rPr>
          <w:rFonts w:ascii="Arial" w:eastAsia="Arial" w:hAnsi="Arial" w:cs="Arial"/>
          <w:spacing w:val="-5"/>
          <w:w w:val="101"/>
          <w:position w:val="-1"/>
          <w:sz w:val="18"/>
          <w:szCs w:val="18"/>
        </w:rPr>
        <w:t>e</w:t>
      </w:r>
      <w:r w:rsidR="00EA4260" w:rsidRPr="00967568">
        <w:rPr>
          <w:rFonts w:ascii="Arial" w:eastAsia="Arial" w:hAnsi="Arial" w:cs="Arial"/>
          <w:spacing w:val="1"/>
          <w:w w:val="101"/>
          <w:position w:val="-1"/>
          <w:sz w:val="18"/>
          <w:szCs w:val="18"/>
        </w:rPr>
        <w:t>r</w:t>
      </w:r>
      <w:r w:rsidR="00EA4260" w:rsidRPr="00967568">
        <w:rPr>
          <w:rFonts w:ascii="Arial" w:eastAsia="Arial" w:hAnsi="Arial" w:cs="Arial"/>
          <w:w w:val="101"/>
          <w:position w:val="-1"/>
          <w:sz w:val="18"/>
          <w:szCs w:val="18"/>
        </w:rPr>
        <w:t>c</w:t>
      </w:r>
      <w:r w:rsidR="00EA4260" w:rsidRPr="00967568">
        <w:rPr>
          <w:rFonts w:ascii="Arial" w:eastAsia="Arial" w:hAnsi="Arial" w:cs="Arial"/>
          <w:spacing w:val="-1"/>
          <w:w w:val="101"/>
          <w:position w:val="-1"/>
          <w:sz w:val="18"/>
          <w:szCs w:val="18"/>
        </w:rPr>
        <w:t>ado</w:t>
      </w:r>
      <w:r w:rsidR="00EA4260" w:rsidRPr="00967568">
        <w:rPr>
          <w:rFonts w:ascii="Arial" w:eastAsia="Arial" w:hAnsi="Arial" w:cs="Arial"/>
          <w:w w:val="101"/>
          <w:position w:val="-1"/>
          <w:sz w:val="18"/>
          <w:szCs w:val="18"/>
        </w:rPr>
        <w:t>)</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1134"/>
        <w:gridCol w:w="1134"/>
        <w:gridCol w:w="1134"/>
        <w:gridCol w:w="1206"/>
        <w:gridCol w:w="993"/>
        <w:gridCol w:w="992"/>
        <w:gridCol w:w="1206"/>
        <w:gridCol w:w="778"/>
      </w:tblGrid>
      <w:tr w:rsidR="009E321A" w14:paraId="0F1414F0" w14:textId="77777777" w:rsidTr="00BC6250">
        <w:trPr>
          <w:cantSplit/>
          <w:trHeight w:val="173"/>
        </w:trPr>
        <w:tc>
          <w:tcPr>
            <w:tcW w:w="779" w:type="dxa"/>
            <w:vMerge w:val="restart"/>
            <w:shd w:val="clear" w:color="auto" w:fill="984806" w:themeFill="accent6" w:themeFillShade="80"/>
            <w:vAlign w:val="center"/>
          </w:tcPr>
          <w:p w14:paraId="46F67AD5" w14:textId="77777777" w:rsidR="009E321A" w:rsidRPr="00BC6250" w:rsidRDefault="009E321A" w:rsidP="00963BD0">
            <w:pPr>
              <w:pStyle w:val="p0"/>
              <w:spacing w:before="120"/>
              <w:ind w:left="0" w:firstLine="0"/>
              <w:jc w:val="center"/>
              <w:rPr>
                <w:b/>
                <w:color w:val="FFFFFF" w:themeColor="background1"/>
                <w:sz w:val="16"/>
              </w:rPr>
            </w:pPr>
            <w:r w:rsidRPr="00BC6250">
              <w:rPr>
                <w:b/>
                <w:color w:val="FFFFFF" w:themeColor="background1"/>
                <w:sz w:val="16"/>
              </w:rPr>
              <w:t>Año</w:t>
            </w:r>
          </w:p>
          <w:p w14:paraId="78D32753" w14:textId="77777777" w:rsidR="009E321A" w:rsidRPr="00BC6250" w:rsidRDefault="009E321A" w:rsidP="00963BD0">
            <w:pPr>
              <w:pStyle w:val="p0"/>
              <w:spacing w:before="120"/>
              <w:ind w:left="0"/>
              <w:jc w:val="center"/>
              <w:rPr>
                <w:b/>
                <w:color w:val="FFFFFF" w:themeColor="background1"/>
                <w:sz w:val="16"/>
              </w:rPr>
            </w:pPr>
          </w:p>
        </w:tc>
        <w:tc>
          <w:tcPr>
            <w:tcW w:w="1134" w:type="dxa"/>
            <w:vMerge w:val="restart"/>
            <w:shd w:val="clear" w:color="auto" w:fill="984806" w:themeFill="accent6" w:themeFillShade="80"/>
            <w:vAlign w:val="center"/>
          </w:tcPr>
          <w:p w14:paraId="57989536" w14:textId="77777777" w:rsidR="009E321A" w:rsidRPr="00BC6250" w:rsidRDefault="009E321A" w:rsidP="00963BD0">
            <w:pPr>
              <w:pStyle w:val="p0"/>
              <w:spacing w:before="120"/>
              <w:ind w:left="0" w:firstLine="0"/>
              <w:jc w:val="center"/>
              <w:rPr>
                <w:b/>
                <w:color w:val="FFFFFF" w:themeColor="background1"/>
                <w:sz w:val="16"/>
              </w:rPr>
            </w:pPr>
            <w:r w:rsidRPr="00BC6250">
              <w:rPr>
                <w:b/>
                <w:color w:val="FFFFFF" w:themeColor="background1"/>
                <w:sz w:val="16"/>
              </w:rPr>
              <w:t>Ahorro Bruto Total</w:t>
            </w:r>
          </w:p>
          <w:p w14:paraId="13A10E6A" w14:textId="77777777" w:rsidR="009E321A" w:rsidRPr="00BC6250" w:rsidRDefault="009E321A" w:rsidP="00963BD0">
            <w:pPr>
              <w:pStyle w:val="p0"/>
              <w:spacing w:before="120"/>
              <w:ind w:left="0"/>
              <w:jc w:val="center"/>
              <w:rPr>
                <w:b/>
                <w:color w:val="FFFFFF" w:themeColor="background1"/>
                <w:sz w:val="16"/>
              </w:rPr>
            </w:pPr>
          </w:p>
        </w:tc>
        <w:tc>
          <w:tcPr>
            <w:tcW w:w="6665" w:type="dxa"/>
            <w:gridSpan w:val="6"/>
            <w:shd w:val="clear" w:color="auto" w:fill="984806" w:themeFill="accent6" w:themeFillShade="80"/>
          </w:tcPr>
          <w:p w14:paraId="24B2AB29" w14:textId="77777777" w:rsidR="009E321A" w:rsidRPr="00BC6250" w:rsidRDefault="009E321A" w:rsidP="00963BD0">
            <w:pPr>
              <w:pStyle w:val="p0"/>
              <w:spacing w:before="120" w:after="120"/>
              <w:ind w:left="0" w:firstLine="0"/>
              <w:jc w:val="center"/>
              <w:rPr>
                <w:b/>
                <w:color w:val="FFFFFF" w:themeColor="background1"/>
                <w:sz w:val="16"/>
              </w:rPr>
            </w:pPr>
            <w:r w:rsidRPr="00BC6250">
              <w:rPr>
                <w:b/>
                <w:color w:val="FFFFFF" w:themeColor="background1"/>
                <w:sz w:val="16"/>
              </w:rPr>
              <w:t>Ahorro Bruto Interno</w:t>
            </w:r>
          </w:p>
        </w:tc>
        <w:tc>
          <w:tcPr>
            <w:tcW w:w="778" w:type="dxa"/>
            <w:vMerge w:val="restart"/>
            <w:shd w:val="clear" w:color="auto" w:fill="984806" w:themeFill="accent6" w:themeFillShade="80"/>
            <w:vAlign w:val="center"/>
          </w:tcPr>
          <w:p w14:paraId="755D15A3" w14:textId="77777777" w:rsidR="009E321A" w:rsidRPr="00BC6250" w:rsidRDefault="009E321A" w:rsidP="00963BD0">
            <w:pPr>
              <w:pStyle w:val="p0"/>
              <w:spacing w:before="0"/>
              <w:ind w:left="0" w:firstLine="0"/>
              <w:jc w:val="center"/>
              <w:rPr>
                <w:b/>
                <w:color w:val="FFFFFF" w:themeColor="background1"/>
                <w:sz w:val="16"/>
              </w:rPr>
            </w:pPr>
            <w:r w:rsidRPr="00BC6250">
              <w:rPr>
                <w:b/>
                <w:color w:val="FFFFFF" w:themeColor="background1"/>
                <w:sz w:val="16"/>
              </w:rPr>
              <w:t>Ahorro Externo</w:t>
            </w:r>
          </w:p>
        </w:tc>
      </w:tr>
      <w:tr w:rsidR="009E321A" w14:paraId="3C3F9E35" w14:textId="77777777" w:rsidTr="00BC6250">
        <w:trPr>
          <w:cantSplit/>
          <w:trHeight w:val="874"/>
        </w:trPr>
        <w:tc>
          <w:tcPr>
            <w:tcW w:w="779" w:type="dxa"/>
            <w:vMerge/>
            <w:shd w:val="clear" w:color="auto" w:fill="984806" w:themeFill="accent6" w:themeFillShade="80"/>
          </w:tcPr>
          <w:p w14:paraId="10740572" w14:textId="77777777" w:rsidR="009E321A" w:rsidRPr="00BC6250" w:rsidRDefault="009E321A" w:rsidP="00963BD0">
            <w:pPr>
              <w:pStyle w:val="p0"/>
              <w:spacing w:before="0"/>
              <w:ind w:left="0" w:firstLine="0"/>
              <w:rPr>
                <w:b/>
                <w:color w:val="FFFFFF" w:themeColor="background1"/>
                <w:sz w:val="18"/>
              </w:rPr>
            </w:pPr>
          </w:p>
        </w:tc>
        <w:tc>
          <w:tcPr>
            <w:tcW w:w="1134" w:type="dxa"/>
            <w:vMerge/>
            <w:shd w:val="clear" w:color="auto" w:fill="984806" w:themeFill="accent6" w:themeFillShade="80"/>
          </w:tcPr>
          <w:p w14:paraId="4E019A1D" w14:textId="77777777" w:rsidR="009E321A" w:rsidRPr="00BC6250" w:rsidRDefault="009E321A" w:rsidP="00963BD0">
            <w:pPr>
              <w:pStyle w:val="p0"/>
              <w:spacing w:before="480"/>
              <w:ind w:left="0" w:firstLine="0"/>
              <w:rPr>
                <w:b/>
                <w:color w:val="FFFFFF" w:themeColor="background1"/>
                <w:sz w:val="18"/>
              </w:rPr>
            </w:pPr>
          </w:p>
        </w:tc>
        <w:tc>
          <w:tcPr>
            <w:tcW w:w="1134" w:type="dxa"/>
            <w:shd w:val="clear" w:color="auto" w:fill="984806" w:themeFill="accent6" w:themeFillShade="80"/>
          </w:tcPr>
          <w:p w14:paraId="2E82311D" w14:textId="77777777" w:rsidR="009E321A" w:rsidRPr="00BC6250" w:rsidRDefault="009E321A" w:rsidP="00963BD0">
            <w:pPr>
              <w:spacing w:before="240"/>
              <w:ind w:right="23"/>
              <w:jc w:val="center"/>
              <w:rPr>
                <w:rFonts w:ascii="Arial" w:hAnsi="Arial"/>
                <w:b/>
                <w:color w:val="FFFFFF" w:themeColor="background1"/>
                <w:sz w:val="16"/>
              </w:rPr>
            </w:pPr>
            <w:r w:rsidRPr="00BC6250">
              <w:rPr>
                <w:rFonts w:ascii="Arial" w:hAnsi="Arial"/>
                <w:b/>
                <w:color w:val="FFFFFF" w:themeColor="background1"/>
                <w:sz w:val="16"/>
              </w:rPr>
              <w:t>Sociedades no financieras</w:t>
            </w:r>
          </w:p>
        </w:tc>
        <w:tc>
          <w:tcPr>
            <w:tcW w:w="1134" w:type="dxa"/>
            <w:shd w:val="clear" w:color="auto" w:fill="984806" w:themeFill="accent6" w:themeFillShade="80"/>
          </w:tcPr>
          <w:p w14:paraId="53A2F290" w14:textId="77777777" w:rsidR="009E321A" w:rsidRPr="00BC6250" w:rsidRDefault="009E321A" w:rsidP="00963BD0">
            <w:pPr>
              <w:spacing w:before="240"/>
              <w:ind w:right="23"/>
              <w:jc w:val="center"/>
              <w:rPr>
                <w:rFonts w:ascii="Arial" w:hAnsi="Arial"/>
                <w:b/>
                <w:color w:val="FFFFFF" w:themeColor="background1"/>
                <w:sz w:val="16"/>
              </w:rPr>
            </w:pPr>
            <w:r w:rsidRPr="00BC6250">
              <w:rPr>
                <w:rFonts w:ascii="Arial" w:hAnsi="Arial"/>
                <w:b/>
                <w:color w:val="FFFFFF" w:themeColor="background1"/>
                <w:sz w:val="16"/>
              </w:rPr>
              <w:t>Sociedades financieras</w:t>
            </w:r>
          </w:p>
        </w:tc>
        <w:tc>
          <w:tcPr>
            <w:tcW w:w="1206" w:type="dxa"/>
            <w:shd w:val="clear" w:color="auto" w:fill="984806" w:themeFill="accent6" w:themeFillShade="80"/>
          </w:tcPr>
          <w:p w14:paraId="2D404DAA" w14:textId="77777777" w:rsidR="009E321A" w:rsidRPr="00BC6250" w:rsidRDefault="009E321A" w:rsidP="00963BD0">
            <w:pPr>
              <w:spacing w:before="240"/>
              <w:ind w:right="23"/>
              <w:jc w:val="center"/>
              <w:rPr>
                <w:rFonts w:ascii="Arial" w:hAnsi="Arial"/>
                <w:b/>
                <w:color w:val="FFFFFF" w:themeColor="background1"/>
                <w:sz w:val="16"/>
              </w:rPr>
            </w:pPr>
            <w:r w:rsidRPr="00BC6250">
              <w:rPr>
                <w:rFonts w:ascii="Arial" w:hAnsi="Arial"/>
                <w:b/>
                <w:color w:val="FFFFFF" w:themeColor="background1"/>
                <w:sz w:val="16"/>
              </w:rPr>
              <w:t>Gobierno general</w:t>
            </w:r>
          </w:p>
        </w:tc>
        <w:tc>
          <w:tcPr>
            <w:tcW w:w="993" w:type="dxa"/>
            <w:shd w:val="clear" w:color="auto" w:fill="984806" w:themeFill="accent6" w:themeFillShade="80"/>
          </w:tcPr>
          <w:p w14:paraId="16F033F3" w14:textId="77777777" w:rsidR="009E321A" w:rsidRPr="00BC6250" w:rsidRDefault="009E321A" w:rsidP="00963BD0">
            <w:pPr>
              <w:spacing w:before="240"/>
              <w:ind w:right="23"/>
              <w:jc w:val="center"/>
              <w:rPr>
                <w:rFonts w:ascii="Arial" w:hAnsi="Arial"/>
                <w:b/>
                <w:color w:val="FFFFFF" w:themeColor="background1"/>
                <w:sz w:val="16"/>
              </w:rPr>
            </w:pPr>
            <w:r w:rsidRPr="00BC6250">
              <w:rPr>
                <w:rFonts w:ascii="Arial" w:hAnsi="Arial"/>
                <w:b/>
                <w:color w:val="FFFFFF" w:themeColor="background1"/>
                <w:sz w:val="16"/>
              </w:rPr>
              <w:t>Hogares</w:t>
            </w:r>
          </w:p>
        </w:tc>
        <w:tc>
          <w:tcPr>
            <w:tcW w:w="992" w:type="dxa"/>
            <w:shd w:val="clear" w:color="auto" w:fill="984806" w:themeFill="accent6" w:themeFillShade="80"/>
          </w:tcPr>
          <w:p w14:paraId="1805A5CE" w14:textId="77777777" w:rsidR="009E321A" w:rsidRPr="00BC6250" w:rsidRDefault="009E321A" w:rsidP="00963BD0">
            <w:pPr>
              <w:spacing w:before="240"/>
              <w:ind w:right="23"/>
              <w:jc w:val="center"/>
              <w:rPr>
                <w:rFonts w:ascii="Arial" w:hAnsi="Arial"/>
                <w:b/>
                <w:color w:val="FFFFFF" w:themeColor="background1"/>
                <w:sz w:val="16"/>
              </w:rPr>
            </w:pPr>
            <w:r w:rsidRPr="00BC6250">
              <w:rPr>
                <w:rFonts w:ascii="Arial" w:hAnsi="Arial"/>
                <w:b/>
                <w:color w:val="FFFFFF" w:themeColor="background1"/>
                <w:sz w:val="16"/>
              </w:rPr>
              <w:t>ISFLSH</w:t>
            </w:r>
          </w:p>
        </w:tc>
        <w:tc>
          <w:tcPr>
            <w:tcW w:w="1206" w:type="dxa"/>
            <w:shd w:val="clear" w:color="auto" w:fill="984806" w:themeFill="accent6" w:themeFillShade="80"/>
          </w:tcPr>
          <w:p w14:paraId="2BB68FFA" w14:textId="77777777" w:rsidR="009E321A" w:rsidRPr="00BC6250" w:rsidRDefault="009E321A" w:rsidP="00963BD0">
            <w:pPr>
              <w:pStyle w:val="p0"/>
              <w:ind w:left="0" w:firstLine="0"/>
              <w:jc w:val="center"/>
              <w:rPr>
                <w:b/>
                <w:color w:val="FFFFFF" w:themeColor="background1"/>
                <w:sz w:val="16"/>
              </w:rPr>
            </w:pPr>
            <w:r w:rsidRPr="00BC6250">
              <w:rPr>
                <w:b/>
                <w:color w:val="FFFFFF" w:themeColor="background1"/>
                <w:sz w:val="16"/>
              </w:rPr>
              <w:t>Suma</w:t>
            </w:r>
          </w:p>
        </w:tc>
        <w:tc>
          <w:tcPr>
            <w:tcW w:w="778" w:type="dxa"/>
            <w:vMerge/>
            <w:shd w:val="clear" w:color="auto" w:fill="984806" w:themeFill="accent6" w:themeFillShade="80"/>
          </w:tcPr>
          <w:p w14:paraId="15BE2FE2" w14:textId="77777777" w:rsidR="009E321A" w:rsidRPr="00BC6250" w:rsidRDefault="009E321A" w:rsidP="00963BD0">
            <w:pPr>
              <w:pStyle w:val="p0"/>
              <w:spacing w:before="300"/>
              <w:ind w:left="0" w:firstLine="0"/>
              <w:jc w:val="center"/>
              <w:rPr>
                <w:b/>
                <w:color w:val="FFFFFF" w:themeColor="background1"/>
                <w:sz w:val="16"/>
              </w:rPr>
            </w:pPr>
          </w:p>
        </w:tc>
      </w:tr>
      <w:tr w:rsidR="009E321A" w14:paraId="026A9CEE" w14:textId="77777777" w:rsidTr="00BC6250">
        <w:tc>
          <w:tcPr>
            <w:tcW w:w="779" w:type="dxa"/>
            <w:shd w:val="clear" w:color="auto" w:fill="984806" w:themeFill="accent6" w:themeFillShade="80"/>
          </w:tcPr>
          <w:p w14:paraId="6FA53E6D" w14:textId="77777777" w:rsidR="009E321A" w:rsidRPr="00BC6250" w:rsidRDefault="009E321A" w:rsidP="00963BD0">
            <w:pPr>
              <w:pStyle w:val="p0"/>
              <w:spacing w:before="0"/>
              <w:ind w:left="0" w:firstLine="0"/>
              <w:jc w:val="center"/>
              <w:rPr>
                <w:b/>
                <w:color w:val="FFFFFF" w:themeColor="background1"/>
                <w:sz w:val="20"/>
              </w:rPr>
            </w:pPr>
          </w:p>
        </w:tc>
        <w:tc>
          <w:tcPr>
            <w:tcW w:w="1134" w:type="dxa"/>
            <w:shd w:val="clear" w:color="auto" w:fill="984806" w:themeFill="accent6" w:themeFillShade="80"/>
          </w:tcPr>
          <w:p w14:paraId="3158E05F" w14:textId="77777777" w:rsidR="009E321A" w:rsidRPr="00BC6250" w:rsidRDefault="009E321A" w:rsidP="00963BD0">
            <w:pPr>
              <w:pStyle w:val="p0"/>
              <w:tabs>
                <w:tab w:val="decimal" w:pos="-17"/>
              </w:tabs>
              <w:spacing w:before="0"/>
              <w:ind w:left="0" w:firstLine="0"/>
              <w:jc w:val="center"/>
              <w:rPr>
                <w:b/>
                <w:color w:val="FFFFFF" w:themeColor="background1"/>
                <w:sz w:val="16"/>
              </w:rPr>
            </w:pPr>
            <w:r w:rsidRPr="00BC6250">
              <w:rPr>
                <w:b/>
                <w:color w:val="FFFFFF" w:themeColor="background1"/>
                <w:sz w:val="16"/>
              </w:rPr>
              <w:t>(1) = (7) + (8)</w:t>
            </w:r>
          </w:p>
        </w:tc>
        <w:tc>
          <w:tcPr>
            <w:tcW w:w="1134" w:type="dxa"/>
            <w:shd w:val="clear" w:color="auto" w:fill="984806" w:themeFill="accent6" w:themeFillShade="80"/>
          </w:tcPr>
          <w:p w14:paraId="39A47142" w14:textId="77777777" w:rsidR="009E321A" w:rsidRPr="00BC6250" w:rsidRDefault="009E321A" w:rsidP="00963BD0">
            <w:pPr>
              <w:pStyle w:val="p0"/>
              <w:tabs>
                <w:tab w:val="decimal" w:pos="71"/>
              </w:tabs>
              <w:spacing w:before="0"/>
              <w:ind w:left="0" w:firstLine="0"/>
              <w:jc w:val="center"/>
              <w:rPr>
                <w:b/>
                <w:color w:val="FFFFFF" w:themeColor="background1"/>
                <w:sz w:val="16"/>
              </w:rPr>
            </w:pPr>
            <w:r w:rsidRPr="00BC6250">
              <w:rPr>
                <w:b/>
                <w:color w:val="FFFFFF" w:themeColor="background1"/>
                <w:sz w:val="16"/>
              </w:rPr>
              <w:t>(2)</w:t>
            </w:r>
          </w:p>
        </w:tc>
        <w:tc>
          <w:tcPr>
            <w:tcW w:w="1134" w:type="dxa"/>
            <w:shd w:val="clear" w:color="auto" w:fill="984806" w:themeFill="accent6" w:themeFillShade="80"/>
          </w:tcPr>
          <w:p w14:paraId="7499B529" w14:textId="77777777" w:rsidR="009E321A" w:rsidRPr="00BC6250" w:rsidRDefault="009E321A" w:rsidP="00963BD0">
            <w:pPr>
              <w:pStyle w:val="p0"/>
              <w:tabs>
                <w:tab w:val="decimal" w:pos="71"/>
              </w:tabs>
              <w:spacing w:before="0"/>
              <w:ind w:left="0" w:firstLine="0"/>
              <w:jc w:val="center"/>
              <w:rPr>
                <w:b/>
                <w:color w:val="FFFFFF" w:themeColor="background1"/>
                <w:sz w:val="16"/>
              </w:rPr>
            </w:pPr>
            <w:r w:rsidRPr="00BC6250">
              <w:rPr>
                <w:b/>
                <w:color w:val="FFFFFF" w:themeColor="background1"/>
                <w:sz w:val="16"/>
              </w:rPr>
              <w:t>(3)</w:t>
            </w:r>
          </w:p>
        </w:tc>
        <w:tc>
          <w:tcPr>
            <w:tcW w:w="1206" w:type="dxa"/>
            <w:shd w:val="clear" w:color="auto" w:fill="984806" w:themeFill="accent6" w:themeFillShade="80"/>
          </w:tcPr>
          <w:p w14:paraId="47C7CAF9" w14:textId="77777777" w:rsidR="009E321A" w:rsidRPr="00BC6250" w:rsidRDefault="009E321A" w:rsidP="00963BD0">
            <w:pPr>
              <w:pStyle w:val="p0"/>
              <w:tabs>
                <w:tab w:val="decimal" w:pos="71"/>
              </w:tabs>
              <w:spacing w:before="0"/>
              <w:ind w:left="0" w:firstLine="0"/>
              <w:jc w:val="center"/>
              <w:rPr>
                <w:b/>
                <w:color w:val="FFFFFF" w:themeColor="background1"/>
                <w:sz w:val="16"/>
              </w:rPr>
            </w:pPr>
            <w:r w:rsidRPr="00BC6250">
              <w:rPr>
                <w:b/>
                <w:color w:val="FFFFFF" w:themeColor="background1"/>
                <w:sz w:val="16"/>
              </w:rPr>
              <w:t>(4)</w:t>
            </w:r>
          </w:p>
        </w:tc>
        <w:tc>
          <w:tcPr>
            <w:tcW w:w="993" w:type="dxa"/>
            <w:shd w:val="clear" w:color="auto" w:fill="984806" w:themeFill="accent6" w:themeFillShade="80"/>
          </w:tcPr>
          <w:p w14:paraId="56C28DA5" w14:textId="77777777" w:rsidR="009E321A" w:rsidRPr="00BC6250" w:rsidRDefault="009E321A" w:rsidP="00963BD0">
            <w:pPr>
              <w:pStyle w:val="p0"/>
              <w:tabs>
                <w:tab w:val="decimal" w:pos="71"/>
              </w:tabs>
              <w:spacing w:before="0"/>
              <w:ind w:left="0" w:firstLine="0"/>
              <w:jc w:val="center"/>
              <w:rPr>
                <w:b/>
                <w:color w:val="FFFFFF" w:themeColor="background1"/>
                <w:sz w:val="16"/>
              </w:rPr>
            </w:pPr>
            <w:r w:rsidRPr="00BC6250">
              <w:rPr>
                <w:b/>
                <w:color w:val="FFFFFF" w:themeColor="background1"/>
                <w:sz w:val="16"/>
              </w:rPr>
              <w:t>(5)</w:t>
            </w:r>
          </w:p>
        </w:tc>
        <w:tc>
          <w:tcPr>
            <w:tcW w:w="992" w:type="dxa"/>
            <w:shd w:val="clear" w:color="auto" w:fill="984806" w:themeFill="accent6" w:themeFillShade="80"/>
          </w:tcPr>
          <w:p w14:paraId="00C0CEF5" w14:textId="77777777" w:rsidR="009E321A" w:rsidRPr="00BC6250" w:rsidRDefault="009E321A" w:rsidP="00963BD0">
            <w:pPr>
              <w:pStyle w:val="p0"/>
              <w:tabs>
                <w:tab w:val="decimal" w:pos="71"/>
              </w:tabs>
              <w:spacing w:before="0"/>
              <w:ind w:left="0" w:firstLine="0"/>
              <w:jc w:val="center"/>
              <w:rPr>
                <w:b/>
                <w:color w:val="FFFFFF" w:themeColor="background1"/>
                <w:sz w:val="16"/>
              </w:rPr>
            </w:pPr>
            <w:r w:rsidRPr="00BC6250">
              <w:rPr>
                <w:b/>
                <w:color w:val="FFFFFF" w:themeColor="background1"/>
                <w:sz w:val="16"/>
              </w:rPr>
              <w:t>(6)</w:t>
            </w:r>
          </w:p>
        </w:tc>
        <w:tc>
          <w:tcPr>
            <w:tcW w:w="1206" w:type="dxa"/>
            <w:shd w:val="clear" w:color="auto" w:fill="984806" w:themeFill="accent6" w:themeFillShade="80"/>
          </w:tcPr>
          <w:p w14:paraId="7FD04293" w14:textId="77777777" w:rsidR="009E321A" w:rsidRPr="00BC6250" w:rsidRDefault="009E321A" w:rsidP="00963BD0">
            <w:pPr>
              <w:pStyle w:val="p0"/>
              <w:tabs>
                <w:tab w:val="decimal" w:pos="160"/>
              </w:tabs>
              <w:spacing w:before="0"/>
              <w:ind w:left="0" w:firstLine="0"/>
              <w:jc w:val="center"/>
              <w:rPr>
                <w:b/>
                <w:color w:val="FFFFFF" w:themeColor="background1"/>
                <w:sz w:val="16"/>
              </w:rPr>
            </w:pPr>
            <w:r w:rsidRPr="00BC6250">
              <w:rPr>
                <w:b/>
                <w:color w:val="FFFFFF" w:themeColor="background1"/>
                <w:sz w:val="16"/>
              </w:rPr>
              <w:t>(7) = (2) a (6)</w:t>
            </w:r>
          </w:p>
        </w:tc>
        <w:tc>
          <w:tcPr>
            <w:tcW w:w="778" w:type="dxa"/>
            <w:shd w:val="clear" w:color="auto" w:fill="984806" w:themeFill="accent6" w:themeFillShade="80"/>
          </w:tcPr>
          <w:p w14:paraId="7396FCBC" w14:textId="77777777" w:rsidR="009E321A" w:rsidRPr="00BC6250" w:rsidRDefault="009E321A" w:rsidP="00963BD0">
            <w:pPr>
              <w:pStyle w:val="p0"/>
              <w:spacing w:before="0"/>
              <w:ind w:left="0" w:firstLine="0"/>
              <w:jc w:val="center"/>
              <w:rPr>
                <w:b/>
                <w:color w:val="FFFFFF" w:themeColor="background1"/>
                <w:sz w:val="16"/>
              </w:rPr>
            </w:pPr>
            <w:r w:rsidRPr="00BC6250">
              <w:rPr>
                <w:b/>
                <w:color w:val="FFFFFF" w:themeColor="background1"/>
                <w:sz w:val="16"/>
              </w:rPr>
              <w:t>(8)</w:t>
            </w:r>
          </w:p>
        </w:tc>
      </w:tr>
      <w:tr w:rsidR="009E321A" w14:paraId="0162B0F3" w14:textId="77777777" w:rsidTr="00D15309">
        <w:trPr>
          <w:cantSplit/>
          <w:trHeight w:val="692"/>
        </w:trPr>
        <w:tc>
          <w:tcPr>
            <w:tcW w:w="779" w:type="dxa"/>
            <w:noWrap/>
          </w:tcPr>
          <w:p w14:paraId="4F1307D7" w14:textId="77777777" w:rsidR="009E321A" w:rsidRPr="006877EF" w:rsidRDefault="00BE2548" w:rsidP="00022F0B">
            <w:pPr>
              <w:pStyle w:val="p0"/>
              <w:ind w:left="0" w:firstLine="0"/>
              <w:jc w:val="center"/>
              <w:rPr>
                <w:color w:val="auto"/>
                <w:sz w:val="20"/>
              </w:rPr>
            </w:pPr>
            <w:r w:rsidRPr="006877EF">
              <w:rPr>
                <w:color w:val="auto"/>
                <w:sz w:val="20"/>
              </w:rPr>
              <w:t>201</w:t>
            </w:r>
            <w:r w:rsidR="00BC6250">
              <w:rPr>
                <w:color w:val="auto"/>
                <w:sz w:val="20"/>
              </w:rPr>
              <w:t>7</w:t>
            </w:r>
          </w:p>
        </w:tc>
        <w:tc>
          <w:tcPr>
            <w:tcW w:w="1134" w:type="dxa"/>
            <w:noWrap/>
          </w:tcPr>
          <w:p w14:paraId="2820917C" w14:textId="77777777" w:rsidR="009E321A" w:rsidRPr="006877EF" w:rsidRDefault="00D00521" w:rsidP="00D00521">
            <w:pPr>
              <w:pStyle w:val="p0"/>
              <w:ind w:left="0" w:firstLine="0"/>
              <w:jc w:val="center"/>
              <w:rPr>
                <w:color w:val="auto"/>
                <w:sz w:val="20"/>
              </w:rPr>
            </w:pPr>
            <w:r w:rsidRPr="006877EF">
              <w:rPr>
                <w:color w:val="auto"/>
                <w:sz w:val="20"/>
              </w:rPr>
              <w:t>2</w:t>
            </w:r>
            <w:r w:rsidR="00BC6250">
              <w:rPr>
                <w:color w:val="auto"/>
                <w:sz w:val="20"/>
              </w:rPr>
              <w:t>4.9</w:t>
            </w:r>
          </w:p>
        </w:tc>
        <w:tc>
          <w:tcPr>
            <w:tcW w:w="1134" w:type="dxa"/>
            <w:noWrap/>
          </w:tcPr>
          <w:p w14:paraId="047A0C61" w14:textId="77777777" w:rsidR="009E321A" w:rsidRPr="006877EF" w:rsidRDefault="00BC6250" w:rsidP="00FA7839">
            <w:pPr>
              <w:pStyle w:val="p0"/>
              <w:ind w:left="0" w:firstLine="0"/>
              <w:jc w:val="center"/>
              <w:rPr>
                <w:color w:val="auto"/>
                <w:sz w:val="20"/>
              </w:rPr>
            </w:pPr>
            <w:r>
              <w:rPr>
                <w:color w:val="auto"/>
                <w:sz w:val="20"/>
              </w:rPr>
              <w:t>6</w:t>
            </w:r>
            <w:r w:rsidR="009D4CC4">
              <w:rPr>
                <w:color w:val="auto"/>
                <w:sz w:val="20"/>
              </w:rPr>
              <w:t>.3</w:t>
            </w:r>
          </w:p>
        </w:tc>
        <w:tc>
          <w:tcPr>
            <w:tcW w:w="1134" w:type="dxa"/>
            <w:noWrap/>
          </w:tcPr>
          <w:p w14:paraId="59399FE8" w14:textId="77777777" w:rsidR="009E321A" w:rsidRPr="006877EF" w:rsidRDefault="00D00521" w:rsidP="009D4CC4">
            <w:pPr>
              <w:pStyle w:val="p0"/>
              <w:ind w:left="0" w:firstLine="0"/>
              <w:jc w:val="center"/>
              <w:rPr>
                <w:color w:val="auto"/>
                <w:sz w:val="20"/>
              </w:rPr>
            </w:pPr>
            <w:r w:rsidRPr="006877EF">
              <w:rPr>
                <w:color w:val="auto"/>
                <w:sz w:val="20"/>
              </w:rPr>
              <w:t>3.</w:t>
            </w:r>
            <w:r w:rsidR="009D4CC4">
              <w:rPr>
                <w:color w:val="auto"/>
                <w:sz w:val="20"/>
              </w:rPr>
              <w:t>6</w:t>
            </w:r>
          </w:p>
        </w:tc>
        <w:tc>
          <w:tcPr>
            <w:tcW w:w="1206" w:type="dxa"/>
            <w:noWrap/>
          </w:tcPr>
          <w:p w14:paraId="12B869BD" w14:textId="77777777" w:rsidR="009E321A" w:rsidRPr="006877EF" w:rsidRDefault="00963BD0" w:rsidP="00963BD0">
            <w:pPr>
              <w:pStyle w:val="p0"/>
              <w:ind w:left="0" w:right="356" w:firstLine="0"/>
              <w:jc w:val="right"/>
              <w:rPr>
                <w:color w:val="auto"/>
                <w:sz w:val="20"/>
              </w:rPr>
            </w:pPr>
            <w:r>
              <w:rPr>
                <w:color w:val="auto"/>
                <w:sz w:val="20"/>
              </w:rPr>
              <w:t>(</w:t>
            </w:r>
            <w:r>
              <w:rPr>
                <w:color w:val="auto"/>
                <w:sz w:val="20"/>
              </w:rPr>
              <w:noBreakHyphen/>
              <w:t>)</w:t>
            </w:r>
            <w:r w:rsidR="00BC6250">
              <w:rPr>
                <w:color w:val="auto"/>
                <w:sz w:val="20"/>
              </w:rPr>
              <w:t>0.7</w:t>
            </w:r>
          </w:p>
        </w:tc>
        <w:tc>
          <w:tcPr>
            <w:tcW w:w="993" w:type="dxa"/>
            <w:noWrap/>
          </w:tcPr>
          <w:p w14:paraId="47BD4510" w14:textId="77777777" w:rsidR="009E321A" w:rsidRPr="006877EF" w:rsidRDefault="006E0EBD" w:rsidP="009D4CC4">
            <w:pPr>
              <w:pStyle w:val="p0"/>
              <w:ind w:left="0" w:firstLine="0"/>
              <w:jc w:val="center"/>
              <w:rPr>
                <w:color w:val="auto"/>
                <w:sz w:val="20"/>
              </w:rPr>
            </w:pPr>
            <w:r>
              <w:rPr>
                <w:color w:val="auto"/>
                <w:sz w:val="20"/>
              </w:rPr>
              <w:t>13.3</w:t>
            </w:r>
          </w:p>
        </w:tc>
        <w:tc>
          <w:tcPr>
            <w:tcW w:w="992" w:type="dxa"/>
            <w:noWrap/>
          </w:tcPr>
          <w:p w14:paraId="430F42A4" w14:textId="77777777" w:rsidR="009E321A" w:rsidRPr="006877EF" w:rsidRDefault="006E0EBD" w:rsidP="00FA7839">
            <w:pPr>
              <w:pStyle w:val="p0"/>
              <w:ind w:left="0" w:firstLine="0"/>
              <w:jc w:val="center"/>
              <w:rPr>
                <w:color w:val="auto"/>
                <w:sz w:val="20"/>
              </w:rPr>
            </w:pPr>
            <w:r>
              <w:rPr>
                <w:color w:val="auto"/>
                <w:sz w:val="20"/>
              </w:rPr>
              <w:t>0.8</w:t>
            </w:r>
          </w:p>
        </w:tc>
        <w:tc>
          <w:tcPr>
            <w:tcW w:w="1206" w:type="dxa"/>
            <w:noWrap/>
          </w:tcPr>
          <w:p w14:paraId="3B7C6086" w14:textId="77777777" w:rsidR="009E321A" w:rsidRPr="006877EF" w:rsidRDefault="00D00521" w:rsidP="006E0EBD">
            <w:pPr>
              <w:pStyle w:val="p0"/>
              <w:ind w:left="0" w:firstLine="0"/>
              <w:jc w:val="center"/>
              <w:rPr>
                <w:color w:val="auto"/>
                <w:sz w:val="20"/>
              </w:rPr>
            </w:pPr>
            <w:r w:rsidRPr="006877EF">
              <w:rPr>
                <w:color w:val="auto"/>
                <w:sz w:val="20"/>
              </w:rPr>
              <w:t>23</w:t>
            </w:r>
            <w:r w:rsidR="006E0EBD">
              <w:rPr>
                <w:color w:val="auto"/>
                <w:sz w:val="20"/>
              </w:rPr>
              <w:t>.2</w:t>
            </w:r>
          </w:p>
        </w:tc>
        <w:tc>
          <w:tcPr>
            <w:tcW w:w="778" w:type="dxa"/>
            <w:noWrap/>
          </w:tcPr>
          <w:p w14:paraId="2D8FD171" w14:textId="77777777" w:rsidR="009E321A" w:rsidRPr="006877EF" w:rsidRDefault="00022F0B" w:rsidP="00022F0B">
            <w:pPr>
              <w:pStyle w:val="p0"/>
              <w:ind w:left="0" w:firstLine="0"/>
              <w:jc w:val="center"/>
              <w:rPr>
                <w:color w:val="auto"/>
                <w:sz w:val="20"/>
              </w:rPr>
            </w:pPr>
            <w:r>
              <w:rPr>
                <w:color w:val="auto"/>
                <w:sz w:val="20"/>
              </w:rPr>
              <w:t>1</w:t>
            </w:r>
            <w:r w:rsidR="006E0EBD">
              <w:rPr>
                <w:color w:val="auto"/>
                <w:sz w:val="20"/>
              </w:rPr>
              <w:t>.8</w:t>
            </w:r>
          </w:p>
        </w:tc>
      </w:tr>
      <w:tr w:rsidR="009E321A" w14:paraId="4B920204" w14:textId="77777777" w:rsidTr="00D15309">
        <w:trPr>
          <w:cantSplit/>
          <w:trHeight w:val="690"/>
        </w:trPr>
        <w:tc>
          <w:tcPr>
            <w:tcW w:w="779" w:type="dxa"/>
            <w:vAlign w:val="bottom"/>
          </w:tcPr>
          <w:p w14:paraId="422B0609" w14:textId="77777777" w:rsidR="009E321A" w:rsidRPr="006877EF" w:rsidRDefault="00BC6250" w:rsidP="00FA7839">
            <w:pPr>
              <w:pStyle w:val="p0"/>
              <w:spacing w:before="120" w:after="240"/>
              <w:ind w:left="0" w:firstLine="0"/>
              <w:jc w:val="center"/>
              <w:rPr>
                <w:color w:val="auto"/>
                <w:sz w:val="20"/>
              </w:rPr>
            </w:pPr>
            <w:r>
              <w:rPr>
                <w:color w:val="auto"/>
                <w:sz w:val="20"/>
              </w:rPr>
              <w:t>2018</w:t>
            </w:r>
          </w:p>
        </w:tc>
        <w:tc>
          <w:tcPr>
            <w:tcW w:w="1134" w:type="dxa"/>
            <w:vAlign w:val="bottom"/>
          </w:tcPr>
          <w:p w14:paraId="0793641C" w14:textId="77777777" w:rsidR="009E321A" w:rsidRPr="006877EF" w:rsidRDefault="009E321A" w:rsidP="00D00521">
            <w:pPr>
              <w:pStyle w:val="p0"/>
              <w:spacing w:before="120" w:after="240"/>
              <w:ind w:left="0" w:firstLine="0"/>
              <w:jc w:val="center"/>
              <w:rPr>
                <w:color w:val="auto"/>
                <w:sz w:val="20"/>
              </w:rPr>
            </w:pPr>
            <w:r w:rsidRPr="006877EF">
              <w:rPr>
                <w:color w:val="auto"/>
                <w:sz w:val="20"/>
              </w:rPr>
              <w:t>2</w:t>
            </w:r>
            <w:r w:rsidR="00BC6250">
              <w:rPr>
                <w:color w:val="auto"/>
                <w:sz w:val="20"/>
              </w:rPr>
              <w:t>5.4</w:t>
            </w:r>
          </w:p>
        </w:tc>
        <w:tc>
          <w:tcPr>
            <w:tcW w:w="1134" w:type="dxa"/>
            <w:vAlign w:val="bottom"/>
          </w:tcPr>
          <w:p w14:paraId="3C744723" w14:textId="77777777" w:rsidR="009E321A" w:rsidRPr="006877EF" w:rsidRDefault="00BC6250" w:rsidP="00FA7839">
            <w:pPr>
              <w:pStyle w:val="p0"/>
              <w:spacing w:before="120" w:after="240"/>
              <w:ind w:left="0" w:firstLine="0"/>
              <w:jc w:val="center"/>
              <w:rPr>
                <w:color w:val="auto"/>
                <w:sz w:val="20"/>
              </w:rPr>
            </w:pPr>
            <w:r>
              <w:rPr>
                <w:color w:val="auto"/>
                <w:sz w:val="20"/>
              </w:rPr>
              <w:t>9.4</w:t>
            </w:r>
          </w:p>
        </w:tc>
        <w:tc>
          <w:tcPr>
            <w:tcW w:w="1134" w:type="dxa"/>
            <w:vAlign w:val="bottom"/>
          </w:tcPr>
          <w:p w14:paraId="53D9CFB2" w14:textId="77777777" w:rsidR="009E321A" w:rsidRPr="006877EF" w:rsidRDefault="00BC6250" w:rsidP="00FA7839">
            <w:pPr>
              <w:pStyle w:val="p0"/>
              <w:spacing w:before="120" w:after="240"/>
              <w:ind w:left="0" w:firstLine="0"/>
              <w:jc w:val="center"/>
              <w:rPr>
                <w:color w:val="auto"/>
                <w:sz w:val="20"/>
              </w:rPr>
            </w:pPr>
            <w:r>
              <w:rPr>
                <w:color w:val="auto"/>
                <w:sz w:val="20"/>
              </w:rPr>
              <w:t>4.3</w:t>
            </w:r>
          </w:p>
        </w:tc>
        <w:tc>
          <w:tcPr>
            <w:tcW w:w="1206" w:type="dxa"/>
            <w:vAlign w:val="bottom"/>
          </w:tcPr>
          <w:p w14:paraId="6601D287" w14:textId="77777777" w:rsidR="009E321A" w:rsidRPr="006877EF" w:rsidRDefault="00963BD0" w:rsidP="00BC6250">
            <w:pPr>
              <w:pStyle w:val="p0"/>
              <w:spacing w:before="120" w:after="240"/>
              <w:ind w:left="0" w:right="356" w:firstLine="0"/>
              <w:jc w:val="right"/>
              <w:rPr>
                <w:color w:val="auto"/>
                <w:sz w:val="20"/>
              </w:rPr>
            </w:pPr>
            <w:r>
              <w:rPr>
                <w:color w:val="auto"/>
                <w:sz w:val="20"/>
              </w:rPr>
              <w:t>(</w:t>
            </w:r>
            <w:r>
              <w:rPr>
                <w:color w:val="auto"/>
                <w:sz w:val="20"/>
              </w:rPr>
              <w:noBreakHyphen/>
              <w:t>)</w:t>
            </w:r>
            <w:r w:rsidR="00BC6250">
              <w:rPr>
                <w:color w:val="auto"/>
                <w:sz w:val="20"/>
              </w:rPr>
              <w:t>2.3</w:t>
            </w:r>
          </w:p>
        </w:tc>
        <w:tc>
          <w:tcPr>
            <w:tcW w:w="993" w:type="dxa"/>
            <w:vAlign w:val="bottom"/>
          </w:tcPr>
          <w:p w14:paraId="6EF67056" w14:textId="77777777" w:rsidR="009E321A" w:rsidRPr="006877EF" w:rsidRDefault="006E0EBD" w:rsidP="00FA7839">
            <w:pPr>
              <w:pStyle w:val="p0"/>
              <w:spacing w:before="120" w:after="240"/>
              <w:ind w:left="0" w:firstLine="0"/>
              <w:jc w:val="center"/>
              <w:rPr>
                <w:color w:val="auto"/>
                <w:sz w:val="20"/>
              </w:rPr>
            </w:pPr>
            <w:r>
              <w:rPr>
                <w:color w:val="auto"/>
                <w:sz w:val="20"/>
              </w:rPr>
              <w:t>11.3</w:t>
            </w:r>
          </w:p>
        </w:tc>
        <w:tc>
          <w:tcPr>
            <w:tcW w:w="992" w:type="dxa"/>
            <w:vAlign w:val="bottom"/>
          </w:tcPr>
          <w:p w14:paraId="7F4097A3" w14:textId="77777777" w:rsidR="009E321A" w:rsidRPr="006877EF" w:rsidRDefault="009E321A" w:rsidP="009D4CC4">
            <w:pPr>
              <w:pStyle w:val="p0"/>
              <w:spacing w:before="120" w:after="240"/>
              <w:ind w:left="0" w:firstLine="0"/>
              <w:jc w:val="center"/>
              <w:rPr>
                <w:color w:val="auto"/>
                <w:sz w:val="20"/>
              </w:rPr>
            </w:pPr>
            <w:r w:rsidRPr="006877EF">
              <w:rPr>
                <w:color w:val="auto"/>
                <w:sz w:val="20"/>
              </w:rPr>
              <w:t>0.</w:t>
            </w:r>
            <w:r w:rsidR="006E0EBD">
              <w:rPr>
                <w:color w:val="auto"/>
                <w:sz w:val="20"/>
              </w:rPr>
              <w:t>9</w:t>
            </w:r>
          </w:p>
        </w:tc>
        <w:tc>
          <w:tcPr>
            <w:tcW w:w="1206" w:type="dxa"/>
            <w:vAlign w:val="bottom"/>
          </w:tcPr>
          <w:p w14:paraId="6C0646EB" w14:textId="77777777" w:rsidR="009E321A" w:rsidRPr="006877EF" w:rsidRDefault="00D00521" w:rsidP="009D4CC4">
            <w:pPr>
              <w:pStyle w:val="p0"/>
              <w:spacing w:before="120" w:after="240"/>
              <w:ind w:left="0" w:firstLine="0"/>
              <w:jc w:val="center"/>
              <w:rPr>
                <w:color w:val="auto"/>
                <w:sz w:val="20"/>
              </w:rPr>
            </w:pPr>
            <w:r w:rsidRPr="006877EF">
              <w:rPr>
                <w:color w:val="auto"/>
                <w:sz w:val="20"/>
              </w:rPr>
              <w:t>23.</w:t>
            </w:r>
            <w:r w:rsidR="006E0EBD">
              <w:rPr>
                <w:color w:val="auto"/>
                <w:sz w:val="20"/>
              </w:rPr>
              <w:t>7</w:t>
            </w:r>
          </w:p>
        </w:tc>
        <w:tc>
          <w:tcPr>
            <w:tcW w:w="778" w:type="dxa"/>
            <w:vAlign w:val="bottom"/>
          </w:tcPr>
          <w:p w14:paraId="47DB8534" w14:textId="77777777" w:rsidR="009E321A" w:rsidRPr="006877EF" w:rsidRDefault="00022F0B" w:rsidP="00FA7839">
            <w:pPr>
              <w:pStyle w:val="p0"/>
              <w:spacing w:before="120" w:after="240"/>
              <w:ind w:left="0" w:firstLine="0"/>
              <w:jc w:val="center"/>
              <w:rPr>
                <w:color w:val="auto"/>
                <w:sz w:val="20"/>
              </w:rPr>
            </w:pPr>
            <w:r>
              <w:rPr>
                <w:color w:val="auto"/>
                <w:sz w:val="20"/>
              </w:rPr>
              <w:t>1</w:t>
            </w:r>
            <w:r w:rsidR="006E0EBD">
              <w:rPr>
                <w:color w:val="auto"/>
                <w:sz w:val="20"/>
              </w:rPr>
              <w:t>.8</w:t>
            </w:r>
          </w:p>
        </w:tc>
      </w:tr>
    </w:tbl>
    <w:p w14:paraId="3B644366" w14:textId="77777777" w:rsidR="009E321A" w:rsidRPr="00C77061" w:rsidRDefault="009E321A" w:rsidP="00D15309">
      <w:pPr>
        <w:spacing w:after="0"/>
        <w:ind w:left="-142"/>
        <w:jc w:val="both"/>
        <w:rPr>
          <w:rFonts w:ascii="Arial" w:hAnsi="Arial" w:cs="Arial"/>
          <w:sz w:val="16"/>
        </w:rPr>
      </w:pPr>
      <w:r w:rsidRPr="00C77061">
        <w:rPr>
          <w:rFonts w:ascii="Arial" w:hAnsi="Arial" w:cs="Arial"/>
          <w:sz w:val="16"/>
        </w:rPr>
        <w:t>Nota: La suma</w:t>
      </w:r>
      <w:r w:rsidR="003F06E3">
        <w:rPr>
          <w:rFonts w:ascii="Arial" w:hAnsi="Arial" w:cs="Arial"/>
          <w:sz w:val="16"/>
        </w:rPr>
        <w:t xml:space="preserve"> o resta de los parciales puede</w:t>
      </w:r>
      <w:r w:rsidRPr="00C77061">
        <w:rPr>
          <w:rFonts w:ascii="Arial" w:hAnsi="Arial" w:cs="Arial"/>
          <w:sz w:val="16"/>
        </w:rPr>
        <w:t xml:space="preserve"> no coincidir con los totales debido al redondeo.</w:t>
      </w:r>
    </w:p>
    <w:p w14:paraId="107A61C5" w14:textId="77777777" w:rsidR="009E321A" w:rsidRDefault="009E321A" w:rsidP="00D15309">
      <w:pPr>
        <w:pStyle w:val="Textoindependiente2"/>
        <w:spacing w:before="0"/>
        <w:ind w:left="-142" w:right="0"/>
        <w:rPr>
          <w:sz w:val="16"/>
        </w:rPr>
      </w:pPr>
      <w:r>
        <w:rPr>
          <w:sz w:val="16"/>
        </w:rPr>
        <w:t>Fuente: INEGI.</w:t>
      </w:r>
    </w:p>
    <w:p w14:paraId="42058182" w14:textId="77777777" w:rsidR="00CC4F8B" w:rsidRDefault="006877EF" w:rsidP="00EA5AAD">
      <w:pPr>
        <w:spacing w:before="480" w:after="0" w:line="246" w:lineRule="auto"/>
        <w:jc w:val="both"/>
        <w:rPr>
          <w:rFonts w:ascii="Arial" w:eastAsia="Arial" w:hAnsi="Arial" w:cs="Arial"/>
          <w:spacing w:val="-2"/>
          <w:sz w:val="24"/>
          <w:szCs w:val="24"/>
        </w:rPr>
      </w:pPr>
      <w:r>
        <w:rPr>
          <w:rFonts w:ascii="Arial" w:eastAsia="Arial" w:hAnsi="Arial" w:cs="Arial"/>
          <w:spacing w:val="-2"/>
          <w:sz w:val="24"/>
          <w:szCs w:val="24"/>
        </w:rPr>
        <w:t>Al descomponer el</w:t>
      </w:r>
      <w:r w:rsidR="00C82B88" w:rsidRPr="00967568">
        <w:rPr>
          <w:rFonts w:ascii="Arial" w:eastAsia="Arial" w:hAnsi="Arial" w:cs="Arial"/>
          <w:spacing w:val="-2"/>
          <w:sz w:val="24"/>
          <w:szCs w:val="24"/>
        </w:rPr>
        <w:t xml:space="preserve"> </w:t>
      </w:r>
      <w:r w:rsidR="00EA4260" w:rsidRPr="00967568">
        <w:rPr>
          <w:rFonts w:ascii="Arial" w:eastAsia="Arial" w:hAnsi="Arial" w:cs="Arial"/>
          <w:spacing w:val="-2"/>
          <w:sz w:val="24"/>
          <w:szCs w:val="24"/>
        </w:rPr>
        <w:t>ahorro interno,</w:t>
      </w:r>
      <w:r>
        <w:rPr>
          <w:rFonts w:ascii="Arial" w:eastAsia="Arial" w:hAnsi="Arial" w:cs="Arial"/>
          <w:spacing w:val="-2"/>
          <w:sz w:val="24"/>
          <w:szCs w:val="24"/>
        </w:rPr>
        <w:t xml:space="preserve"> se observó que</w:t>
      </w:r>
      <w:r w:rsidR="00EA4260" w:rsidRPr="00967568">
        <w:rPr>
          <w:rFonts w:ascii="Arial" w:eastAsia="Arial" w:hAnsi="Arial" w:cs="Arial"/>
          <w:spacing w:val="-2"/>
          <w:sz w:val="24"/>
          <w:szCs w:val="24"/>
        </w:rPr>
        <w:t xml:space="preserve"> </w:t>
      </w:r>
      <w:r w:rsidR="00ED49F6">
        <w:rPr>
          <w:rFonts w:ascii="Arial" w:eastAsia="Arial" w:hAnsi="Arial" w:cs="Arial"/>
          <w:spacing w:val="-2"/>
          <w:sz w:val="24"/>
          <w:szCs w:val="24"/>
        </w:rPr>
        <w:t>el</w:t>
      </w:r>
      <w:r w:rsidR="00470D5D">
        <w:rPr>
          <w:rFonts w:ascii="Arial" w:eastAsia="Arial" w:hAnsi="Arial" w:cs="Arial"/>
          <w:spacing w:val="-2"/>
          <w:sz w:val="24"/>
          <w:szCs w:val="24"/>
        </w:rPr>
        <w:t xml:space="preserve"> </w:t>
      </w:r>
      <w:r w:rsidR="00EA4260" w:rsidRPr="00967568">
        <w:rPr>
          <w:rFonts w:ascii="Arial" w:eastAsia="Arial" w:hAnsi="Arial" w:cs="Arial"/>
          <w:spacing w:val="-2"/>
          <w:sz w:val="24"/>
          <w:szCs w:val="24"/>
        </w:rPr>
        <w:t xml:space="preserve">correspondiente </w:t>
      </w:r>
      <w:r w:rsidR="00DD1026">
        <w:rPr>
          <w:rFonts w:ascii="Arial" w:eastAsia="Arial" w:hAnsi="Arial" w:cs="Arial"/>
          <w:spacing w:val="-2"/>
          <w:sz w:val="24"/>
          <w:szCs w:val="24"/>
        </w:rPr>
        <w:t>a</w:t>
      </w:r>
      <w:r w:rsidR="00DD1026" w:rsidRPr="00967568">
        <w:rPr>
          <w:rFonts w:ascii="Arial" w:eastAsia="Arial" w:hAnsi="Arial" w:cs="Arial"/>
          <w:spacing w:val="-2"/>
          <w:sz w:val="24"/>
          <w:szCs w:val="24"/>
        </w:rPr>
        <w:t xml:space="preserve"> </w:t>
      </w:r>
      <w:r w:rsidR="00F21700">
        <w:rPr>
          <w:rFonts w:ascii="Arial" w:eastAsia="Arial" w:hAnsi="Arial" w:cs="Arial"/>
          <w:spacing w:val="-2"/>
          <w:sz w:val="24"/>
          <w:szCs w:val="24"/>
        </w:rPr>
        <w:t xml:space="preserve">las </w:t>
      </w:r>
      <w:r w:rsidR="009D4CC4">
        <w:rPr>
          <w:rFonts w:ascii="Arial" w:eastAsia="Arial" w:hAnsi="Arial" w:cs="Arial"/>
          <w:spacing w:val="-2"/>
          <w:sz w:val="24"/>
          <w:szCs w:val="24"/>
        </w:rPr>
        <w:t xml:space="preserve">Sociedades no </w:t>
      </w:r>
      <w:r w:rsidR="009D4CC4" w:rsidRPr="006877EF">
        <w:rPr>
          <w:rFonts w:ascii="Arial" w:eastAsia="Arial" w:hAnsi="Arial" w:cs="Arial"/>
          <w:spacing w:val="-2"/>
          <w:sz w:val="24"/>
          <w:szCs w:val="24"/>
        </w:rPr>
        <w:t xml:space="preserve">financieras </w:t>
      </w:r>
      <w:r w:rsidR="00470D5D">
        <w:rPr>
          <w:rFonts w:ascii="Arial" w:eastAsia="Arial" w:hAnsi="Arial" w:cs="Arial"/>
          <w:spacing w:val="-2"/>
          <w:sz w:val="24"/>
          <w:szCs w:val="24"/>
        </w:rPr>
        <w:t xml:space="preserve">se </w:t>
      </w:r>
      <w:r w:rsidR="005E4BB8" w:rsidRPr="00967568">
        <w:rPr>
          <w:rFonts w:ascii="Arial" w:eastAsia="Arial" w:hAnsi="Arial" w:cs="Arial"/>
          <w:spacing w:val="-2"/>
          <w:sz w:val="24"/>
          <w:szCs w:val="24"/>
        </w:rPr>
        <w:t>increment</w:t>
      </w:r>
      <w:r w:rsidR="00ED49F6">
        <w:rPr>
          <w:rFonts w:ascii="Arial" w:eastAsia="Arial" w:hAnsi="Arial" w:cs="Arial"/>
          <w:spacing w:val="-2"/>
          <w:sz w:val="24"/>
          <w:szCs w:val="24"/>
        </w:rPr>
        <w:t>ó</w:t>
      </w:r>
      <w:r w:rsidR="00470D5D">
        <w:rPr>
          <w:rFonts w:ascii="Arial" w:eastAsia="Arial" w:hAnsi="Arial" w:cs="Arial"/>
          <w:spacing w:val="-2"/>
          <w:sz w:val="24"/>
          <w:szCs w:val="24"/>
        </w:rPr>
        <w:t xml:space="preserve"> de</w:t>
      </w:r>
      <w:r w:rsidR="005E4BB8" w:rsidRPr="00967568">
        <w:rPr>
          <w:rFonts w:ascii="Arial" w:eastAsia="Arial" w:hAnsi="Arial" w:cs="Arial"/>
          <w:spacing w:val="-2"/>
          <w:sz w:val="24"/>
          <w:szCs w:val="24"/>
        </w:rPr>
        <w:t xml:space="preserve"> </w:t>
      </w:r>
      <w:r w:rsidR="00EA5AAD">
        <w:rPr>
          <w:rFonts w:ascii="Arial" w:eastAsia="Arial" w:hAnsi="Arial" w:cs="Arial"/>
          <w:spacing w:val="-2"/>
          <w:sz w:val="24"/>
          <w:szCs w:val="24"/>
        </w:rPr>
        <w:t>6.3</w:t>
      </w:r>
      <w:r w:rsidR="00564D28" w:rsidRPr="006877EF">
        <w:rPr>
          <w:rFonts w:ascii="Arial" w:eastAsia="Arial" w:hAnsi="Arial" w:cs="Arial"/>
          <w:spacing w:val="-2"/>
          <w:sz w:val="24"/>
          <w:szCs w:val="24"/>
        </w:rPr>
        <w:t>% a</w:t>
      </w:r>
      <w:r w:rsidR="009D4CC4">
        <w:rPr>
          <w:rFonts w:ascii="Arial" w:eastAsia="Arial" w:hAnsi="Arial" w:cs="Arial"/>
          <w:spacing w:val="-2"/>
          <w:sz w:val="24"/>
          <w:szCs w:val="24"/>
        </w:rPr>
        <w:t xml:space="preserve"> </w:t>
      </w:r>
      <w:r w:rsidR="00EA5AAD">
        <w:rPr>
          <w:rFonts w:ascii="Arial" w:eastAsia="Arial" w:hAnsi="Arial" w:cs="Arial"/>
          <w:spacing w:val="-2"/>
          <w:sz w:val="24"/>
          <w:szCs w:val="24"/>
        </w:rPr>
        <w:t>9.4</w:t>
      </w:r>
      <w:r w:rsidR="00564D28" w:rsidRPr="006877EF">
        <w:rPr>
          <w:rFonts w:ascii="Arial" w:eastAsia="Arial" w:hAnsi="Arial" w:cs="Arial"/>
          <w:spacing w:val="-2"/>
          <w:sz w:val="24"/>
          <w:szCs w:val="24"/>
        </w:rPr>
        <w:t>%</w:t>
      </w:r>
      <w:r w:rsidR="00470D5D" w:rsidRPr="006877EF">
        <w:rPr>
          <w:rFonts w:ascii="Arial" w:eastAsia="Arial" w:hAnsi="Arial" w:cs="Arial"/>
          <w:spacing w:val="-2"/>
          <w:sz w:val="24"/>
          <w:szCs w:val="24"/>
        </w:rPr>
        <w:t xml:space="preserve"> </w:t>
      </w:r>
      <w:r w:rsidR="00D15309">
        <w:rPr>
          <w:rFonts w:ascii="Arial" w:eastAsia="Arial" w:hAnsi="Arial" w:cs="Arial"/>
          <w:spacing w:val="-2"/>
          <w:sz w:val="24"/>
          <w:szCs w:val="24"/>
        </w:rPr>
        <w:t>respecto al</w:t>
      </w:r>
      <w:r w:rsidR="00470D5D" w:rsidRPr="006877EF">
        <w:rPr>
          <w:rFonts w:ascii="Arial" w:eastAsia="Arial" w:hAnsi="Arial" w:cs="Arial"/>
          <w:spacing w:val="-2"/>
          <w:sz w:val="24"/>
          <w:szCs w:val="24"/>
        </w:rPr>
        <w:t xml:space="preserve"> PIB</w:t>
      </w:r>
      <w:r w:rsidR="00470D5D">
        <w:rPr>
          <w:rFonts w:ascii="Arial" w:eastAsia="Arial" w:hAnsi="Arial" w:cs="Arial"/>
          <w:spacing w:val="-2"/>
          <w:sz w:val="24"/>
          <w:szCs w:val="24"/>
        </w:rPr>
        <w:t>,</w:t>
      </w:r>
      <w:r w:rsidR="00470D5D" w:rsidRPr="00967568">
        <w:rPr>
          <w:rFonts w:ascii="Arial" w:eastAsia="Arial" w:hAnsi="Arial" w:cs="Arial"/>
          <w:spacing w:val="-2"/>
          <w:sz w:val="24"/>
          <w:szCs w:val="24"/>
        </w:rPr>
        <w:t xml:space="preserve"> </w:t>
      </w:r>
      <w:r w:rsidR="00D15309">
        <w:rPr>
          <w:rFonts w:ascii="Arial" w:eastAsia="Arial" w:hAnsi="Arial" w:cs="Arial"/>
          <w:spacing w:val="-2"/>
          <w:sz w:val="24"/>
          <w:szCs w:val="24"/>
        </w:rPr>
        <w:t>entre</w:t>
      </w:r>
      <w:r w:rsidR="009D4CC4" w:rsidRPr="006877EF">
        <w:rPr>
          <w:rFonts w:ascii="Arial" w:eastAsia="Arial" w:hAnsi="Arial" w:cs="Arial"/>
          <w:spacing w:val="-2"/>
          <w:sz w:val="24"/>
          <w:szCs w:val="24"/>
        </w:rPr>
        <w:t xml:space="preserve"> 201</w:t>
      </w:r>
      <w:r w:rsidR="00EA5AAD">
        <w:rPr>
          <w:rFonts w:ascii="Arial" w:eastAsia="Arial" w:hAnsi="Arial" w:cs="Arial"/>
          <w:spacing w:val="-2"/>
          <w:sz w:val="24"/>
          <w:szCs w:val="24"/>
        </w:rPr>
        <w:t>7</w:t>
      </w:r>
      <w:r w:rsidR="00D15309">
        <w:rPr>
          <w:rFonts w:ascii="Arial" w:eastAsia="Arial" w:hAnsi="Arial" w:cs="Arial"/>
          <w:spacing w:val="-2"/>
          <w:sz w:val="24"/>
          <w:szCs w:val="24"/>
        </w:rPr>
        <w:t xml:space="preserve"> y</w:t>
      </w:r>
      <w:r w:rsidR="009D4CC4" w:rsidRPr="006877EF">
        <w:rPr>
          <w:rFonts w:ascii="Arial" w:eastAsia="Arial" w:hAnsi="Arial" w:cs="Arial"/>
          <w:spacing w:val="-2"/>
          <w:sz w:val="24"/>
          <w:szCs w:val="24"/>
        </w:rPr>
        <w:t xml:space="preserve"> 201</w:t>
      </w:r>
      <w:r w:rsidR="00EA5AAD">
        <w:rPr>
          <w:rFonts w:ascii="Arial" w:eastAsia="Arial" w:hAnsi="Arial" w:cs="Arial"/>
          <w:spacing w:val="-2"/>
          <w:sz w:val="24"/>
          <w:szCs w:val="24"/>
        </w:rPr>
        <w:t>8</w:t>
      </w:r>
      <w:r w:rsidR="00D15309">
        <w:rPr>
          <w:rFonts w:ascii="Arial" w:eastAsia="Arial" w:hAnsi="Arial" w:cs="Arial"/>
          <w:spacing w:val="-2"/>
          <w:sz w:val="24"/>
          <w:szCs w:val="24"/>
        </w:rPr>
        <w:t>;</w:t>
      </w:r>
      <w:r w:rsidR="00EA5AAD">
        <w:rPr>
          <w:rFonts w:ascii="Arial" w:eastAsia="Arial" w:hAnsi="Arial" w:cs="Arial"/>
          <w:spacing w:val="-2"/>
          <w:sz w:val="24"/>
          <w:szCs w:val="24"/>
        </w:rPr>
        <w:t xml:space="preserve"> las Sociedades f</w:t>
      </w:r>
      <w:r w:rsidR="00EA5AAD" w:rsidRPr="00967568">
        <w:rPr>
          <w:rFonts w:ascii="Arial" w:eastAsia="Arial" w:hAnsi="Arial" w:cs="Arial"/>
          <w:spacing w:val="-2"/>
          <w:sz w:val="24"/>
          <w:szCs w:val="24"/>
        </w:rPr>
        <w:t>inancieras</w:t>
      </w:r>
      <w:r w:rsidR="00EA5AAD">
        <w:rPr>
          <w:rFonts w:ascii="Arial" w:eastAsia="Arial" w:hAnsi="Arial" w:cs="Arial"/>
          <w:spacing w:val="-2"/>
          <w:sz w:val="24"/>
          <w:szCs w:val="24"/>
        </w:rPr>
        <w:t xml:space="preserve"> lo hicieron de 3.6%</w:t>
      </w:r>
      <w:r w:rsidR="00EA5AAD" w:rsidRPr="007346E6">
        <w:rPr>
          <w:rFonts w:ascii="Arial" w:eastAsia="Arial" w:hAnsi="Arial" w:cs="Arial"/>
          <w:spacing w:val="-2"/>
          <w:sz w:val="24"/>
          <w:szCs w:val="24"/>
        </w:rPr>
        <w:t xml:space="preserve"> </w:t>
      </w:r>
      <w:r w:rsidR="00EA5AAD">
        <w:rPr>
          <w:rFonts w:ascii="Arial" w:eastAsia="Arial" w:hAnsi="Arial" w:cs="Arial"/>
          <w:spacing w:val="-2"/>
          <w:sz w:val="24"/>
          <w:szCs w:val="24"/>
        </w:rPr>
        <w:t>a</w:t>
      </w:r>
      <w:r w:rsidR="00EA5AAD" w:rsidRPr="007346E6">
        <w:rPr>
          <w:rFonts w:ascii="Arial" w:eastAsia="Arial" w:hAnsi="Arial" w:cs="Arial"/>
          <w:spacing w:val="-2"/>
          <w:sz w:val="24"/>
          <w:szCs w:val="24"/>
        </w:rPr>
        <w:t xml:space="preserve"> </w:t>
      </w:r>
      <w:r w:rsidR="00D71B0E">
        <w:rPr>
          <w:rFonts w:ascii="Arial" w:eastAsia="Arial" w:hAnsi="Arial" w:cs="Arial"/>
          <w:spacing w:val="-2"/>
          <w:sz w:val="24"/>
          <w:szCs w:val="24"/>
        </w:rPr>
        <w:t>4.3%;</w:t>
      </w:r>
      <w:r w:rsidR="00EA5AAD">
        <w:rPr>
          <w:rFonts w:ascii="Arial" w:eastAsia="Arial" w:hAnsi="Arial" w:cs="Arial"/>
          <w:spacing w:val="-2"/>
          <w:sz w:val="24"/>
          <w:szCs w:val="24"/>
        </w:rPr>
        <w:t xml:space="preserve"> </w:t>
      </w:r>
      <w:r w:rsidR="009D4CC4">
        <w:rPr>
          <w:rFonts w:ascii="Arial" w:eastAsia="Arial" w:hAnsi="Arial" w:cs="Arial"/>
          <w:spacing w:val="-2"/>
          <w:sz w:val="24"/>
          <w:szCs w:val="24"/>
        </w:rPr>
        <w:t xml:space="preserve">en el mismo sentido, aunque en menor medida, </w:t>
      </w:r>
      <w:r w:rsidR="006C7055">
        <w:rPr>
          <w:rFonts w:ascii="Arial" w:eastAsia="Arial" w:hAnsi="Arial" w:cs="Arial"/>
          <w:spacing w:val="-2"/>
          <w:sz w:val="24"/>
          <w:szCs w:val="24"/>
        </w:rPr>
        <w:t xml:space="preserve">fue </w:t>
      </w:r>
      <w:r w:rsidR="009D4CC4">
        <w:rPr>
          <w:rFonts w:ascii="Arial" w:eastAsia="Arial" w:hAnsi="Arial" w:cs="Arial"/>
          <w:spacing w:val="-2"/>
          <w:sz w:val="24"/>
          <w:szCs w:val="24"/>
        </w:rPr>
        <w:t xml:space="preserve">la </w:t>
      </w:r>
      <w:r w:rsidR="009D4CC4" w:rsidRPr="00967568">
        <w:rPr>
          <w:rFonts w:ascii="Arial" w:eastAsia="Arial" w:hAnsi="Arial" w:cs="Arial"/>
          <w:spacing w:val="-2"/>
          <w:sz w:val="24"/>
          <w:szCs w:val="24"/>
        </w:rPr>
        <w:t>aportaci</w:t>
      </w:r>
      <w:r w:rsidR="009D4CC4">
        <w:rPr>
          <w:rFonts w:ascii="Arial" w:eastAsia="Arial" w:hAnsi="Arial" w:cs="Arial"/>
          <w:spacing w:val="-2"/>
          <w:sz w:val="24"/>
          <w:szCs w:val="24"/>
        </w:rPr>
        <w:t>ó</w:t>
      </w:r>
      <w:r w:rsidR="009D4CC4" w:rsidRPr="00967568">
        <w:rPr>
          <w:rFonts w:ascii="Arial" w:eastAsia="Arial" w:hAnsi="Arial" w:cs="Arial"/>
          <w:spacing w:val="-2"/>
          <w:sz w:val="24"/>
          <w:szCs w:val="24"/>
        </w:rPr>
        <w:t xml:space="preserve">n de las </w:t>
      </w:r>
      <w:r w:rsidR="009D4CC4" w:rsidRPr="007346E6">
        <w:rPr>
          <w:rFonts w:ascii="Arial" w:eastAsia="Arial" w:hAnsi="Arial" w:cs="Arial"/>
          <w:spacing w:val="-2"/>
          <w:sz w:val="24"/>
          <w:szCs w:val="24"/>
        </w:rPr>
        <w:t xml:space="preserve">ISFLSH </w:t>
      </w:r>
      <w:r w:rsidR="006C7055">
        <w:rPr>
          <w:rFonts w:ascii="Arial" w:eastAsia="Arial" w:hAnsi="Arial" w:cs="Arial"/>
          <w:spacing w:val="-2"/>
          <w:sz w:val="24"/>
          <w:szCs w:val="24"/>
        </w:rPr>
        <w:t xml:space="preserve">con </w:t>
      </w:r>
      <w:r w:rsidR="00AF6422">
        <w:rPr>
          <w:rFonts w:ascii="Arial" w:eastAsia="Arial" w:hAnsi="Arial" w:cs="Arial"/>
          <w:spacing w:val="-2"/>
          <w:sz w:val="24"/>
          <w:szCs w:val="24"/>
        </w:rPr>
        <w:t>un aumento</w:t>
      </w:r>
      <w:r w:rsidR="009D4CC4">
        <w:rPr>
          <w:rFonts w:ascii="Arial" w:eastAsia="Arial" w:hAnsi="Arial" w:cs="Arial"/>
          <w:spacing w:val="-2"/>
          <w:sz w:val="24"/>
          <w:szCs w:val="24"/>
        </w:rPr>
        <w:t xml:space="preserve"> de 0.</w:t>
      </w:r>
      <w:r w:rsidR="00EA5AAD">
        <w:rPr>
          <w:rFonts w:ascii="Arial" w:eastAsia="Arial" w:hAnsi="Arial" w:cs="Arial"/>
          <w:spacing w:val="-2"/>
          <w:sz w:val="24"/>
          <w:szCs w:val="24"/>
        </w:rPr>
        <w:t>8% a 0.9</w:t>
      </w:r>
      <w:r w:rsidR="009D4CC4">
        <w:rPr>
          <w:rFonts w:ascii="Arial" w:eastAsia="Arial" w:hAnsi="Arial" w:cs="Arial"/>
          <w:spacing w:val="-2"/>
          <w:sz w:val="24"/>
          <w:szCs w:val="24"/>
        </w:rPr>
        <w:t xml:space="preserve"> por ciento.</w:t>
      </w:r>
      <w:r w:rsidR="00431B98" w:rsidRPr="006877EF">
        <w:rPr>
          <w:rFonts w:ascii="Arial" w:eastAsia="Arial" w:hAnsi="Arial" w:cs="Arial"/>
          <w:spacing w:val="-2"/>
          <w:sz w:val="24"/>
          <w:szCs w:val="24"/>
        </w:rPr>
        <w:t xml:space="preserve"> </w:t>
      </w:r>
      <w:r w:rsidR="00D15309">
        <w:rPr>
          <w:rFonts w:ascii="Arial" w:eastAsia="Arial" w:hAnsi="Arial" w:cs="Arial"/>
          <w:spacing w:val="-2"/>
          <w:sz w:val="24"/>
          <w:szCs w:val="24"/>
        </w:rPr>
        <w:t>Por su parte,</w:t>
      </w:r>
      <w:r>
        <w:rPr>
          <w:rFonts w:ascii="Arial" w:eastAsia="Arial" w:hAnsi="Arial" w:cs="Arial"/>
          <w:spacing w:val="-2"/>
          <w:sz w:val="24"/>
          <w:szCs w:val="24"/>
        </w:rPr>
        <w:t xml:space="preserve"> </w:t>
      </w:r>
      <w:r w:rsidR="008661AB" w:rsidRPr="00967568">
        <w:rPr>
          <w:rFonts w:ascii="Arial" w:eastAsia="Arial" w:hAnsi="Arial" w:cs="Arial"/>
          <w:spacing w:val="-2"/>
          <w:sz w:val="24"/>
          <w:szCs w:val="24"/>
        </w:rPr>
        <w:t>los Hogares</w:t>
      </w:r>
      <w:r w:rsidR="008661AB">
        <w:rPr>
          <w:rFonts w:ascii="Arial" w:eastAsia="Arial" w:hAnsi="Arial" w:cs="Arial"/>
          <w:spacing w:val="-2"/>
          <w:sz w:val="24"/>
          <w:szCs w:val="24"/>
        </w:rPr>
        <w:t xml:space="preserve"> mostraron</w:t>
      </w:r>
      <w:r w:rsidR="008661AB" w:rsidRPr="00967568">
        <w:rPr>
          <w:rFonts w:ascii="Arial" w:eastAsia="Arial" w:hAnsi="Arial" w:cs="Arial"/>
          <w:spacing w:val="-2"/>
          <w:sz w:val="24"/>
          <w:szCs w:val="24"/>
        </w:rPr>
        <w:t xml:space="preserve"> un</w:t>
      </w:r>
      <w:r w:rsidR="008661AB">
        <w:rPr>
          <w:rFonts w:ascii="Arial" w:eastAsia="Arial" w:hAnsi="Arial" w:cs="Arial"/>
          <w:spacing w:val="-2"/>
          <w:sz w:val="24"/>
          <w:szCs w:val="24"/>
        </w:rPr>
        <w:t>a</w:t>
      </w:r>
      <w:r w:rsidR="008661AB" w:rsidRPr="00967568">
        <w:rPr>
          <w:rFonts w:ascii="Arial" w:eastAsia="Arial" w:hAnsi="Arial" w:cs="Arial"/>
          <w:spacing w:val="-2"/>
          <w:sz w:val="24"/>
          <w:szCs w:val="24"/>
        </w:rPr>
        <w:t xml:space="preserve"> </w:t>
      </w:r>
      <w:r w:rsidR="008661AB">
        <w:rPr>
          <w:rFonts w:ascii="Arial" w:eastAsia="Arial" w:hAnsi="Arial" w:cs="Arial"/>
          <w:spacing w:val="-2"/>
          <w:sz w:val="24"/>
          <w:szCs w:val="24"/>
        </w:rPr>
        <w:t>disminución</w:t>
      </w:r>
      <w:r w:rsidR="008661AB" w:rsidRPr="00967568">
        <w:rPr>
          <w:rFonts w:ascii="Arial" w:eastAsia="Arial" w:hAnsi="Arial" w:cs="Arial"/>
          <w:spacing w:val="-2"/>
          <w:sz w:val="24"/>
          <w:szCs w:val="24"/>
        </w:rPr>
        <w:t xml:space="preserve"> en</w:t>
      </w:r>
      <w:r w:rsidR="008661AB">
        <w:rPr>
          <w:rFonts w:ascii="Arial" w:eastAsia="Arial" w:hAnsi="Arial" w:cs="Arial"/>
          <w:spacing w:val="-2"/>
          <w:sz w:val="24"/>
          <w:szCs w:val="24"/>
        </w:rPr>
        <w:t xml:space="preserve"> su </w:t>
      </w:r>
      <w:r w:rsidR="00ED49F6">
        <w:rPr>
          <w:rFonts w:ascii="Arial" w:eastAsia="Arial" w:hAnsi="Arial" w:cs="Arial"/>
          <w:spacing w:val="-2"/>
          <w:sz w:val="24"/>
          <w:szCs w:val="24"/>
        </w:rPr>
        <w:t>tasa</w:t>
      </w:r>
      <w:r w:rsidR="008661AB">
        <w:rPr>
          <w:rFonts w:ascii="Arial" w:eastAsia="Arial" w:hAnsi="Arial" w:cs="Arial"/>
          <w:spacing w:val="-2"/>
          <w:sz w:val="24"/>
          <w:szCs w:val="24"/>
        </w:rPr>
        <w:t xml:space="preserve"> de 1</w:t>
      </w:r>
      <w:r w:rsidR="00EA5AAD">
        <w:rPr>
          <w:rFonts w:ascii="Arial" w:eastAsia="Arial" w:hAnsi="Arial" w:cs="Arial"/>
          <w:spacing w:val="-2"/>
          <w:sz w:val="24"/>
          <w:szCs w:val="24"/>
        </w:rPr>
        <w:t>3.3</w:t>
      </w:r>
      <w:r w:rsidR="008661AB" w:rsidRPr="006877EF">
        <w:rPr>
          <w:rFonts w:ascii="Arial" w:eastAsia="Arial" w:hAnsi="Arial" w:cs="Arial"/>
          <w:spacing w:val="-2"/>
          <w:sz w:val="24"/>
          <w:szCs w:val="24"/>
        </w:rPr>
        <w:t xml:space="preserve">% a </w:t>
      </w:r>
      <w:r w:rsidR="008661AB">
        <w:rPr>
          <w:rFonts w:ascii="Arial" w:eastAsia="Arial" w:hAnsi="Arial" w:cs="Arial"/>
          <w:spacing w:val="-2"/>
          <w:sz w:val="24"/>
          <w:szCs w:val="24"/>
        </w:rPr>
        <w:t>1</w:t>
      </w:r>
      <w:r w:rsidR="00EA5AAD">
        <w:rPr>
          <w:rFonts w:ascii="Arial" w:eastAsia="Arial" w:hAnsi="Arial" w:cs="Arial"/>
          <w:spacing w:val="-2"/>
          <w:sz w:val="24"/>
          <w:szCs w:val="24"/>
        </w:rPr>
        <w:t>1.3</w:t>
      </w:r>
      <w:r w:rsidR="008661AB" w:rsidRPr="006877EF">
        <w:rPr>
          <w:rFonts w:ascii="Arial" w:eastAsia="Arial" w:hAnsi="Arial" w:cs="Arial"/>
          <w:spacing w:val="-2"/>
          <w:sz w:val="24"/>
          <w:szCs w:val="24"/>
        </w:rPr>
        <w:t>%</w:t>
      </w:r>
      <w:r w:rsidR="00EA5AAD">
        <w:rPr>
          <w:rFonts w:ascii="Arial" w:eastAsia="Arial" w:hAnsi="Arial" w:cs="Arial"/>
          <w:spacing w:val="-2"/>
          <w:sz w:val="24"/>
          <w:szCs w:val="24"/>
        </w:rPr>
        <w:t xml:space="preserve">, al igual </w:t>
      </w:r>
      <w:r w:rsidR="008661AB">
        <w:rPr>
          <w:rFonts w:ascii="Arial" w:eastAsia="Arial" w:hAnsi="Arial" w:cs="Arial"/>
          <w:spacing w:val="-2"/>
          <w:sz w:val="24"/>
          <w:szCs w:val="24"/>
        </w:rPr>
        <w:t xml:space="preserve">que </w:t>
      </w:r>
      <w:r>
        <w:rPr>
          <w:rFonts w:ascii="Arial" w:eastAsia="Arial" w:hAnsi="Arial" w:cs="Arial"/>
          <w:spacing w:val="-2"/>
          <w:sz w:val="24"/>
          <w:szCs w:val="24"/>
        </w:rPr>
        <w:t>e</w:t>
      </w:r>
      <w:r w:rsidR="00B53349" w:rsidRPr="00967568">
        <w:rPr>
          <w:rFonts w:ascii="Arial" w:eastAsia="Arial" w:hAnsi="Arial" w:cs="Arial"/>
          <w:spacing w:val="-2"/>
          <w:sz w:val="24"/>
          <w:szCs w:val="24"/>
        </w:rPr>
        <w:t xml:space="preserve">l </w:t>
      </w:r>
      <w:r w:rsidR="002A7458" w:rsidRPr="00967568">
        <w:rPr>
          <w:rFonts w:ascii="Arial" w:eastAsia="Arial" w:hAnsi="Arial" w:cs="Arial"/>
          <w:spacing w:val="-2"/>
          <w:sz w:val="24"/>
          <w:szCs w:val="24"/>
        </w:rPr>
        <w:t>Gobierno general</w:t>
      </w:r>
      <w:r>
        <w:rPr>
          <w:rFonts w:ascii="Arial" w:eastAsia="Arial" w:hAnsi="Arial" w:cs="Arial"/>
          <w:spacing w:val="-2"/>
          <w:sz w:val="24"/>
          <w:szCs w:val="24"/>
        </w:rPr>
        <w:t xml:space="preserve"> </w:t>
      </w:r>
      <w:r w:rsidR="008661AB">
        <w:rPr>
          <w:rFonts w:ascii="Arial" w:eastAsia="Arial" w:hAnsi="Arial" w:cs="Arial"/>
          <w:spacing w:val="-2"/>
          <w:sz w:val="24"/>
          <w:szCs w:val="24"/>
        </w:rPr>
        <w:t>que</w:t>
      </w:r>
      <w:r w:rsidR="007346E6">
        <w:rPr>
          <w:rFonts w:ascii="Arial" w:eastAsia="Arial" w:hAnsi="Arial" w:cs="Arial"/>
          <w:spacing w:val="-2"/>
          <w:sz w:val="24"/>
          <w:szCs w:val="24"/>
        </w:rPr>
        <w:t xml:space="preserve"> </w:t>
      </w:r>
      <w:r w:rsidR="00374729">
        <w:rPr>
          <w:rFonts w:ascii="Arial" w:eastAsia="Arial" w:hAnsi="Arial" w:cs="Arial"/>
          <w:spacing w:val="-2"/>
          <w:sz w:val="24"/>
          <w:szCs w:val="24"/>
        </w:rPr>
        <w:t>pasó</w:t>
      </w:r>
      <w:r w:rsidR="00005B5E">
        <w:rPr>
          <w:rFonts w:ascii="Arial" w:eastAsia="Arial" w:hAnsi="Arial" w:cs="Arial"/>
          <w:spacing w:val="-2"/>
          <w:sz w:val="24"/>
          <w:szCs w:val="24"/>
        </w:rPr>
        <w:t xml:space="preserve"> </w:t>
      </w:r>
      <w:r w:rsidR="00EA4260" w:rsidRPr="00967568">
        <w:rPr>
          <w:rFonts w:ascii="Arial" w:eastAsia="Arial" w:hAnsi="Arial" w:cs="Arial"/>
          <w:spacing w:val="-2"/>
          <w:sz w:val="24"/>
          <w:szCs w:val="24"/>
        </w:rPr>
        <w:t xml:space="preserve">de </w:t>
      </w:r>
      <w:r w:rsidR="00DD1026" w:rsidRPr="006877EF">
        <w:rPr>
          <w:rFonts w:ascii="Arial" w:eastAsia="Arial" w:hAnsi="Arial" w:cs="Arial"/>
          <w:spacing w:val="-2"/>
          <w:sz w:val="24"/>
          <w:szCs w:val="24"/>
        </w:rPr>
        <w:t>(</w:t>
      </w:r>
      <w:r w:rsidR="00CB07F9">
        <w:rPr>
          <w:rFonts w:ascii="Arial" w:eastAsia="Arial" w:hAnsi="Arial" w:cs="Arial"/>
          <w:spacing w:val="-2"/>
          <w:sz w:val="24"/>
          <w:szCs w:val="24"/>
        </w:rPr>
        <w:noBreakHyphen/>
      </w:r>
      <w:r w:rsidR="00DD1026" w:rsidRPr="006877EF">
        <w:rPr>
          <w:rFonts w:ascii="Arial" w:eastAsia="Arial" w:hAnsi="Arial" w:cs="Arial"/>
          <w:spacing w:val="-2"/>
          <w:sz w:val="24"/>
          <w:szCs w:val="24"/>
        </w:rPr>
        <w:t>)</w:t>
      </w:r>
      <w:r w:rsidR="00EA5AAD">
        <w:rPr>
          <w:rFonts w:ascii="Arial" w:eastAsia="Arial" w:hAnsi="Arial" w:cs="Arial"/>
          <w:spacing w:val="-2"/>
          <w:sz w:val="24"/>
          <w:szCs w:val="24"/>
        </w:rPr>
        <w:t>0.7</w:t>
      </w:r>
      <w:r w:rsidR="00EA4260" w:rsidRPr="006877EF">
        <w:rPr>
          <w:rFonts w:ascii="Arial" w:eastAsia="Arial" w:hAnsi="Arial" w:cs="Arial"/>
          <w:spacing w:val="-2"/>
          <w:sz w:val="24"/>
          <w:szCs w:val="24"/>
        </w:rPr>
        <w:t xml:space="preserve">% a </w:t>
      </w:r>
      <w:r w:rsidR="00547C41" w:rsidRPr="006877EF">
        <w:rPr>
          <w:rFonts w:ascii="Arial" w:eastAsia="Arial" w:hAnsi="Arial" w:cs="Arial"/>
          <w:spacing w:val="-2"/>
          <w:sz w:val="24"/>
          <w:szCs w:val="24"/>
        </w:rPr>
        <w:t>(</w:t>
      </w:r>
      <w:r w:rsidR="00547C41" w:rsidRPr="006877EF">
        <w:rPr>
          <w:rFonts w:ascii="Arial" w:eastAsia="Arial" w:hAnsi="Arial" w:cs="Arial"/>
          <w:spacing w:val="-2"/>
          <w:sz w:val="24"/>
          <w:szCs w:val="24"/>
        </w:rPr>
        <w:noBreakHyphen/>
        <w:t>)</w:t>
      </w:r>
      <w:r w:rsidR="00EA5AAD">
        <w:rPr>
          <w:rFonts w:ascii="Arial" w:eastAsia="Arial" w:hAnsi="Arial" w:cs="Arial"/>
          <w:spacing w:val="-2"/>
          <w:sz w:val="24"/>
          <w:szCs w:val="24"/>
        </w:rPr>
        <w:t>2.3</w:t>
      </w:r>
      <w:r w:rsidR="00EA4260" w:rsidRPr="006877EF">
        <w:rPr>
          <w:rFonts w:ascii="Arial" w:eastAsia="Arial" w:hAnsi="Arial" w:cs="Arial"/>
          <w:spacing w:val="-2"/>
          <w:sz w:val="24"/>
          <w:szCs w:val="24"/>
        </w:rPr>
        <w:t>%</w:t>
      </w:r>
      <w:r w:rsidR="009D4CC4">
        <w:rPr>
          <w:rFonts w:ascii="Arial" w:eastAsia="Arial" w:hAnsi="Arial" w:cs="Arial"/>
          <w:spacing w:val="-2"/>
          <w:sz w:val="24"/>
          <w:szCs w:val="24"/>
        </w:rPr>
        <w:t xml:space="preserve"> </w:t>
      </w:r>
      <w:r w:rsidR="00470D5D" w:rsidRPr="007346E6">
        <w:rPr>
          <w:rFonts w:ascii="Arial" w:eastAsia="Arial" w:hAnsi="Arial" w:cs="Arial"/>
          <w:spacing w:val="-2"/>
          <w:sz w:val="24"/>
          <w:szCs w:val="24"/>
        </w:rPr>
        <w:t xml:space="preserve">en el </w:t>
      </w:r>
      <w:r w:rsidR="00470D5D">
        <w:rPr>
          <w:rFonts w:ascii="Arial" w:eastAsia="Arial" w:hAnsi="Arial" w:cs="Arial"/>
          <w:spacing w:val="-2"/>
          <w:sz w:val="24"/>
          <w:szCs w:val="24"/>
        </w:rPr>
        <w:t>periodo de estudio</w:t>
      </w:r>
      <w:r w:rsidR="003037CC">
        <w:rPr>
          <w:rFonts w:ascii="Arial" w:eastAsia="Arial" w:hAnsi="Arial" w:cs="Arial"/>
          <w:spacing w:val="-2"/>
          <w:sz w:val="24"/>
          <w:szCs w:val="24"/>
        </w:rPr>
        <w:t>.</w:t>
      </w:r>
    </w:p>
    <w:p w14:paraId="684621E1" w14:textId="77777777" w:rsidR="00025F8C" w:rsidRDefault="00025F8C">
      <w:pPr>
        <w:rPr>
          <w:rFonts w:ascii="Arial" w:eastAsia="Calibri" w:hAnsi="Arial" w:cs="Arial"/>
          <w:b/>
          <w:sz w:val="24"/>
          <w:szCs w:val="28"/>
        </w:rPr>
      </w:pPr>
      <w:r>
        <w:rPr>
          <w:rFonts w:ascii="Arial" w:eastAsia="Calibri" w:hAnsi="Arial" w:cs="Arial"/>
          <w:b/>
          <w:sz w:val="24"/>
          <w:szCs w:val="28"/>
        </w:rPr>
        <w:br w:type="page"/>
      </w:r>
    </w:p>
    <w:p w14:paraId="658EA3C8" w14:textId="77777777" w:rsidR="00EF117C" w:rsidRPr="00967568" w:rsidRDefault="001401A0" w:rsidP="00D15309">
      <w:pPr>
        <w:widowControl/>
        <w:spacing w:before="360" w:line="240" w:lineRule="auto"/>
        <w:jc w:val="both"/>
        <w:rPr>
          <w:rFonts w:ascii="Arial" w:eastAsia="Arial" w:hAnsi="Arial" w:cs="Arial"/>
          <w:b/>
          <w:bCs/>
          <w:spacing w:val="-2"/>
          <w:sz w:val="24"/>
          <w:szCs w:val="24"/>
        </w:rPr>
      </w:pPr>
      <w:r>
        <w:rPr>
          <w:rFonts w:ascii="Arial" w:eastAsia="Calibri" w:hAnsi="Arial" w:cs="Arial"/>
          <w:b/>
          <w:sz w:val="24"/>
          <w:szCs w:val="28"/>
        </w:rPr>
        <w:lastRenderedPageBreak/>
        <w:t>Financiamiento de los Activos no Financieros</w:t>
      </w:r>
    </w:p>
    <w:p w14:paraId="2C2E10D7" w14:textId="77777777" w:rsidR="00CC4F8B" w:rsidRPr="00967568" w:rsidRDefault="00EA4260" w:rsidP="00B13436">
      <w:pPr>
        <w:tabs>
          <w:tab w:val="left" w:pos="4536"/>
        </w:tabs>
        <w:spacing w:before="480" w:after="0" w:line="246" w:lineRule="auto"/>
        <w:jc w:val="both"/>
        <w:rPr>
          <w:rFonts w:ascii="Arial" w:eastAsia="Arial" w:hAnsi="Arial" w:cs="Arial"/>
          <w:sz w:val="24"/>
          <w:szCs w:val="24"/>
        </w:rPr>
      </w:pPr>
      <w:r w:rsidRPr="002D3841">
        <w:rPr>
          <w:rFonts w:ascii="Arial" w:eastAsia="Arial" w:hAnsi="Arial" w:cs="Arial"/>
          <w:sz w:val="24"/>
          <w:szCs w:val="24"/>
        </w:rPr>
        <w:t xml:space="preserve">En </w:t>
      </w:r>
      <w:r w:rsidR="00BE2548" w:rsidRPr="002D3841">
        <w:rPr>
          <w:rFonts w:ascii="Arial" w:eastAsia="Arial" w:hAnsi="Arial" w:cs="Arial"/>
          <w:sz w:val="24"/>
          <w:szCs w:val="24"/>
        </w:rPr>
        <w:t>201</w:t>
      </w:r>
      <w:r w:rsidR="00AA26F2">
        <w:rPr>
          <w:rFonts w:ascii="Arial" w:eastAsia="Arial" w:hAnsi="Arial" w:cs="Arial"/>
          <w:sz w:val="24"/>
          <w:szCs w:val="24"/>
        </w:rPr>
        <w:t>8</w:t>
      </w:r>
      <w:r w:rsidR="00C31A31" w:rsidRPr="002D3841">
        <w:rPr>
          <w:rFonts w:ascii="Arial" w:eastAsia="Arial" w:hAnsi="Arial" w:cs="Arial"/>
          <w:sz w:val="24"/>
          <w:szCs w:val="24"/>
        </w:rPr>
        <w:t>, las Sociedades no f</w:t>
      </w:r>
      <w:r w:rsidRPr="002D3841">
        <w:rPr>
          <w:rFonts w:ascii="Arial" w:eastAsia="Arial" w:hAnsi="Arial" w:cs="Arial"/>
          <w:sz w:val="24"/>
          <w:szCs w:val="24"/>
        </w:rPr>
        <w:t xml:space="preserve">inancieras realizaron gastos en </w:t>
      </w:r>
      <w:r w:rsidR="001401A0">
        <w:rPr>
          <w:rFonts w:ascii="Arial" w:eastAsia="Arial" w:hAnsi="Arial" w:cs="Arial"/>
          <w:sz w:val="24"/>
          <w:szCs w:val="24"/>
        </w:rPr>
        <w:t>activos no financieros</w:t>
      </w:r>
      <w:r w:rsidRPr="002D3841">
        <w:rPr>
          <w:rFonts w:ascii="Arial" w:eastAsia="Arial" w:hAnsi="Arial" w:cs="Arial"/>
          <w:sz w:val="24"/>
          <w:szCs w:val="24"/>
        </w:rPr>
        <w:t xml:space="preserve"> equivalentes al </w:t>
      </w:r>
      <w:r w:rsidR="00AF6422">
        <w:rPr>
          <w:rFonts w:ascii="Arial" w:eastAsia="Arial" w:hAnsi="Arial" w:cs="Arial"/>
          <w:sz w:val="24"/>
          <w:szCs w:val="24"/>
        </w:rPr>
        <w:t>1</w:t>
      </w:r>
      <w:r w:rsidR="001401A0">
        <w:rPr>
          <w:rFonts w:ascii="Arial" w:eastAsia="Arial" w:hAnsi="Arial" w:cs="Arial"/>
          <w:sz w:val="24"/>
          <w:szCs w:val="24"/>
        </w:rPr>
        <w:t>7</w:t>
      </w:r>
      <w:r w:rsidRPr="002D3841">
        <w:rPr>
          <w:rFonts w:ascii="Arial" w:eastAsia="Arial" w:hAnsi="Arial" w:cs="Arial"/>
          <w:sz w:val="24"/>
          <w:szCs w:val="24"/>
        </w:rPr>
        <w:t xml:space="preserve">% del </w:t>
      </w:r>
      <w:r w:rsidRPr="00967568">
        <w:rPr>
          <w:rFonts w:ascii="Arial" w:eastAsia="Arial" w:hAnsi="Arial" w:cs="Arial"/>
          <w:sz w:val="24"/>
          <w:szCs w:val="24"/>
        </w:rPr>
        <w:t xml:space="preserve">PIB, los cuales fueron financiados por el ahorro bruto y </w:t>
      </w:r>
      <w:r w:rsidRPr="002D3841">
        <w:rPr>
          <w:rFonts w:ascii="Arial" w:eastAsia="Arial" w:hAnsi="Arial" w:cs="Arial"/>
          <w:sz w:val="24"/>
          <w:szCs w:val="24"/>
        </w:rPr>
        <w:t>las transferencias netas de capital, representando ambos</w:t>
      </w:r>
      <w:r w:rsidR="00DE161D" w:rsidRPr="002D3841">
        <w:rPr>
          <w:rFonts w:ascii="Arial" w:eastAsia="Arial" w:hAnsi="Arial" w:cs="Arial"/>
          <w:sz w:val="24"/>
          <w:szCs w:val="24"/>
        </w:rPr>
        <w:t xml:space="preserve"> el </w:t>
      </w:r>
      <w:r w:rsidR="0042161E">
        <w:rPr>
          <w:rFonts w:ascii="Arial" w:eastAsia="Arial" w:hAnsi="Arial" w:cs="Arial"/>
          <w:sz w:val="24"/>
          <w:szCs w:val="24"/>
        </w:rPr>
        <w:t>9.7</w:t>
      </w:r>
      <w:r w:rsidRPr="002D3841">
        <w:rPr>
          <w:rFonts w:ascii="Arial" w:eastAsia="Arial" w:hAnsi="Arial" w:cs="Arial"/>
          <w:sz w:val="24"/>
          <w:szCs w:val="24"/>
        </w:rPr>
        <w:t>% del PIB</w:t>
      </w:r>
      <w:r w:rsidRPr="00967568">
        <w:rPr>
          <w:rFonts w:ascii="Arial" w:eastAsia="Arial" w:hAnsi="Arial" w:cs="Arial"/>
          <w:sz w:val="24"/>
          <w:szCs w:val="24"/>
        </w:rPr>
        <w:t xml:space="preserve">. Para cerrar la brecha entre los “recursos totales” de </w:t>
      </w:r>
      <w:r w:rsidR="00991232">
        <w:rPr>
          <w:rFonts w:ascii="Arial" w:eastAsia="Arial" w:hAnsi="Arial" w:cs="Arial"/>
          <w:sz w:val="24"/>
          <w:szCs w:val="24"/>
        </w:rPr>
        <w:t>este</w:t>
      </w:r>
      <w:r w:rsidRPr="00967568">
        <w:rPr>
          <w:rFonts w:ascii="Arial" w:eastAsia="Arial" w:hAnsi="Arial" w:cs="Arial"/>
          <w:sz w:val="24"/>
          <w:szCs w:val="24"/>
        </w:rPr>
        <w:t xml:space="preserve"> sector y sus gastos en </w:t>
      </w:r>
      <w:r w:rsidR="001401A0">
        <w:rPr>
          <w:rFonts w:ascii="Arial" w:eastAsia="Arial" w:hAnsi="Arial" w:cs="Arial"/>
          <w:sz w:val="24"/>
          <w:szCs w:val="24"/>
        </w:rPr>
        <w:t>activos no financieros</w:t>
      </w:r>
      <w:r w:rsidR="00991232">
        <w:rPr>
          <w:rFonts w:ascii="Arial" w:eastAsia="Arial" w:hAnsi="Arial" w:cs="Arial"/>
          <w:sz w:val="24"/>
          <w:szCs w:val="24"/>
        </w:rPr>
        <w:t>,</w:t>
      </w:r>
      <w:r w:rsidRPr="00967568">
        <w:rPr>
          <w:rFonts w:ascii="Arial" w:eastAsia="Arial" w:hAnsi="Arial" w:cs="Arial"/>
          <w:sz w:val="24"/>
          <w:szCs w:val="24"/>
        </w:rPr>
        <w:t xml:space="preserve"> </w:t>
      </w:r>
      <w:r w:rsidR="001401A0" w:rsidRPr="00991232">
        <w:rPr>
          <w:rFonts w:ascii="Arial" w:eastAsia="Arial" w:hAnsi="Arial" w:cs="Arial"/>
          <w:sz w:val="24"/>
          <w:szCs w:val="24"/>
        </w:rPr>
        <w:t>dichas</w:t>
      </w:r>
      <w:r w:rsidR="001401A0">
        <w:rPr>
          <w:rFonts w:ascii="Arial" w:eastAsia="Arial" w:hAnsi="Arial" w:cs="Arial"/>
          <w:sz w:val="24"/>
          <w:szCs w:val="24"/>
        </w:rPr>
        <w:t xml:space="preserve"> </w:t>
      </w:r>
      <w:r w:rsidR="00C82B88" w:rsidRPr="00967568">
        <w:rPr>
          <w:rFonts w:ascii="Arial" w:eastAsia="Arial" w:hAnsi="Arial" w:cs="Arial"/>
          <w:sz w:val="24"/>
          <w:szCs w:val="24"/>
        </w:rPr>
        <w:t>S</w:t>
      </w:r>
      <w:r w:rsidR="00C31A31">
        <w:rPr>
          <w:rFonts w:ascii="Arial" w:eastAsia="Arial" w:hAnsi="Arial" w:cs="Arial"/>
          <w:sz w:val="24"/>
          <w:szCs w:val="24"/>
        </w:rPr>
        <w:t>ociedades</w:t>
      </w:r>
      <w:r w:rsidRPr="00967568">
        <w:rPr>
          <w:rFonts w:ascii="Arial" w:eastAsia="Arial" w:hAnsi="Arial" w:cs="Arial"/>
          <w:sz w:val="24"/>
          <w:szCs w:val="24"/>
        </w:rPr>
        <w:t xml:space="preserve"> incurrie</w:t>
      </w:r>
      <w:r w:rsidR="00292046">
        <w:rPr>
          <w:rFonts w:ascii="Arial" w:eastAsia="Arial" w:hAnsi="Arial" w:cs="Arial"/>
          <w:sz w:val="24"/>
          <w:szCs w:val="24"/>
        </w:rPr>
        <w:t xml:space="preserve">ron en un endeudamiento neto de </w:t>
      </w:r>
      <w:r w:rsidR="008C4BD9">
        <w:rPr>
          <w:rFonts w:ascii="Arial" w:eastAsia="Arial" w:hAnsi="Arial" w:cs="Arial"/>
          <w:sz w:val="24"/>
          <w:szCs w:val="24"/>
        </w:rPr>
        <w:t>7.3</w:t>
      </w:r>
      <w:r w:rsidRPr="002D3841">
        <w:rPr>
          <w:rFonts w:ascii="Arial" w:eastAsia="Arial" w:hAnsi="Arial" w:cs="Arial"/>
          <w:sz w:val="24"/>
          <w:szCs w:val="24"/>
        </w:rPr>
        <w:t xml:space="preserve">% </w:t>
      </w:r>
      <w:r w:rsidRPr="00967568">
        <w:rPr>
          <w:rFonts w:ascii="Arial" w:eastAsia="Arial" w:hAnsi="Arial" w:cs="Arial"/>
          <w:sz w:val="24"/>
          <w:szCs w:val="24"/>
        </w:rPr>
        <w:t xml:space="preserve">del PIB, </w:t>
      </w:r>
      <w:r w:rsidR="00A7154D">
        <w:rPr>
          <w:rFonts w:ascii="Arial" w:eastAsia="Arial" w:hAnsi="Arial" w:cs="Arial"/>
          <w:sz w:val="24"/>
          <w:szCs w:val="24"/>
        </w:rPr>
        <w:t>que resultó de l</w:t>
      </w:r>
      <w:r w:rsidRPr="009B05D6">
        <w:rPr>
          <w:rFonts w:ascii="Arial" w:eastAsia="Arial" w:hAnsi="Arial" w:cs="Arial"/>
          <w:sz w:val="24"/>
          <w:szCs w:val="24"/>
        </w:rPr>
        <w:t xml:space="preserve">a </w:t>
      </w:r>
      <w:r w:rsidR="00A7154D">
        <w:rPr>
          <w:rFonts w:ascii="Arial" w:eastAsia="Arial" w:hAnsi="Arial" w:cs="Arial"/>
          <w:sz w:val="24"/>
          <w:szCs w:val="24"/>
        </w:rPr>
        <w:t xml:space="preserve">adquisición </w:t>
      </w:r>
      <w:r w:rsidRPr="009B05D6">
        <w:rPr>
          <w:rFonts w:ascii="Arial" w:eastAsia="Arial" w:hAnsi="Arial" w:cs="Arial"/>
          <w:sz w:val="24"/>
          <w:szCs w:val="24"/>
        </w:rPr>
        <w:t xml:space="preserve">de activos financieros </w:t>
      </w:r>
      <w:r w:rsidRPr="002D3841">
        <w:rPr>
          <w:rFonts w:ascii="Arial" w:eastAsia="Arial" w:hAnsi="Arial" w:cs="Arial"/>
          <w:sz w:val="24"/>
          <w:szCs w:val="24"/>
        </w:rPr>
        <w:t xml:space="preserve">por </w:t>
      </w:r>
      <w:r w:rsidR="008C4BD9">
        <w:rPr>
          <w:rFonts w:ascii="Arial" w:eastAsia="Arial" w:hAnsi="Arial" w:cs="Arial"/>
          <w:sz w:val="24"/>
          <w:szCs w:val="24"/>
        </w:rPr>
        <w:t>1</w:t>
      </w:r>
      <w:r w:rsidR="00FA2967">
        <w:rPr>
          <w:rFonts w:ascii="Arial" w:eastAsia="Arial" w:hAnsi="Arial" w:cs="Arial"/>
          <w:sz w:val="24"/>
          <w:szCs w:val="24"/>
        </w:rPr>
        <w:t>.6</w:t>
      </w:r>
      <w:r w:rsidRPr="002D3841">
        <w:rPr>
          <w:rFonts w:ascii="Arial" w:eastAsia="Arial" w:hAnsi="Arial" w:cs="Arial"/>
          <w:sz w:val="24"/>
          <w:szCs w:val="24"/>
        </w:rPr>
        <w:t xml:space="preserve">% </w:t>
      </w:r>
      <w:r w:rsidRPr="009B05D6">
        <w:rPr>
          <w:rFonts w:ascii="Arial" w:eastAsia="Arial" w:hAnsi="Arial" w:cs="Arial"/>
          <w:sz w:val="24"/>
          <w:szCs w:val="24"/>
        </w:rPr>
        <w:t xml:space="preserve">y una emisión neta de pasivos de </w:t>
      </w:r>
      <w:r w:rsidR="008C4BD9">
        <w:rPr>
          <w:rFonts w:ascii="Arial" w:eastAsia="Arial" w:hAnsi="Arial" w:cs="Arial"/>
          <w:sz w:val="24"/>
          <w:szCs w:val="24"/>
        </w:rPr>
        <w:t>8.9</w:t>
      </w:r>
      <w:r w:rsidRPr="002D3841">
        <w:rPr>
          <w:rFonts w:ascii="Arial" w:eastAsia="Arial" w:hAnsi="Arial" w:cs="Arial"/>
          <w:sz w:val="24"/>
          <w:szCs w:val="24"/>
        </w:rPr>
        <w:t xml:space="preserve"> por ciento</w:t>
      </w:r>
      <w:r w:rsidRPr="009B05D6">
        <w:rPr>
          <w:rFonts w:ascii="Arial" w:eastAsia="Arial" w:hAnsi="Arial" w:cs="Arial"/>
          <w:sz w:val="24"/>
          <w:szCs w:val="24"/>
        </w:rPr>
        <w:t>.</w:t>
      </w:r>
      <w:r w:rsidR="00EF117C">
        <w:rPr>
          <w:rFonts w:ascii="Arial" w:eastAsia="Arial" w:hAnsi="Arial" w:cs="Arial"/>
          <w:sz w:val="24"/>
          <w:szCs w:val="24"/>
        </w:rPr>
        <w:t xml:space="preserve"> En cambio, los Hogares llevaron a cabo gastos en </w:t>
      </w:r>
      <w:r w:rsidR="001401A0">
        <w:rPr>
          <w:rFonts w:ascii="Arial" w:eastAsia="Arial" w:hAnsi="Arial" w:cs="Arial"/>
          <w:sz w:val="24"/>
          <w:szCs w:val="24"/>
        </w:rPr>
        <w:t>activos no financieros</w:t>
      </w:r>
      <w:r w:rsidR="00EF117C">
        <w:rPr>
          <w:rFonts w:ascii="Arial" w:eastAsia="Arial" w:hAnsi="Arial" w:cs="Arial"/>
          <w:sz w:val="24"/>
          <w:szCs w:val="24"/>
        </w:rPr>
        <w:t xml:space="preserve"> menores a sus recursos disponibles en un monto equivale</w:t>
      </w:r>
      <w:r w:rsidR="00292046">
        <w:rPr>
          <w:rFonts w:ascii="Arial" w:eastAsia="Arial" w:hAnsi="Arial" w:cs="Arial"/>
          <w:sz w:val="24"/>
          <w:szCs w:val="24"/>
        </w:rPr>
        <w:t xml:space="preserve">nte </w:t>
      </w:r>
      <w:r w:rsidR="00FA2967">
        <w:rPr>
          <w:rFonts w:ascii="Arial" w:eastAsia="Arial" w:hAnsi="Arial" w:cs="Arial"/>
          <w:sz w:val="24"/>
          <w:szCs w:val="24"/>
        </w:rPr>
        <w:t xml:space="preserve">al </w:t>
      </w:r>
      <w:r w:rsidR="008C4BD9">
        <w:rPr>
          <w:rFonts w:ascii="Arial" w:eastAsia="Arial" w:hAnsi="Arial" w:cs="Arial"/>
          <w:sz w:val="24"/>
          <w:szCs w:val="24"/>
        </w:rPr>
        <w:t>5.1</w:t>
      </w:r>
      <w:r w:rsidR="004446AC" w:rsidRPr="00C51DEF">
        <w:rPr>
          <w:rFonts w:ascii="Arial" w:eastAsia="Arial" w:hAnsi="Arial" w:cs="Arial"/>
          <w:sz w:val="24"/>
          <w:szCs w:val="24"/>
        </w:rPr>
        <w:t xml:space="preserve">% del </w:t>
      </w:r>
      <w:r w:rsidR="004446AC">
        <w:rPr>
          <w:rFonts w:ascii="Arial" w:eastAsia="Arial" w:hAnsi="Arial" w:cs="Arial"/>
          <w:sz w:val="24"/>
          <w:szCs w:val="24"/>
        </w:rPr>
        <w:t>PIB, constituyé</w:t>
      </w:r>
      <w:r w:rsidR="00EF117C">
        <w:rPr>
          <w:rFonts w:ascii="Arial" w:eastAsia="Arial" w:hAnsi="Arial" w:cs="Arial"/>
          <w:sz w:val="24"/>
          <w:szCs w:val="24"/>
        </w:rPr>
        <w:t>ndo</w:t>
      </w:r>
      <w:r w:rsidR="004446AC">
        <w:rPr>
          <w:rFonts w:ascii="Arial" w:eastAsia="Arial" w:hAnsi="Arial" w:cs="Arial"/>
          <w:sz w:val="24"/>
          <w:szCs w:val="24"/>
        </w:rPr>
        <w:t>se</w:t>
      </w:r>
      <w:r w:rsidR="00EF117C">
        <w:rPr>
          <w:rFonts w:ascii="Arial" w:eastAsia="Arial" w:hAnsi="Arial" w:cs="Arial"/>
          <w:sz w:val="24"/>
          <w:szCs w:val="24"/>
        </w:rPr>
        <w:t xml:space="preserve"> en un prestamista net</w:t>
      </w:r>
      <w:r w:rsidR="001401A0">
        <w:rPr>
          <w:rFonts w:ascii="Arial" w:eastAsia="Arial" w:hAnsi="Arial" w:cs="Arial"/>
          <w:sz w:val="24"/>
          <w:szCs w:val="24"/>
        </w:rPr>
        <w:t>o para los demás sectores (véase cuadro siguiente).</w:t>
      </w:r>
    </w:p>
    <w:p w14:paraId="7E48D222" w14:textId="3685EF05" w:rsidR="001C1916" w:rsidRPr="00967568" w:rsidRDefault="0064647D" w:rsidP="00B13436">
      <w:pPr>
        <w:spacing w:before="480" w:after="0" w:line="247" w:lineRule="auto"/>
        <w:ind w:left="-567" w:right="-252"/>
        <w:jc w:val="center"/>
        <w:rPr>
          <w:rFonts w:ascii="Arial" w:eastAsia="Arial" w:hAnsi="Arial" w:cs="Arial"/>
          <w:spacing w:val="-2"/>
          <w:sz w:val="24"/>
          <w:szCs w:val="24"/>
        </w:rPr>
      </w:pPr>
      <w:r>
        <w:rPr>
          <w:rFonts w:ascii="Arial" w:eastAsia="Arial" w:hAnsi="Arial" w:cs="Arial"/>
          <w:spacing w:val="-2"/>
          <w:sz w:val="24"/>
          <w:szCs w:val="24"/>
        </w:rPr>
        <w:t xml:space="preserve">Cuadro </w:t>
      </w:r>
      <w:r w:rsidR="00AC401C">
        <w:rPr>
          <w:rFonts w:ascii="Arial" w:eastAsia="Arial" w:hAnsi="Arial" w:cs="Arial"/>
          <w:spacing w:val="-2"/>
          <w:sz w:val="24"/>
          <w:szCs w:val="24"/>
        </w:rPr>
        <w:t>3</w:t>
      </w:r>
    </w:p>
    <w:p w14:paraId="4AB24DE0" w14:textId="77777777" w:rsidR="001C1916" w:rsidRPr="00BD67E1" w:rsidRDefault="00991232" w:rsidP="00AA26F2">
      <w:pPr>
        <w:pStyle w:val="p0"/>
        <w:spacing w:before="0"/>
        <w:ind w:left="-567" w:right="-252" w:firstLine="0"/>
        <w:jc w:val="center"/>
        <w:rPr>
          <w:b/>
          <w:smallCaps/>
          <w:color w:val="auto"/>
        </w:rPr>
      </w:pPr>
      <w:r>
        <w:rPr>
          <w:b/>
          <w:smallCaps/>
          <w:color w:val="auto"/>
        </w:rPr>
        <w:t xml:space="preserve">Financiamiento de los Activos no Financieros </w:t>
      </w:r>
      <w:r w:rsidR="00DA5907">
        <w:rPr>
          <w:b/>
          <w:smallCaps/>
          <w:color w:val="auto"/>
        </w:rPr>
        <w:t>por Sector I</w:t>
      </w:r>
      <w:r w:rsidR="00547C41" w:rsidRPr="00BD67E1">
        <w:rPr>
          <w:b/>
          <w:smallCaps/>
          <w:color w:val="auto"/>
        </w:rPr>
        <w:t>nstitucional,</w:t>
      </w:r>
      <w:r w:rsidR="001C1916" w:rsidRPr="00BD67E1">
        <w:rPr>
          <w:b/>
          <w:smallCaps/>
          <w:color w:val="auto"/>
        </w:rPr>
        <w:t xml:space="preserve"> </w:t>
      </w:r>
      <w:r w:rsidR="00AA26F2">
        <w:rPr>
          <w:b/>
          <w:smallCaps/>
          <w:color w:val="auto"/>
        </w:rPr>
        <w:t>2018</w:t>
      </w:r>
    </w:p>
    <w:p w14:paraId="35625707" w14:textId="77777777" w:rsidR="001C1916" w:rsidRDefault="001C1916" w:rsidP="00AA26F2">
      <w:pPr>
        <w:pStyle w:val="p0"/>
        <w:spacing w:before="0"/>
        <w:ind w:left="-567" w:right="-252" w:firstLine="0"/>
        <w:jc w:val="center"/>
        <w:rPr>
          <w:color w:val="auto"/>
          <w:sz w:val="18"/>
        </w:rPr>
      </w:pPr>
      <w:r w:rsidRPr="00C242EA">
        <w:rPr>
          <w:color w:val="auto"/>
          <w:sz w:val="18"/>
        </w:rPr>
        <w:t>(Participación porcentual respecto al PIB)</w:t>
      </w:r>
    </w:p>
    <w:tbl>
      <w:tblPr>
        <w:tblW w:w="10301" w:type="dxa"/>
        <w:tblInd w:w="-714" w:type="dxa"/>
        <w:tblBorders>
          <w:top w:val="single" w:sz="4" w:space="0" w:color="000000"/>
          <w:left w:val="single" w:sz="4" w:space="0" w:color="000000"/>
          <w:bottom w:val="single" w:sz="4" w:space="0" w:color="000000"/>
          <w:right w:val="single" w:sz="4" w:space="0" w:color="000000"/>
          <w:insideV w:val="single" w:sz="4" w:space="0" w:color="000000"/>
        </w:tblBorders>
        <w:tblLayout w:type="fixed"/>
        <w:tblLook w:val="04A0" w:firstRow="1" w:lastRow="0" w:firstColumn="1" w:lastColumn="0" w:noHBand="0" w:noVBand="1"/>
      </w:tblPr>
      <w:tblGrid>
        <w:gridCol w:w="1134"/>
        <w:gridCol w:w="1560"/>
        <w:gridCol w:w="1021"/>
        <w:gridCol w:w="992"/>
        <w:gridCol w:w="992"/>
        <w:gridCol w:w="851"/>
        <w:gridCol w:w="850"/>
        <w:gridCol w:w="1229"/>
        <w:gridCol w:w="821"/>
        <w:gridCol w:w="851"/>
      </w:tblGrid>
      <w:tr w:rsidR="001C1916" w:rsidRPr="00E60BDB" w14:paraId="1DCA0C77" w14:textId="77777777" w:rsidTr="00524FDB">
        <w:tc>
          <w:tcPr>
            <w:tcW w:w="1134" w:type="dxa"/>
            <w:tcBorders>
              <w:top w:val="single" w:sz="4" w:space="0" w:color="auto"/>
              <w:left w:val="single" w:sz="4" w:space="0" w:color="auto"/>
              <w:bottom w:val="single" w:sz="4" w:space="0" w:color="000000"/>
            </w:tcBorders>
            <w:shd w:val="clear" w:color="auto" w:fill="984806" w:themeFill="accent6" w:themeFillShade="80"/>
            <w:vAlign w:val="center"/>
          </w:tcPr>
          <w:p w14:paraId="18B17A6B" w14:textId="77777777" w:rsidR="001C1916" w:rsidRPr="00524FDB" w:rsidRDefault="001C1916" w:rsidP="00963BD0">
            <w:pPr>
              <w:pStyle w:val="p0"/>
              <w:spacing w:before="120" w:after="120"/>
              <w:ind w:left="0" w:right="0" w:firstLine="0"/>
              <w:jc w:val="center"/>
              <w:rPr>
                <w:b/>
                <w:color w:val="FFFFFF" w:themeColor="background1"/>
                <w:sz w:val="14"/>
                <w:szCs w:val="14"/>
              </w:rPr>
            </w:pPr>
          </w:p>
        </w:tc>
        <w:tc>
          <w:tcPr>
            <w:tcW w:w="1560" w:type="dxa"/>
            <w:tcBorders>
              <w:top w:val="single" w:sz="4" w:space="0" w:color="auto"/>
              <w:bottom w:val="single" w:sz="4" w:space="0" w:color="000000"/>
            </w:tcBorders>
            <w:shd w:val="clear" w:color="auto" w:fill="984806" w:themeFill="accent6" w:themeFillShade="80"/>
            <w:vAlign w:val="center"/>
          </w:tcPr>
          <w:p w14:paraId="6BB20A4C" w14:textId="77777777" w:rsidR="001C1916" w:rsidRPr="00524FDB" w:rsidRDefault="001C1916" w:rsidP="00963BD0">
            <w:pPr>
              <w:pStyle w:val="p0"/>
              <w:spacing w:before="120" w:after="120"/>
              <w:ind w:left="0" w:right="0" w:firstLine="0"/>
              <w:jc w:val="center"/>
              <w:rPr>
                <w:b/>
                <w:color w:val="FFFFFF" w:themeColor="background1"/>
                <w:sz w:val="12"/>
                <w:szCs w:val="12"/>
              </w:rPr>
            </w:pPr>
            <w:r w:rsidRPr="00524FDB">
              <w:rPr>
                <w:b/>
                <w:color w:val="FFFFFF" w:themeColor="background1"/>
                <w:sz w:val="16"/>
                <w:szCs w:val="12"/>
              </w:rPr>
              <w:t>Concepto</w:t>
            </w:r>
          </w:p>
        </w:tc>
        <w:tc>
          <w:tcPr>
            <w:tcW w:w="1021" w:type="dxa"/>
            <w:tcBorders>
              <w:top w:val="single" w:sz="4" w:space="0" w:color="auto"/>
              <w:bottom w:val="single" w:sz="4" w:space="0" w:color="000000"/>
            </w:tcBorders>
            <w:shd w:val="clear" w:color="auto" w:fill="984806" w:themeFill="accent6" w:themeFillShade="80"/>
            <w:vAlign w:val="center"/>
          </w:tcPr>
          <w:p w14:paraId="284204FD" w14:textId="77777777" w:rsidR="001C1916" w:rsidRPr="00524FDB" w:rsidRDefault="001C1916" w:rsidP="00963BD0">
            <w:pPr>
              <w:pStyle w:val="p0"/>
              <w:spacing w:before="120" w:after="120"/>
              <w:ind w:left="0" w:right="0" w:firstLine="0"/>
              <w:jc w:val="center"/>
              <w:rPr>
                <w:b/>
                <w:color w:val="FFFFFF" w:themeColor="background1"/>
                <w:sz w:val="13"/>
                <w:szCs w:val="13"/>
              </w:rPr>
            </w:pPr>
            <w:r w:rsidRPr="00524FDB">
              <w:rPr>
                <w:b/>
                <w:color w:val="FFFFFF" w:themeColor="background1"/>
                <w:sz w:val="13"/>
                <w:szCs w:val="13"/>
              </w:rPr>
              <w:t>Sociedades no financieras</w:t>
            </w:r>
          </w:p>
        </w:tc>
        <w:tc>
          <w:tcPr>
            <w:tcW w:w="992" w:type="dxa"/>
            <w:tcBorders>
              <w:top w:val="single" w:sz="4" w:space="0" w:color="auto"/>
              <w:bottom w:val="single" w:sz="4" w:space="0" w:color="000000"/>
            </w:tcBorders>
            <w:shd w:val="clear" w:color="auto" w:fill="984806" w:themeFill="accent6" w:themeFillShade="80"/>
            <w:vAlign w:val="center"/>
          </w:tcPr>
          <w:p w14:paraId="07C62FA9" w14:textId="77777777" w:rsidR="001C1916" w:rsidRPr="00524FDB" w:rsidRDefault="001C1916" w:rsidP="00963BD0">
            <w:pPr>
              <w:pStyle w:val="p0"/>
              <w:spacing w:before="120" w:after="120"/>
              <w:ind w:left="0" w:right="0" w:firstLine="0"/>
              <w:jc w:val="center"/>
              <w:rPr>
                <w:b/>
                <w:color w:val="FFFFFF" w:themeColor="background1"/>
                <w:sz w:val="13"/>
                <w:szCs w:val="13"/>
              </w:rPr>
            </w:pPr>
            <w:r w:rsidRPr="00524FDB">
              <w:rPr>
                <w:b/>
                <w:color w:val="FFFFFF" w:themeColor="background1"/>
                <w:sz w:val="13"/>
                <w:szCs w:val="13"/>
              </w:rPr>
              <w:t>Sociedades financieras</w:t>
            </w:r>
          </w:p>
        </w:tc>
        <w:tc>
          <w:tcPr>
            <w:tcW w:w="992" w:type="dxa"/>
            <w:tcBorders>
              <w:top w:val="single" w:sz="4" w:space="0" w:color="auto"/>
              <w:bottom w:val="single" w:sz="4" w:space="0" w:color="000000"/>
            </w:tcBorders>
            <w:shd w:val="clear" w:color="auto" w:fill="984806" w:themeFill="accent6" w:themeFillShade="80"/>
            <w:vAlign w:val="center"/>
          </w:tcPr>
          <w:p w14:paraId="591F2063" w14:textId="77777777" w:rsidR="001C1916" w:rsidRPr="00524FDB" w:rsidRDefault="001C1916" w:rsidP="00963BD0">
            <w:pPr>
              <w:pStyle w:val="p0"/>
              <w:spacing w:before="120" w:after="120"/>
              <w:ind w:left="0" w:right="0" w:firstLine="0"/>
              <w:jc w:val="center"/>
              <w:rPr>
                <w:b/>
                <w:color w:val="FFFFFF" w:themeColor="background1"/>
                <w:sz w:val="13"/>
                <w:szCs w:val="13"/>
              </w:rPr>
            </w:pPr>
            <w:r w:rsidRPr="00524FDB">
              <w:rPr>
                <w:b/>
                <w:color w:val="FFFFFF" w:themeColor="background1"/>
                <w:sz w:val="13"/>
                <w:szCs w:val="13"/>
              </w:rPr>
              <w:t>Gobierno general</w:t>
            </w:r>
          </w:p>
        </w:tc>
        <w:tc>
          <w:tcPr>
            <w:tcW w:w="851" w:type="dxa"/>
            <w:tcBorders>
              <w:top w:val="single" w:sz="4" w:space="0" w:color="auto"/>
              <w:bottom w:val="single" w:sz="4" w:space="0" w:color="000000"/>
            </w:tcBorders>
            <w:shd w:val="clear" w:color="auto" w:fill="984806" w:themeFill="accent6" w:themeFillShade="80"/>
            <w:vAlign w:val="center"/>
          </w:tcPr>
          <w:p w14:paraId="1A2A666F" w14:textId="77777777" w:rsidR="001C1916" w:rsidRPr="00524FDB" w:rsidRDefault="001C1916" w:rsidP="00963BD0">
            <w:pPr>
              <w:pStyle w:val="p0"/>
              <w:spacing w:before="120" w:after="120"/>
              <w:ind w:left="0" w:right="0" w:firstLine="0"/>
              <w:jc w:val="center"/>
              <w:rPr>
                <w:b/>
                <w:color w:val="FFFFFF" w:themeColor="background1"/>
                <w:sz w:val="13"/>
                <w:szCs w:val="13"/>
              </w:rPr>
            </w:pPr>
            <w:r w:rsidRPr="00524FDB">
              <w:rPr>
                <w:b/>
                <w:color w:val="FFFFFF" w:themeColor="background1"/>
                <w:sz w:val="13"/>
                <w:szCs w:val="13"/>
              </w:rPr>
              <w:t>Hogares</w:t>
            </w:r>
          </w:p>
        </w:tc>
        <w:tc>
          <w:tcPr>
            <w:tcW w:w="850" w:type="dxa"/>
            <w:tcBorders>
              <w:top w:val="single" w:sz="4" w:space="0" w:color="auto"/>
              <w:bottom w:val="single" w:sz="4" w:space="0" w:color="000000"/>
            </w:tcBorders>
            <w:shd w:val="clear" w:color="auto" w:fill="984806" w:themeFill="accent6" w:themeFillShade="80"/>
            <w:vAlign w:val="center"/>
          </w:tcPr>
          <w:p w14:paraId="67A87C73" w14:textId="77777777" w:rsidR="001C1916" w:rsidRPr="00524FDB" w:rsidRDefault="001C1916" w:rsidP="00963BD0">
            <w:pPr>
              <w:pStyle w:val="p0"/>
              <w:spacing w:before="120" w:after="120"/>
              <w:ind w:left="0" w:right="0" w:firstLine="0"/>
              <w:jc w:val="center"/>
              <w:rPr>
                <w:b/>
                <w:color w:val="FFFFFF" w:themeColor="background1"/>
                <w:sz w:val="13"/>
                <w:szCs w:val="13"/>
              </w:rPr>
            </w:pPr>
            <w:r w:rsidRPr="00524FDB">
              <w:rPr>
                <w:b/>
                <w:color w:val="FFFFFF" w:themeColor="background1"/>
                <w:sz w:val="13"/>
                <w:szCs w:val="13"/>
              </w:rPr>
              <w:t>ISFLSH</w:t>
            </w:r>
          </w:p>
        </w:tc>
        <w:tc>
          <w:tcPr>
            <w:tcW w:w="1229" w:type="dxa"/>
            <w:tcBorders>
              <w:top w:val="single" w:sz="4" w:space="0" w:color="auto"/>
              <w:bottom w:val="single" w:sz="4" w:space="0" w:color="000000"/>
            </w:tcBorders>
            <w:shd w:val="clear" w:color="auto" w:fill="984806" w:themeFill="accent6" w:themeFillShade="80"/>
            <w:vAlign w:val="center"/>
          </w:tcPr>
          <w:p w14:paraId="45BB3699" w14:textId="77777777" w:rsidR="001C1916" w:rsidRPr="00524FDB" w:rsidRDefault="001C1916" w:rsidP="00963BD0">
            <w:pPr>
              <w:pStyle w:val="p0"/>
              <w:spacing w:before="120" w:after="120"/>
              <w:ind w:left="0" w:right="0" w:firstLine="0"/>
              <w:jc w:val="center"/>
              <w:rPr>
                <w:b/>
                <w:color w:val="FFFFFF" w:themeColor="background1"/>
                <w:sz w:val="13"/>
                <w:szCs w:val="13"/>
              </w:rPr>
            </w:pPr>
            <w:r w:rsidRPr="00524FDB">
              <w:rPr>
                <w:b/>
                <w:color w:val="FFFFFF" w:themeColor="background1"/>
                <w:sz w:val="13"/>
                <w:szCs w:val="13"/>
              </w:rPr>
              <w:t>Economía Total</w:t>
            </w:r>
          </w:p>
        </w:tc>
        <w:tc>
          <w:tcPr>
            <w:tcW w:w="821" w:type="dxa"/>
            <w:tcBorders>
              <w:top w:val="single" w:sz="4" w:space="0" w:color="auto"/>
              <w:bottom w:val="single" w:sz="4" w:space="0" w:color="000000"/>
            </w:tcBorders>
            <w:shd w:val="clear" w:color="auto" w:fill="984806" w:themeFill="accent6" w:themeFillShade="80"/>
            <w:vAlign w:val="center"/>
          </w:tcPr>
          <w:p w14:paraId="3A2A57DC" w14:textId="77777777" w:rsidR="001C1916" w:rsidRPr="00524FDB" w:rsidRDefault="001C1916" w:rsidP="00963BD0">
            <w:pPr>
              <w:pStyle w:val="p0"/>
              <w:spacing w:before="120" w:after="120"/>
              <w:ind w:left="0" w:right="0" w:firstLine="0"/>
              <w:jc w:val="center"/>
              <w:rPr>
                <w:b/>
                <w:color w:val="FFFFFF" w:themeColor="background1"/>
                <w:sz w:val="13"/>
                <w:szCs w:val="13"/>
              </w:rPr>
            </w:pPr>
            <w:r w:rsidRPr="00524FDB">
              <w:rPr>
                <w:b/>
                <w:color w:val="FFFFFF" w:themeColor="background1"/>
                <w:sz w:val="13"/>
                <w:szCs w:val="13"/>
              </w:rPr>
              <w:t>Resto del Mundo</w:t>
            </w:r>
          </w:p>
        </w:tc>
        <w:tc>
          <w:tcPr>
            <w:tcW w:w="851" w:type="dxa"/>
            <w:tcBorders>
              <w:top w:val="single" w:sz="4" w:space="0" w:color="auto"/>
              <w:bottom w:val="single" w:sz="4" w:space="0" w:color="000000"/>
              <w:right w:val="single" w:sz="4" w:space="0" w:color="auto"/>
            </w:tcBorders>
            <w:shd w:val="clear" w:color="auto" w:fill="984806" w:themeFill="accent6" w:themeFillShade="80"/>
            <w:vAlign w:val="center"/>
          </w:tcPr>
          <w:p w14:paraId="05796951" w14:textId="77777777" w:rsidR="001C1916" w:rsidRPr="00524FDB" w:rsidRDefault="001C1916" w:rsidP="00963BD0">
            <w:pPr>
              <w:pStyle w:val="p0"/>
              <w:spacing w:before="120" w:after="120"/>
              <w:ind w:left="0" w:right="0" w:firstLine="0"/>
              <w:jc w:val="center"/>
              <w:rPr>
                <w:b/>
                <w:color w:val="FFFFFF" w:themeColor="background1"/>
                <w:sz w:val="13"/>
                <w:szCs w:val="13"/>
              </w:rPr>
            </w:pPr>
            <w:r w:rsidRPr="00524FDB">
              <w:rPr>
                <w:b/>
                <w:color w:val="FFFFFF" w:themeColor="background1"/>
                <w:sz w:val="13"/>
                <w:szCs w:val="13"/>
              </w:rPr>
              <w:t>Total</w:t>
            </w:r>
          </w:p>
        </w:tc>
      </w:tr>
      <w:tr w:rsidR="001C1916" w:rsidRPr="00E60BDB" w14:paraId="7BE9CB64" w14:textId="77777777" w:rsidTr="00AA26F2">
        <w:tc>
          <w:tcPr>
            <w:tcW w:w="1134" w:type="dxa"/>
            <w:tcBorders>
              <w:top w:val="single" w:sz="4" w:space="0" w:color="000000"/>
              <w:left w:val="single" w:sz="4" w:space="0" w:color="auto"/>
              <w:bottom w:val="nil"/>
              <w:right w:val="single" w:sz="4" w:space="0" w:color="000000"/>
            </w:tcBorders>
          </w:tcPr>
          <w:p w14:paraId="6B4CE202" w14:textId="77777777" w:rsidR="001C1916" w:rsidRPr="00E60BDB" w:rsidRDefault="001C1916" w:rsidP="00963BD0">
            <w:pPr>
              <w:pStyle w:val="p0"/>
              <w:spacing w:before="60" w:after="60"/>
              <w:ind w:left="0" w:right="0" w:firstLine="0"/>
              <w:jc w:val="both"/>
              <w:rPr>
                <w:color w:val="auto"/>
                <w:sz w:val="14"/>
                <w:szCs w:val="14"/>
              </w:rPr>
            </w:pPr>
          </w:p>
        </w:tc>
        <w:tc>
          <w:tcPr>
            <w:tcW w:w="1560" w:type="dxa"/>
            <w:tcBorders>
              <w:top w:val="single" w:sz="4" w:space="0" w:color="000000"/>
              <w:left w:val="single" w:sz="4" w:space="0" w:color="000000"/>
              <w:bottom w:val="nil"/>
              <w:right w:val="single" w:sz="4" w:space="0" w:color="000000"/>
            </w:tcBorders>
          </w:tcPr>
          <w:p w14:paraId="7F874A14" w14:textId="77777777" w:rsidR="001C1916" w:rsidRPr="00364E2B" w:rsidRDefault="001C1916" w:rsidP="00963BD0">
            <w:pPr>
              <w:pStyle w:val="p0"/>
              <w:spacing w:before="60" w:after="60"/>
              <w:ind w:left="0" w:right="0" w:firstLine="0"/>
              <w:rPr>
                <w:b/>
                <w:color w:val="auto"/>
                <w:sz w:val="16"/>
                <w:szCs w:val="16"/>
              </w:rPr>
            </w:pPr>
            <w:r w:rsidRPr="00364E2B">
              <w:rPr>
                <w:b/>
                <w:color w:val="auto"/>
                <w:sz w:val="16"/>
                <w:szCs w:val="16"/>
              </w:rPr>
              <w:t>Recursos</w:t>
            </w:r>
          </w:p>
        </w:tc>
        <w:tc>
          <w:tcPr>
            <w:tcW w:w="1021" w:type="dxa"/>
            <w:tcBorders>
              <w:top w:val="single" w:sz="4" w:space="0" w:color="000000"/>
              <w:left w:val="single" w:sz="4" w:space="0" w:color="000000"/>
              <w:bottom w:val="nil"/>
              <w:right w:val="single" w:sz="4" w:space="0" w:color="000000"/>
            </w:tcBorders>
          </w:tcPr>
          <w:p w14:paraId="0431DC14" w14:textId="77777777" w:rsidR="001C1916" w:rsidRDefault="001C1916" w:rsidP="00B62F5D">
            <w:pPr>
              <w:pStyle w:val="p0"/>
              <w:spacing w:before="60" w:after="60"/>
              <w:ind w:left="0" w:right="268" w:firstLine="0"/>
              <w:jc w:val="right"/>
              <w:rPr>
                <w:color w:val="auto"/>
                <w:sz w:val="16"/>
                <w:szCs w:val="16"/>
              </w:rPr>
            </w:pPr>
          </w:p>
        </w:tc>
        <w:tc>
          <w:tcPr>
            <w:tcW w:w="992" w:type="dxa"/>
            <w:tcBorders>
              <w:top w:val="single" w:sz="4" w:space="0" w:color="000000"/>
              <w:left w:val="single" w:sz="4" w:space="0" w:color="000000"/>
              <w:bottom w:val="nil"/>
              <w:right w:val="single" w:sz="4" w:space="0" w:color="000000"/>
            </w:tcBorders>
          </w:tcPr>
          <w:p w14:paraId="07D493A8" w14:textId="77777777" w:rsidR="001C1916" w:rsidRDefault="001C1916" w:rsidP="00B62F5D">
            <w:pPr>
              <w:pStyle w:val="p0"/>
              <w:spacing w:before="60" w:after="60"/>
              <w:ind w:left="0" w:right="240" w:firstLine="0"/>
              <w:jc w:val="right"/>
              <w:rPr>
                <w:color w:val="auto"/>
                <w:sz w:val="16"/>
                <w:szCs w:val="16"/>
              </w:rPr>
            </w:pPr>
          </w:p>
        </w:tc>
        <w:tc>
          <w:tcPr>
            <w:tcW w:w="992" w:type="dxa"/>
            <w:tcBorders>
              <w:top w:val="single" w:sz="4" w:space="0" w:color="000000"/>
              <w:left w:val="single" w:sz="4" w:space="0" w:color="000000"/>
              <w:bottom w:val="nil"/>
              <w:right w:val="single" w:sz="4" w:space="0" w:color="000000"/>
            </w:tcBorders>
          </w:tcPr>
          <w:p w14:paraId="013143D7" w14:textId="77777777" w:rsidR="001C1916" w:rsidRDefault="001C1916" w:rsidP="00B62F5D">
            <w:pPr>
              <w:pStyle w:val="p0"/>
              <w:spacing w:before="60" w:after="60"/>
              <w:ind w:left="0" w:right="240" w:firstLine="0"/>
              <w:jc w:val="right"/>
              <w:rPr>
                <w:color w:val="auto"/>
                <w:sz w:val="16"/>
                <w:szCs w:val="16"/>
              </w:rPr>
            </w:pPr>
          </w:p>
        </w:tc>
        <w:tc>
          <w:tcPr>
            <w:tcW w:w="851" w:type="dxa"/>
            <w:tcBorders>
              <w:top w:val="single" w:sz="4" w:space="0" w:color="000000"/>
              <w:left w:val="single" w:sz="4" w:space="0" w:color="000000"/>
              <w:bottom w:val="nil"/>
              <w:right w:val="single" w:sz="4" w:space="0" w:color="000000"/>
            </w:tcBorders>
          </w:tcPr>
          <w:p w14:paraId="5A043E3C" w14:textId="77777777" w:rsidR="001C1916" w:rsidRDefault="001C1916" w:rsidP="00B62F5D">
            <w:pPr>
              <w:pStyle w:val="p0"/>
              <w:spacing w:before="60" w:after="60"/>
              <w:ind w:left="0" w:right="176" w:firstLine="0"/>
              <w:jc w:val="right"/>
              <w:rPr>
                <w:color w:val="auto"/>
                <w:sz w:val="16"/>
                <w:szCs w:val="16"/>
              </w:rPr>
            </w:pPr>
          </w:p>
        </w:tc>
        <w:tc>
          <w:tcPr>
            <w:tcW w:w="850" w:type="dxa"/>
            <w:tcBorders>
              <w:top w:val="single" w:sz="4" w:space="0" w:color="000000"/>
              <w:left w:val="single" w:sz="4" w:space="0" w:color="000000"/>
              <w:bottom w:val="nil"/>
              <w:right w:val="single" w:sz="4" w:space="0" w:color="000000"/>
            </w:tcBorders>
          </w:tcPr>
          <w:p w14:paraId="6FD4674D" w14:textId="77777777" w:rsidR="001C1916" w:rsidRPr="00E60BDB" w:rsidRDefault="001C1916" w:rsidP="00B62F5D">
            <w:pPr>
              <w:pStyle w:val="p0"/>
              <w:spacing w:before="60" w:after="60"/>
              <w:ind w:left="0" w:right="175" w:firstLine="0"/>
              <w:jc w:val="right"/>
              <w:rPr>
                <w:color w:val="auto"/>
                <w:sz w:val="16"/>
                <w:szCs w:val="16"/>
              </w:rPr>
            </w:pPr>
          </w:p>
        </w:tc>
        <w:tc>
          <w:tcPr>
            <w:tcW w:w="1229" w:type="dxa"/>
            <w:tcBorders>
              <w:top w:val="single" w:sz="4" w:space="0" w:color="000000"/>
              <w:left w:val="single" w:sz="4" w:space="0" w:color="000000"/>
              <w:bottom w:val="nil"/>
              <w:right w:val="single" w:sz="4" w:space="0" w:color="000000"/>
            </w:tcBorders>
          </w:tcPr>
          <w:p w14:paraId="428BE2AB" w14:textId="77777777" w:rsidR="001C1916" w:rsidRDefault="001C1916" w:rsidP="00B62F5D">
            <w:pPr>
              <w:pStyle w:val="p0"/>
              <w:spacing w:before="60" w:after="60"/>
              <w:ind w:left="0" w:right="176" w:firstLine="0"/>
              <w:jc w:val="right"/>
              <w:rPr>
                <w:color w:val="auto"/>
                <w:sz w:val="16"/>
                <w:szCs w:val="16"/>
              </w:rPr>
            </w:pPr>
          </w:p>
        </w:tc>
        <w:tc>
          <w:tcPr>
            <w:tcW w:w="821" w:type="dxa"/>
            <w:tcBorders>
              <w:top w:val="single" w:sz="4" w:space="0" w:color="000000"/>
              <w:left w:val="single" w:sz="4" w:space="0" w:color="000000"/>
              <w:bottom w:val="nil"/>
              <w:right w:val="single" w:sz="4" w:space="0" w:color="000000"/>
            </w:tcBorders>
          </w:tcPr>
          <w:p w14:paraId="0B8390F7" w14:textId="77777777" w:rsidR="001C1916" w:rsidRDefault="001C1916" w:rsidP="00B62F5D">
            <w:pPr>
              <w:pStyle w:val="p0"/>
              <w:spacing w:before="60" w:after="60"/>
              <w:ind w:left="0" w:right="175" w:firstLine="0"/>
              <w:jc w:val="right"/>
              <w:rPr>
                <w:color w:val="auto"/>
                <w:sz w:val="16"/>
                <w:szCs w:val="16"/>
              </w:rPr>
            </w:pPr>
          </w:p>
        </w:tc>
        <w:tc>
          <w:tcPr>
            <w:tcW w:w="851" w:type="dxa"/>
            <w:tcBorders>
              <w:top w:val="single" w:sz="4" w:space="0" w:color="000000"/>
              <w:left w:val="single" w:sz="4" w:space="0" w:color="000000"/>
              <w:bottom w:val="nil"/>
              <w:right w:val="single" w:sz="4" w:space="0" w:color="auto"/>
            </w:tcBorders>
          </w:tcPr>
          <w:p w14:paraId="515D1B36" w14:textId="77777777" w:rsidR="001C1916" w:rsidRDefault="001C1916" w:rsidP="00B62F5D">
            <w:pPr>
              <w:pStyle w:val="p0"/>
              <w:spacing w:before="60" w:after="60"/>
              <w:ind w:left="0" w:right="176" w:firstLine="0"/>
              <w:jc w:val="right"/>
              <w:rPr>
                <w:color w:val="auto"/>
                <w:sz w:val="16"/>
                <w:szCs w:val="16"/>
              </w:rPr>
            </w:pPr>
          </w:p>
        </w:tc>
      </w:tr>
      <w:tr w:rsidR="00524FDB" w:rsidRPr="00E60BDB" w14:paraId="0FA1A752" w14:textId="77777777" w:rsidTr="00AA26F2">
        <w:tc>
          <w:tcPr>
            <w:tcW w:w="1134" w:type="dxa"/>
            <w:tcBorders>
              <w:top w:val="nil"/>
              <w:left w:val="single" w:sz="4" w:space="0" w:color="auto"/>
              <w:bottom w:val="nil"/>
              <w:right w:val="single" w:sz="4" w:space="0" w:color="000000"/>
            </w:tcBorders>
          </w:tcPr>
          <w:p w14:paraId="532CC74B" w14:textId="77777777" w:rsidR="00524FDB" w:rsidRPr="00E60BDB" w:rsidRDefault="00524FDB" w:rsidP="00524FDB">
            <w:pPr>
              <w:pStyle w:val="p0"/>
              <w:spacing w:before="60" w:after="60"/>
              <w:ind w:left="0" w:right="0" w:firstLine="0"/>
              <w:jc w:val="both"/>
              <w:rPr>
                <w:color w:val="auto"/>
                <w:sz w:val="14"/>
                <w:szCs w:val="14"/>
              </w:rPr>
            </w:pPr>
            <w:r w:rsidRPr="00E60BDB">
              <w:rPr>
                <w:color w:val="auto"/>
                <w:sz w:val="14"/>
                <w:szCs w:val="14"/>
              </w:rPr>
              <w:t>(1)</w:t>
            </w:r>
          </w:p>
        </w:tc>
        <w:tc>
          <w:tcPr>
            <w:tcW w:w="1560" w:type="dxa"/>
            <w:tcBorders>
              <w:top w:val="nil"/>
              <w:left w:val="single" w:sz="4" w:space="0" w:color="000000"/>
              <w:bottom w:val="nil"/>
              <w:right w:val="single" w:sz="4" w:space="0" w:color="000000"/>
            </w:tcBorders>
          </w:tcPr>
          <w:p w14:paraId="77E66DC5" w14:textId="77777777" w:rsidR="00524FDB" w:rsidRPr="00E60BDB" w:rsidRDefault="00524FDB" w:rsidP="00524FDB">
            <w:pPr>
              <w:pStyle w:val="p0"/>
              <w:spacing w:before="60" w:after="60"/>
              <w:ind w:left="0" w:right="0" w:firstLine="0"/>
              <w:rPr>
                <w:color w:val="auto"/>
                <w:sz w:val="16"/>
                <w:szCs w:val="16"/>
              </w:rPr>
            </w:pPr>
            <w:r w:rsidRPr="00E60BDB">
              <w:rPr>
                <w:color w:val="auto"/>
                <w:sz w:val="16"/>
                <w:szCs w:val="16"/>
              </w:rPr>
              <w:t>Ahorro Bruto</w:t>
            </w:r>
          </w:p>
        </w:tc>
        <w:tc>
          <w:tcPr>
            <w:tcW w:w="1021" w:type="dxa"/>
            <w:tcBorders>
              <w:top w:val="nil"/>
              <w:left w:val="single" w:sz="4" w:space="0" w:color="000000"/>
              <w:bottom w:val="nil"/>
              <w:right w:val="single" w:sz="4" w:space="0" w:color="000000"/>
            </w:tcBorders>
            <w:vAlign w:val="center"/>
          </w:tcPr>
          <w:p w14:paraId="5E0E237D" w14:textId="77777777" w:rsidR="00524FDB" w:rsidRPr="002D3841" w:rsidRDefault="00524FDB" w:rsidP="00524FDB">
            <w:pPr>
              <w:pStyle w:val="p0"/>
              <w:spacing w:before="60" w:after="60"/>
              <w:ind w:left="0" w:right="268" w:firstLine="0"/>
              <w:jc w:val="right"/>
              <w:rPr>
                <w:color w:val="auto"/>
                <w:sz w:val="16"/>
                <w:szCs w:val="16"/>
              </w:rPr>
            </w:pPr>
            <w:r>
              <w:rPr>
                <w:color w:val="auto"/>
                <w:sz w:val="16"/>
                <w:szCs w:val="16"/>
              </w:rPr>
              <w:t>9.4</w:t>
            </w:r>
          </w:p>
        </w:tc>
        <w:tc>
          <w:tcPr>
            <w:tcW w:w="992" w:type="dxa"/>
            <w:tcBorders>
              <w:top w:val="nil"/>
              <w:left w:val="single" w:sz="4" w:space="0" w:color="000000"/>
              <w:bottom w:val="nil"/>
              <w:right w:val="single" w:sz="4" w:space="0" w:color="000000"/>
            </w:tcBorders>
            <w:vAlign w:val="center"/>
          </w:tcPr>
          <w:p w14:paraId="5F74553D" w14:textId="77777777" w:rsidR="00524FDB" w:rsidRPr="002D3841" w:rsidRDefault="00524FDB" w:rsidP="00524FDB">
            <w:pPr>
              <w:pStyle w:val="p0"/>
              <w:spacing w:before="60" w:after="60"/>
              <w:ind w:left="0" w:right="240" w:firstLine="0"/>
              <w:jc w:val="right"/>
              <w:rPr>
                <w:color w:val="auto"/>
                <w:sz w:val="16"/>
                <w:szCs w:val="16"/>
              </w:rPr>
            </w:pPr>
            <w:r>
              <w:rPr>
                <w:color w:val="auto"/>
                <w:sz w:val="16"/>
                <w:szCs w:val="16"/>
              </w:rPr>
              <w:t>4.3</w:t>
            </w:r>
          </w:p>
        </w:tc>
        <w:tc>
          <w:tcPr>
            <w:tcW w:w="992" w:type="dxa"/>
            <w:tcBorders>
              <w:top w:val="nil"/>
              <w:left w:val="single" w:sz="4" w:space="0" w:color="000000"/>
              <w:bottom w:val="nil"/>
              <w:right w:val="single" w:sz="4" w:space="0" w:color="000000"/>
            </w:tcBorders>
            <w:vAlign w:val="center"/>
          </w:tcPr>
          <w:p w14:paraId="0CF6F568" w14:textId="77777777" w:rsidR="00524FDB" w:rsidRPr="002D3841" w:rsidRDefault="00524FDB" w:rsidP="00524FDB">
            <w:pPr>
              <w:pStyle w:val="p0"/>
              <w:spacing w:before="60" w:after="60"/>
              <w:ind w:left="0" w:right="240" w:firstLine="0"/>
              <w:jc w:val="right"/>
              <w:rPr>
                <w:color w:val="auto"/>
                <w:sz w:val="16"/>
                <w:szCs w:val="16"/>
              </w:rPr>
            </w:pPr>
            <w:r w:rsidRPr="002D3841">
              <w:rPr>
                <w:color w:val="auto"/>
                <w:sz w:val="16"/>
                <w:szCs w:val="16"/>
              </w:rPr>
              <w:t>(-)</w:t>
            </w:r>
            <w:r>
              <w:rPr>
                <w:color w:val="auto"/>
                <w:sz w:val="16"/>
                <w:szCs w:val="16"/>
              </w:rPr>
              <w:t>2.3</w:t>
            </w:r>
          </w:p>
        </w:tc>
        <w:tc>
          <w:tcPr>
            <w:tcW w:w="851" w:type="dxa"/>
            <w:tcBorders>
              <w:top w:val="nil"/>
              <w:left w:val="single" w:sz="4" w:space="0" w:color="000000"/>
              <w:bottom w:val="nil"/>
              <w:right w:val="single" w:sz="4" w:space="0" w:color="000000"/>
            </w:tcBorders>
            <w:vAlign w:val="center"/>
          </w:tcPr>
          <w:p w14:paraId="79314E00" w14:textId="77777777" w:rsidR="00524FDB" w:rsidRPr="002D3841" w:rsidRDefault="00524FDB" w:rsidP="00524FDB">
            <w:pPr>
              <w:pStyle w:val="p0"/>
              <w:spacing w:before="60" w:after="60"/>
              <w:ind w:left="0" w:right="176" w:firstLine="0"/>
              <w:jc w:val="right"/>
              <w:rPr>
                <w:color w:val="auto"/>
                <w:sz w:val="16"/>
                <w:szCs w:val="16"/>
              </w:rPr>
            </w:pPr>
            <w:r w:rsidRPr="002D3841">
              <w:rPr>
                <w:color w:val="auto"/>
                <w:sz w:val="16"/>
                <w:szCs w:val="16"/>
              </w:rPr>
              <w:t>1</w:t>
            </w:r>
            <w:r>
              <w:rPr>
                <w:color w:val="auto"/>
                <w:sz w:val="16"/>
                <w:szCs w:val="16"/>
              </w:rPr>
              <w:t>1.3</w:t>
            </w:r>
          </w:p>
        </w:tc>
        <w:tc>
          <w:tcPr>
            <w:tcW w:w="850" w:type="dxa"/>
            <w:tcBorders>
              <w:top w:val="nil"/>
              <w:left w:val="single" w:sz="4" w:space="0" w:color="000000"/>
              <w:bottom w:val="nil"/>
              <w:right w:val="single" w:sz="4" w:space="0" w:color="000000"/>
            </w:tcBorders>
            <w:vAlign w:val="center"/>
          </w:tcPr>
          <w:p w14:paraId="738A512E" w14:textId="77777777" w:rsidR="00524FDB" w:rsidRPr="002D3841" w:rsidRDefault="00524FDB" w:rsidP="00524FDB">
            <w:pPr>
              <w:pStyle w:val="p0"/>
              <w:spacing w:before="60" w:after="60"/>
              <w:ind w:left="0" w:right="175" w:firstLine="0"/>
              <w:jc w:val="right"/>
              <w:rPr>
                <w:color w:val="auto"/>
                <w:sz w:val="16"/>
                <w:szCs w:val="16"/>
              </w:rPr>
            </w:pPr>
            <w:r w:rsidRPr="002D3841">
              <w:rPr>
                <w:color w:val="auto"/>
                <w:sz w:val="16"/>
                <w:szCs w:val="16"/>
              </w:rPr>
              <w:t>0.</w:t>
            </w:r>
            <w:r>
              <w:rPr>
                <w:color w:val="auto"/>
                <w:sz w:val="16"/>
                <w:szCs w:val="16"/>
              </w:rPr>
              <w:t>9</w:t>
            </w:r>
          </w:p>
        </w:tc>
        <w:tc>
          <w:tcPr>
            <w:tcW w:w="1229" w:type="dxa"/>
            <w:tcBorders>
              <w:top w:val="nil"/>
              <w:left w:val="single" w:sz="4" w:space="0" w:color="000000"/>
              <w:bottom w:val="nil"/>
              <w:right w:val="single" w:sz="4" w:space="0" w:color="000000"/>
            </w:tcBorders>
            <w:tcMar>
              <w:left w:w="57" w:type="dxa"/>
            </w:tcMar>
            <w:vAlign w:val="center"/>
          </w:tcPr>
          <w:p w14:paraId="1C59433B" w14:textId="77777777" w:rsidR="00524FDB" w:rsidRPr="002D3841" w:rsidRDefault="00524FDB" w:rsidP="00524FDB">
            <w:pPr>
              <w:pStyle w:val="p0"/>
              <w:tabs>
                <w:tab w:val="left" w:pos="142"/>
              </w:tabs>
              <w:spacing w:before="60" w:after="60"/>
              <w:ind w:left="0" w:right="246" w:firstLine="0"/>
              <w:jc w:val="right"/>
              <w:rPr>
                <w:color w:val="auto"/>
                <w:sz w:val="16"/>
                <w:szCs w:val="16"/>
              </w:rPr>
            </w:pPr>
            <w:r w:rsidRPr="002D3841">
              <w:rPr>
                <w:color w:val="auto"/>
                <w:sz w:val="16"/>
                <w:szCs w:val="16"/>
              </w:rPr>
              <w:t>23.</w:t>
            </w:r>
            <w:r>
              <w:rPr>
                <w:color w:val="auto"/>
                <w:sz w:val="16"/>
                <w:szCs w:val="16"/>
              </w:rPr>
              <w:t>7</w:t>
            </w:r>
          </w:p>
        </w:tc>
        <w:tc>
          <w:tcPr>
            <w:tcW w:w="821" w:type="dxa"/>
            <w:tcBorders>
              <w:top w:val="nil"/>
              <w:left w:val="single" w:sz="4" w:space="0" w:color="000000"/>
              <w:bottom w:val="nil"/>
              <w:right w:val="single" w:sz="4" w:space="0" w:color="000000"/>
            </w:tcBorders>
            <w:vAlign w:val="center"/>
          </w:tcPr>
          <w:p w14:paraId="2774E91B" w14:textId="77777777" w:rsidR="00524FDB" w:rsidRPr="002D3841" w:rsidRDefault="00524FDB" w:rsidP="00524FDB">
            <w:pPr>
              <w:pStyle w:val="p0"/>
              <w:spacing w:before="60" w:after="60"/>
              <w:ind w:left="0" w:right="175" w:firstLine="0"/>
              <w:jc w:val="right"/>
              <w:rPr>
                <w:color w:val="auto"/>
                <w:sz w:val="16"/>
                <w:szCs w:val="16"/>
              </w:rPr>
            </w:pPr>
            <w:r>
              <w:rPr>
                <w:color w:val="auto"/>
                <w:sz w:val="16"/>
                <w:szCs w:val="16"/>
              </w:rPr>
              <w:t>1.8</w:t>
            </w:r>
          </w:p>
        </w:tc>
        <w:tc>
          <w:tcPr>
            <w:tcW w:w="851" w:type="dxa"/>
            <w:tcBorders>
              <w:top w:val="nil"/>
              <w:left w:val="single" w:sz="4" w:space="0" w:color="000000"/>
              <w:bottom w:val="nil"/>
              <w:right w:val="single" w:sz="4" w:space="0" w:color="auto"/>
            </w:tcBorders>
            <w:vAlign w:val="center"/>
          </w:tcPr>
          <w:p w14:paraId="4B1F6CE7" w14:textId="77777777" w:rsidR="00524FDB" w:rsidRPr="002D3841" w:rsidRDefault="00524FDB" w:rsidP="00524FDB">
            <w:pPr>
              <w:pStyle w:val="p0"/>
              <w:spacing w:before="60" w:after="60"/>
              <w:ind w:left="0" w:right="176" w:firstLine="0"/>
              <w:jc w:val="right"/>
              <w:rPr>
                <w:color w:val="auto"/>
                <w:sz w:val="16"/>
                <w:szCs w:val="16"/>
              </w:rPr>
            </w:pPr>
            <w:r>
              <w:rPr>
                <w:color w:val="auto"/>
                <w:sz w:val="16"/>
                <w:szCs w:val="16"/>
              </w:rPr>
              <w:t>25.4</w:t>
            </w:r>
          </w:p>
        </w:tc>
      </w:tr>
      <w:tr w:rsidR="00524FDB" w:rsidRPr="00E60BDB" w14:paraId="382CD9B9" w14:textId="77777777" w:rsidTr="00AA26F2">
        <w:tc>
          <w:tcPr>
            <w:tcW w:w="1134" w:type="dxa"/>
            <w:tcBorders>
              <w:top w:val="nil"/>
              <w:left w:val="single" w:sz="4" w:space="0" w:color="auto"/>
            </w:tcBorders>
          </w:tcPr>
          <w:p w14:paraId="479CC09E" w14:textId="77777777" w:rsidR="00524FDB" w:rsidRPr="00E60BDB" w:rsidRDefault="00524FDB" w:rsidP="00524FDB">
            <w:pPr>
              <w:pStyle w:val="p0"/>
              <w:spacing w:before="60" w:after="60"/>
              <w:ind w:left="0" w:right="0" w:firstLine="0"/>
              <w:jc w:val="both"/>
              <w:rPr>
                <w:color w:val="auto"/>
                <w:sz w:val="14"/>
                <w:szCs w:val="14"/>
              </w:rPr>
            </w:pPr>
            <w:r w:rsidRPr="00E60BDB">
              <w:rPr>
                <w:color w:val="auto"/>
                <w:sz w:val="14"/>
                <w:szCs w:val="14"/>
              </w:rPr>
              <w:t>(2)</w:t>
            </w:r>
          </w:p>
        </w:tc>
        <w:tc>
          <w:tcPr>
            <w:tcW w:w="1560" w:type="dxa"/>
            <w:tcBorders>
              <w:top w:val="nil"/>
            </w:tcBorders>
            <w:vAlign w:val="bottom"/>
          </w:tcPr>
          <w:p w14:paraId="63964058" w14:textId="77777777" w:rsidR="00524FDB" w:rsidRPr="00E60BDB" w:rsidRDefault="00524FDB" w:rsidP="00524FDB">
            <w:pPr>
              <w:pStyle w:val="p0"/>
              <w:spacing w:before="60" w:after="60"/>
              <w:ind w:left="0" w:right="0" w:firstLine="0"/>
              <w:rPr>
                <w:color w:val="auto"/>
                <w:sz w:val="16"/>
                <w:szCs w:val="16"/>
              </w:rPr>
            </w:pPr>
            <w:r>
              <w:rPr>
                <w:color w:val="auto"/>
                <w:sz w:val="16"/>
                <w:szCs w:val="16"/>
              </w:rPr>
              <w:t>T</w:t>
            </w:r>
            <w:r w:rsidRPr="00E60BDB">
              <w:rPr>
                <w:color w:val="auto"/>
                <w:sz w:val="16"/>
                <w:szCs w:val="16"/>
              </w:rPr>
              <w:t xml:space="preserve">ransferencias </w:t>
            </w:r>
            <w:r>
              <w:rPr>
                <w:color w:val="auto"/>
                <w:sz w:val="16"/>
                <w:szCs w:val="16"/>
              </w:rPr>
              <w:t xml:space="preserve">netas </w:t>
            </w:r>
            <w:r w:rsidRPr="00E60BDB">
              <w:rPr>
                <w:color w:val="auto"/>
                <w:sz w:val="16"/>
                <w:szCs w:val="16"/>
              </w:rPr>
              <w:t>de capital</w:t>
            </w:r>
          </w:p>
        </w:tc>
        <w:tc>
          <w:tcPr>
            <w:tcW w:w="1021" w:type="dxa"/>
            <w:tcBorders>
              <w:top w:val="nil"/>
            </w:tcBorders>
            <w:vAlign w:val="center"/>
          </w:tcPr>
          <w:p w14:paraId="162F4CBC" w14:textId="77777777" w:rsidR="00524FDB" w:rsidRPr="002D3841" w:rsidRDefault="00524FDB" w:rsidP="00524FDB">
            <w:pPr>
              <w:pStyle w:val="p0"/>
              <w:spacing w:before="60" w:after="60"/>
              <w:ind w:left="0" w:right="268" w:firstLine="0"/>
              <w:jc w:val="right"/>
              <w:rPr>
                <w:color w:val="auto"/>
                <w:sz w:val="16"/>
                <w:szCs w:val="16"/>
              </w:rPr>
            </w:pPr>
            <w:r w:rsidRPr="006C3696">
              <w:rPr>
                <w:color w:val="auto"/>
                <w:sz w:val="16"/>
                <w:szCs w:val="16"/>
              </w:rPr>
              <w:t>0.3</w:t>
            </w:r>
          </w:p>
        </w:tc>
        <w:tc>
          <w:tcPr>
            <w:tcW w:w="992" w:type="dxa"/>
            <w:tcBorders>
              <w:top w:val="nil"/>
            </w:tcBorders>
            <w:vAlign w:val="center"/>
          </w:tcPr>
          <w:p w14:paraId="2F9F76D4" w14:textId="77777777" w:rsidR="00524FDB" w:rsidRPr="002D3841" w:rsidRDefault="00524FDB" w:rsidP="00524FDB">
            <w:pPr>
              <w:pStyle w:val="p0"/>
              <w:spacing w:before="60" w:after="60"/>
              <w:ind w:left="0" w:right="240" w:firstLine="0"/>
              <w:jc w:val="right"/>
              <w:rPr>
                <w:color w:val="auto"/>
                <w:sz w:val="16"/>
                <w:szCs w:val="16"/>
              </w:rPr>
            </w:pPr>
            <w:r w:rsidRPr="006C3696">
              <w:rPr>
                <w:color w:val="auto"/>
                <w:sz w:val="16"/>
                <w:szCs w:val="16"/>
              </w:rPr>
              <w:t>0.0</w:t>
            </w:r>
          </w:p>
        </w:tc>
        <w:tc>
          <w:tcPr>
            <w:tcW w:w="992" w:type="dxa"/>
            <w:tcBorders>
              <w:top w:val="nil"/>
            </w:tcBorders>
            <w:vAlign w:val="center"/>
          </w:tcPr>
          <w:p w14:paraId="139E7524" w14:textId="77777777" w:rsidR="00524FDB" w:rsidRPr="002D3841" w:rsidRDefault="00524FDB" w:rsidP="00834B18">
            <w:pPr>
              <w:pStyle w:val="p0"/>
              <w:spacing w:before="60" w:after="60"/>
              <w:ind w:left="0" w:right="240" w:firstLine="0"/>
              <w:jc w:val="right"/>
              <w:rPr>
                <w:color w:val="auto"/>
                <w:sz w:val="16"/>
                <w:szCs w:val="16"/>
              </w:rPr>
            </w:pPr>
            <w:r w:rsidRPr="006C3696">
              <w:rPr>
                <w:color w:val="auto"/>
                <w:sz w:val="16"/>
                <w:szCs w:val="16"/>
              </w:rPr>
              <w:t>(</w:t>
            </w:r>
            <w:r w:rsidRPr="006C3696">
              <w:rPr>
                <w:color w:val="auto"/>
                <w:sz w:val="16"/>
                <w:szCs w:val="16"/>
              </w:rPr>
              <w:noBreakHyphen/>
              <w:t>)0.</w:t>
            </w:r>
            <w:r w:rsidR="00834B18">
              <w:rPr>
                <w:color w:val="auto"/>
                <w:sz w:val="16"/>
                <w:szCs w:val="16"/>
              </w:rPr>
              <w:t>3</w:t>
            </w:r>
          </w:p>
        </w:tc>
        <w:tc>
          <w:tcPr>
            <w:tcW w:w="851" w:type="dxa"/>
            <w:tcBorders>
              <w:top w:val="nil"/>
            </w:tcBorders>
            <w:vAlign w:val="center"/>
          </w:tcPr>
          <w:p w14:paraId="41009C8D" w14:textId="77777777" w:rsidR="00524FDB" w:rsidRPr="002D3841" w:rsidRDefault="00524FDB" w:rsidP="00524FDB">
            <w:pPr>
              <w:pStyle w:val="p0"/>
              <w:spacing w:before="60" w:after="60"/>
              <w:ind w:left="0" w:right="176" w:firstLine="0"/>
              <w:jc w:val="right"/>
              <w:rPr>
                <w:color w:val="auto"/>
                <w:sz w:val="16"/>
                <w:szCs w:val="16"/>
              </w:rPr>
            </w:pPr>
            <w:r w:rsidRPr="006C3696">
              <w:rPr>
                <w:color w:val="auto"/>
                <w:sz w:val="16"/>
                <w:szCs w:val="16"/>
              </w:rPr>
              <w:t>0.0</w:t>
            </w:r>
          </w:p>
        </w:tc>
        <w:tc>
          <w:tcPr>
            <w:tcW w:w="850" w:type="dxa"/>
            <w:tcBorders>
              <w:top w:val="nil"/>
            </w:tcBorders>
            <w:vAlign w:val="center"/>
          </w:tcPr>
          <w:p w14:paraId="4F82A916" w14:textId="77777777" w:rsidR="00524FDB" w:rsidRPr="002D3841" w:rsidRDefault="00524FDB" w:rsidP="00524FDB">
            <w:pPr>
              <w:pStyle w:val="p0"/>
              <w:spacing w:before="60" w:after="60"/>
              <w:ind w:left="0" w:right="175" w:firstLine="0"/>
              <w:jc w:val="right"/>
              <w:rPr>
                <w:color w:val="auto"/>
                <w:sz w:val="16"/>
                <w:szCs w:val="16"/>
              </w:rPr>
            </w:pPr>
            <w:r w:rsidRPr="006C3696">
              <w:rPr>
                <w:color w:val="auto"/>
                <w:sz w:val="16"/>
                <w:szCs w:val="16"/>
              </w:rPr>
              <w:t>0.0</w:t>
            </w:r>
          </w:p>
        </w:tc>
        <w:tc>
          <w:tcPr>
            <w:tcW w:w="1229" w:type="dxa"/>
            <w:tcBorders>
              <w:top w:val="nil"/>
            </w:tcBorders>
            <w:tcMar>
              <w:left w:w="57" w:type="dxa"/>
            </w:tcMar>
            <w:vAlign w:val="center"/>
          </w:tcPr>
          <w:p w14:paraId="629D7EFE" w14:textId="77777777" w:rsidR="00524FDB" w:rsidRPr="002D3841" w:rsidRDefault="00524FDB" w:rsidP="00524FDB">
            <w:pPr>
              <w:pStyle w:val="p0"/>
              <w:tabs>
                <w:tab w:val="left" w:pos="142"/>
              </w:tabs>
              <w:spacing w:before="60" w:after="60"/>
              <w:ind w:left="0" w:right="246" w:firstLine="0"/>
              <w:jc w:val="right"/>
              <w:rPr>
                <w:color w:val="auto"/>
                <w:sz w:val="16"/>
                <w:szCs w:val="16"/>
              </w:rPr>
            </w:pPr>
            <w:r w:rsidRPr="006C3696">
              <w:rPr>
                <w:color w:val="auto"/>
                <w:sz w:val="16"/>
                <w:szCs w:val="16"/>
              </w:rPr>
              <w:t>0.0</w:t>
            </w:r>
          </w:p>
        </w:tc>
        <w:tc>
          <w:tcPr>
            <w:tcW w:w="821" w:type="dxa"/>
            <w:tcBorders>
              <w:top w:val="nil"/>
            </w:tcBorders>
            <w:vAlign w:val="center"/>
          </w:tcPr>
          <w:p w14:paraId="4F1DB37C" w14:textId="77777777" w:rsidR="00524FDB" w:rsidRPr="002D3841" w:rsidRDefault="00524FDB" w:rsidP="00524FDB">
            <w:pPr>
              <w:pStyle w:val="p0"/>
              <w:spacing w:before="60" w:after="60"/>
              <w:ind w:left="0" w:right="175" w:firstLine="0"/>
              <w:jc w:val="right"/>
              <w:rPr>
                <w:color w:val="auto"/>
                <w:sz w:val="16"/>
                <w:szCs w:val="16"/>
              </w:rPr>
            </w:pPr>
          </w:p>
        </w:tc>
        <w:tc>
          <w:tcPr>
            <w:tcW w:w="851" w:type="dxa"/>
            <w:tcBorders>
              <w:top w:val="nil"/>
              <w:right w:val="single" w:sz="4" w:space="0" w:color="auto"/>
            </w:tcBorders>
            <w:vAlign w:val="center"/>
          </w:tcPr>
          <w:p w14:paraId="417B7463" w14:textId="77777777" w:rsidR="00524FDB" w:rsidRPr="002D3841" w:rsidRDefault="00524FDB" w:rsidP="00524FDB">
            <w:pPr>
              <w:pStyle w:val="p0"/>
              <w:spacing w:before="60" w:after="60"/>
              <w:ind w:left="0" w:right="176" w:firstLine="0"/>
              <w:jc w:val="center"/>
              <w:rPr>
                <w:color w:val="auto"/>
                <w:sz w:val="16"/>
                <w:szCs w:val="16"/>
              </w:rPr>
            </w:pPr>
          </w:p>
        </w:tc>
      </w:tr>
      <w:tr w:rsidR="00524FDB" w:rsidRPr="00E60BDB" w14:paraId="260CB231" w14:textId="77777777" w:rsidTr="00AA26F2">
        <w:tc>
          <w:tcPr>
            <w:tcW w:w="1134" w:type="dxa"/>
            <w:tcBorders>
              <w:left w:val="single" w:sz="4" w:space="0" w:color="auto"/>
            </w:tcBorders>
            <w:shd w:val="clear" w:color="auto" w:fill="FFFFFF"/>
          </w:tcPr>
          <w:p w14:paraId="2BA96D4B" w14:textId="77777777" w:rsidR="00524FDB" w:rsidRPr="00E60BDB" w:rsidRDefault="00524FDB" w:rsidP="00524FDB">
            <w:pPr>
              <w:pStyle w:val="p0"/>
              <w:spacing w:before="60" w:after="60"/>
              <w:ind w:left="0" w:right="0" w:firstLine="0"/>
              <w:jc w:val="both"/>
              <w:rPr>
                <w:color w:val="auto"/>
                <w:sz w:val="14"/>
                <w:szCs w:val="14"/>
              </w:rPr>
            </w:pPr>
          </w:p>
        </w:tc>
        <w:tc>
          <w:tcPr>
            <w:tcW w:w="1560" w:type="dxa"/>
            <w:shd w:val="clear" w:color="auto" w:fill="FFFFFF"/>
          </w:tcPr>
          <w:p w14:paraId="1DD29CFB" w14:textId="77777777" w:rsidR="00524FDB" w:rsidRPr="00E60BDB" w:rsidRDefault="00524FDB" w:rsidP="00524FDB">
            <w:pPr>
              <w:pStyle w:val="p0"/>
              <w:spacing w:before="60" w:after="60"/>
              <w:ind w:left="0" w:right="0" w:firstLine="0"/>
              <w:rPr>
                <w:color w:val="auto"/>
                <w:sz w:val="16"/>
                <w:szCs w:val="16"/>
              </w:rPr>
            </w:pPr>
            <w:r w:rsidRPr="00364E2B">
              <w:rPr>
                <w:b/>
                <w:color w:val="auto"/>
                <w:sz w:val="16"/>
                <w:szCs w:val="16"/>
              </w:rPr>
              <w:t>Usos</w:t>
            </w:r>
          </w:p>
        </w:tc>
        <w:tc>
          <w:tcPr>
            <w:tcW w:w="1021" w:type="dxa"/>
            <w:shd w:val="clear" w:color="auto" w:fill="FFFFFF"/>
            <w:vAlign w:val="center"/>
          </w:tcPr>
          <w:p w14:paraId="33DD0EA5" w14:textId="77777777" w:rsidR="00524FDB" w:rsidRPr="002D3841" w:rsidRDefault="00524FDB" w:rsidP="00524FDB">
            <w:pPr>
              <w:pStyle w:val="p0"/>
              <w:spacing w:before="60" w:after="60"/>
              <w:ind w:left="0" w:right="268" w:firstLine="0"/>
              <w:jc w:val="right"/>
              <w:rPr>
                <w:color w:val="auto"/>
                <w:sz w:val="16"/>
                <w:szCs w:val="16"/>
                <w:highlight w:val="yellow"/>
              </w:rPr>
            </w:pPr>
          </w:p>
        </w:tc>
        <w:tc>
          <w:tcPr>
            <w:tcW w:w="992" w:type="dxa"/>
            <w:shd w:val="clear" w:color="auto" w:fill="FFFFFF"/>
            <w:vAlign w:val="center"/>
          </w:tcPr>
          <w:p w14:paraId="42879207" w14:textId="77777777" w:rsidR="00524FDB" w:rsidRPr="002D3841" w:rsidRDefault="00524FDB" w:rsidP="00524FDB">
            <w:pPr>
              <w:pStyle w:val="p0"/>
              <w:spacing w:before="60" w:after="60"/>
              <w:ind w:left="0" w:right="240" w:firstLine="0"/>
              <w:jc w:val="right"/>
              <w:rPr>
                <w:color w:val="auto"/>
                <w:sz w:val="16"/>
                <w:szCs w:val="16"/>
                <w:highlight w:val="yellow"/>
              </w:rPr>
            </w:pPr>
          </w:p>
        </w:tc>
        <w:tc>
          <w:tcPr>
            <w:tcW w:w="992" w:type="dxa"/>
            <w:shd w:val="clear" w:color="auto" w:fill="FFFFFF"/>
            <w:vAlign w:val="center"/>
          </w:tcPr>
          <w:p w14:paraId="65F9F853" w14:textId="77777777" w:rsidR="00524FDB" w:rsidRPr="002D3841" w:rsidRDefault="00524FDB" w:rsidP="00524FDB">
            <w:pPr>
              <w:pStyle w:val="p0"/>
              <w:spacing w:before="60" w:after="60"/>
              <w:ind w:left="0" w:right="240" w:firstLine="0"/>
              <w:jc w:val="right"/>
              <w:rPr>
                <w:color w:val="auto"/>
                <w:sz w:val="16"/>
                <w:szCs w:val="16"/>
                <w:highlight w:val="yellow"/>
              </w:rPr>
            </w:pPr>
          </w:p>
        </w:tc>
        <w:tc>
          <w:tcPr>
            <w:tcW w:w="851" w:type="dxa"/>
            <w:shd w:val="clear" w:color="auto" w:fill="FFFFFF"/>
            <w:vAlign w:val="center"/>
          </w:tcPr>
          <w:p w14:paraId="41B86391" w14:textId="77777777" w:rsidR="00524FDB" w:rsidRPr="002D3841" w:rsidRDefault="00524FDB" w:rsidP="00524FDB">
            <w:pPr>
              <w:pStyle w:val="p0"/>
              <w:spacing w:before="60" w:after="60"/>
              <w:ind w:left="0" w:right="176" w:firstLine="0"/>
              <w:jc w:val="right"/>
              <w:rPr>
                <w:color w:val="auto"/>
                <w:sz w:val="16"/>
                <w:szCs w:val="16"/>
                <w:highlight w:val="yellow"/>
              </w:rPr>
            </w:pPr>
          </w:p>
        </w:tc>
        <w:tc>
          <w:tcPr>
            <w:tcW w:w="850" w:type="dxa"/>
            <w:shd w:val="clear" w:color="auto" w:fill="FFFFFF"/>
            <w:vAlign w:val="center"/>
          </w:tcPr>
          <w:p w14:paraId="59D07C3A" w14:textId="77777777" w:rsidR="00524FDB" w:rsidRPr="002D3841" w:rsidRDefault="00524FDB" w:rsidP="00524FDB">
            <w:pPr>
              <w:pStyle w:val="p0"/>
              <w:spacing w:before="60" w:after="60"/>
              <w:ind w:left="0" w:right="175" w:firstLine="0"/>
              <w:jc w:val="right"/>
              <w:rPr>
                <w:color w:val="auto"/>
                <w:sz w:val="16"/>
                <w:szCs w:val="16"/>
                <w:highlight w:val="yellow"/>
              </w:rPr>
            </w:pPr>
          </w:p>
        </w:tc>
        <w:tc>
          <w:tcPr>
            <w:tcW w:w="1229" w:type="dxa"/>
            <w:shd w:val="clear" w:color="auto" w:fill="FFFFFF"/>
            <w:tcMar>
              <w:left w:w="57" w:type="dxa"/>
            </w:tcMar>
            <w:vAlign w:val="center"/>
          </w:tcPr>
          <w:p w14:paraId="2E3AB302" w14:textId="77777777" w:rsidR="00524FDB" w:rsidRPr="002D3841" w:rsidRDefault="00524FDB" w:rsidP="00524FDB">
            <w:pPr>
              <w:pStyle w:val="p0"/>
              <w:tabs>
                <w:tab w:val="left" w:pos="142"/>
              </w:tabs>
              <w:spacing w:before="60" w:after="60"/>
              <w:ind w:left="0" w:right="246" w:firstLine="0"/>
              <w:jc w:val="right"/>
              <w:rPr>
                <w:color w:val="auto"/>
                <w:sz w:val="16"/>
                <w:szCs w:val="16"/>
                <w:highlight w:val="yellow"/>
              </w:rPr>
            </w:pPr>
          </w:p>
        </w:tc>
        <w:tc>
          <w:tcPr>
            <w:tcW w:w="821" w:type="dxa"/>
            <w:shd w:val="clear" w:color="auto" w:fill="FFFFFF"/>
            <w:vAlign w:val="center"/>
          </w:tcPr>
          <w:p w14:paraId="1CF229D2" w14:textId="77777777" w:rsidR="00524FDB" w:rsidRPr="002D3841" w:rsidRDefault="00524FDB" w:rsidP="00524FDB">
            <w:pPr>
              <w:pStyle w:val="p0"/>
              <w:spacing w:before="60" w:after="60"/>
              <w:ind w:left="0" w:right="175" w:firstLine="0"/>
              <w:jc w:val="right"/>
              <w:rPr>
                <w:color w:val="auto"/>
                <w:sz w:val="16"/>
                <w:szCs w:val="16"/>
                <w:highlight w:val="yellow"/>
              </w:rPr>
            </w:pPr>
          </w:p>
        </w:tc>
        <w:tc>
          <w:tcPr>
            <w:tcW w:w="851" w:type="dxa"/>
            <w:tcBorders>
              <w:right w:val="single" w:sz="4" w:space="0" w:color="auto"/>
            </w:tcBorders>
            <w:shd w:val="clear" w:color="auto" w:fill="FFFFFF"/>
            <w:vAlign w:val="center"/>
          </w:tcPr>
          <w:p w14:paraId="113B2BD1" w14:textId="77777777" w:rsidR="00524FDB" w:rsidRPr="002D3841" w:rsidRDefault="00524FDB" w:rsidP="00524FDB">
            <w:pPr>
              <w:pStyle w:val="p0"/>
              <w:spacing w:before="60" w:after="60"/>
              <w:ind w:left="0" w:right="176" w:firstLine="0"/>
              <w:jc w:val="right"/>
              <w:rPr>
                <w:color w:val="auto"/>
                <w:sz w:val="16"/>
                <w:szCs w:val="16"/>
                <w:highlight w:val="yellow"/>
              </w:rPr>
            </w:pPr>
          </w:p>
        </w:tc>
      </w:tr>
      <w:tr w:rsidR="00524FDB" w:rsidRPr="0005130C" w14:paraId="4EE6C36D" w14:textId="77777777" w:rsidTr="00524FDB">
        <w:tc>
          <w:tcPr>
            <w:tcW w:w="1134" w:type="dxa"/>
            <w:tcBorders>
              <w:left w:val="single" w:sz="4" w:space="0" w:color="auto"/>
            </w:tcBorders>
            <w:shd w:val="clear" w:color="auto" w:fill="FABF8F" w:themeFill="accent6" w:themeFillTint="99"/>
          </w:tcPr>
          <w:p w14:paraId="501CBD4B" w14:textId="77777777" w:rsidR="00524FDB" w:rsidRPr="0005130C" w:rsidRDefault="00524FDB" w:rsidP="00524FDB">
            <w:pPr>
              <w:pStyle w:val="p0"/>
              <w:spacing w:before="60" w:after="60"/>
              <w:ind w:left="0" w:right="0" w:firstLine="0"/>
              <w:jc w:val="both"/>
              <w:rPr>
                <w:color w:val="auto"/>
                <w:sz w:val="14"/>
                <w:szCs w:val="14"/>
              </w:rPr>
            </w:pPr>
            <w:r w:rsidRPr="0005130C">
              <w:rPr>
                <w:color w:val="auto"/>
                <w:sz w:val="14"/>
                <w:szCs w:val="14"/>
              </w:rPr>
              <w:t>(3)</w:t>
            </w:r>
          </w:p>
        </w:tc>
        <w:tc>
          <w:tcPr>
            <w:tcW w:w="1560" w:type="dxa"/>
            <w:shd w:val="clear" w:color="auto" w:fill="FABF8F" w:themeFill="accent6" w:themeFillTint="99"/>
            <w:vAlign w:val="bottom"/>
          </w:tcPr>
          <w:p w14:paraId="7996C8A0" w14:textId="77777777" w:rsidR="00524FDB" w:rsidRPr="0005130C" w:rsidRDefault="00524FDB" w:rsidP="00524FDB">
            <w:pPr>
              <w:pStyle w:val="p0"/>
              <w:spacing w:before="60" w:after="60"/>
              <w:ind w:left="0" w:right="0" w:firstLine="0"/>
              <w:rPr>
                <w:color w:val="auto"/>
                <w:sz w:val="16"/>
                <w:szCs w:val="16"/>
              </w:rPr>
            </w:pPr>
            <w:r>
              <w:rPr>
                <w:color w:val="auto"/>
                <w:sz w:val="16"/>
                <w:szCs w:val="16"/>
              </w:rPr>
              <w:t>Activos no Financieros*</w:t>
            </w:r>
          </w:p>
        </w:tc>
        <w:tc>
          <w:tcPr>
            <w:tcW w:w="1021" w:type="dxa"/>
            <w:shd w:val="clear" w:color="auto" w:fill="FABF8F" w:themeFill="accent6" w:themeFillTint="99"/>
            <w:vAlign w:val="center"/>
          </w:tcPr>
          <w:p w14:paraId="289B8EEC" w14:textId="77777777" w:rsidR="00524FDB" w:rsidRPr="002D3841" w:rsidRDefault="00524FDB" w:rsidP="00524FDB">
            <w:pPr>
              <w:pStyle w:val="p0"/>
              <w:spacing w:before="60" w:after="60"/>
              <w:ind w:left="0" w:right="268" w:firstLine="0"/>
              <w:jc w:val="right"/>
              <w:rPr>
                <w:color w:val="auto"/>
                <w:sz w:val="16"/>
                <w:szCs w:val="16"/>
              </w:rPr>
            </w:pPr>
            <w:r w:rsidRPr="001652F1">
              <w:rPr>
                <w:color w:val="auto"/>
                <w:sz w:val="16"/>
                <w:szCs w:val="16"/>
              </w:rPr>
              <w:t>17.0</w:t>
            </w:r>
          </w:p>
        </w:tc>
        <w:tc>
          <w:tcPr>
            <w:tcW w:w="992" w:type="dxa"/>
            <w:shd w:val="clear" w:color="auto" w:fill="FABF8F" w:themeFill="accent6" w:themeFillTint="99"/>
            <w:vAlign w:val="center"/>
          </w:tcPr>
          <w:p w14:paraId="72C6C3AE" w14:textId="77777777" w:rsidR="00524FDB" w:rsidRPr="002D3841" w:rsidRDefault="00524FDB" w:rsidP="00524FDB">
            <w:pPr>
              <w:pStyle w:val="p0"/>
              <w:spacing w:before="60" w:after="60"/>
              <w:ind w:left="0" w:right="240" w:firstLine="0"/>
              <w:jc w:val="right"/>
              <w:rPr>
                <w:color w:val="auto"/>
                <w:sz w:val="16"/>
                <w:szCs w:val="16"/>
              </w:rPr>
            </w:pPr>
            <w:r w:rsidRPr="001652F1">
              <w:rPr>
                <w:color w:val="auto"/>
                <w:sz w:val="16"/>
                <w:szCs w:val="16"/>
              </w:rPr>
              <w:t>0.0</w:t>
            </w:r>
          </w:p>
        </w:tc>
        <w:tc>
          <w:tcPr>
            <w:tcW w:w="992" w:type="dxa"/>
            <w:shd w:val="clear" w:color="auto" w:fill="FABF8F" w:themeFill="accent6" w:themeFillTint="99"/>
            <w:vAlign w:val="center"/>
          </w:tcPr>
          <w:p w14:paraId="4E4DE325" w14:textId="77777777" w:rsidR="00524FDB" w:rsidRPr="002D3841" w:rsidRDefault="00524FDB" w:rsidP="00524FDB">
            <w:pPr>
              <w:pStyle w:val="p0"/>
              <w:spacing w:before="60" w:after="60"/>
              <w:ind w:left="0" w:right="240" w:firstLine="0"/>
              <w:jc w:val="right"/>
              <w:rPr>
                <w:color w:val="auto"/>
                <w:sz w:val="16"/>
                <w:szCs w:val="16"/>
              </w:rPr>
            </w:pPr>
            <w:r w:rsidRPr="001652F1">
              <w:rPr>
                <w:color w:val="auto"/>
                <w:sz w:val="16"/>
                <w:szCs w:val="16"/>
              </w:rPr>
              <w:t>2.2</w:t>
            </w:r>
          </w:p>
        </w:tc>
        <w:tc>
          <w:tcPr>
            <w:tcW w:w="851" w:type="dxa"/>
            <w:shd w:val="clear" w:color="auto" w:fill="FABF8F" w:themeFill="accent6" w:themeFillTint="99"/>
            <w:vAlign w:val="center"/>
          </w:tcPr>
          <w:p w14:paraId="1D0FE2E0" w14:textId="77777777" w:rsidR="00524FDB" w:rsidRPr="002D3841" w:rsidRDefault="00524FDB" w:rsidP="00524FDB">
            <w:pPr>
              <w:pStyle w:val="p0"/>
              <w:spacing w:before="60" w:after="60"/>
              <w:ind w:left="0" w:right="176" w:firstLine="0"/>
              <w:jc w:val="right"/>
              <w:rPr>
                <w:color w:val="auto"/>
                <w:sz w:val="16"/>
                <w:szCs w:val="16"/>
              </w:rPr>
            </w:pPr>
            <w:r w:rsidRPr="001652F1">
              <w:rPr>
                <w:color w:val="auto"/>
                <w:sz w:val="16"/>
                <w:szCs w:val="16"/>
              </w:rPr>
              <w:t>6.2</w:t>
            </w:r>
          </w:p>
        </w:tc>
        <w:tc>
          <w:tcPr>
            <w:tcW w:w="850" w:type="dxa"/>
            <w:shd w:val="clear" w:color="auto" w:fill="FABF8F" w:themeFill="accent6" w:themeFillTint="99"/>
            <w:vAlign w:val="center"/>
          </w:tcPr>
          <w:p w14:paraId="057F7C74" w14:textId="77777777" w:rsidR="00524FDB" w:rsidRPr="002D3841" w:rsidRDefault="00524FDB" w:rsidP="00524FDB">
            <w:pPr>
              <w:pStyle w:val="p0"/>
              <w:spacing w:before="60" w:after="60"/>
              <w:ind w:left="0" w:right="175" w:firstLine="0"/>
              <w:jc w:val="right"/>
              <w:rPr>
                <w:color w:val="auto"/>
                <w:sz w:val="16"/>
                <w:szCs w:val="16"/>
              </w:rPr>
            </w:pPr>
            <w:r w:rsidRPr="001652F1">
              <w:rPr>
                <w:color w:val="auto"/>
                <w:sz w:val="16"/>
                <w:szCs w:val="16"/>
              </w:rPr>
              <w:t>0.0</w:t>
            </w:r>
          </w:p>
        </w:tc>
        <w:tc>
          <w:tcPr>
            <w:tcW w:w="1229" w:type="dxa"/>
            <w:shd w:val="clear" w:color="auto" w:fill="FABF8F" w:themeFill="accent6" w:themeFillTint="99"/>
            <w:tcMar>
              <w:left w:w="57" w:type="dxa"/>
            </w:tcMar>
            <w:vAlign w:val="center"/>
          </w:tcPr>
          <w:p w14:paraId="06D60FCA" w14:textId="77777777" w:rsidR="00524FDB" w:rsidRPr="002D3841" w:rsidRDefault="00524FDB" w:rsidP="00524FDB">
            <w:pPr>
              <w:pStyle w:val="p0"/>
              <w:tabs>
                <w:tab w:val="left" w:pos="142"/>
              </w:tabs>
              <w:spacing w:before="60" w:after="60"/>
              <w:ind w:left="0" w:right="246" w:firstLine="0"/>
              <w:jc w:val="right"/>
              <w:rPr>
                <w:color w:val="auto"/>
                <w:sz w:val="16"/>
                <w:szCs w:val="16"/>
              </w:rPr>
            </w:pPr>
            <w:r w:rsidRPr="001652F1">
              <w:rPr>
                <w:color w:val="auto"/>
                <w:sz w:val="16"/>
                <w:szCs w:val="16"/>
              </w:rPr>
              <w:t>25.4</w:t>
            </w:r>
          </w:p>
        </w:tc>
        <w:tc>
          <w:tcPr>
            <w:tcW w:w="821" w:type="dxa"/>
            <w:shd w:val="clear" w:color="auto" w:fill="FABF8F" w:themeFill="accent6" w:themeFillTint="99"/>
            <w:vAlign w:val="center"/>
          </w:tcPr>
          <w:p w14:paraId="5D285AD9" w14:textId="77777777" w:rsidR="00524FDB" w:rsidRPr="002D3841" w:rsidRDefault="00524FDB" w:rsidP="00524FDB">
            <w:pPr>
              <w:pStyle w:val="p0"/>
              <w:spacing w:before="60" w:after="60"/>
              <w:ind w:left="0" w:right="175" w:firstLine="0"/>
              <w:jc w:val="right"/>
              <w:rPr>
                <w:color w:val="auto"/>
                <w:sz w:val="16"/>
                <w:szCs w:val="16"/>
              </w:rPr>
            </w:pPr>
          </w:p>
        </w:tc>
        <w:tc>
          <w:tcPr>
            <w:tcW w:w="851" w:type="dxa"/>
            <w:tcBorders>
              <w:right w:val="single" w:sz="4" w:space="0" w:color="auto"/>
            </w:tcBorders>
            <w:shd w:val="clear" w:color="auto" w:fill="FABF8F" w:themeFill="accent6" w:themeFillTint="99"/>
            <w:vAlign w:val="center"/>
          </w:tcPr>
          <w:p w14:paraId="703225F3" w14:textId="77777777" w:rsidR="00524FDB" w:rsidRPr="002D3841" w:rsidRDefault="00524FDB" w:rsidP="00524FDB">
            <w:pPr>
              <w:pStyle w:val="p0"/>
              <w:spacing w:before="60" w:after="60"/>
              <w:ind w:left="0" w:right="176" w:firstLine="0"/>
              <w:jc w:val="right"/>
              <w:rPr>
                <w:color w:val="auto"/>
                <w:sz w:val="16"/>
                <w:szCs w:val="16"/>
              </w:rPr>
            </w:pPr>
            <w:r w:rsidRPr="001652F1">
              <w:rPr>
                <w:color w:val="auto"/>
                <w:sz w:val="16"/>
                <w:szCs w:val="16"/>
              </w:rPr>
              <w:t>25.4</w:t>
            </w:r>
          </w:p>
        </w:tc>
      </w:tr>
      <w:tr w:rsidR="00524FDB" w:rsidRPr="00E60BDB" w14:paraId="15847873" w14:textId="77777777" w:rsidTr="00AA26F2">
        <w:trPr>
          <w:trHeight w:val="127"/>
        </w:trPr>
        <w:tc>
          <w:tcPr>
            <w:tcW w:w="1134" w:type="dxa"/>
            <w:tcBorders>
              <w:left w:val="single" w:sz="4" w:space="0" w:color="auto"/>
            </w:tcBorders>
            <w:shd w:val="clear" w:color="auto" w:fill="FFFFFF"/>
          </w:tcPr>
          <w:p w14:paraId="05E41906" w14:textId="77777777" w:rsidR="00524FDB" w:rsidRPr="0034605C" w:rsidRDefault="00524FDB" w:rsidP="00524FDB">
            <w:pPr>
              <w:pStyle w:val="p0"/>
              <w:spacing w:before="60" w:after="60"/>
              <w:ind w:left="0" w:right="0" w:firstLine="0"/>
              <w:jc w:val="both"/>
              <w:rPr>
                <w:color w:val="auto"/>
                <w:sz w:val="8"/>
                <w:szCs w:val="14"/>
              </w:rPr>
            </w:pPr>
          </w:p>
        </w:tc>
        <w:tc>
          <w:tcPr>
            <w:tcW w:w="1560" w:type="dxa"/>
            <w:shd w:val="clear" w:color="auto" w:fill="FFFFFF"/>
          </w:tcPr>
          <w:p w14:paraId="1AA0A84A" w14:textId="77777777" w:rsidR="00524FDB" w:rsidRPr="0034605C" w:rsidRDefault="00524FDB" w:rsidP="00524FDB">
            <w:pPr>
              <w:pStyle w:val="p0"/>
              <w:spacing w:before="60" w:after="60"/>
              <w:ind w:left="0" w:right="0" w:firstLine="0"/>
              <w:rPr>
                <w:color w:val="auto"/>
                <w:sz w:val="8"/>
                <w:szCs w:val="16"/>
              </w:rPr>
            </w:pPr>
          </w:p>
        </w:tc>
        <w:tc>
          <w:tcPr>
            <w:tcW w:w="1021" w:type="dxa"/>
            <w:shd w:val="clear" w:color="auto" w:fill="FFFFFF"/>
            <w:vAlign w:val="center"/>
          </w:tcPr>
          <w:p w14:paraId="2064DFB3" w14:textId="77777777" w:rsidR="00524FDB" w:rsidRPr="002D3841" w:rsidRDefault="00524FDB" w:rsidP="00524FDB">
            <w:pPr>
              <w:pStyle w:val="p0"/>
              <w:spacing w:before="60" w:after="60"/>
              <w:ind w:left="0" w:right="268" w:firstLine="0"/>
              <w:jc w:val="right"/>
              <w:rPr>
                <w:color w:val="auto"/>
                <w:sz w:val="8"/>
                <w:szCs w:val="16"/>
                <w:highlight w:val="yellow"/>
              </w:rPr>
            </w:pPr>
          </w:p>
        </w:tc>
        <w:tc>
          <w:tcPr>
            <w:tcW w:w="992" w:type="dxa"/>
            <w:shd w:val="clear" w:color="auto" w:fill="FFFFFF"/>
            <w:vAlign w:val="center"/>
          </w:tcPr>
          <w:p w14:paraId="58E68E13" w14:textId="77777777" w:rsidR="00524FDB" w:rsidRPr="002D3841" w:rsidRDefault="00524FDB" w:rsidP="00524FDB">
            <w:pPr>
              <w:pStyle w:val="p0"/>
              <w:spacing w:before="60" w:after="60"/>
              <w:ind w:left="0" w:right="240" w:firstLine="0"/>
              <w:jc w:val="right"/>
              <w:rPr>
                <w:color w:val="auto"/>
                <w:sz w:val="8"/>
                <w:szCs w:val="16"/>
                <w:highlight w:val="yellow"/>
              </w:rPr>
            </w:pPr>
          </w:p>
        </w:tc>
        <w:tc>
          <w:tcPr>
            <w:tcW w:w="992" w:type="dxa"/>
            <w:shd w:val="clear" w:color="auto" w:fill="FFFFFF"/>
            <w:vAlign w:val="center"/>
          </w:tcPr>
          <w:p w14:paraId="1FE543A6" w14:textId="77777777" w:rsidR="00524FDB" w:rsidRPr="002D3841" w:rsidRDefault="00524FDB" w:rsidP="00524FDB">
            <w:pPr>
              <w:pStyle w:val="p0"/>
              <w:spacing w:before="60" w:after="60"/>
              <w:ind w:left="0" w:right="240" w:firstLine="0"/>
              <w:jc w:val="right"/>
              <w:rPr>
                <w:color w:val="auto"/>
                <w:sz w:val="8"/>
                <w:szCs w:val="16"/>
                <w:highlight w:val="yellow"/>
              </w:rPr>
            </w:pPr>
          </w:p>
        </w:tc>
        <w:tc>
          <w:tcPr>
            <w:tcW w:w="851" w:type="dxa"/>
            <w:shd w:val="clear" w:color="auto" w:fill="FFFFFF"/>
            <w:vAlign w:val="center"/>
          </w:tcPr>
          <w:p w14:paraId="3960FB7D" w14:textId="77777777" w:rsidR="00524FDB" w:rsidRPr="002D3841" w:rsidRDefault="00524FDB" w:rsidP="00524FDB">
            <w:pPr>
              <w:pStyle w:val="p0"/>
              <w:spacing w:before="60" w:after="60"/>
              <w:ind w:left="0" w:right="176" w:firstLine="0"/>
              <w:jc w:val="right"/>
              <w:rPr>
                <w:color w:val="auto"/>
                <w:sz w:val="8"/>
                <w:szCs w:val="16"/>
                <w:highlight w:val="yellow"/>
              </w:rPr>
            </w:pPr>
          </w:p>
        </w:tc>
        <w:tc>
          <w:tcPr>
            <w:tcW w:w="850" w:type="dxa"/>
            <w:shd w:val="clear" w:color="auto" w:fill="FFFFFF"/>
            <w:vAlign w:val="center"/>
          </w:tcPr>
          <w:p w14:paraId="589CCF7D" w14:textId="77777777" w:rsidR="00524FDB" w:rsidRPr="002D3841" w:rsidRDefault="00524FDB" w:rsidP="00524FDB">
            <w:pPr>
              <w:pStyle w:val="p0"/>
              <w:spacing w:before="60" w:after="60"/>
              <w:ind w:left="0" w:right="175" w:firstLine="0"/>
              <w:jc w:val="right"/>
              <w:rPr>
                <w:color w:val="auto"/>
                <w:sz w:val="8"/>
                <w:szCs w:val="16"/>
                <w:highlight w:val="yellow"/>
              </w:rPr>
            </w:pPr>
          </w:p>
        </w:tc>
        <w:tc>
          <w:tcPr>
            <w:tcW w:w="1229" w:type="dxa"/>
            <w:shd w:val="clear" w:color="auto" w:fill="FFFFFF"/>
            <w:tcMar>
              <w:left w:w="57" w:type="dxa"/>
            </w:tcMar>
            <w:vAlign w:val="center"/>
          </w:tcPr>
          <w:p w14:paraId="12D0C987" w14:textId="77777777" w:rsidR="00524FDB" w:rsidRPr="002D3841" w:rsidRDefault="00524FDB" w:rsidP="00524FDB">
            <w:pPr>
              <w:pStyle w:val="p0"/>
              <w:tabs>
                <w:tab w:val="left" w:pos="142"/>
              </w:tabs>
              <w:spacing w:before="60" w:after="60"/>
              <w:ind w:left="0" w:right="246" w:firstLine="0"/>
              <w:jc w:val="right"/>
              <w:rPr>
                <w:color w:val="auto"/>
                <w:sz w:val="8"/>
                <w:szCs w:val="16"/>
                <w:highlight w:val="yellow"/>
              </w:rPr>
            </w:pPr>
          </w:p>
        </w:tc>
        <w:tc>
          <w:tcPr>
            <w:tcW w:w="821" w:type="dxa"/>
            <w:shd w:val="clear" w:color="auto" w:fill="FFFFFF"/>
            <w:vAlign w:val="center"/>
          </w:tcPr>
          <w:p w14:paraId="6ECFEEB9" w14:textId="77777777" w:rsidR="00524FDB" w:rsidRPr="002D3841" w:rsidRDefault="00524FDB" w:rsidP="00524FDB">
            <w:pPr>
              <w:pStyle w:val="p0"/>
              <w:spacing w:before="60" w:after="60"/>
              <w:ind w:left="0" w:right="175" w:firstLine="0"/>
              <w:jc w:val="right"/>
              <w:rPr>
                <w:color w:val="auto"/>
                <w:sz w:val="8"/>
                <w:szCs w:val="16"/>
                <w:highlight w:val="yellow"/>
              </w:rPr>
            </w:pPr>
          </w:p>
        </w:tc>
        <w:tc>
          <w:tcPr>
            <w:tcW w:w="851" w:type="dxa"/>
            <w:tcBorders>
              <w:right w:val="single" w:sz="4" w:space="0" w:color="auto"/>
            </w:tcBorders>
            <w:shd w:val="clear" w:color="auto" w:fill="FFFFFF"/>
            <w:vAlign w:val="center"/>
          </w:tcPr>
          <w:p w14:paraId="3A060F44" w14:textId="77777777" w:rsidR="00524FDB" w:rsidRPr="002D3841" w:rsidRDefault="00524FDB" w:rsidP="00524FDB">
            <w:pPr>
              <w:pStyle w:val="p0"/>
              <w:spacing w:before="60" w:after="60"/>
              <w:ind w:left="0" w:right="176" w:firstLine="0"/>
              <w:jc w:val="right"/>
              <w:rPr>
                <w:color w:val="auto"/>
                <w:sz w:val="8"/>
                <w:szCs w:val="16"/>
                <w:highlight w:val="yellow"/>
              </w:rPr>
            </w:pPr>
          </w:p>
        </w:tc>
      </w:tr>
      <w:tr w:rsidR="00524FDB" w:rsidRPr="00E60BDB" w14:paraId="3185D73D" w14:textId="77777777" w:rsidTr="00524FDB">
        <w:tc>
          <w:tcPr>
            <w:tcW w:w="1134" w:type="dxa"/>
            <w:tcBorders>
              <w:left w:val="single" w:sz="4" w:space="0" w:color="auto"/>
            </w:tcBorders>
            <w:shd w:val="clear" w:color="auto" w:fill="FDE9D9" w:themeFill="accent6" w:themeFillTint="33"/>
          </w:tcPr>
          <w:p w14:paraId="160D97F7" w14:textId="77777777" w:rsidR="00524FDB" w:rsidRPr="00E60BDB" w:rsidRDefault="00524FDB" w:rsidP="00524FDB">
            <w:pPr>
              <w:pStyle w:val="p0"/>
              <w:spacing w:before="60" w:after="60"/>
              <w:ind w:left="0" w:right="-108" w:firstLine="0"/>
              <w:jc w:val="both"/>
              <w:rPr>
                <w:color w:val="auto"/>
                <w:sz w:val="14"/>
                <w:szCs w:val="14"/>
              </w:rPr>
            </w:pPr>
            <w:r w:rsidRPr="00E60BDB">
              <w:rPr>
                <w:color w:val="auto"/>
                <w:sz w:val="14"/>
                <w:szCs w:val="14"/>
              </w:rPr>
              <w:t>(4</w:t>
            </w:r>
            <w:r>
              <w:rPr>
                <w:color w:val="auto"/>
                <w:sz w:val="14"/>
                <w:szCs w:val="14"/>
              </w:rPr>
              <w:t>)</w:t>
            </w:r>
            <w:r w:rsidRPr="00E60BDB">
              <w:rPr>
                <w:color w:val="auto"/>
                <w:sz w:val="14"/>
                <w:szCs w:val="14"/>
              </w:rPr>
              <w:t>=</w:t>
            </w:r>
            <w:r>
              <w:rPr>
                <w:color w:val="auto"/>
                <w:sz w:val="14"/>
                <w:szCs w:val="14"/>
              </w:rPr>
              <w:t>(1)+</w:t>
            </w:r>
            <w:r w:rsidRPr="00E60BDB">
              <w:rPr>
                <w:color w:val="auto"/>
                <w:sz w:val="14"/>
                <w:szCs w:val="14"/>
              </w:rPr>
              <w:t>(2)-(3)</w:t>
            </w:r>
          </w:p>
        </w:tc>
        <w:tc>
          <w:tcPr>
            <w:tcW w:w="1560" w:type="dxa"/>
            <w:shd w:val="clear" w:color="auto" w:fill="FDE9D9" w:themeFill="accent6" w:themeFillTint="33"/>
            <w:vAlign w:val="bottom"/>
          </w:tcPr>
          <w:p w14:paraId="228B9D73" w14:textId="77777777" w:rsidR="00524FDB" w:rsidRPr="00E60BDB" w:rsidRDefault="00524FDB" w:rsidP="00524FDB">
            <w:pPr>
              <w:pStyle w:val="p0"/>
              <w:spacing w:before="60" w:after="60"/>
              <w:ind w:left="0" w:right="0" w:firstLine="0"/>
              <w:rPr>
                <w:color w:val="auto"/>
                <w:sz w:val="16"/>
                <w:szCs w:val="16"/>
              </w:rPr>
            </w:pPr>
            <w:r w:rsidRPr="00E60BDB">
              <w:rPr>
                <w:color w:val="auto"/>
                <w:sz w:val="16"/>
                <w:szCs w:val="16"/>
              </w:rPr>
              <w:t>Necesidades</w:t>
            </w:r>
            <w:r>
              <w:rPr>
                <w:color w:val="auto"/>
                <w:sz w:val="16"/>
                <w:szCs w:val="16"/>
              </w:rPr>
              <w:t xml:space="preserve"> (</w:t>
            </w:r>
            <w:r>
              <w:rPr>
                <w:color w:val="auto"/>
                <w:sz w:val="16"/>
                <w:szCs w:val="16"/>
              </w:rPr>
              <w:noBreakHyphen/>
              <w:t>) / otorgamiento (+) de f</w:t>
            </w:r>
            <w:r w:rsidRPr="00E60BDB">
              <w:rPr>
                <w:color w:val="auto"/>
                <w:sz w:val="16"/>
                <w:szCs w:val="16"/>
              </w:rPr>
              <w:t>inanciamiento</w:t>
            </w:r>
          </w:p>
        </w:tc>
        <w:tc>
          <w:tcPr>
            <w:tcW w:w="1021" w:type="dxa"/>
            <w:shd w:val="clear" w:color="auto" w:fill="FDE9D9" w:themeFill="accent6" w:themeFillTint="33"/>
            <w:vAlign w:val="center"/>
          </w:tcPr>
          <w:p w14:paraId="6123F986" w14:textId="77777777" w:rsidR="00524FDB" w:rsidRPr="002D3841" w:rsidRDefault="00524FDB" w:rsidP="00524FDB">
            <w:pPr>
              <w:pStyle w:val="p0"/>
              <w:spacing w:before="60" w:after="60"/>
              <w:ind w:left="0" w:right="268" w:firstLine="0"/>
              <w:jc w:val="right"/>
              <w:rPr>
                <w:color w:val="auto"/>
                <w:sz w:val="16"/>
                <w:szCs w:val="16"/>
              </w:rPr>
            </w:pPr>
            <w:r w:rsidRPr="001652F1">
              <w:rPr>
                <w:color w:val="auto"/>
                <w:sz w:val="16"/>
                <w:szCs w:val="16"/>
              </w:rPr>
              <w:t>(</w:t>
            </w:r>
            <w:r w:rsidRPr="001652F1">
              <w:rPr>
                <w:color w:val="auto"/>
                <w:sz w:val="16"/>
                <w:szCs w:val="16"/>
              </w:rPr>
              <w:noBreakHyphen/>
              <w:t>)7.3</w:t>
            </w:r>
          </w:p>
        </w:tc>
        <w:tc>
          <w:tcPr>
            <w:tcW w:w="992" w:type="dxa"/>
            <w:shd w:val="clear" w:color="auto" w:fill="FDE9D9" w:themeFill="accent6" w:themeFillTint="33"/>
            <w:vAlign w:val="center"/>
          </w:tcPr>
          <w:p w14:paraId="3C288516" w14:textId="77777777" w:rsidR="00524FDB" w:rsidRPr="002D3841" w:rsidRDefault="00524FDB" w:rsidP="00524FDB">
            <w:pPr>
              <w:pStyle w:val="p0"/>
              <w:spacing w:before="60" w:after="60"/>
              <w:ind w:left="0" w:right="240" w:firstLine="0"/>
              <w:jc w:val="right"/>
              <w:rPr>
                <w:color w:val="auto"/>
                <w:sz w:val="16"/>
                <w:szCs w:val="16"/>
              </w:rPr>
            </w:pPr>
            <w:r>
              <w:rPr>
                <w:color w:val="auto"/>
                <w:sz w:val="16"/>
                <w:szCs w:val="16"/>
              </w:rPr>
              <w:t>4.2</w:t>
            </w:r>
          </w:p>
        </w:tc>
        <w:tc>
          <w:tcPr>
            <w:tcW w:w="992" w:type="dxa"/>
            <w:shd w:val="clear" w:color="auto" w:fill="FDE9D9" w:themeFill="accent6" w:themeFillTint="33"/>
            <w:vAlign w:val="center"/>
          </w:tcPr>
          <w:p w14:paraId="79867D0C" w14:textId="77777777" w:rsidR="00524FDB" w:rsidRPr="002D3841" w:rsidRDefault="00524FDB" w:rsidP="00524FDB">
            <w:pPr>
              <w:pStyle w:val="p0"/>
              <w:spacing w:before="60" w:after="60"/>
              <w:ind w:left="0" w:right="240" w:firstLine="0"/>
              <w:jc w:val="right"/>
              <w:rPr>
                <w:color w:val="auto"/>
                <w:sz w:val="16"/>
                <w:szCs w:val="16"/>
              </w:rPr>
            </w:pPr>
            <w:r w:rsidRPr="001652F1">
              <w:rPr>
                <w:color w:val="auto"/>
                <w:sz w:val="16"/>
                <w:szCs w:val="16"/>
              </w:rPr>
              <w:t>(</w:t>
            </w:r>
            <w:r w:rsidRPr="001652F1">
              <w:rPr>
                <w:color w:val="auto"/>
                <w:sz w:val="16"/>
                <w:szCs w:val="16"/>
              </w:rPr>
              <w:noBreakHyphen/>
              <w:t>)4.7</w:t>
            </w:r>
          </w:p>
        </w:tc>
        <w:tc>
          <w:tcPr>
            <w:tcW w:w="851" w:type="dxa"/>
            <w:shd w:val="clear" w:color="auto" w:fill="FDE9D9" w:themeFill="accent6" w:themeFillTint="33"/>
            <w:vAlign w:val="center"/>
          </w:tcPr>
          <w:p w14:paraId="37783051" w14:textId="77777777" w:rsidR="00524FDB" w:rsidRPr="002D3841" w:rsidRDefault="00524FDB" w:rsidP="00524FDB">
            <w:pPr>
              <w:pStyle w:val="p0"/>
              <w:spacing w:before="60" w:after="60"/>
              <w:ind w:left="0" w:right="176" w:firstLine="0"/>
              <w:jc w:val="right"/>
              <w:rPr>
                <w:color w:val="auto"/>
                <w:sz w:val="16"/>
                <w:szCs w:val="16"/>
              </w:rPr>
            </w:pPr>
            <w:r w:rsidRPr="001652F1">
              <w:rPr>
                <w:color w:val="auto"/>
                <w:sz w:val="16"/>
                <w:szCs w:val="16"/>
              </w:rPr>
              <w:t>5.1</w:t>
            </w:r>
          </w:p>
        </w:tc>
        <w:tc>
          <w:tcPr>
            <w:tcW w:w="850" w:type="dxa"/>
            <w:shd w:val="clear" w:color="auto" w:fill="FDE9D9" w:themeFill="accent6" w:themeFillTint="33"/>
            <w:vAlign w:val="center"/>
          </w:tcPr>
          <w:p w14:paraId="18E2701D" w14:textId="77777777" w:rsidR="00524FDB" w:rsidRPr="002D3841" w:rsidRDefault="00524FDB" w:rsidP="00524FDB">
            <w:pPr>
              <w:pStyle w:val="p0"/>
              <w:spacing w:before="60" w:after="60"/>
              <w:ind w:left="0" w:right="175" w:firstLine="0"/>
              <w:jc w:val="right"/>
              <w:rPr>
                <w:color w:val="auto"/>
                <w:sz w:val="16"/>
                <w:szCs w:val="16"/>
              </w:rPr>
            </w:pPr>
            <w:r w:rsidRPr="001652F1">
              <w:rPr>
                <w:color w:val="auto"/>
                <w:sz w:val="16"/>
                <w:szCs w:val="16"/>
              </w:rPr>
              <w:t>0.9</w:t>
            </w:r>
          </w:p>
        </w:tc>
        <w:tc>
          <w:tcPr>
            <w:tcW w:w="1229" w:type="dxa"/>
            <w:shd w:val="clear" w:color="auto" w:fill="FDE9D9" w:themeFill="accent6" w:themeFillTint="33"/>
            <w:tcMar>
              <w:left w:w="57" w:type="dxa"/>
            </w:tcMar>
            <w:vAlign w:val="center"/>
          </w:tcPr>
          <w:p w14:paraId="41F3D676" w14:textId="77777777" w:rsidR="00524FDB" w:rsidRPr="002D3841" w:rsidRDefault="00524FDB" w:rsidP="00524FDB">
            <w:pPr>
              <w:pStyle w:val="p0"/>
              <w:tabs>
                <w:tab w:val="left" w:pos="142"/>
              </w:tabs>
              <w:spacing w:before="60" w:after="60"/>
              <w:ind w:left="0" w:right="246" w:firstLine="0"/>
              <w:jc w:val="right"/>
              <w:rPr>
                <w:color w:val="auto"/>
                <w:sz w:val="16"/>
                <w:szCs w:val="16"/>
              </w:rPr>
            </w:pPr>
            <w:r>
              <w:rPr>
                <w:color w:val="auto"/>
                <w:sz w:val="16"/>
                <w:szCs w:val="16"/>
              </w:rPr>
              <w:t>(</w:t>
            </w:r>
            <w:r>
              <w:rPr>
                <w:color w:val="auto"/>
                <w:sz w:val="16"/>
                <w:szCs w:val="16"/>
              </w:rPr>
              <w:noBreakHyphen/>
              <w:t>)1.8</w:t>
            </w:r>
          </w:p>
        </w:tc>
        <w:tc>
          <w:tcPr>
            <w:tcW w:w="821" w:type="dxa"/>
            <w:shd w:val="clear" w:color="auto" w:fill="FDE9D9" w:themeFill="accent6" w:themeFillTint="33"/>
            <w:vAlign w:val="center"/>
          </w:tcPr>
          <w:p w14:paraId="4277431C" w14:textId="77777777" w:rsidR="00524FDB" w:rsidRPr="002D3841" w:rsidRDefault="00524FDB" w:rsidP="00524FDB">
            <w:pPr>
              <w:pStyle w:val="p0"/>
              <w:spacing w:before="60" w:after="60"/>
              <w:ind w:left="0" w:right="175" w:firstLine="0"/>
              <w:jc w:val="right"/>
              <w:rPr>
                <w:color w:val="auto"/>
                <w:sz w:val="16"/>
                <w:szCs w:val="16"/>
              </w:rPr>
            </w:pPr>
          </w:p>
        </w:tc>
        <w:tc>
          <w:tcPr>
            <w:tcW w:w="851" w:type="dxa"/>
            <w:tcBorders>
              <w:right w:val="single" w:sz="4" w:space="0" w:color="auto"/>
            </w:tcBorders>
            <w:shd w:val="clear" w:color="auto" w:fill="FDE9D9" w:themeFill="accent6" w:themeFillTint="33"/>
            <w:vAlign w:val="center"/>
          </w:tcPr>
          <w:p w14:paraId="745665A1" w14:textId="77777777" w:rsidR="00524FDB" w:rsidRPr="002D3841" w:rsidRDefault="00524FDB" w:rsidP="00524FDB">
            <w:pPr>
              <w:pStyle w:val="p0"/>
              <w:spacing w:before="60" w:after="60"/>
              <w:ind w:left="0" w:right="176" w:firstLine="0"/>
              <w:jc w:val="right"/>
              <w:rPr>
                <w:color w:val="auto"/>
                <w:sz w:val="16"/>
                <w:szCs w:val="16"/>
                <w:highlight w:val="yellow"/>
              </w:rPr>
            </w:pPr>
          </w:p>
        </w:tc>
      </w:tr>
      <w:tr w:rsidR="00524FDB" w:rsidRPr="00E60BDB" w14:paraId="53FED266" w14:textId="77777777" w:rsidTr="00AA26F2">
        <w:tc>
          <w:tcPr>
            <w:tcW w:w="1134" w:type="dxa"/>
            <w:tcBorders>
              <w:left w:val="single" w:sz="4" w:space="0" w:color="auto"/>
            </w:tcBorders>
          </w:tcPr>
          <w:p w14:paraId="769EFB79" w14:textId="77777777" w:rsidR="00524FDB" w:rsidRPr="0034605C" w:rsidRDefault="00524FDB" w:rsidP="00524FDB">
            <w:pPr>
              <w:pStyle w:val="p0"/>
              <w:spacing w:before="60" w:after="60"/>
              <w:ind w:left="0" w:right="0" w:firstLine="0"/>
              <w:jc w:val="both"/>
              <w:rPr>
                <w:color w:val="auto"/>
                <w:sz w:val="10"/>
                <w:szCs w:val="14"/>
              </w:rPr>
            </w:pPr>
          </w:p>
        </w:tc>
        <w:tc>
          <w:tcPr>
            <w:tcW w:w="1560" w:type="dxa"/>
          </w:tcPr>
          <w:p w14:paraId="4C2259A0" w14:textId="77777777" w:rsidR="00524FDB" w:rsidRPr="0034605C" w:rsidRDefault="00524FDB" w:rsidP="00524FDB">
            <w:pPr>
              <w:pStyle w:val="p0"/>
              <w:spacing w:before="60" w:after="60"/>
              <w:ind w:left="0" w:right="0" w:firstLine="0"/>
              <w:rPr>
                <w:color w:val="auto"/>
                <w:sz w:val="10"/>
                <w:szCs w:val="16"/>
              </w:rPr>
            </w:pPr>
          </w:p>
        </w:tc>
        <w:tc>
          <w:tcPr>
            <w:tcW w:w="1021" w:type="dxa"/>
            <w:vAlign w:val="center"/>
          </w:tcPr>
          <w:p w14:paraId="5CD534F3" w14:textId="77777777" w:rsidR="00524FDB" w:rsidRPr="002D3841" w:rsidRDefault="00524FDB" w:rsidP="00524FDB">
            <w:pPr>
              <w:pStyle w:val="p0"/>
              <w:spacing w:before="60" w:after="60"/>
              <w:ind w:left="0" w:right="268" w:firstLine="0"/>
              <w:jc w:val="right"/>
              <w:rPr>
                <w:color w:val="auto"/>
                <w:sz w:val="10"/>
                <w:szCs w:val="16"/>
                <w:highlight w:val="yellow"/>
              </w:rPr>
            </w:pPr>
          </w:p>
        </w:tc>
        <w:tc>
          <w:tcPr>
            <w:tcW w:w="992" w:type="dxa"/>
            <w:vAlign w:val="center"/>
          </w:tcPr>
          <w:p w14:paraId="7A5D48B5" w14:textId="77777777" w:rsidR="00524FDB" w:rsidRPr="002D3841" w:rsidRDefault="00524FDB" w:rsidP="00524FDB">
            <w:pPr>
              <w:pStyle w:val="p0"/>
              <w:spacing w:before="60" w:after="60"/>
              <w:ind w:left="0" w:right="240" w:firstLine="0"/>
              <w:jc w:val="right"/>
              <w:rPr>
                <w:color w:val="auto"/>
                <w:sz w:val="10"/>
                <w:szCs w:val="16"/>
                <w:highlight w:val="yellow"/>
              </w:rPr>
            </w:pPr>
          </w:p>
        </w:tc>
        <w:tc>
          <w:tcPr>
            <w:tcW w:w="992" w:type="dxa"/>
            <w:vAlign w:val="center"/>
          </w:tcPr>
          <w:p w14:paraId="67BB4050" w14:textId="77777777" w:rsidR="00524FDB" w:rsidRPr="002D3841" w:rsidRDefault="00524FDB" w:rsidP="00524FDB">
            <w:pPr>
              <w:pStyle w:val="p0"/>
              <w:spacing w:before="60" w:after="60"/>
              <w:ind w:left="0" w:right="240" w:firstLine="0"/>
              <w:jc w:val="right"/>
              <w:rPr>
                <w:color w:val="auto"/>
                <w:sz w:val="10"/>
                <w:szCs w:val="16"/>
                <w:highlight w:val="yellow"/>
              </w:rPr>
            </w:pPr>
          </w:p>
        </w:tc>
        <w:tc>
          <w:tcPr>
            <w:tcW w:w="851" w:type="dxa"/>
            <w:vAlign w:val="center"/>
          </w:tcPr>
          <w:p w14:paraId="159F20F2" w14:textId="77777777" w:rsidR="00524FDB" w:rsidRPr="002D3841" w:rsidRDefault="00524FDB" w:rsidP="00524FDB">
            <w:pPr>
              <w:pStyle w:val="p0"/>
              <w:spacing w:before="60" w:after="60"/>
              <w:ind w:left="0" w:right="176" w:firstLine="0"/>
              <w:jc w:val="right"/>
              <w:rPr>
                <w:color w:val="auto"/>
                <w:sz w:val="10"/>
                <w:szCs w:val="16"/>
                <w:highlight w:val="yellow"/>
              </w:rPr>
            </w:pPr>
          </w:p>
        </w:tc>
        <w:tc>
          <w:tcPr>
            <w:tcW w:w="850" w:type="dxa"/>
            <w:vAlign w:val="center"/>
          </w:tcPr>
          <w:p w14:paraId="14BF9C43" w14:textId="77777777" w:rsidR="00524FDB" w:rsidRPr="002D3841" w:rsidRDefault="00524FDB" w:rsidP="00524FDB">
            <w:pPr>
              <w:pStyle w:val="p0"/>
              <w:spacing w:before="60" w:after="60"/>
              <w:ind w:left="0" w:right="175" w:firstLine="0"/>
              <w:jc w:val="right"/>
              <w:rPr>
                <w:color w:val="auto"/>
                <w:sz w:val="10"/>
                <w:szCs w:val="16"/>
                <w:highlight w:val="yellow"/>
              </w:rPr>
            </w:pPr>
          </w:p>
        </w:tc>
        <w:tc>
          <w:tcPr>
            <w:tcW w:w="1229" w:type="dxa"/>
            <w:tcMar>
              <w:left w:w="57" w:type="dxa"/>
            </w:tcMar>
            <w:vAlign w:val="center"/>
          </w:tcPr>
          <w:p w14:paraId="15DA8099" w14:textId="77777777" w:rsidR="00524FDB" w:rsidRPr="002D3841" w:rsidRDefault="00524FDB" w:rsidP="00524FDB">
            <w:pPr>
              <w:pStyle w:val="p0"/>
              <w:tabs>
                <w:tab w:val="left" w:pos="142"/>
              </w:tabs>
              <w:spacing w:before="60" w:after="60"/>
              <w:ind w:left="0" w:right="246" w:firstLine="0"/>
              <w:jc w:val="right"/>
              <w:rPr>
                <w:color w:val="auto"/>
                <w:sz w:val="10"/>
                <w:szCs w:val="16"/>
                <w:highlight w:val="yellow"/>
              </w:rPr>
            </w:pPr>
          </w:p>
        </w:tc>
        <w:tc>
          <w:tcPr>
            <w:tcW w:w="821" w:type="dxa"/>
            <w:vAlign w:val="center"/>
          </w:tcPr>
          <w:p w14:paraId="7A842148" w14:textId="77777777" w:rsidR="00524FDB" w:rsidRPr="002D3841" w:rsidRDefault="00524FDB" w:rsidP="00524FDB">
            <w:pPr>
              <w:pStyle w:val="p0"/>
              <w:spacing w:before="60" w:after="60"/>
              <w:ind w:left="0" w:right="175" w:firstLine="0"/>
              <w:jc w:val="right"/>
              <w:rPr>
                <w:color w:val="auto"/>
                <w:sz w:val="10"/>
                <w:szCs w:val="16"/>
                <w:highlight w:val="yellow"/>
              </w:rPr>
            </w:pPr>
          </w:p>
        </w:tc>
        <w:tc>
          <w:tcPr>
            <w:tcW w:w="851" w:type="dxa"/>
            <w:tcBorders>
              <w:right w:val="single" w:sz="4" w:space="0" w:color="auto"/>
            </w:tcBorders>
            <w:vAlign w:val="center"/>
          </w:tcPr>
          <w:p w14:paraId="39FDADBC" w14:textId="77777777" w:rsidR="00524FDB" w:rsidRPr="002D3841" w:rsidRDefault="00524FDB" w:rsidP="00524FDB">
            <w:pPr>
              <w:pStyle w:val="p0"/>
              <w:spacing w:before="60" w:after="60"/>
              <w:ind w:left="0" w:right="176" w:firstLine="0"/>
              <w:jc w:val="right"/>
              <w:rPr>
                <w:color w:val="auto"/>
                <w:sz w:val="10"/>
                <w:szCs w:val="16"/>
                <w:highlight w:val="yellow"/>
              </w:rPr>
            </w:pPr>
          </w:p>
        </w:tc>
      </w:tr>
      <w:tr w:rsidR="00524FDB" w:rsidRPr="00E60BDB" w14:paraId="1BA862BC" w14:textId="77777777" w:rsidTr="00AA26F2">
        <w:tc>
          <w:tcPr>
            <w:tcW w:w="1134" w:type="dxa"/>
            <w:tcBorders>
              <w:left w:val="single" w:sz="4" w:space="0" w:color="auto"/>
            </w:tcBorders>
          </w:tcPr>
          <w:p w14:paraId="71DA695F" w14:textId="77777777" w:rsidR="00524FDB" w:rsidRPr="00E60BDB" w:rsidRDefault="00524FDB" w:rsidP="00524FDB">
            <w:pPr>
              <w:pStyle w:val="p0"/>
              <w:spacing w:before="60" w:after="60"/>
              <w:ind w:left="0" w:right="0" w:firstLine="0"/>
              <w:jc w:val="both"/>
              <w:rPr>
                <w:color w:val="auto"/>
                <w:sz w:val="14"/>
                <w:szCs w:val="14"/>
              </w:rPr>
            </w:pPr>
            <w:r w:rsidRPr="00E60BDB">
              <w:rPr>
                <w:color w:val="auto"/>
                <w:sz w:val="14"/>
                <w:szCs w:val="14"/>
              </w:rPr>
              <w:t>(5)</w:t>
            </w:r>
          </w:p>
        </w:tc>
        <w:tc>
          <w:tcPr>
            <w:tcW w:w="1560" w:type="dxa"/>
            <w:vAlign w:val="bottom"/>
          </w:tcPr>
          <w:p w14:paraId="630944F1" w14:textId="77777777" w:rsidR="00524FDB" w:rsidRPr="00E60BDB" w:rsidRDefault="00524FDB" w:rsidP="00524FDB">
            <w:pPr>
              <w:pStyle w:val="p0"/>
              <w:spacing w:before="60" w:after="60"/>
              <w:ind w:left="0" w:right="0" w:firstLine="0"/>
              <w:rPr>
                <w:color w:val="auto"/>
                <w:sz w:val="16"/>
                <w:szCs w:val="16"/>
              </w:rPr>
            </w:pPr>
            <w:r w:rsidRPr="00E60BDB">
              <w:rPr>
                <w:color w:val="auto"/>
                <w:sz w:val="16"/>
                <w:szCs w:val="16"/>
              </w:rPr>
              <w:t>Adquisición de activos financieros</w:t>
            </w:r>
          </w:p>
        </w:tc>
        <w:tc>
          <w:tcPr>
            <w:tcW w:w="1021" w:type="dxa"/>
            <w:vAlign w:val="center"/>
          </w:tcPr>
          <w:p w14:paraId="75A6ACE3" w14:textId="77777777" w:rsidR="00524FDB" w:rsidRPr="002D3841" w:rsidRDefault="00524FDB" w:rsidP="00524FDB">
            <w:pPr>
              <w:pStyle w:val="p0"/>
              <w:spacing w:before="60" w:after="60"/>
              <w:ind w:left="0" w:right="268" w:firstLine="0"/>
              <w:jc w:val="right"/>
              <w:rPr>
                <w:color w:val="auto"/>
                <w:sz w:val="16"/>
                <w:szCs w:val="16"/>
              </w:rPr>
            </w:pPr>
            <w:r w:rsidRPr="001E11A3">
              <w:rPr>
                <w:color w:val="auto"/>
                <w:sz w:val="16"/>
                <w:szCs w:val="16"/>
              </w:rPr>
              <w:t>1.6</w:t>
            </w:r>
          </w:p>
        </w:tc>
        <w:tc>
          <w:tcPr>
            <w:tcW w:w="992" w:type="dxa"/>
            <w:vAlign w:val="center"/>
          </w:tcPr>
          <w:p w14:paraId="16436A6B" w14:textId="77777777" w:rsidR="00524FDB" w:rsidRPr="002D3841" w:rsidRDefault="00524FDB" w:rsidP="00524FDB">
            <w:pPr>
              <w:pStyle w:val="p0"/>
              <w:spacing w:before="60" w:after="60"/>
              <w:ind w:left="0" w:right="240" w:firstLine="0"/>
              <w:jc w:val="right"/>
              <w:rPr>
                <w:color w:val="auto"/>
                <w:sz w:val="16"/>
                <w:szCs w:val="16"/>
              </w:rPr>
            </w:pPr>
            <w:r w:rsidRPr="001E11A3">
              <w:rPr>
                <w:color w:val="auto"/>
                <w:sz w:val="16"/>
                <w:szCs w:val="16"/>
              </w:rPr>
              <w:t>3.5</w:t>
            </w:r>
          </w:p>
        </w:tc>
        <w:tc>
          <w:tcPr>
            <w:tcW w:w="992" w:type="dxa"/>
            <w:vAlign w:val="center"/>
          </w:tcPr>
          <w:p w14:paraId="3356385B" w14:textId="77777777" w:rsidR="00524FDB" w:rsidRPr="002D3841" w:rsidRDefault="00524FDB" w:rsidP="00524FDB">
            <w:pPr>
              <w:pStyle w:val="p0"/>
              <w:spacing w:before="60" w:after="60"/>
              <w:ind w:left="0" w:right="240" w:firstLine="0"/>
              <w:jc w:val="right"/>
              <w:rPr>
                <w:color w:val="auto"/>
                <w:sz w:val="16"/>
                <w:szCs w:val="16"/>
              </w:rPr>
            </w:pPr>
            <w:r w:rsidRPr="001E11A3">
              <w:rPr>
                <w:color w:val="auto"/>
                <w:sz w:val="16"/>
                <w:szCs w:val="16"/>
              </w:rPr>
              <w:t>2.3</w:t>
            </w:r>
          </w:p>
        </w:tc>
        <w:tc>
          <w:tcPr>
            <w:tcW w:w="851" w:type="dxa"/>
            <w:vAlign w:val="center"/>
          </w:tcPr>
          <w:p w14:paraId="0DBCB85A" w14:textId="77777777" w:rsidR="00524FDB" w:rsidRPr="002D3841" w:rsidRDefault="00524FDB" w:rsidP="00524FDB">
            <w:pPr>
              <w:pStyle w:val="p0"/>
              <w:spacing w:before="60" w:after="60"/>
              <w:ind w:left="0" w:right="176" w:firstLine="0"/>
              <w:jc w:val="right"/>
              <w:rPr>
                <w:color w:val="auto"/>
                <w:sz w:val="16"/>
                <w:szCs w:val="16"/>
              </w:rPr>
            </w:pPr>
            <w:r w:rsidRPr="001E11A3">
              <w:rPr>
                <w:color w:val="auto"/>
                <w:sz w:val="16"/>
                <w:szCs w:val="16"/>
              </w:rPr>
              <w:t>6.8</w:t>
            </w:r>
          </w:p>
        </w:tc>
        <w:tc>
          <w:tcPr>
            <w:tcW w:w="850" w:type="dxa"/>
            <w:vAlign w:val="center"/>
          </w:tcPr>
          <w:p w14:paraId="1BF91E81" w14:textId="77777777" w:rsidR="00524FDB" w:rsidRPr="002D3841" w:rsidRDefault="00524FDB" w:rsidP="00524FDB">
            <w:pPr>
              <w:pStyle w:val="p0"/>
              <w:spacing w:before="60" w:after="60"/>
              <w:ind w:left="0" w:right="175" w:firstLine="0"/>
              <w:jc w:val="right"/>
              <w:rPr>
                <w:color w:val="auto"/>
                <w:sz w:val="16"/>
                <w:szCs w:val="16"/>
              </w:rPr>
            </w:pPr>
            <w:r w:rsidRPr="001E11A3">
              <w:rPr>
                <w:color w:val="auto"/>
                <w:sz w:val="16"/>
                <w:szCs w:val="16"/>
              </w:rPr>
              <w:t>0.0</w:t>
            </w:r>
          </w:p>
        </w:tc>
        <w:tc>
          <w:tcPr>
            <w:tcW w:w="1229" w:type="dxa"/>
            <w:tcMar>
              <w:left w:w="57" w:type="dxa"/>
            </w:tcMar>
            <w:vAlign w:val="center"/>
          </w:tcPr>
          <w:p w14:paraId="3F13EB1E" w14:textId="77777777" w:rsidR="00524FDB" w:rsidRPr="002D3841" w:rsidRDefault="00524FDB" w:rsidP="00524FDB">
            <w:pPr>
              <w:pStyle w:val="p0"/>
              <w:tabs>
                <w:tab w:val="left" w:pos="142"/>
              </w:tabs>
              <w:spacing w:before="60" w:after="60"/>
              <w:ind w:left="0" w:right="246" w:firstLine="0"/>
              <w:jc w:val="right"/>
              <w:rPr>
                <w:color w:val="auto"/>
                <w:sz w:val="16"/>
                <w:szCs w:val="16"/>
              </w:rPr>
            </w:pPr>
            <w:r w:rsidRPr="001E11A3">
              <w:rPr>
                <w:color w:val="auto"/>
                <w:sz w:val="16"/>
                <w:szCs w:val="16"/>
              </w:rPr>
              <w:t>14.2</w:t>
            </w:r>
          </w:p>
        </w:tc>
        <w:tc>
          <w:tcPr>
            <w:tcW w:w="821" w:type="dxa"/>
            <w:vAlign w:val="center"/>
          </w:tcPr>
          <w:p w14:paraId="7A2FB6D6" w14:textId="77777777" w:rsidR="00524FDB" w:rsidRPr="002D3841" w:rsidRDefault="00524FDB" w:rsidP="00524FDB">
            <w:pPr>
              <w:pStyle w:val="p0"/>
              <w:spacing w:before="60" w:after="60"/>
              <w:ind w:left="0" w:right="175" w:firstLine="0"/>
              <w:jc w:val="right"/>
              <w:rPr>
                <w:color w:val="auto"/>
                <w:sz w:val="16"/>
                <w:szCs w:val="16"/>
              </w:rPr>
            </w:pPr>
            <w:r w:rsidRPr="001E11A3">
              <w:rPr>
                <w:color w:val="auto"/>
                <w:sz w:val="16"/>
                <w:szCs w:val="16"/>
              </w:rPr>
              <w:t>0.2</w:t>
            </w:r>
          </w:p>
        </w:tc>
        <w:tc>
          <w:tcPr>
            <w:tcW w:w="851" w:type="dxa"/>
            <w:tcBorders>
              <w:right w:val="single" w:sz="4" w:space="0" w:color="auto"/>
            </w:tcBorders>
            <w:vAlign w:val="center"/>
          </w:tcPr>
          <w:p w14:paraId="138620E3" w14:textId="77777777" w:rsidR="00524FDB" w:rsidRPr="002D3841" w:rsidRDefault="00524FDB" w:rsidP="00524FDB">
            <w:pPr>
              <w:pStyle w:val="p0"/>
              <w:spacing w:before="60" w:after="60"/>
              <w:ind w:left="0" w:right="176" w:firstLine="0"/>
              <w:jc w:val="right"/>
              <w:rPr>
                <w:color w:val="auto"/>
                <w:sz w:val="16"/>
                <w:szCs w:val="16"/>
              </w:rPr>
            </w:pPr>
            <w:r w:rsidRPr="001E11A3">
              <w:rPr>
                <w:color w:val="auto"/>
                <w:sz w:val="16"/>
                <w:szCs w:val="16"/>
              </w:rPr>
              <w:t>14.4</w:t>
            </w:r>
          </w:p>
        </w:tc>
      </w:tr>
      <w:tr w:rsidR="00524FDB" w:rsidRPr="00E60BDB" w14:paraId="600B19DE" w14:textId="77777777" w:rsidTr="00AA26F2">
        <w:tc>
          <w:tcPr>
            <w:tcW w:w="1134" w:type="dxa"/>
            <w:tcBorders>
              <w:left w:val="single" w:sz="4" w:space="0" w:color="auto"/>
            </w:tcBorders>
          </w:tcPr>
          <w:p w14:paraId="25E0779A" w14:textId="77777777" w:rsidR="00524FDB" w:rsidRPr="00E60BDB" w:rsidRDefault="00524FDB" w:rsidP="00524FDB">
            <w:pPr>
              <w:pStyle w:val="p0"/>
              <w:spacing w:before="60" w:after="60"/>
              <w:ind w:left="0" w:right="0" w:firstLine="0"/>
              <w:jc w:val="both"/>
              <w:rPr>
                <w:color w:val="auto"/>
                <w:sz w:val="14"/>
                <w:szCs w:val="14"/>
              </w:rPr>
            </w:pPr>
            <w:r w:rsidRPr="00E60BDB">
              <w:rPr>
                <w:color w:val="auto"/>
                <w:sz w:val="14"/>
                <w:szCs w:val="14"/>
              </w:rPr>
              <w:t>(6)</w:t>
            </w:r>
          </w:p>
        </w:tc>
        <w:tc>
          <w:tcPr>
            <w:tcW w:w="1560" w:type="dxa"/>
          </w:tcPr>
          <w:p w14:paraId="2F59165A" w14:textId="77777777" w:rsidR="00524FDB" w:rsidRPr="00E60BDB" w:rsidRDefault="00524FDB" w:rsidP="00524FDB">
            <w:pPr>
              <w:pStyle w:val="p0"/>
              <w:spacing w:before="60" w:after="60"/>
              <w:ind w:left="0" w:right="0" w:firstLine="0"/>
              <w:rPr>
                <w:color w:val="auto"/>
                <w:sz w:val="16"/>
                <w:szCs w:val="16"/>
              </w:rPr>
            </w:pPr>
            <w:r w:rsidRPr="00E60BDB">
              <w:rPr>
                <w:color w:val="auto"/>
                <w:sz w:val="16"/>
                <w:szCs w:val="16"/>
              </w:rPr>
              <w:t>Emisión de pasivos</w:t>
            </w:r>
          </w:p>
        </w:tc>
        <w:tc>
          <w:tcPr>
            <w:tcW w:w="1021" w:type="dxa"/>
            <w:vAlign w:val="center"/>
          </w:tcPr>
          <w:p w14:paraId="07BB5882" w14:textId="77777777" w:rsidR="00524FDB" w:rsidRPr="002D3841" w:rsidRDefault="00524FDB" w:rsidP="00524FDB">
            <w:pPr>
              <w:pStyle w:val="p0"/>
              <w:spacing w:before="60" w:after="60"/>
              <w:ind w:left="0" w:right="268" w:firstLine="0"/>
              <w:jc w:val="right"/>
              <w:rPr>
                <w:color w:val="auto"/>
                <w:sz w:val="16"/>
                <w:szCs w:val="16"/>
              </w:rPr>
            </w:pPr>
            <w:r w:rsidRPr="001E11A3">
              <w:rPr>
                <w:color w:val="auto"/>
                <w:sz w:val="16"/>
                <w:szCs w:val="16"/>
              </w:rPr>
              <w:t>8.9</w:t>
            </w:r>
          </w:p>
        </w:tc>
        <w:tc>
          <w:tcPr>
            <w:tcW w:w="992" w:type="dxa"/>
            <w:vAlign w:val="center"/>
          </w:tcPr>
          <w:p w14:paraId="393F3696" w14:textId="77777777" w:rsidR="00524FDB" w:rsidRPr="002D3841" w:rsidRDefault="00524FDB" w:rsidP="00524FDB">
            <w:pPr>
              <w:pStyle w:val="p0"/>
              <w:spacing w:before="60" w:after="60"/>
              <w:ind w:left="0" w:right="240" w:firstLine="0"/>
              <w:jc w:val="right"/>
              <w:rPr>
                <w:color w:val="auto"/>
                <w:sz w:val="16"/>
                <w:szCs w:val="16"/>
              </w:rPr>
            </w:pPr>
            <w:r>
              <w:rPr>
                <w:color w:val="auto"/>
                <w:sz w:val="16"/>
                <w:szCs w:val="16"/>
              </w:rPr>
              <w:t>(</w:t>
            </w:r>
            <w:r>
              <w:rPr>
                <w:color w:val="auto"/>
                <w:sz w:val="16"/>
                <w:szCs w:val="16"/>
              </w:rPr>
              <w:noBreakHyphen/>
              <w:t>)</w:t>
            </w:r>
            <w:r w:rsidRPr="001E11A3">
              <w:rPr>
                <w:color w:val="auto"/>
                <w:sz w:val="16"/>
                <w:szCs w:val="16"/>
              </w:rPr>
              <w:t>0.7</w:t>
            </w:r>
          </w:p>
        </w:tc>
        <w:tc>
          <w:tcPr>
            <w:tcW w:w="992" w:type="dxa"/>
            <w:vAlign w:val="center"/>
          </w:tcPr>
          <w:p w14:paraId="491DFDA5" w14:textId="77777777" w:rsidR="00524FDB" w:rsidRPr="002D3841" w:rsidRDefault="00524FDB" w:rsidP="00524FDB">
            <w:pPr>
              <w:pStyle w:val="p0"/>
              <w:spacing w:before="60" w:after="60"/>
              <w:ind w:left="0" w:right="240" w:firstLine="0"/>
              <w:jc w:val="right"/>
              <w:rPr>
                <w:color w:val="auto"/>
                <w:sz w:val="16"/>
                <w:szCs w:val="16"/>
              </w:rPr>
            </w:pPr>
            <w:r w:rsidRPr="001E11A3">
              <w:rPr>
                <w:color w:val="auto"/>
                <w:sz w:val="16"/>
                <w:szCs w:val="16"/>
              </w:rPr>
              <w:t>7.0</w:t>
            </w:r>
          </w:p>
        </w:tc>
        <w:tc>
          <w:tcPr>
            <w:tcW w:w="851" w:type="dxa"/>
            <w:vAlign w:val="center"/>
          </w:tcPr>
          <w:p w14:paraId="1E988506" w14:textId="77777777" w:rsidR="00524FDB" w:rsidRPr="002D3841" w:rsidRDefault="00524FDB" w:rsidP="00524FDB">
            <w:pPr>
              <w:pStyle w:val="p0"/>
              <w:spacing w:before="60" w:after="60"/>
              <w:ind w:left="0" w:right="176" w:firstLine="0"/>
              <w:jc w:val="right"/>
              <w:rPr>
                <w:color w:val="auto"/>
                <w:sz w:val="16"/>
                <w:szCs w:val="16"/>
              </w:rPr>
            </w:pPr>
            <w:r w:rsidRPr="001E11A3">
              <w:rPr>
                <w:color w:val="auto"/>
                <w:sz w:val="16"/>
                <w:szCs w:val="16"/>
              </w:rPr>
              <w:t>1.7</w:t>
            </w:r>
          </w:p>
        </w:tc>
        <w:tc>
          <w:tcPr>
            <w:tcW w:w="850" w:type="dxa"/>
            <w:vAlign w:val="center"/>
          </w:tcPr>
          <w:p w14:paraId="5C34081A" w14:textId="77777777" w:rsidR="00524FDB" w:rsidRPr="002D3841" w:rsidRDefault="00524FDB" w:rsidP="00524FDB">
            <w:pPr>
              <w:pStyle w:val="p0"/>
              <w:spacing w:before="60" w:after="60"/>
              <w:ind w:left="0" w:right="175" w:firstLine="0"/>
              <w:jc w:val="right"/>
              <w:rPr>
                <w:color w:val="auto"/>
                <w:sz w:val="16"/>
                <w:szCs w:val="16"/>
              </w:rPr>
            </w:pPr>
            <w:r w:rsidRPr="001E11A3">
              <w:rPr>
                <w:color w:val="auto"/>
                <w:sz w:val="16"/>
                <w:szCs w:val="16"/>
              </w:rPr>
              <w:t>(</w:t>
            </w:r>
            <w:r w:rsidRPr="001E11A3">
              <w:rPr>
                <w:color w:val="auto"/>
                <w:sz w:val="16"/>
                <w:szCs w:val="16"/>
              </w:rPr>
              <w:noBreakHyphen/>
              <w:t>)0.9</w:t>
            </w:r>
          </w:p>
        </w:tc>
        <w:tc>
          <w:tcPr>
            <w:tcW w:w="1229" w:type="dxa"/>
            <w:tcMar>
              <w:left w:w="57" w:type="dxa"/>
            </w:tcMar>
            <w:vAlign w:val="center"/>
          </w:tcPr>
          <w:p w14:paraId="5327ADE1" w14:textId="77777777" w:rsidR="00524FDB" w:rsidRPr="002D3841" w:rsidRDefault="00524FDB" w:rsidP="00524FDB">
            <w:pPr>
              <w:pStyle w:val="p0"/>
              <w:tabs>
                <w:tab w:val="left" w:pos="142"/>
              </w:tabs>
              <w:spacing w:before="60" w:after="60"/>
              <w:ind w:left="0" w:right="246" w:firstLine="0"/>
              <w:jc w:val="right"/>
              <w:rPr>
                <w:color w:val="auto"/>
                <w:sz w:val="16"/>
                <w:szCs w:val="16"/>
              </w:rPr>
            </w:pPr>
            <w:r w:rsidRPr="001E11A3">
              <w:rPr>
                <w:color w:val="auto"/>
                <w:sz w:val="16"/>
                <w:szCs w:val="16"/>
              </w:rPr>
              <w:t>16.0</w:t>
            </w:r>
          </w:p>
        </w:tc>
        <w:tc>
          <w:tcPr>
            <w:tcW w:w="821" w:type="dxa"/>
            <w:vAlign w:val="center"/>
          </w:tcPr>
          <w:p w14:paraId="344661D0" w14:textId="77777777" w:rsidR="00524FDB" w:rsidRPr="002D3841" w:rsidRDefault="00524FDB" w:rsidP="00524FDB">
            <w:pPr>
              <w:pStyle w:val="p0"/>
              <w:spacing w:before="60" w:after="60"/>
              <w:ind w:left="0" w:right="175" w:firstLine="0"/>
              <w:jc w:val="right"/>
              <w:rPr>
                <w:color w:val="auto"/>
                <w:sz w:val="16"/>
                <w:szCs w:val="16"/>
              </w:rPr>
            </w:pPr>
            <w:r w:rsidRPr="001E11A3">
              <w:rPr>
                <w:color w:val="auto"/>
                <w:sz w:val="16"/>
                <w:szCs w:val="16"/>
              </w:rPr>
              <w:t>(</w:t>
            </w:r>
            <w:r w:rsidRPr="001E11A3">
              <w:rPr>
                <w:color w:val="auto"/>
                <w:sz w:val="16"/>
                <w:szCs w:val="16"/>
              </w:rPr>
              <w:noBreakHyphen/>
              <w:t>)1.5</w:t>
            </w:r>
          </w:p>
        </w:tc>
        <w:tc>
          <w:tcPr>
            <w:tcW w:w="851" w:type="dxa"/>
            <w:tcBorders>
              <w:right w:val="single" w:sz="4" w:space="0" w:color="auto"/>
            </w:tcBorders>
            <w:vAlign w:val="center"/>
          </w:tcPr>
          <w:p w14:paraId="0B233092" w14:textId="77777777" w:rsidR="00524FDB" w:rsidRPr="002D3841" w:rsidRDefault="00524FDB" w:rsidP="00524FDB">
            <w:pPr>
              <w:pStyle w:val="p0"/>
              <w:spacing w:before="60" w:after="60"/>
              <w:ind w:left="0" w:right="176" w:firstLine="0"/>
              <w:jc w:val="right"/>
              <w:rPr>
                <w:color w:val="auto"/>
                <w:sz w:val="16"/>
                <w:szCs w:val="16"/>
              </w:rPr>
            </w:pPr>
            <w:r w:rsidRPr="001E11A3">
              <w:rPr>
                <w:color w:val="auto"/>
                <w:sz w:val="16"/>
                <w:szCs w:val="16"/>
              </w:rPr>
              <w:t>14.4</w:t>
            </w:r>
          </w:p>
        </w:tc>
      </w:tr>
      <w:tr w:rsidR="00524FDB" w:rsidRPr="00E60BDB" w14:paraId="3AF00886" w14:textId="77777777" w:rsidTr="00524FDB">
        <w:tc>
          <w:tcPr>
            <w:tcW w:w="1134" w:type="dxa"/>
            <w:tcBorders>
              <w:left w:val="single" w:sz="4" w:space="0" w:color="auto"/>
              <w:bottom w:val="single" w:sz="4" w:space="0" w:color="auto"/>
            </w:tcBorders>
            <w:shd w:val="clear" w:color="auto" w:fill="FABF8F" w:themeFill="accent6" w:themeFillTint="99"/>
          </w:tcPr>
          <w:p w14:paraId="24EC48C5" w14:textId="77777777" w:rsidR="00524FDB" w:rsidRPr="003F2E5B" w:rsidRDefault="00524FDB" w:rsidP="00524FDB">
            <w:pPr>
              <w:pStyle w:val="p0"/>
              <w:spacing w:before="60" w:after="60"/>
              <w:ind w:left="0" w:right="0" w:firstLine="0"/>
              <w:jc w:val="both"/>
              <w:rPr>
                <w:color w:val="auto"/>
                <w:sz w:val="14"/>
                <w:szCs w:val="14"/>
              </w:rPr>
            </w:pPr>
            <w:r w:rsidRPr="003F2E5B">
              <w:rPr>
                <w:color w:val="auto"/>
                <w:sz w:val="14"/>
                <w:szCs w:val="14"/>
              </w:rPr>
              <w:t>(7)=(5)-(6)</w:t>
            </w:r>
          </w:p>
        </w:tc>
        <w:tc>
          <w:tcPr>
            <w:tcW w:w="1560" w:type="dxa"/>
            <w:tcBorders>
              <w:bottom w:val="single" w:sz="4" w:space="0" w:color="auto"/>
            </w:tcBorders>
            <w:shd w:val="clear" w:color="auto" w:fill="FABF8F" w:themeFill="accent6" w:themeFillTint="99"/>
            <w:vAlign w:val="bottom"/>
          </w:tcPr>
          <w:p w14:paraId="17B06F5B" w14:textId="77777777" w:rsidR="00524FDB" w:rsidRPr="003F2E5B" w:rsidRDefault="00524FDB" w:rsidP="00524FDB">
            <w:pPr>
              <w:pStyle w:val="p0"/>
              <w:spacing w:before="60" w:after="60"/>
              <w:ind w:left="0" w:right="0" w:firstLine="0"/>
              <w:rPr>
                <w:color w:val="auto"/>
                <w:sz w:val="16"/>
                <w:szCs w:val="16"/>
              </w:rPr>
            </w:pPr>
            <w:r w:rsidRPr="003F2E5B">
              <w:rPr>
                <w:color w:val="auto"/>
                <w:sz w:val="16"/>
                <w:szCs w:val="16"/>
              </w:rPr>
              <w:t xml:space="preserve">Préstamo (+) / </w:t>
            </w:r>
          </w:p>
          <w:p w14:paraId="66ACBBF7" w14:textId="77777777" w:rsidR="00524FDB" w:rsidRPr="003F2E5B" w:rsidRDefault="00524FDB" w:rsidP="00524FDB">
            <w:pPr>
              <w:pStyle w:val="p0"/>
              <w:spacing w:before="60" w:after="60"/>
              <w:ind w:left="0" w:right="0" w:firstLine="0"/>
              <w:rPr>
                <w:color w:val="auto"/>
                <w:sz w:val="16"/>
                <w:szCs w:val="16"/>
              </w:rPr>
            </w:pPr>
            <w:r w:rsidRPr="003F2E5B">
              <w:rPr>
                <w:color w:val="auto"/>
                <w:sz w:val="16"/>
                <w:szCs w:val="16"/>
              </w:rPr>
              <w:t>endeudamiento (</w:t>
            </w:r>
            <w:r w:rsidRPr="003F2E5B">
              <w:rPr>
                <w:color w:val="auto"/>
                <w:sz w:val="16"/>
                <w:szCs w:val="16"/>
              </w:rPr>
              <w:noBreakHyphen/>
              <w:t>) neto</w:t>
            </w:r>
          </w:p>
        </w:tc>
        <w:tc>
          <w:tcPr>
            <w:tcW w:w="1021" w:type="dxa"/>
            <w:tcBorders>
              <w:bottom w:val="single" w:sz="4" w:space="0" w:color="auto"/>
            </w:tcBorders>
            <w:shd w:val="clear" w:color="auto" w:fill="FABF8F" w:themeFill="accent6" w:themeFillTint="99"/>
            <w:vAlign w:val="center"/>
          </w:tcPr>
          <w:p w14:paraId="0BB3DEA1" w14:textId="77777777" w:rsidR="00524FDB" w:rsidRPr="002D3841" w:rsidRDefault="00524FDB" w:rsidP="00524FDB">
            <w:pPr>
              <w:pStyle w:val="p0"/>
              <w:spacing w:before="60" w:after="60"/>
              <w:ind w:left="0" w:right="268" w:firstLine="0"/>
              <w:jc w:val="right"/>
              <w:rPr>
                <w:color w:val="auto"/>
                <w:sz w:val="16"/>
                <w:szCs w:val="16"/>
              </w:rPr>
            </w:pPr>
            <w:r w:rsidRPr="001E11A3">
              <w:rPr>
                <w:color w:val="auto"/>
                <w:sz w:val="16"/>
                <w:szCs w:val="16"/>
              </w:rPr>
              <w:t>(-)7.3</w:t>
            </w:r>
          </w:p>
        </w:tc>
        <w:tc>
          <w:tcPr>
            <w:tcW w:w="992" w:type="dxa"/>
            <w:tcBorders>
              <w:bottom w:val="single" w:sz="4" w:space="0" w:color="auto"/>
            </w:tcBorders>
            <w:shd w:val="clear" w:color="auto" w:fill="FABF8F" w:themeFill="accent6" w:themeFillTint="99"/>
            <w:vAlign w:val="center"/>
          </w:tcPr>
          <w:p w14:paraId="0E708F8C" w14:textId="77777777" w:rsidR="00524FDB" w:rsidRPr="002D3841" w:rsidRDefault="00524FDB" w:rsidP="00524FDB">
            <w:pPr>
              <w:pStyle w:val="p0"/>
              <w:spacing w:before="60" w:after="60"/>
              <w:ind w:left="0" w:right="240" w:firstLine="0"/>
              <w:jc w:val="right"/>
              <w:rPr>
                <w:color w:val="auto"/>
                <w:sz w:val="16"/>
                <w:szCs w:val="16"/>
              </w:rPr>
            </w:pPr>
            <w:r w:rsidRPr="001E11A3">
              <w:rPr>
                <w:color w:val="auto"/>
                <w:sz w:val="16"/>
                <w:szCs w:val="16"/>
              </w:rPr>
              <w:t>4.2</w:t>
            </w:r>
          </w:p>
        </w:tc>
        <w:tc>
          <w:tcPr>
            <w:tcW w:w="992" w:type="dxa"/>
            <w:tcBorders>
              <w:bottom w:val="single" w:sz="4" w:space="0" w:color="auto"/>
            </w:tcBorders>
            <w:shd w:val="clear" w:color="auto" w:fill="FABF8F" w:themeFill="accent6" w:themeFillTint="99"/>
            <w:vAlign w:val="center"/>
          </w:tcPr>
          <w:p w14:paraId="0F3FA529" w14:textId="77777777" w:rsidR="00524FDB" w:rsidRPr="002D3841" w:rsidRDefault="00524FDB" w:rsidP="00524FDB">
            <w:pPr>
              <w:pStyle w:val="p0"/>
              <w:spacing w:before="60" w:after="60"/>
              <w:ind w:left="0" w:right="240" w:firstLine="0"/>
              <w:jc w:val="right"/>
              <w:rPr>
                <w:color w:val="auto"/>
                <w:sz w:val="16"/>
                <w:szCs w:val="16"/>
              </w:rPr>
            </w:pPr>
            <w:r w:rsidRPr="001E11A3">
              <w:rPr>
                <w:color w:val="auto"/>
                <w:sz w:val="16"/>
                <w:szCs w:val="16"/>
              </w:rPr>
              <w:t>(</w:t>
            </w:r>
            <w:r w:rsidRPr="001E11A3">
              <w:rPr>
                <w:color w:val="auto"/>
                <w:sz w:val="16"/>
                <w:szCs w:val="16"/>
              </w:rPr>
              <w:noBreakHyphen/>
              <w:t>)4.7</w:t>
            </w:r>
          </w:p>
        </w:tc>
        <w:tc>
          <w:tcPr>
            <w:tcW w:w="851" w:type="dxa"/>
            <w:tcBorders>
              <w:bottom w:val="single" w:sz="4" w:space="0" w:color="auto"/>
            </w:tcBorders>
            <w:shd w:val="clear" w:color="auto" w:fill="FABF8F" w:themeFill="accent6" w:themeFillTint="99"/>
            <w:vAlign w:val="center"/>
          </w:tcPr>
          <w:p w14:paraId="17AFCB52" w14:textId="77777777" w:rsidR="00524FDB" w:rsidRPr="002D3841" w:rsidRDefault="00524FDB" w:rsidP="00524FDB">
            <w:pPr>
              <w:pStyle w:val="p0"/>
              <w:spacing w:before="60" w:after="60"/>
              <w:ind w:left="0" w:right="176" w:firstLine="0"/>
              <w:jc w:val="right"/>
              <w:rPr>
                <w:color w:val="auto"/>
                <w:sz w:val="16"/>
                <w:szCs w:val="16"/>
              </w:rPr>
            </w:pPr>
            <w:r w:rsidRPr="001E11A3">
              <w:rPr>
                <w:color w:val="auto"/>
                <w:sz w:val="16"/>
                <w:szCs w:val="16"/>
              </w:rPr>
              <w:t>5.1</w:t>
            </w:r>
          </w:p>
        </w:tc>
        <w:tc>
          <w:tcPr>
            <w:tcW w:w="850" w:type="dxa"/>
            <w:tcBorders>
              <w:bottom w:val="single" w:sz="4" w:space="0" w:color="auto"/>
            </w:tcBorders>
            <w:shd w:val="clear" w:color="auto" w:fill="FABF8F" w:themeFill="accent6" w:themeFillTint="99"/>
            <w:vAlign w:val="center"/>
          </w:tcPr>
          <w:p w14:paraId="4E17CFD2" w14:textId="77777777" w:rsidR="00524FDB" w:rsidRPr="002D3841" w:rsidRDefault="00524FDB" w:rsidP="00524FDB">
            <w:pPr>
              <w:pStyle w:val="p0"/>
              <w:spacing w:before="60" w:after="60"/>
              <w:ind w:left="0" w:right="175" w:firstLine="0"/>
              <w:jc w:val="right"/>
              <w:rPr>
                <w:color w:val="auto"/>
                <w:sz w:val="16"/>
                <w:szCs w:val="16"/>
              </w:rPr>
            </w:pPr>
            <w:r w:rsidRPr="001E11A3">
              <w:rPr>
                <w:color w:val="auto"/>
                <w:sz w:val="16"/>
                <w:szCs w:val="16"/>
              </w:rPr>
              <w:t>0.9</w:t>
            </w:r>
          </w:p>
        </w:tc>
        <w:tc>
          <w:tcPr>
            <w:tcW w:w="1229" w:type="dxa"/>
            <w:tcBorders>
              <w:bottom w:val="single" w:sz="4" w:space="0" w:color="auto"/>
            </w:tcBorders>
            <w:shd w:val="clear" w:color="auto" w:fill="FABF8F" w:themeFill="accent6" w:themeFillTint="99"/>
            <w:tcMar>
              <w:left w:w="57" w:type="dxa"/>
            </w:tcMar>
            <w:vAlign w:val="center"/>
          </w:tcPr>
          <w:p w14:paraId="028C8CA0" w14:textId="77777777" w:rsidR="00524FDB" w:rsidRPr="002D3841" w:rsidRDefault="00524FDB" w:rsidP="00524FDB">
            <w:pPr>
              <w:pStyle w:val="p0"/>
              <w:tabs>
                <w:tab w:val="left" w:pos="142"/>
              </w:tabs>
              <w:spacing w:before="60" w:after="60"/>
              <w:ind w:left="0" w:right="246" w:firstLine="0"/>
              <w:jc w:val="right"/>
              <w:rPr>
                <w:color w:val="auto"/>
                <w:sz w:val="16"/>
                <w:szCs w:val="16"/>
              </w:rPr>
            </w:pPr>
            <w:r w:rsidRPr="001E11A3">
              <w:rPr>
                <w:color w:val="auto"/>
                <w:sz w:val="16"/>
                <w:szCs w:val="16"/>
              </w:rPr>
              <w:t>(</w:t>
            </w:r>
            <w:r w:rsidRPr="001E11A3">
              <w:rPr>
                <w:color w:val="auto"/>
                <w:sz w:val="16"/>
                <w:szCs w:val="16"/>
              </w:rPr>
              <w:noBreakHyphen/>
              <w:t>)1.8</w:t>
            </w:r>
          </w:p>
        </w:tc>
        <w:tc>
          <w:tcPr>
            <w:tcW w:w="821" w:type="dxa"/>
            <w:tcBorders>
              <w:bottom w:val="single" w:sz="4" w:space="0" w:color="auto"/>
            </w:tcBorders>
            <w:shd w:val="clear" w:color="auto" w:fill="FABF8F" w:themeFill="accent6" w:themeFillTint="99"/>
            <w:vAlign w:val="center"/>
          </w:tcPr>
          <w:p w14:paraId="64FB87BA" w14:textId="77777777" w:rsidR="00524FDB" w:rsidRPr="002D3841" w:rsidRDefault="00334C41" w:rsidP="00524FDB">
            <w:pPr>
              <w:pStyle w:val="p0"/>
              <w:spacing w:before="60" w:after="60"/>
              <w:ind w:left="0" w:right="175" w:firstLine="0"/>
              <w:jc w:val="right"/>
              <w:rPr>
                <w:color w:val="auto"/>
                <w:sz w:val="16"/>
                <w:szCs w:val="16"/>
              </w:rPr>
            </w:pPr>
            <w:r>
              <w:rPr>
                <w:color w:val="auto"/>
                <w:sz w:val="16"/>
                <w:szCs w:val="16"/>
              </w:rPr>
              <w:t>1.8</w:t>
            </w:r>
          </w:p>
        </w:tc>
        <w:tc>
          <w:tcPr>
            <w:tcW w:w="851" w:type="dxa"/>
            <w:tcBorders>
              <w:bottom w:val="single" w:sz="4" w:space="0" w:color="auto"/>
              <w:right w:val="single" w:sz="4" w:space="0" w:color="auto"/>
            </w:tcBorders>
            <w:shd w:val="clear" w:color="auto" w:fill="FABF8F" w:themeFill="accent6" w:themeFillTint="99"/>
            <w:vAlign w:val="center"/>
          </w:tcPr>
          <w:p w14:paraId="2092CDDB" w14:textId="77777777" w:rsidR="00524FDB" w:rsidRPr="002D3841" w:rsidRDefault="00524FDB" w:rsidP="00524FDB">
            <w:pPr>
              <w:pStyle w:val="p0"/>
              <w:spacing w:before="60" w:after="60"/>
              <w:ind w:left="0" w:right="176" w:firstLine="0"/>
              <w:jc w:val="right"/>
              <w:rPr>
                <w:color w:val="auto"/>
                <w:sz w:val="16"/>
                <w:szCs w:val="16"/>
                <w:highlight w:val="yellow"/>
              </w:rPr>
            </w:pPr>
          </w:p>
        </w:tc>
      </w:tr>
    </w:tbl>
    <w:p w14:paraId="2583DED6" w14:textId="77777777" w:rsidR="001C1916" w:rsidRPr="00B555BC" w:rsidRDefault="001C1916" w:rsidP="00AA26F2">
      <w:pPr>
        <w:widowControl/>
        <w:spacing w:after="0" w:line="240" w:lineRule="auto"/>
        <w:ind w:left="-567"/>
        <w:jc w:val="both"/>
        <w:rPr>
          <w:rFonts w:ascii="Arial" w:hAnsi="Arial" w:cs="Arial"/>
          <w:sz w:val="16"/>
        </w:rPr>
      </w:pPr>
      <w:r>
        <w:rPr>
          <w:rFonts w:ascii="Arial" w:eastAsia="Times New Roman" w:hAnsi="Arial" w:cs="Arial"/>
          <w:sz w:val="16"/>
          <w:szCs w:val="16"/>
          <w:lang w:eastAsia="es-MX"/>
        </w:rPr>
        <w:t>*</w:t>
      </w:r>
      <w:r w:rsidR="00991232">
        <w:rPr>
          <w:rFonts w:ascii="Arial" w:eastAsia="Times New Roman" w:hAnsi="Arial" w:cs="Arial"/>
          <w:sz w:val="16"/>
          <w:szCs w:val="16"/>
          <w:lang w:eastAsia="es-MX"/>
        </w:rPr>
        <w:t>/</w:t>
      </w:r>
      <w:r w:rsidRPr="00B555BC">
        <w:rPr>
          <w:rFonts w:ascii="Arial" w:hAnsi="Arial" w:cs="Arial"/>
          <w:sz w:val="16"/>
        </w:rPr>
        <w:t xml:space="preserve">En el Sector 11 Sociedades no </w:t>
      </w:r>
      <w:r>
        <w:rPr>
          <w:rFonts w:ascii="Arial" w:hAnsi="Arial" w:cs="Arial"/>
          <w:sz w:val="16"/>
        </w:rPr>
        <w:t>financieras</w:t>
      </w:r>
      <w:r w:rsidRPr="00B555BC">
        <w:rPr>
          <w:rFonts w:ascii="Arial" w:hAnsi="Arial" w:cs="Arial"/>
          <w:sz w:val="16"/>
        </w:rPr>
        <w:t xml:space="preserve"> incluye </w:t>
      </w:r>
      <w:r w:rsidRPr="002A1047">
        <w:rPr>
          <w:rFonts w:ascii="Arial" w:hAnsi="Arial" w:cs="Arial"/>
          <w:sz w:val="16"/>
        </w:rPr>
        <w:t xml:space="preserve">un </w:t>
      </w:r>
      <w:r w:rsidR="00873411">
        <w:rPr>
          <w:rFonts w:ascii="Arial" w:hAnsi="Arial" w:cs="Arial"/>
          <w:sz w:val="16"/>
        </w:rPr>
        <w:t>2.7</w:t>
      </w:r>
      <w:r w:rsidRPr="002A1047">
        <w:rPr>
          <w:rFonts w:ascii="Arial" w:hAnsi="Arial" w:cs="Arial"/>
          <w:sz w:val="16"/>
        </w:rPr>
        <w:t xml:space="preserve">% de discrepancia </w:t>
      </w:r>
      <w:r w:rsidRPr="00B555BC">
        <w:rPr>
          <w:rFonts w:ascii="Arial" w:hAnsi="Arial" w:cs="Arial"/>
          <w:sz w:val="16"/>
        </w:rPr>
        <w:t>estadística</w:t>
      </w:r>
      <w:r>
        <w:rPr>
          <w:rFonts w:ascii="Arial" w:hAnsi="Arial" w:cs="Arial"/>
          <w:sz w:val="16"/>
        </w:rPr>
        <w:t>.</w:t>
      </w:r>
    </w:p>
    <w:p w14:paraId="4F088FA2" w14:textId="77777777" w:rsidR="001C1916" w:rsidRPr="00FC534E" w:rsidRDefault="001C1916" w:rsidP="00AA26F2">
      <w:pPr>
        <w:spacing w:after="0"/>
        <w:ind w:left="-567" w:right="23"/>
        <w:jc w:val="both"/>
        <w:rPr>
          <w:rFonts w:ascii="Arial" w:hAnsi="Arial" w:cs="Arial"/>
          <w:sz w:val="16"/>
        </w:rPr>
      </w:pPr>
      <w:r w:rsidRPr="00FC534E">
        <w:rPr>
          <w:rFonts w:ascii="Arial" w:hAnsi="Arial" w:cs="Arial"/>
          <w:sz w:val="16"/>
        </w:rPr>
        <w:t>Nota: La suma</w:t>
      </w:r>
      <w:r w:rsidR="003F06E3">
        <w:rPr>
          <w:rFonts w:ascii="Arial" w:hAnsi="Arial" w:cs="Arial"/>
          <w:sz w:val="16"/>
        </w:rPr>
        <w:t xml:space="preserve"> o resta de los parciales puede</w:t>
      </w:r>
      <w:r w:rsidRPr="00FC534E">
        <w:rPr>
          <w:rFonts w:ascii="Arial" w:hAnsi="Arial" w:cs="Arial"/>
          <w:sz w:val="16"/>
        </w:rPr>
        <w:t xml:space="preserve"> no coincidir con los totales debido al redondeo.</w:t>
      </w:r>
    </w:p>
    <w:p w14:paraId="167B162B" w14:textId="77777777" w:rsidR="001C1916" w:rsidRPr="0034605C" w:rsidRDefault="001C1916" w:rsidP="00AA26F2">
      <w:pPr>
        <w:spacing w:after="0"/>
        <w:ind w:left="-567" w:right="23"/>
        <w:jc w:val="both"/>
        <w:rPr>
          <w:rFonts w:ascii="Arial" w:hAnsi="Arial" w:cs="Arial"/>
          <w:sz w:val="16"/>
        </w:rPr>
      </w:pPr>
      <w:r w:rsidRPr="00913174">
        <w:rPr>
          <w:rFonts w:ascii="Arial" w:hAnsi="Arial" w:cs="Arial"/>
          <w:sz w:val="16"/>
        </w:rPr>
        <w:t>F</w:t>
      </w:r>
      <w:r>
        <w:rPr>
          <w:rFonts w:ascii="Arial" w:hAnsi="Arial" w:cs="Arial"/>
          <w:sz w:val="16"/>
        </w:rPr>
        <w:t>uente: INEGI.</w:t>
      </w:r>
    </w:p>
    <w:p w14:paraId="0B0E1AB5" w14:textId="77777777" w:rsidR="00991232" w:rsidRDefault="00991232" w:rsidP="00493EDC">
      <w:pPr>
        <w:spacing w:before="600" w:after="0" w:line="246" w:lineRule="auto"/>
        <w:jc w:val="both"/>
        <w:rPr>
          <w:rFonts w:ascii="Arial" w:eastAsia="Arial" w:hAnsi="Arial" w:cs="Arial"/>
          <w:sz w:val="24"/>
          <w:szCs w:val="24"/>
        </w:rPr>
      </w:pPr>
    </w:p>
    <w:p w14:paraId="3723563D" w14:textId="77777777" w:rsidR="00EF117C" w:rsidRPr="00967568" w:rsidRDefault="00EF117C" w:rsidP="00493EDC">
      <w:pPr>
        <w:spacing w:before="600" w:after="0" w:line="246" w:lineRule="auto"/>
        <w:jc w:val="both"/>
        <w:rPr>
          <w:rFonts w:ascii="Arial" w:eastAsia="Arial" w:hAnsi="Arial" w:cs="Arial"/>
          <w:sz w:val="24"/>
          <w:szCs w:val="24"/>
        </w:rPr>
      </w:pPr>
      <w:r w:rsidRPr="00967568">
        <w:rPr>
          <w:rFonts w:ascii="Arial" w:eastAsia="Arial" w:hAnsi="Arial" w:cs="Arial"/>
          <w:sz w:val="24"/>
          <w:szCs w:val="24"/>
        </w:rPr>
        <w:lastRenderedPageBreak/>
        <w:t>Al consolidarse todos los sectores institucionales se obtienen las fuentes de financiamiento para la inversión total de la economía. D</w:t>
      </w:r>
      <w:r w:rsidR="00AC5A3C">
        <w:rPr>
          <w:rFonts w:ascii="Arial" w:eastAsia="Arial" w:hAnsi="Arial" w:cs="Arial"/>
          <w:sz w:val="24"/>
          <w:szCs w:val="24"/>
        </w:rPr>
        <w:t>e esta manera, la inversión</w:t>
      </w:r>
      <w:r w:rsidRPr="00967568">
        <w:rPr>
          <w:rFonts w:ascii="Arial" w:eastAsia="Arial" w:hAnsi="Arial" w:cs="Arial"/>
          <w:sz w:val="24"/>
          <w:szCs w:val="24"/>
        </w:rPr>
        <w:t xml:space="preserve"> del país representó en </w:t>
      </w:r>
      <w:r w:rsidR="00BE2548">
        <w:rPr>
          <w:rFonts w:ascii="Arial" w:eastAsia="Arial" w:hAnsi="Arial" w:cs="Arial"/>
          <w:sz w:val="24"/>
          <w:szCs w:val="24"/>
        </w:rPr>
        <w:t>201</w:t>
      </w:r>
      <w:r w:rsidR="00873411">
        <w:rPr>
          <w:rFonts w:ascii="Arial" w:eastAsia="Arial" w:hAnsi="Arial" w:cs="Arial"/>
          <w:sz w:val="24"/>
          <w:szCs w:val="24"/>
        </w:rPr>
        <w:t>8</w:t>
      </w:r>
      <w:r w:rsidR="00292046">
        <w:rPr>
          <w:rFonts w:ascii="Arial" w:eastAsia="Arial" w:hAnsi="Arial" w:cs="Arial"/>
          <w:sz w:val="24"/>
          <w:szCs w:val="24"/>
        </w:rPr>
        <w:t xml:space="preserve"> el </w:t>
      </w:r>
      <w:r w:rsidR="00873411">
        <w:rPr>
          <w:rFonts w:ascii="Arial" w:eastAsia="Arial" w:hAnsi="Arial" w:cs="Arial"/>
          <w:sz w:val="24"/>
          <w:szCs w:val="24"/>
        </w:rPr>
        <w:t>25.4</w:t>
      </w:r>
      <w:r w:rsidRPr="00C51DEF">
        <w:rPr>
          <w:rFonts w:ascii="Arial" w:eastAsia="Arial" w:hAnsi="Arial" w:cs="Arial"/>
          <w:sz w:val="24"/>
          <w:szCs w:val="24"/>
        </w:rPr>
        <w:t>% del PIB</w:t>
      </w:r>
      <w:r w:rsidRPr="00967568">
        <w:rPr>
          <w:rFonts w:ascii="Arial" w:eastAsia="Arial" w:hAnsi="Arial" w:cs="Arial"/>
          <w:sz w:val="24"/>
          <w:szCs w:val="24"/>
        </w:rPr>
        <w:t xml:space="preserve">, y fue financiada por el ahorro interno bruto con una tasa que se ubicó en </w:t>
      </w:r>
      <w:r w:rsidR="00292046" w:rsidRPr="00C51DEF">
        <w:rPr>
          <w:rFonts w:ascii="Arial" w:eastAsia="Arial" w:hAnsi="Arial" w:cs="Arial"/>
          <w:sz w:val="24"/>
          <w:szCs w:val="24"/>
        </w:rPr>
        <w:t>23.</w:t>
      </w:r>
      <w:r w:rsidR="00873411">
        <w:rPr>
          <w:rFonts w:ascii="Arial" w:eastAsia="Arial" w:hAnsi="Arial" w:cs="Arial"/>
          <w:sz w:val="24"/>
          <w:szCs w:val="24"/>
        </w:rPr>
        <w:t>7</w:t>
      </w:r>
      <w:r w:rsidRPr="00C51DEF">
        <w:rPr>
          <w:rFonts w:ascii="Arial" w:eastAsia="Arial" w:hAnsi="Arial" w:cs="Arial"/>
          <w:sz w:val="24"/>
          <w:szCs w:val="24"/>
        </w:rPr>
        <w:t>% del producto</w:t>
      </w:r>
      <w:r w:rsidR="00493EDC">
        <w:rPr>
          <w:rFonts w:ascii="Arial" w:eastAsia="Arial" w:hAnsi="Arial" w:cs="Arial"/>
          <w:sz w:val="24"/>
          <w:szCs w:val="24"/>
        </w:rPr>
        <w:t>,</w:t>
      </w:r>
      <w:r w:rsidR="00547C41">
        <w:rPr>
          <w:rFonts w:ascii="Arial" w:eastAsia="Arial" w:hAnsi="Arial" w:cs="Arial"/>
          <w:sz w:val="24"/>
          <w:szCs w:val="24"/>
        </w:rPr>
        <w:t xml:space="preserve"> del </w:t>
      </w:r>
      <w:r w:rsidR="00547C41" w:rsidRPr="00C51DEF">
        <w:rPr>
          <w:rFonts w:ascii="Arial" w:eastAsia="Arial" w:hAnsi="Arial" w:cs="Arial"/>
          <w:sz w:val="24"/>
          <w:szCs w:val="24"/>
        </w:rPr>
        <w:t>cual</w:t>
      </w:r>
      <w:r w:rsidRPr="00C51DEF">
        <w:rPr>
          <w:rFonts w:ascii="Arial" w:eastAsia="Arial" w:hAnsi="Arial" w:cs="Arial"/>
          <w:sz w:val="24"/>
          <w:szCs w:val="24"/>
        </w:rPr>
        <w:t xml:space="preserve"> </w:t>
      </w:r>
      <w:r w:rsidR="00963BD0">
        <w:rPr>
          <w:rFonts w:ascii="Arial" w:eastAsia="Arial" w:hAnsi="Arial" w:cs="Arial"/>
          <w:sz w:val="24"/>
          <w:szCs w:val="24"/>
        </w:rPr>
        <w:t>11.3</w:t>
      </w:r>
      <w:r w:rsidRPr="00C51DEF">
        <w:rPr>
          <w:rFonts w:ascii="Arial" w:eastAsia="Arial" w:hAnsi="Arial" w:cs="Arial"/>
          <w:sz w:val="24"/>
          <w:szCs w:val="24"/>
        </w:rPr>
        <w:t xml:space="preserve">% </w:t>
      </w:r>
      <w:r w:rsidR="00547C41" w:rsidRPr="00C51DEF">
        <w:rPr>
          <w:rFonts w:ascii="Arial" w:eastAsia="Arial" w:hAnsi="Arial" w:cs="Arial"/>
          <w:sz w:val="24"/>
          <w:szCs w:val="24"/>
        </w:rPr>
        <w:t>correspondió a</w:t>
      </w:r>
      <w:r w:rsidRPr="00C51DEF">
        <w:rPr>
          <w:rFonts w:ascii="Arial" w:eastAsia="Arial" w:hAnsi="Arial" w:cs="Arial"/>
          <w:sz w:val="24"/>
          <w:szCs w:val="24"/>
        </w:rPr>
        <w:t xml:space="preserve"> los Hogar</w:t>
      </w:r>
      <w:r w:rsidRPr="00967568">
        <w:rPr>
          <w:rFonts w:ascii="Arial" w:eastAsia="Arial" w:hAnsi="Arial" w:cs="Arial"/>
          <w:sz w:val="24"/>
          <w:szCs w:val="24"/>
        </w:rPr>
        <w:t>es</w:t>
      </w:r>
      <w:r w:rsidRPr="00C51DEF">
        <w:rPr>
          <w:rFonts w:ascii="Arial" w:eastAsia="Arial" w:hAnsi="Arial" w:cs="Arial"/>
          <w:sz w:val="24"/>
          <w:szCs w:val="24"/>
        </w:rPr>
        <w:t xml:space="preserve">, </w:t>
      </w:r>
      <w:r w:rsidR="0042161E">
        <w:rPr>
          <w:rFonts w:ascii="Arial" w:eastAsia="Arial" w:hAnsi="Arial" w:cs="Arial"/>
          <w:sz w:val="24"/>
          <w:szCs w:val="24"/>
        </w:rPr>
        <w:t>9.4</w:t>
      </w:r>
      <w:r w:rsidRPr="00C51DEF">
        <w:rPr>
          <w:rFonts w:ascii="Arial" w:eastAsia="Arial" w:hAnsi="Arial" w:cs="Arial"/>
          <w:sz w:val="24"/>
          <w:szCs w:val="24"/>
        </w:rPr>
        <w:t xml:space="preserve">% </w:t>
      </w:r>
      <w:r w:rsidR="00547C41" w:rsidRPr="00C51DEF">
        <w:rPr>
          <w:rFonts w:ascii="Arial" w:eastAsia="Arial" w:hAnsi="Arial" w:cs="Arial"/>
          <w:sz w:val="24"/>
          <w:szCs w:val="24"/>
        </w:rPr>
        <w:t>a</w:t>
      </w:r>
      <w:r w:rsidRPr="00C51DEF">
        <w:rPr>
          <w:rFonts w:ascii="Arial" w:eastAsia="Arial" w:hAnsi="Arial" w:cs="Arial"/>
          <w:sz w:val="24"/>
          <w:szCs w:val="24"/>
        </w:rPr>
        <w:t xml:space="preserve"> l</w:t>
      </w:r>
      <w:r w:rsidR="00B61D97" w:rsidRPr="00C51DEF">
        <w:rPr>
          <w:rFonts w:ascii="Arial" w:eastAsia="Arial" w:hAnsi="Arial" w:cs="Arial"/>
          <w:sz w:val="24"/>
          <w:szCs w:val="24"/>
        </w:rPr>
        <w:t xml:space="preserve">as Sociedades no financieras, </w:t>
      </w:r>
      <w:r w:rsidR="00963BD0">
        <w:rPr>
          <w:rFonts w:ascii="Arial" w:eastAsia="Arial" w:hAnsi="Arial" w:cs="Arial"/>
          <w:sz w:val="24"/>
          <w:szCs w:val="24"/>
        </w:rPr>
        <w:t>4.3</w:t>
      </w:r>
      <w:r w:rsidRPr="00C51DEF">
        <w:rPr>
          <w:rFonts w:ascii="Arial" w:eastAsia="Arial" w:hAnsi="Arial" w:cs="Arial"/>
          <w:sz w:val="24"/>
          <w:szCs w:val="24"/>
        </w:rPr>
        <w:t xml:space="preserve">% de </w:t>
      </w:r>
      <w:r w:rsidRPr="00967568">
        <w:rPr>
          <w:rFonts w:ascii="Arial" w:eastAsia="Arial" w:hAnsi="Arial" w:cs="Arial"/>
          <w:sz w:val="24"/>
          <w:szCs w:val="24"/>
        </w:rPr>
        <w:t>las Sociedades financieras</w:t>
      </w:r>
      <w:r w:rsidR="00C51DEF">
        <w:rPr>
          <w:rFonts w:ascii="Arial" w:eastAsia="Arial" w:hAnsi="Arial" w:cs="Arial"/>
          <w:sz w:val="24"/>
          <w:szCs w:val="24"/>
        </w:rPr>
        <w:t>,</w:t>
      </w:r>
      <w:r w:rsidR="00C51DEF" w:rsidRPr="00967568">
        <w:rPr>
          <w:rFonts w:ascii="Arial" w:eastAsia="Arial" w:hAnsi="Arial" w:cs="Arial"/>
          <w:sz w:val="24"/>
          <w:szCs w:val="24"/>
        </w:rPr>
        <w:t xml:space="preserve"> </w:t>
      </w:r>
      <w:r w:rsidR="00C51DEF" w:rsidRPr="00C51DEF">
        <w:rPr>
          <w:rFonts w:ascii="Arial" w:eastAsia="Arial" w:hAnsi="Arial" w:cs="Arial"/>
          <w:sz w:val="24"/>
          <w:szCs w:val="24"/>
        </w:rPr>
        <w:t>0.</w:t>
      </w:r>
      <w:r w:rsidR="00963BD0">
        <w:rPr>
          <w:rFonts w:ascii="Arial" w:eastAsia="Arial" w:hAnsi="Arial" w:cs="Arial"/>
          <w:sz w:val="24"/>
          <w:szCs w:val="24"/>
        </w:rPr>
        <w:t>9</w:t>
      </w:r>
      <w:r w:rsidR="00C51DEF" w:rsidRPr="00C51DEF">
        <w:rPr>
          <w:rFonts w:ascii="Arial" w:eastAsia="Arial" w:hAnsi="Arial" w:cs="Arial"/>
          <w:sz w:val="24"/>
          <w:szCs w:val="24"/>
        </w:rPr>
        <w:t xml:space="preserve">% de las </w:t>
      </w:r>
      <w:r w:rsidR="00C51DEF" w:rsidRPr="00967568">
        <w:rPr>
          <w:rFonts w:ascii="Arial" w:eastAsia="Arial" w:hAnsi="Arial" w:cs="Arial"/>
          <w:sz w:val="24"/>
          <w:szCs w:val="24"/>
        </w:rPr>
        <w:t>ISFLSH</w:t>
      </w:r>
      <w:r w:rsidR="00C51DEF">
        <w:rPr>
          <w:rFonts w:ascii="Arial" w:eastAsia="Arial" w:hAnsi="Arial" w:cs="Arial"/>
          <w:sz w:val="24"/>
          <w:szCs w:val="24"/>
        </w:rPr>
        <w:t>,</w:t>
      </w:r>
      <w:r w:rsidRPr="00967568">
        <w:rPr>
          <w:rFonts w:ascii="Arial" w:eastAsia="Arial" w:hAnsi="Arial" w:cs="Arial"/>
          <w:sz w:val="24"/>
          <w:szCs w:val="24"/>
        </w:rPr>
        <w:t xml:space="preserve"> </w:t>
      </w:r>
      <w:r w:rsidR="00033909">
        <w:rPr>
          <w:rFonts w:ascii="Arial" w:eastAsia="Arial" w:hAnsi="Arial" w:cs="Arial"/>
          <w:sz w:val="24"/>
          <w:szCs w:val="24"/>
        </w:rPr>
        <w:t xml:space="preserve">y </w:t>
      </w:r>
      <w:r w:rsidR="00C51DEF" w:rsidRPr="00967568">
        <w:rPr>
          <w:rFonts w:ascii="Arial" w:eastAsia="Arial" w:hAnsi="Arial" w:cs="Arial"/>
          <w:sz w:val="24"/>
          <w:szCs w:val="24"/>
        </w:rPr>
        <w:t>el Gobierno general</w:t>
      </w:r>
      <w:r w:rsidR="00AC5A3C">
        <w:rPr>
          <w:rFonts w:ascii="Arial" w:eastAsia="Arial" w:hAnsi="Arial" w:cs="Arial"/>
          <w:sz w:val="24"/>
          <w:szCs w:val="24"/>
        </w:rPr>
        <w:t xml:space="preserve"> registró un desahorro</w:t>
      </w:r>
      <w:r w:rsidR="00C51DEF">
        <w:rPr>
          <w:rFonts w:ascii="Arial" w:eastAsia="Arial" w:hAnsi="Arial" w:cs="Arial"/>
          <w:sz w:val="24"/>
          <w:szCs w:val="24"/>
        </w:rPr>
        <w:t xml:space="preserve"> de</w:t>
      </w:r>
      <w:r w:rsidR="00C51DEF" w:rsidRPr="00B61D97">
        <w:rPr>
          <w:rFonts w:ascii="Arial" w:eastAsia="Arial" w:hAnsi="Arial" w:cs="Arial"/>
          <w:color w:val="00B0F0"/>
          <w:sz w:val="24"/>
          <w:szCs w:val="24"/>
        </w:rPr>
        <w:t xml:space="preserve"> </w:t>
      </w:r>
      <w:r w:rsidR="00547C41" w:rsidRPr="00C51DEF">
        <w:rPr>
          <w:rFonts w:ascii="Arial" w:eastAsia="Arial" w:hAnsi="Arial" w:cs="Arial"/>
          <w:sz w:val="24"/>
          <w:szCs w:val="24"/>
        </w:rPr>
        <w:t>(</w:t>
      </w:r>
      <w:r w:rsidR="00547C41" w:rsidRPr="00C51DEF">
        <w:rPr>
          <w:rFonts w:ascii="Arial" w:eastAsia="Arial" w:hAnsi="Arial" w:cs="Arial"/>
          <w:sz w:val="24"/>
          <w:szCs w:val="24"/>
        </w:rPr>
        <w:noBreakHyphen/>
        <w:t>)</w:t>
      </w:r>
      <w:r w:rsidR="00963BD0">
        <w:rPr>
          <w:rFonts w:ascii="Arial" w:eastAsia="Arial" w:hAnsi="Arial" w:cs="Arial"/>
          <w:sz w:val="24"/>
          <w:szCs w:val="24"/>
        </w:rPr>
        <w:t>2.3</w:t>
      </w:r>
      <w:r w:rsidRPr="00C51DEF">
        <w:rPr>
          <w:rFonts w:ascii="Arial" w:eastAsia="Arial" w:hAnsi="Arial" w:cs="Arial"/>
          <w:sz w:val="24"/>
          <w:szCs w:val="24"/>
        </w:rPr>
        <w:t>%</w:t>
      </w:r>
      <w:r w:rsidR="00C51DEF">
        <w:rPr>
          <w:rFonts w:ascii="Arial" w:eastAsia="Arial" w:hAnsi="Arial" w:cs="Arial"/>
          <w:sz w:val="24"/>
          <w:szCs w:val="24"/>
        </w:rPr>
        <w:t>;</w:t>
      </w:r>
      <w:r w:rsidRPr="00C51DEF">
        <w:rPr>
          <w:rFonts w:ascii="Arial" w:eastAsia="Arial" w:hAnsi="Arial" w:cs="Arial"/>
          <w:sz w:val="24"/>
          <w:szCs w:val="24"/>
        </w:rPr>
        <w:t xml:space="preserve"> </w:t>
      </w:r>
      <w:r w:rsidR="00C51DEF">
        <w:rPr>
          <w:rFonts w:ascii="Arial" w:eastAsia="Arial" w:hAnsi="Arial" w:cs="Arial"/>
          <w:sz w:val="24"/>
          <w:szCs w:val="24"/>
        </w:rPr>
        <w:t xml:space="preserve">para cubrir las necesidades </w:t>
      </w:r>
      <w:r w:rsidR="00C51DEF" w:rsidRPr="00C51DEF">
        <w:rPr>
          <w:rFonts w:ascii="Arial" w:eastAsia="Arial" w:hAnsi="Arial" w:cs="Arial"/>
          <w:sz w:val="24"/>
          <w:szCs w:val="24"/>
        </w:rPr>
        <w:t xml:space="preserve">de financiamiento </w:t>
      </w:r>
      <w:r w:rsidR="00033909">
        <w:rPr>
          <w:rFonts w:ascii="Arial" w:eastAsia="Arial" w:hAnsi="Arial" w:cs="Arial"/>
          <w:sz w:val="24"/>
          <w:szCs w:val="24"/>
        </w:rPr>
        <w:t xml:space="preserve">el ahorro </w:t>
      </w:r>
      <w:r w:rsidR="00033909" w:rsidRPr="00C51DEF">
        <w:rPr>
          <w:rFonts w:ascii="Arial" w:eastAsia="Arial" w:hAnsi="Arial" w:cs="Arial"/>
          <w:sz w:val="24"/>
          <w:szCs w:val="24"/>
        </w:rPr>
        <w:t xml:space="preserve">restante </w:t>
      </w:r>
      <w:r w:rsidR="00C51DEF" w:rsidRPr="00C51DEF">
        <w:rPr>
          <w:rFonts w:ascii="Arial" w:eastAsia="Arial" w:hAnsi="Arial" w:cs="Arial"/>
          <w:sz w:val="24"/>
          <w:szCs w:val="24"/>
        </w:rPr>
        <w:t xml:space="preserve">se obtuvo </w:t>
      </w:r>
      <w:r w:rsidR="00033909">
        <w:rPr>
          <w:rFonts w:ascii="Arial" w:eastAsia="Arial" w:hAnsi="Arial" w:cs="Arial"/>
          <w:sz w:val="24"/>
          <w:szCs w:val="24"/>
        </w:rPr>
        <w:t>del Resto del mundo con</w:t>
      </w:r>
      <w:r w:rsidRPr="00C51DEF">
        <w:rPr>
          <w:rFonts w:ascii="Arial" w:eastAsia="Arial" w:hAnsi="Arial" w:cs="Arial"/>
          <w:sz w:val="24"/>
          <w:szCs w:val="24"/>
        </w:rPr>
        <w:t xml:space="preserve"> </w:t>
      </w:r>
      <w:r w:rsidR="00FA2967">
        <w:rPr>
          <w:rFonts w:ascii="Arial" w:eastAsia="Arial" w:hAnsi="Arial" w:cs="Arial"/>
          <w:sz w:val="24"/>
          <w:szCs w:val="24"/>
        </w:rPr>
        <w:t>1</w:t>
      </w:r>
      <w:r w:rsidR="00963BD0">
        <w:rPr>
          <w:rFonts w:ascii="Arial" w:eastAsia="Arial" w:hAnsi="Arial" w:cs="Arial"/>
          <w:sz w:val="24"/>
          <w:szCs w:val="24"/>
        </w:rPr>
        <w:t>.8</w:t>
      </w:r>
      <w:r w:rsidR="00033909">
        <w:rPr>
          <w:rFonts w:ascii="Arial" w:eastAsia="Arial" w:hAnsi="Arial" w:cs="Arial"/>
          <w:sz w:val="24"/>
          <w:szCs w:val="24"/>
        </w:rPr>
        <w:t xml:space="preserve"> por ciento.</w:t>
      </w:r>
    </w:p>
    <w:p w14:paraId="61B03CBF" w14:textId="77777777" w:rsidR="00CC4F8B" w:rsidRPr="00967568" w:rsidRDefault="00EA4260" w:rsidP="00963BD0">
      <w:pPr>
        <w:spacing w:before="360" w:after="0" w:line="246" w:lineRule="auto"/>
        <w:jc w:val="both"/>
        <w:rPr>
          <w:rFonts w:ascii="Arial" w:eastAsia="Arial" w:hAnsi="Arial" w:cs="Arial"/>
          <w:sz w:val="24"/>
          <w:szCs w:val="24"/>
        </w:rPr>
      </w:pPr>
      <w:r w:rsidRPr="00967568">
        <w:rPr>
          <w:rFonts w:ascii="Arial" w:eastAsia="Arial" w:hAnsi="Arial" w:cs="Arial"/>
          <w:sz w:val="24"/>
          <w:szCs w:val="24"/>
        </w:rPr>
        <w:t>Como un desglose adicional para el análisis de la cuenta financiera, se proporciona</w:t>
      </w:r>
      <w:r w:rsidR="000D375E" w:rsidRPr="00967568">
        <w:rPr>
          <w:rFonts w:ascii="Arial" w:eastAsia="Arial" w:hAnsi="Arial" w:cs="Arial"/>
          <w:sz w:val="24"/>
          <w:szCs w:val="24"/>
        </w:rPr>
        <w:t xml:space="preserve">n los </w:t>
      </w:r>
      <w:r w:rsidRPr="00967568">
        <w:rPr>
          <w:rFonts w:ascii="Arial" w:eastAsia="Arial" w:hAnsi="Arial" w:cs="Arial"/>
          <w:sz w:val="24"/>
          <w:szCs w:val="24"/>
        </w:rPr>
        <w:t>cuadro</w:t>
      </w:r>
      <w:r w:rsidR="000D375E" w:rsidRPr="00967568">
        <w:rPr>
          <w:rFonts w:ascii="Arial" w:eastAsia="Arial" w:hAnsi="Arial" w:cs="Arial"/>
          <w:sz w:val="24"/>
          <w:szCs w:val="24"/>
        </w:rPr>
        <w:t>s</w:t>
      </w:r>
      <w:r w:rsidRPr="00967568">
        <w:rPr>
          <w:rFonts w:ascii="Arial" w:eastAsia="Arial" w:hAnsi="Arial" w:cs="Arial"/>
          <w:sz w:val="24"/>
          <w:szCs w:val="24"/>
        </w:rPr>
        <w:t xml:space="preserve"> de flujos </w:t>
      </w:r>
      <w:r w:rsidR="000D375E" w:rsidRPr="00967568">
        <w:rPr>
          <w:rFonts w:ascii="Arial" w:eastAsia="Arial" w:hAnsi="Arial" w:cs="Arial"/>
          <w:sz w:val="24"/>
          <w:szCs w:val="24"/>
        </w:rPr>
        <w:t xml:space="preserve">de fondos detallados, uno </w:t>
      </w:r>
      <w:r w:rsidRPr="00967568">
        <w:rPr>
          <w:rFonts w:ascii="Arial" w:eastAsia="Arial" w:hAnsi="Arial" w:cs="Arial"/>
          <w:sz w:val="24"/>
          <w:szCs w:val="24"/>
        </w:rPr>
        <w:t>para los activos financieros</w:t>
      </w:r>
      <w:r w:rsidR="00493EDC">
        <w:rPr>
          <w:rFonts w:ascii="Arial" w:eastAsia="Arial" w:hAnsi="Arial" w:cs="Arial"/>
          <w:sz w:val="24"/>
          <w:szCs w:val="24"/>
        </w:rPr>
        <w:t xml:space="preserve"> y otro para los pasivos;</w:t>
      </w:r>
      <w:r w:rsidRPr="00967568">
        <w:rPr>
          <w:rFonts w:ascii="Arial" w:eastAsia="Arial" w:hAnsi="Arial" w:cs="Arial"/>
          <w:sz w:val="24"/>
          <w:szCs w:val="24"/>
        </w:rPr>
        <w:t xml:space="preserve"> su estructura vertical responde al grado de liquidez de los activos. Atendiendo a este criterio se presenta el dinero en circulación; los depósitos de fácil realización; los valores emitidos por el gobierno, la banca y las empresas; los préstamos otorgados por el sector financiero; las acciones que emiten las sociedades; las reservas de seguros y derechos de pensiones; los activos fi</w:t>
      </w:r>
      <w:r w:rsidR="00347FDA">
        <w:rPr>
          <w:rFonts w:ascii="Arial" w:eastAsia="Arial" w:hAnsi="Arial" w:cs="Arial"/>
          <w:sz w:val="24"/>
          <w:szCs w:val="24"/>
        </w:rPr>
        <w:t>nancieros denominados derivados,</w:t>
      </w:r>
      <w:r w:rsidRPr="00967568">
        <w:rPr>
          <w:rFonts w:ascii="Arial" w:eastAsia="Arial" w:hAnsi="Arial" w:cs="Arial"/>
          <w:sz w:val="24"/>
          <w:szCs w:val="24"/>
        </w:rPr>
        <w:t xml:space="preserve"> concluyendo con los créditos comerciales. </w:t>
      </w:r>
      <w:r w:rsidRPr="00033909">
        <w:rPr>
          <w:rFonts w:ascii="Arial" w:eastAsia="Arial" w:hAnsi="Arial" w:cs="Arial"/>
          <w:sz w:val="24"/>
          <w:szCs w:val="24"/>
        </w:rPr>
        <w:t>Esta herramienta de análisis se ha actualizado para ponerla al día de todas las innovaciones que surgieron en los mercados financieros en los últimos años y que fueron introducidos en el recientemente aprobado SCN 2008.</w:t>
      </w:r>
    </w:p>
    <w:p w14:paraId="41175C61" w14:textId="77777777" w:rsidR="000D375E" w:rsidRPr="00967568" w:rsidRDefault="00547C41" w:rsidP="005D367F">
      <w:pPr>
        <w:widowControl/>
        <w:spacing w:before="600" w:after="0" w:line="240" w:lineRule="auto"/>
        <w:jc w:val="both"/>
        <w:rPr>
          <w:rFonts w:ascii="Arial" w:eastAsia="Arial" w:hAnsi="Arial" w:cs="Arial"/>
          <w:sz w:val="20"/>
          <w:szCs w:val="19"/>
        </w:rPr>
      </w:pPr>
      <w:r>
        <w:rPr>
          <w:rFonts w:ascii="Arial" w:eastAsia="Calibri" w:hAnsi="Arial" w:cs="Arial"/>
          <w:b/>
          <w:sz w:val="24"/>
          <w:szCs w:val="28"/>
        </w:rPr>
        <w:t>Balance de Apertura y Cierre y Variación en el Valor de los Activos</w:t>
      </w:r>
    </w:p>
    <w:p w14:paraId="383FCBC8" w14:textId="77777777" w:rsidR="000D375E" w:rsidRPr="00967568" w:rsidRDefault="000D375E" w:rsidP="00963BD0">
      <w:pPr>
        <w:spacing w:before="360" w:after="0" w:line="246" w:lineRule="auto"/>
        <w:jc w:val="both"/>
        <w:rPr>
          <w:rFonts w:ascii="Arial" w:eastAsia="Arial" w:hAnsi="Arial" w:cs="Arial"/>
          <w:sz w:val="24"/>
          <w:szCs w:val="24"/>
        </w:rPr>
      </w:pPr>
      <w:r w:rsidRPr="00967568">
        <w:rPr>
          <w:rFonts w:ascii="Arial" w:eastAsia="Arial" w:hAnsi="Arial" w:cs="Arial"/>
          <w:sz w:val="24"/>
          <w:szCs w:val="24"/>
        </w:rPr>
        <w:t xml:space="preserve">Los resultados de los Balances de Apertura y Cierre muestran el </w:t>
      </w:r>
      <w:r w:rsidR="00FA7839">
        <w:rPr>
          <w:rFonts w:ascii="Arial" w:eastAsia="Arial" w:hAnsi="Arial" w:cs="Arial"/>
          <w:sz w:val="24"/>
          <w:szCs w:val="24"/>
        </w:rPr>
        <w:t>v</w:t>
      </w:r>
      <w:r w:rsidR="00E0761C" w:rsidRPr="00967568">
        <w:rPr>
          <w:rFonts w:ascii="Arial" w:eastAsia="Arial" w:hAnsi="Arial" w:cs="Arial"/>
          <w:sz w:val="24"/>
          <w:szCs w:val="24"/>
        </w:rPr>
        <w:t>alor neto</w:t>
      </w:r>
      <w:r w:rsidRPr="00547C41">
        <w:rPr>
          <w:rFonts w:ascii="Arial" w:eastAsia="Arial" w:hAnsi="Arial" w:cs="Arial"/>
          <w:sz w:val="20"/>
          <w:szCs w:val="24"/>
          <w:vertAlign w:val="superscript"/>
        </w:rPr>
        <w:footnoteReference w:id="6"/>
      </w:r>
      <w:r w:rsidRPr="00967568">
        <w:rPr>
          <w:rFonts w:ascii="Arial" w:eastAsia="Arial" w:hAnsi="Arial" w:cs="Arial"/>
          <w:sz w:val="24"/>
          <w:szCs w:val="24"/>
        </w:rPr>
        <w:t xml:space="preserve"> total de los activos, es decir, los </w:t>
      </w:r>
      <w:r w:rsidRPr="00347FDA">
        <w:rPr>
          <w:rFonts w:ascii="Arial" w:eastAsia="Arial" w:hAnsi="Arial" w:cs="Arial"/>
          <w:i/>
          <w:sz w:val="24"/>
          <w:szCs w:val="24"/>
        </w:rPr>
        <w:t>stocks</w:t>
      </w:r>
      <w:r w:rsidRPr="00967568">
        <w:rPr>
          <w:rFonts w:ascii="Arial" w:eastAsia="Arial" w:hAnsi="Arial" w:cs="Arial"/>
          <w:sz w:val="24"/>
          <w:szCs w:val="24"/>
        </w:rPr>
        <w:t xml:space="preserve"> de los activos financieros y no financieros que posee cada sect</w:t>
      </w:r>
      <w:r w:rsidR="00B9435B">
        <w:rPr>
          <w:rFonts w:ascii="Arial" w:eastAsia="Arial" w:hAnsi="Arial" w:cs="Arial"/>
          <w:sz w:val="24"/>
          <w:szCs w:val="24"/>
        </w:rPr>
        <w:t>or institucional, siendo esto</w:t>
      </w:r>
      <w:r w:rsidRPr="00967568">
        <w:rPr>
          <w:rFonts w:ascii="Arial" w:eastAsia="Arial" w:hAnsi="Arial" w:cs="Arial"/>
          <w:sz w:val="24"/>
          <w:szCs w:val="24"/>
        </w:rPr>
        <w:t xml:space="preserve"> una medida cercana al concepto de riqueza. A lo largo del año se adquieren activos (financieros y no financieros) y tam</w:t>
      </w:r>
      <w:r w:rsidR="00347FDA">
        <w:rPr>
          <w:rFonts w:ascii="Arial" w:eastAsia="Arial" w:hAnsi="Arial" w:cs="Arial"/>
          <w:sz w:val="24"/>
          <w:szCs w:val="24"/>
        </w:rPr>
        <w:t>bién se emiten pasivos (deudas);</w:t>
      </w:r>
      <w:r w:rsidRPr="00967568">
        <w:rPr>
          <w:rFonts w:ascii="Arial" w:eastAsia="Arial" w:hAnsi="Arial" w:cs="Arial"/>
          <w:sz w:val="24"/>
          <w:szCs w:val="24"/>
        </w:rPr>
        <w:t xml:space="preserve"> estos registros constituyen transacciones que</w:t>
      </w:r>
      <w:r w:rsidR="00AA66C2">
        <w:rPr>
          <w:rFonts w:ascii="Arial" w:eastAsia="Arial" w:hAnsi="Arial" w:cs="Arial"/>
          <w:sz w:val="24"/>
          <w:szCs w:val="24"/>
        </w:rPr>
        <w:t>,</w:t>
      </w:r>
      <w:r w:rsidR="007F3A1C">
        <w:rPr>
          <w:rFonts w:ascii="Arial" w:eastAsia="Arial" w:hAnsi="Arial" w:cs="Arial"/>
          <w:sz w:val="24"/>
          <w:szCs w:val="24"/>
        </w:rPr>
        <w:t xml:space="preserve"> adicionadas al Balance de A</w:t>
      </w:r>
      <w:r w:rsidRPr="00967568">
        <w:rPr>
          <w:rFonts w:ascii="Arial" w:eastAsia="Arial" w:hAnsi="Arial" w:cs="Arial"/>
          <w:sz w:val="24"/>
          <w:szCs w:val="24"/>
        </w:rPr>
        <w:t>pertura</w:t>
      </w:r>
      <w:r w:rsidR="00771249">
        <w:rPr>
          <w:rFonts w:ascii="Arial" w:eastAsia="Arial" w:hAnsi="Arial" w:cs="Arial"/>
          <w:sz w:val="24"/>
          <w:szCs w:val="24"/>
        </w:rPr>
        <w:t>,</w:t>
      </w:r>
      <w:r w:rsidRPr="00967568">
        <w:rPr>
          <w:rFonts w:ascii="Arial" w:eastAsia="Arial" w:hAnsi="Arial" w:cs="Arial"/>
          <w:sz w:val="24"/>
          <w:szCs w:val="24"/>
        </w:rPr>
        <w:t xml:space="preserve"> definen el </w:t>
      </w:r>
      <w:r w:rsidR="00FA7839">
        <w:rPr>
          <w:rFonts w:ascii="Arial" w:eastAsia="Arial" w:hAnsi="Arial" w:cs="Arial"/>
          <w:sz w:val="24"/>
          <w:szCs w:val="24"/>
        </w:rPr>
        <w:t>v</w:t>
      </w:r>
      <w:r w:rsidR="00E0761C" w:rsidRPr="00967568">
        <w:rPr>
          <w:rFonts w:ascii="Arial" w:eastAsia="Arial" w:hAnsi="Arial" w:cs="Arial"/>
          <w:sz w:val="24"/>
          <w:szCs w:val="24"/>
        </w:rPr>
        <w:t>alor neto</w:t>
      </w:r>
      <w:r w:rsidRPr="00967568">
        <w:rPr>
          <w:rFonts w:ascii="Arial" w:eastAsia="Arial" w:hAnsi="Arial" w:cs="Arial"/>
          <w:sz w:val="24"/>
          <w:szCs w:val="24"/>
        </w:rPr>
        <w:t xml:space="preserve"> de las posesiones que cada uno de los sectores tiene al final del año.</w:t>
      </w:r>
    </w:p>
    <w:p w14:paraId="027989A2" w14:textId="77777777" w:rsidR="000D375E" w:rsidRPr="00967568" w:rsidRDefault="007C2505" w:rsidP="00963BD0">
      <w:pPr>
        <w:spacing w:before="240" w:after="0" w:line="246" w:lineRule="auto"/>
        <w:jc w:val="both"/>
        <w:rPr>
          <w:rFonts w:ascii="Arial" w:eastAsia="Arial" w:hAnsi="Arial" w:cs="Arial"/>
          <w:sz w:val="24"/>
          <w:szCs w:val="24"/>
        </w:rPr>
      </w:pPr>
      <w:r w:rsidRPr="00967568">
        <w:rPr>
          <w:rFonts w:ascii="Arial" w:eastAsia="Arial" w:hAnsi="Arial" w:cs="Arial"/>
          <w:sz w:val="24"/>
          <w:szCs w:val="24"/>
        </w:rPr>
        <w:t xml:space="preserve">Al inicio </w:t>
      </w:r>
      <w:r w:rsidRPr="00084AE6">
        <w:rPr>
          <w:rFonts w:ascii="Arial" w:eastAsia="Arial" w:hAnsi="Arial" w:cs="Arial"/>
          <w:sz w:val="24"/>
          <w:szCs w:val="24"/>
        </w:rPr>
        <w:t xml:space="preserve">de </w:t>
      </w:r>
      <w:r w:rsidR="00BE2548" w:rsidRPr="00084AE6">
        <w:rPr>
          <w:rFonts w:ascii="Arial" w:eastAsia="Arial" w:hAnsi="Arial" w:cs="Arial"/>
          <w:sz w:val="24"/>
          <w:szCs w:val="24"/>
        </w:rPr>
        <w:t>201</w:t>
      </w:r>
      <w:r w:rsidR="00963BD0">
        <w:rPr>
          <w:rFonts w:ascii="Arial" w:eastAsia="Arial" w:hAnsi="Arial" w:cs="Arial"/>
          <w:sz w:val="24"/>
          <w:szCs w:val="24"/>
        </w:rPr>
        <w:t>8</w:t>
      </w:r>
      <w:r w:rsidR="000D375E" w:rsidRPr="00084AE6">
        <w:rPr>
          <w:rFonts w:ascii="Arial" w:eastAsia="Arial" w:hAnsi="Arial" w:cs="Arial"/>
          <w:sz w:val="24"/>
          <w:szCs w:val="24"/>
        </w:rPr>
        <w:t xml:space="preserve"> el </w:t>
      </w:r>
      <w:r w:rsidR="00FA7839" w:rsidRPr="00084AE6">
        <w:rPr>
          <w:rFonts w:ascii="Arial" w:eastAsia="Arial" w:hAnsi="Arial" w:cs="Arial"/>
          <w:sz w:val="24"/>
          <w:szCs w:val="24"/>
        </w:rPr>
        <w:t>v</w:t>
      </w:r>
      <w:r w:rsidR="00E0761C" w:rsidRPr="00084AE6">
        <w:rPr>
          <w:rFonts w:ascii="Arial" w:eastAsia="Arial" w:hAnsi="Arial" w:cs="Arial"/>
          <w:sz w:val="24"/>
          <w:szCs w:val="24"/>
        </w:rPr>
        <w:t>alor neto</w:t>
      </w:r>
      <w:r w:rsidR="000D375E" w:rsidRPr="00084AE6">
        <w:rPr>
          <w:rFonts w:ascii="Arial" w:eastAsia="Arial" w:hAnsi="Arial" w:cs="Arial"/>
          <w:sz w:val="24"/>
          <w:szCs w:val="24"/>
        </w:rPr>
        <w:t xml:space="preserve"> de los activos</w:t>
      </w:r>
      <w:r w:rsidR="00FA2267" w:rsidRPr="005D367F">
        <w:rPr>
          <w:rStyle w:val="Refdenotaalpie"/>
          <w:rFonts w:ascii="Arial" w:eastAsia="Arial" w:hAnsi="Arial" w:cs="Arial"/>
          <w:sz w:val="20"/>
          <w:szCs w:val="24"/>
        </w:rPr>
        <w:footnoteReference w:id="7"/>
      </w:r>
      <w:r w:rsidR="000D375E" w:rsidRPr="00084AE6">
        <w:rPr>
          <w:rFonts w:ascii="Arial" w:eastAsia="Arial" w:hAnsi="Arial" w:cs="Arial"/>
          <w:sz w:val="24"/>
          <w:szCs w:val="24"/>
        </w:rPr>
        <w:t xml:space="preserve"> en posesión de los distintos sectores fue de </w:t>
      </w:r>
      <w:r w:rsidR="00963BD0">
        <w:rPr>
          <w:rFonts w:ascii="Arial" w:eastAsia="Arial" w:hAnsi="Arial" w:cs="Arial"/>
          <w:sz w:val="24"/>
          <w:szCs w:val="24"/>
        </w:rPr>
        <w:t>1</w:t>
      </w:r>
      <w:r w:rsidR="00BE1499">
        <w:rPr>
          <w:rFonts w:ascii="Arial" w:eastAsia="Arial" w:hAnsi="Arial" w:cs="Arial"/>
          <w:sz w:val="24"/>
          <w:szCs w:val="24"/>
        </w:rPr>
        <w:t>2</w:t>
      </w:r>
      <w:r w:rsidR="00963BD0">
        <w:rPr>
          <w:rFonts w:ascii="Arial" w:eastAsia="Arial" w:hAnsi="Arial" w:cs="Arial"/>
          <w:sz w:val="24"/>
          <w:szCs w:val="24"/>
        </w:rPr>
        <w:t>6</w:t>
      </w:r>
      <w:r w:rsidR="007D5C2A" w:rsidRPr="00084AE6">
        <w:rPr>
          <w:rFonts w:ascii="Arial" w:eastAsia="Arial" w:hAnsi="Arial" w:cs="Arial"/>
          <w:sz w:val="24"/>
          <w:szCs w:val="24"/>
        </w:rPr>
        <w:t>,</w:t>
      </w:r>
      <w:r w:rsidR="00963BD0">
        <w:rPr>
          <w:rFonts w:ascii="Arial" w:eastAsia="Arial" w:hAnsi="Arial" w:cs="Arial"/>
          <w:sz w:val="24"/>
          <w:szCs w:val="24"/>
        </w:rPr>
        <w:t>617</w:t>
      </w:r>
      <w:r w:rsidR="007D5C2A" w:rsidRPr="00084AE6">
        <w:rPr>
          <w:rFonts w:ascii="Arial" w:eastAsia="Arial" w:hAnsi="Arial" w:cs="Arial"/>
          <w:sz w:val="24"/>
          <w:szCs w:val="24"/>
        </w:rPr>
        <w:t>,</w:t>
      </w:r>
      <w:r w:rsidR="00963BD0">
        <w:rPr>
          <w:rFonts w:ascii="Arial" w:eastAsia="Arial" w:hAnsi="Arial" w:cs="Arial"/>
          <w:sz w:val="24"/>
          <w:szCs w:val="24"/>
        </w:rPr>
        <w:t>959</w:t>
      </w:r>
      <w:r w:rsidR="00BE1499">
        <w:rPr>
          <w:rFonts w:ascii="Arial" w:eastAsia="Arial" w:hAnsi="Arial" w:cs="Arial"/>
          <w:sz w:val="24"/>
          <w:szCs w:val="24"/>
        </w:rPr>
        <w:t xml:space="preserve"> </w:t>
      </w:r>
      <w:r w:rsidR="000D375E" w:rsidRPr="00084AE6">
        <w:rPr>
          <w:rFonts w:ascii="Arial" w:eastAsia="Arial" w:hAnsi="Arial" w:cs="Arial"/>
          <w:sz w:val="24"/>
          <w:szCs w:val="24"/>
        </w:rPr>
        <w:t xml:space="preserve">millones </w:t>
      </w:r>
      <w:r w:rsidR="000D375E" w:rsidRPr="00967568">
        <w:rPr>
          <w:rFonts w:ascii="Arial" w:eastAsia="Arial" w:hAnsi="Arial" w:cs="Arial"/>
          <w:sz w:val="24"/>
          <w:szCs w:val="24"/>
        </w:rPr>
        <w:t>de</w:t>
      </w:r>
      <w:r w:rsidR="007F3A1C">
        <w:rPr>
          <w:rFonts w:ascii="Arial" w:eastAsia="Arial" w:hAnsi="Arial" w:cs="Arial"/>
          <w:sz w:val="24"/>
          <w:szCs w:val="24"/>
        </w:rPr>
        <w:t xml:space="preserve"> pesos; al finalizar el año el Balance de C</w:t>
      </w:r>
      <w:r w:rsidR="000D375E" w:rsidRPr="00967568">
        <w:rPr>
          <w:rFonts w:ascii="Arial" w:eastAsia="Arial" w:hAnsi="Arial" w:cs="Arial"/>
          <w:sz w:val="24"/>
          <w:szCs w:val="24"/>
        </w:rPr>
        <w:t xml:space="preserve">ierre mostró un valor </w:t>
      </w:r>
      <w:r w:rsidR="000D375E" w:rsidRPr="00084AE6">
        <w:rPr>
          <w:rFonts w:ascii="Arial" w:eastAsia="Arial" w:hAnsi="Arial" w:cs="Arial"/>
          <w:sz w:val="24"/>
          <w:szCs w:val="24"/>
        </w:rPr>
        <w:t xml:space="preserve">de </w:t>
      </w:r>
      <w:r w:rsidR="007D5C2A" w:rsidRPr="00084AE6">
        <w:rPr>
          <w:rFonts w:ascii="Arial" w:eastAsia="Arial" w:hAnsi="Arial" w:cs="Arial"/>
          <w:sz w:val="24"/>
          <w:szCs w:val="24"/>
        </w:rPr>
        <w:t>1</w:t>
      </w:r>
      <w:r w:rsidR="00963BD0">
        <w:rPr>
          <w:rFonts w:ascii="Arial" w:eastAsia="Arial" w:hAnsi="Arial" w:cs="Arial"/>
          <w:sz w:val="24"/>
          <w:szCs w:val="24"/>
        </w:rPr>
        <w:t>4</w:t>
      </w:r>
      <w:r w:rsidR="007D5C2A" w:rsidRPr="00084AE6">
        <w:rPr>
          <w:rFonts w:ascii="Arial" w:eastAsia="Arial" w:hAnsi="Arial" w:cs="Arial"/>
          <w:sz w:val="24"/>
          <w:szCs w:val="24"/>
        </w:rPr>
        <w:t>2,</w:t>
      </w:r>
      <w:r w:rsidR="00963BD0">
        <w:rPr>
          <w:rFonts w:ascii="Arial" w:eastAsia="Arial" w:hAnsi="Arial" w:cs="Arial"/>
          <w:sz w:val="24"/>
          <w:szCs w:val="24"/>
        </w:rPr>
        <w:t>950</w:t>
      </w:r>
      <w:r w:rsidR="007D5C2A" w:rsidRPr="00084AE6">
        <w:rPr>
          <w:rFonts w:ascii="Arial" w:eastAsia="Arial" w:hAnsi="Arial" w:cs="Arial"/>
          <w:sz w:val="24"/>
          <w:szCs w:val="24"/>
        </w:rPr>
        <w:t>,</w:t>
      </w:r>
      <w:r w:rsidR="00963BD0">
        <w:rPr>
          <w:rFonts w:ascii="Arial" w:eastAsia="Arial" w:hAnsi="Arial" w:cs="Arial"/>
          <w:sz w:val="24"/>
          <w:szCs w:val="24"/>
        </w:rPr>
        <w:t>322</w:t>
      </w:r>
      <w:r w:rsidR="000D375E" w:rsidRPr="00084AE6">
        <w:rPr>
          <w:rFonts w:ascii="Arial" w:eastAsia="Arial" w:hAnsi="Arial" w:cs="Arial"/>
          <w:sz w:val="24"/>
          <w:szCs w:val="24"/>
        </w:rPr>
        <w:t xml:space="preserve"> millones </w:t>
      </w:r>
      <w:r w:rsidR="000D375E" w:rsidRPr="00967568">
        <w:rPr>
          <w:rFonts w:ascii="Arial" w:eastAsia="Arial" w:hAnsi="Arial" w:cs="Arial"/>
          <w:sz w:val="24"/>
          <w:szCs w:val="24"/>
        </w:rPr>
        <w:t xml:space="preserve">de pesos. Este valor fue equivalente </w:t>
      </w:r>
      <w:r w:rsidR="000D375E" w:rsidRPr="00084AE6">
        <w:rPr>
          <w:rFonts w:ascii="Arial" w:eastAsia="Arial" w:hAnsi="Arial" w:cs="Arial"/>
          <w:sz w:val="24"/>
          <w:szCs w:val="24"/>
        </w:rPr>
        <w:t xml:space="preserve">a </w:t>
      </w:r>
      <w:r w:rsidR="00963BD0">
        <w:rPr>
          <w:rFonts w:ascii="Arial" w:eastAsia="Arial" w:hAnsi="Arial" w:cs="Arial"/>
          <w:sz w:val="24"/>
          <w:szCs w:val="24"/>
        </w:rPr>
        <w:t>6</w:t>
      </w:r>
      <w:r w:rsidR="000D375E" w:rsidRPr="00084AE6">
        <w:rPr>
          <w:rFonts w:ascii="Arial" w:eastAsia="Arial" w:hAnsi="Arial" w:cs="Arial"/>
          <w:sz w:val="24"/>
          <w:szCs w:val="24"/>
        </w:rPr>
        <w:t xml:space="preserve"> veces</w:t>
      </w:r>
      <w:r w:rsidR="003F06E3">
        <w:rPr>
          <w:rFonts w:ascii="Arial" w:eastAsia="Arial" w:hAnsi="Arial" w:cs="Arial"/>
          <w:sz w:val="24"/>
          <w:szCs w:val="24"/>
        </w:rPr>
        <w:t xml:space="preserve"> más </w:t>
      </w:r>
      <w:r w:rsidR="003F06E3">
        <w:rPr>
          <w:rFonts w:ascii="Arial" w:eastAsia="Arial" w:hAnsi="Arial" w:cs="Arial"/>
          <w:sz w:val="24"/>
          <w:szCs w:val="24"/>
        </w:rPr>
        <w:lastRenderedPageBreak/>
        <w:t>que</w:t>
      </w:r>
      <w:r w:rsidR="000D375E" w:rsidRPr="00084AE6">
        <w:rPr>
          <w:rFonts w:ascii="Arial" w:eastAsia="Arial" w:hAnsi="Arial" w:cs="Arial"/>
          <w:sz w:val="24"/>
          <w:szCs w:val="24"/>
        </w:rPr>
        <w:t xml:space="preserve"> </w:t>
      </w:r>
      <w:r w:rsidR="000D375E" w:rsidRPr="00967568">
        <w:rPr>
          <w:rFonts w:ascii="Arial" w:eastAsia="Arial" w:hAnsi="Arial" w:cs="Arial"/>
          <w:sz w:val="24"/>
          <w:szCs w:val="24"/>
        </w:rPr>
        <w:t>el PIB (</w:t>
      </w:r>
      <w:r w:rsidR="00FA7839">
        <w:rPr>
          <w:rFonts w:ascii="Arial" w:eastAsia="Arial" w:hAnsi="Arial" w:cs="Arial"/>
          <w:sz w:val="24"/>
          <w:szCs w:val="24"/>
        </w:rPr>
        <w:t xml:space="preserve">esto </w:t>
      </w:r>
      <w:r w:rsidR="00FA7839" w:rsidRPr="00084AE6">
        <w:rPr>
          <w:rFonts w:ascii="Arial" w:eastAsia="Arial" w:hAnsi="Arial" w:cs="Arial"/>
          <w:sz w:val="24"/>
          <w:szCs w:val="24"/>
        </w:rPr>
        <w:t xml:space="preserve">es </w:t>
      </w:r>
      <w:r w:rsidR="00963BD0">
        <w:rPr>
          <w:rFonts w:ascii="Arial" w:eastAsia="Arial" w:hAnsi="Arial" w:cs="Arial"/>
          <w:sz w:val="24"/>
          <w:szCs w:val="24"/>
        </w:rPr>
        <w:t>608.5</w:t>
      </w:r>
      <w:r w:rsidR="007F7FDC" w:rsidRPr="00084AE6">
        <w:rPr>
          <w:rFonts w:ascii="Arial" w:eastAsia="Arial" w:hAnsi="Arial" w:cs="Arial"/>
          <w:sz w:val="24"/>
          <w:szCs w:val="24"/>
        </w:rPr>
        <w:t>%</w:t>
      </w:r>
      <w:r w:rsidR="000D375E" w:rsidRPr="00084AE6">
        <w:rPr>
          <w:rFonts w:ascii="Arial" w:eastAsia="Arial" w:hAnsi="Arial" w:cs="Arial"/>
          <w:sz w:val="24"/>
          <w:szCs w:val="24"/>
        </w:rPr>
        <w:t xml:space="preserve"> </w:t>
      </w:r>
      <w:r w:rsidR="00FA7839" w:rsidRPr="00084AE6">
        <w:rPr>
          <w:rFonts w:ascii="Arial" w:eastAsia="Arial" w:hAnsi="Arial" w:cs="Arial"/>
          <w:sz w:val="24"/>
          <w:szCs w:val="24"/>
        </w:rPr>
        <w:t xml:space="preserve">respecto </w:t>
      </w:r>
      <w:r w:rsidR="00FA7839">
        <w:rPr>
          <w:rFonts w:ascii="Arial" w:eastAsia="Arial" w:hAnsi="Arial" w:cs="Arial"/>
          <w:sz w:val="24"/>
          <w:szCs w:val="24"/>
        </w:rPr>
        <w:t>a esta variable</w:t>
      </w:r>
      <w:r w:rsidR="000D375E" w:rsidRPr="00967568">
        <w:rPr>
          <w:rFonts w:ascii="Arial" w:eastAsia="Arial" w:hAnsi="Arial" w:cs="Arial"/>
          <w:sz w:val="24"/>
          <w:szCs w:val="24"/>
        </w:rPr>
        <w:t xml:space="preserve">) y mostró un incremento de </w:t>
      </w:r>
      <w:r w:rsidR="0014663D">
        <w:rPr>
          <w:rFonts w:ascii="Arial" w:eastAsia="Arial" w:hAnsi="Arial" w:cs="Arial"/>
          <w:sz w:val="24"/>
          <w:szCs w:val="24"/>
        </w:rPr>
        <w:t>6</w:t>
      </w:r>
      <w:r w:rsidR="00963BD0">
        <w:rPr>
          <w:rFonts w:ascii="Arial" w:eastAsia="Arial" w:hAnsi="Arial" w:cs="Arial"/>
          <w:sz w:val="24"/>
          <w:szCs w:val="24"/>
        </w:rPr>
        <w:t>9.5</w:t>
      </w:r>
      <w:r w:rsidR="00FA7839">
        <w:rPr>
          <w:rFonts w:ascii="Arial" w:eastAsia="Arial" w:hAnsi="Arial" w:cs="Arial"/>
          <w:sz w:val="24"/>
          <w:szCs w:val="24"/>
        </w:rPr>
        <w:t xml:space="preserve"> puntos porcentuales</w:t>
      </w:r>
      <w:r w:rsidR="000D375E" w:rsidRPr="00967568">
        <w:rPr>
          <w:rFonts w:ascii="Arial" w:eastAsia="Arial" w:hAnsi="Arial" w:cs="Arial"/>
          <w:sz w:val="24"/>
          <w:szCs w:val="24"/>
        </w:rPr>
        <w:t xml:space="preserve"> </w:t>
      </w:r>
      <w:r w:rsidR="00AC5A3C">
        <w:rPr>
          <w:rFonts w:ascii="Arial" w:eastAsia="Arial" w:hAnsi="Arial" w:cs="Arial"/>
          <w:sz w:val="24"/>
          <w:szCs w:val="24"/>
        </w:rPr>
        <w:t>(</w:t>
      </w:r>
      <w:r w:rsidR="00514432">
        <w:rPr>
          <w:rFonts w:ascii="Arial" w:eastAsia="Arial" w:hAnsi="Arial" w:cs="Arial"/>
          <w:sz w:val="24"/>
          <w:szCs w:val="24"/>
        </w:rPr>
        <w:t>co</w:t>
      </w:r>
      <w:r w:rsidR="00323C72">
        <w:rPr>
          <w:rFonts w:ascii="Arial" w:eastAsia="Arial" w:hAnsi="Arial" w:cs="Arial"/>
          <w:sz w:val="24"/>
          <w:szCs w:val="24"/>
        </w:rPr>
        <w:t>n relación</w:t>
      </w:r>
      <w:r w:rsidR="000D375E" w:rsidRPr="00967568">
        <w:rPr>
          <w:rFonts w:ascii="Arial" w:eastAsia="Arial" w:hAnsi="Arial" w:cs="Arial"/>
          <w:sz w:val="24"/>
          <w:szCs w:val="24"/>
        </w:rPr>
        <w:t xml:space="preserve"> a</w:t>
      </w:r>
      <w:r w:rsidR="00AC5A3C">
        <w:rPr>
          <w:rFonts w:ascii="Arial" w:eastAsia="Arial" w:hAnsi="Arial" w:cs="Arial"/>
          <w:sz w:val="24"/>
          <w:szCs w:val="24"/>
        </w:rPr>
        <w:t>l</w:t>
      </w:r>
      <w:r w:rsidR="000D375E" w:rsidRPr="00967568">
        <w:rPr>
          <w:rFonts w:ascii="Arial" w:eastAsia="Arial" w:hAnsi="Arial" w:cs="Arial"/>
          <w:sz w:val="24"/>
          <w:szCs w:val="24"/>
        </w:rPr>
        <w:t xml:space="preserve"> </w:t>
      </w:r>
      <w:r w:rsidR="00AC5A3C">
        <w:rPr>
          <w:rFonts w:ascii="Arial" w:eastAsia="Arial" w:hAnsi="Arial" w:cs="Arial"/>
          <w:sz w:val="24"/>
          <w:szCs w:val="24"/>
        </w:rPr>
        <w:t>PIB) en</w:t>
      </w:r>
      <w:r w:rsidR="000D375E" w:rsidRPr="00967568">
        <w:rPr>
          <w:rFonts w:ascii="Arial" w:eastAsia="Arial" w:hAnsi="Arial" w:cs="Arial"/>
          <w:sz w:val="24"/>
          <w:szCs w:val="24"/>
        </w:rPr>
        <w:t xml:space="preserve"> </w:t>
      </w:r>
      <w:r w:rsidR="00323C72">
        <w:rPr>
          <w:rFonts w:ascii="Arial" w:eastAsia="Arial" w:hAnsi="Arial" w:cs="Arial"/>
          <w:sz w:val="24"/>
          <w:szCs w:val="24"/>
        </w:rPr>
        <w:t>comparación</w:t>
      </w:r>
      <w:r w:rsidR="000D375E" w:rsidRPr="00967568">
        <w:rPr>
          <w:rFonts w:ascii="Arial" w:eastAsia="Arial" w:hAnsi="Arial" w:cs="Arial"/>
          <w:sz w:val="24"/>
          <w:szCs w:val="24"/>
        </w:rPr>
        <w:t xml:space="preserve"> </w:t>
      </w:r>
      <w:r w:rsidR="00AC5A3C">
        <w:rPr>
          <w:rFonts w:ascii="Arial" w:eastAsia="Arial" w:hAnsi="Arial" w:cs="Arial"/>
          <w:sz w:val="24"/>
          <w:szCs w:val="24"/>
        </w:rPr>
        <w:t>con lo observado a</w:t>
      </w:r>
      <w:r w:rsidR="000D375E" w:rsidRPr="00967568">
        <w:rPr>
          <w:rFonts w:ascii="Arial" w:eastAsia="Arial" w:hAnsi="Arial" w:cs="Arial"/>
          <w:sz w:val="24"/>
          <w:szCs w:val="24"/>
        </w:rPr>
        <w:t xml:space="preserve"> prin</w:t>
      </w:r>
      <w:r w:rsidR="00033909">
        <w:rPr>
          <w:rFonts w:ascii="Arial" w:eastAsia="Arial" w:hAnsi="Arial" w:cs="Arial"/>
          <w:sz w:val="24"/>
          <w:szCs w:val="24"/>
        </w:rPr>
        <w:t xml:space="preserve">cipio del año (ver cuadro </w:t>
      </w:r>
      <w:r w:rsidR="000D375E" w:rsidRPr="00967568">
        <w:rPr>
          <w:rFonts w:ascii="Arial" w:eastAsia="Arial" w:hAnsi="Arial" w:cs="Arial"/>
          <w:sz w:val="24"/>
          <w:szCs w:val="24"/>
        </w:rPr>
        <w:t>siguiente).</w:t>
      </w:r>
    </w:p>
    <w:p w14:paraId="0BA1B464" w14:textId="75F5145D" w:rsidR="003F1E04" w:rsidRPr="00967568" w:rsidRDefault="00547C41" w:rsidP="00963BD0">
      <w:pPr>
        <w:spacing w:before="360" w:after="0" w:line="247" w:lineRule="auto"/>
        <w:jc w:val="center"/>
        <w:rPr>
          <w:rFonts w:ascii="Arial" w:eastAsia="Times New Roman" w:hAnsi="Arial" w:cs="Arial"/>
          <w:b/>
          <w:bCs/>
          <w:sz w:val="18"/>
          <w:szCs w:val="18"/>
          <w:lang w:eastAsia="es-MX"/>
        </w:rPr>
      </w:pPr>
      <w:r>
        <w:rPr>
          <w:rFonts w:ascii="Arial" w:eastAsia="Arial" w:hAnsi="Arial" w:cs="Arial"/>
          <w:spacing w:val="-2"/>
          <w:sz w:val="24"/>
          <w:szCs w:val="24"/>
        </w:rPr>
        <w:t xml:space="preserve">Cuadro </w:t>
      </w:r>
      <w:r w:rsidR="00AC401C">
        <w:rPr>
          <w:rFonts w:ascii="Arial" w:eastAsia="Arial" w:hAnsi="Arial" w:cs="Arial"/>
          <w:spacing w:val="-2"/>
          <w:sz w:val="24"/>
          <w:szCs w:val="24"/>
        </w:rPr>
        <w:t>4</w:t>
      </w:r>
    </w:p>
    <w:p w14:paraId="55921E12" w14:textId="77777777" w:rsidR="00547C41" w:rsidRPr="00A97D70" w:rsidRDefault="00A97D70" w:rsidP="00547C41">
      <w:pPr>
        <w:pStyle w:val="p0"/>
        <w:spacing w:before="0"/>
        <w:ind w:left="0" w:right="0" w:firstLine="0"/>
        <w:jc w:val="center"/>
        <w:rPr>
          <w:b/>
          <w:smallCaps/>
          <w:color w:val="auto"/>
        </w:rPr>
      </w:pPr>
      <w:r w:rsidRPr="00A97D70">
        <w:rPr>
          <w:b/>
          <w:smallCaps/>
          <w:color w:val="auto"/>
        </w:rPr>
        <w:t xml:space="preserve">Stock y variaciones de activos financieros y no financieros, </w:t>
      </w:r>
      <w:r w:rsidR="00963BD0">
        <w:rPr>
          <w:b/>
          <w:smallCaps/>
          <w:color w:val="auto"/>
        </w:rPr>
        <w:t>2018</w:t>
      </w:r>
    </w:p>
    <w:p w14:paraId="61987CC8" w14:textId="77777777" w:rsidR="00F615EE" w:rsidRDefault="000D375E" w:rsidP="00F615EE">
      <w:pPr>
        <w:spacing w:after="0"/>
        <w:jc w:val="center"/>
        <w:rPr>
          <w:rFonts w:ascii="Arial" w:eastAsia="Times New Roman" w:hAnsi="Arial" w:cs="Arial"/>
          <w:sz w:val="18"/>
          <w:szCs w:val="18"/>
          <w:lang w:eastAsia="es-MX"/>
        </w:rPr>
      </w:pPr>
      <w:r w:rsidRPr="00967568">
        <w:rPr>
          <w:rFonts w:ascii="Arial" w:eastAsia="Times New Roman" w:hAnsi="Arial" w:cs="Arial"/>
          <w:sz w:val="18"/>
          <w:szCs w:val="18"/>
          <w:lang w:eastAsia="es-MX"/>
        </w:rPr>
        <w:t>(Participación porcentual respecto al PIB)</w:t>
      </w:r>
    </w:p>
    <w:tbl>
      <w:tblPr>
        <w:tblW w:w="10953" w:type="dxa"/>
        <w:tblInd w:w="-1003" w:type="dxa"/>
        <w:tblCellMar>
          <w:left w:w="0" w:type="dxa"/>
          <w:right w:w="0" w:type="dxa"/>
        </w:tblCellMar>
        <w:tblLook w:val="0600" w:firstRow="0" w:lastRow="0" w:firstColumn="0" w:lastColumn="0" w:noHBand="1" w:noVBand="1"/>
      </w:tblPr>
      <w:tblGrid>
        <w:gridCol w:w="573"/>
        <w:gridCol w:w="2197"/>
        <w:gridCol w:w="1200"/>
        <w:gridCol w:w="1165"/>
        <w:gridCol w:w="969"/>
        <w:gridCol w:w="960"/>
        <w:gridCol w:w="875"/>
        <w:gridCol w:w="1202"/>
        <w:gridCol w:w="955"/>
        <w:gridCol w:w="857"/>
      </w:tblGrid>
      <w:tr w:rsidR="00963BD0" w:rsidRPr="00A635B2" w14:paraId="31DB3525" w14:textId="77777777" w:rsidTr="00834B18">
        <w:trPr>
          <w:trHeight w:val="664"/>
        </w:trPr>
        <w:tc>
          <w:tcPr>
            <w:tcW w:w="573" w:type="dxa"/>
            <w:tcBorders>
              <w:top w:val="single" w:sz="8" w:space="0" w:color="000000"/>
              <w:left w:val="single" w:sz="8" w:space="0" w:color="000000"/>
              <w:bottom w:val="single" w:sz="8" w:space="0" w:color="000000"/>
              <w:right w:val="single" w:sz="8" w:space="0" w:color="000000"/>
            </w:tcBorders>
            <w:shd w:val="clear" w:color="auto" w:fill="984806" w:themeFill="accent6" w:themeFillShade="80"/>
            <w:tcMar>
              <w:top w:w="13" w:type="dxa"/>
              <w:left w:w="13" w:type="dxa"/>
              <w:bottom w:w="0" w:type="dxa"/>
              <w:right w:w="13" w:type="dxa"/>
            </w:tcMar>
            <w:vAlign w:val="center"/>
            <w:hideMark/>
          </w:tcPr>
          <w:p w14:paraId="31F7F6EC" w14:textId="77777777" w:rsidR="00963BD0" w:rsidRPr="00963BD0" w:rsidRDefault="00963BD0" w:rsidP="00963BD0">
            <w:pPr>
              <w:spacing w:after="0"/>
              <w:jc w:val="center"/>
              <w:rPr>
                <w:rFonts w:ascii="Arial" w:eastAsia="Times New Roman" w:hAnsi="Arial" w:cs="Arial"/>
                <w:color w:val="FFFFFF" w:themeColor="background1"/>
                <w:sz w:val="18"/>
                <w:szCs w:val="18"/>
                <w:lang w:eastAsia="es-MX"/>
              </w:rPr>
            </w:pPr>
          </w:p>
        </w:tc>
        <w:tc>
          <w:tcPr>
            <w:tcW w:w="2197" w:type="dxa"/>
            <w:tcBorders>
              <w:top w:val="single" w:sz="8" w:space="0" w:color="000000"/>
              <w:left w:val="single" w:sz="8" w:space="0" w:color="000000"/>
              <w:bottom w:val="single" w:sz="8" w:space="0" w:color="000000"/>
              <w:right w:val="single" w:sz="8" w:space="0" w:color="000000"/>
            </w:tcBorders>
            <w:shd w:val="clear" w:color="auto" w:fill="984806" w:themeFill="accent6" w:themeFillShade="80"/>
            <w:tcMar>
              <w:top w:w="13" w:type="dxa"/>
              <w:left w:w="13" w:type="dxa"/>
              <w:bottom w:w="0" w:type="dxa"/>
              <w:right w:w="13" w:type="dxa"/>
            </w:tcMar>
            <w:vAlign w:val="center"/>
            <w:hideMark/>
          </w:tcPr>
          <w:p w14:paraId="10C895A7" w14:textId="77777777" w:rsidR="00963BD0" w:rsidRPr="00963BD0" w:rsidRDefault="00963BD0" w:rsidP="00963BD0">
            <w:pPr>
              <w:spacing w:after="0"/>
              <w:jc w:val="center"/>
              <w:rPr>
                <w:rFonts w:ascii="Arial" w:eastAsia="Times New Roman" w:hAnsi="Arial" w:cs="Arial"/>
                <w:color w:val="FFFFFF" w:themeColor="background1"/>
                <w:sz w:val="18"/>
                <w:szCs w:val="18"/>
                <w:lang w:eastAsia="es-MX"/>
              </w:rPr>
            </w:pPr>
            <w:r w:rsidRPr="00963BD0">
              <w:rPr>
                <w:rFonts w:ascii="Arial" w:eastAsia="Times New Roman" w:hAnsi="Arial" w:cs="Arial"/>
                <w:b/>
                <w:bCs/>
                <w:color w:val="FFFFFF" w:themeColor="background1"/>
                <w:sz w:val="18"/>
                <w:szCs w:val="18"/>
                <w:lang w:eastAsia="es-MX"/>
              </w:rPr>
              <w:t>Concepto</w:t>
            </w:r>
          </w:p>
        </w:tc>
        <w:tc>
          <w:tcPr>
            <w:tcW w:w="1200" w:type="dxa"/>
            <w:tcBorders>
              <w:top w:val="single" w:sz="8" w:space="0" w:color="000000"/>
              <w:left w:val="single" w:sz="8" w:space="0" w:color="000000"/>
              <w:bottom w:val="single" w:sz="8" w:space="0" w:color="000000"/>
              <w:right w:val="single" w:sz="8" w:space="0" w:color="000000"/>
            </w:tcBorders>
            <w:shd w:val="clear" w:color="auto" w:fill="984806" w:themeFill="accent6" w:themeFillShade="80"/>
            <w:tcMar>
              <w:top w:w="13" w:type="dxa"/>
              <w:left w:w="13" w:type="dxa"/>
              <w:bottom w:w="0" w:type="dxa"/>
              <w:right w:w="13" w:type="dxa"/>
            </w:tcMar>
            <w:vAlign w:val="center"/>
            <w:hideMark/>
          </w:tcPr>
          <w:p w14:paraId="7A21D9F1" w14:textId="77777777" w:rsidR="00963BD0" w:rsidRPr="00963BD0" w:rsidRDefault="00963BD0" w:rsidP="00963BD0">
            <w:pPr>
              <w:spacing w:after="0"/>
              <w:jc w:val="center"/>
              <w:rPr>
                <w:rFonts w:ascii="Arial" w:eastAsia="Times New Roman" w:hAnsi="Arial" w:cs="Arial"/>
                <w:color w:val="FFFFFF" w:themeColor="background1"/>
                <w:sz w:val="18"/>
                <w:szCs w:val="18"/>
                <w:lang w:eastAsia="es-MX"/>
              </w:rPr>
            </w:pPr>
            <w:r w:rsidRPr="00963BD0">
              <w:rPr>
                <w:rFonts w:ascii="Arial" w:eastAsia="Times New Roman" w:hAnsi="Arial" w:cs="Arial"/>
                <w:b/>
                <w:bCs/>
                <w:color w:val="FFFFFF" w:themeColor="background1"/>
                <w:sz w:val="18"/>
                <w:szCs w:val="18"/>
                <w:lang w:eastAsia="es-MX"/>
              </w:rPr>
              <w:t>S.11</w:t>
            </w:r>
            <w:r w:rsidRPr="00963BD0">
              <w:rPr>
                <w:rFonts w:ascii="Arial" w:eastAsia="Times New Roman" w:hAnsi="Arial" w:cs="Arial"/>
                <w:b/>
                <w:bCs/>
                <w:color w:val="FFFFFF" w:themeColor="background1"/>
                <w:sz w:val="18"/>
                <w:szCs w:val="18"/>
                <w:lang w:eastAsia="es-MX"/>
              </w:rPr>
              <w:br/>
              <w:t>Sociedades no Financieras</w:t>
            </w:r>
          </w:p>
        </w:tc>
        <w:tc>
          <w:tcPr>
            <w:tcW w:w="1165" w:type="dxa"/>
            <w:tcBorders>
              <w:top w:val="single" w:sz="8" w:space="0" w:color="000000"/>
              <w:left w:val="single" w:sz="8" w:space="0" w:color="000000"/>
              <w:bottom w:val="single" w:sz="8" w:space="0" w:color="000000"/>
              <w:right w:val="single" w:sz="8" w:space="0" w:color="000000"/>
            </w:tcBorders>
            <w:shd w:val="clear" w:color="auto" w:fill="984806" w:themeFill="accent6" w:themeFillShade="80"/>
            <w:tcMar>
              <w:top w:w="13" w:type="dxa"/>
              <w:left w:w="13" w:type="dxa"/>
              <w:bottom w:w="0" w:type="dxa"/>
              <w:right w:w="13" w:type="dxa"/>
            </w:tcMar>
            <w:vAlign w:val="center"/>
            <w:hideMark/>
          </w:tcPr>
          <w:p w14:paraId="7FB2EE2E" w14:textId="77777777" w:rsidR="00963BD0" w:rsidRPr="00963BD0" w:rsidRDefault="00963BD0" w:rsidP="00963BD0">
            <w:pPr>
              <w:spacing w:after="0"/>
              <w:jc w:val="center"/>
              <w:rPr>
                <w:rFonts w:ascii="Arial" w:eastAsia="Times New Roman" w:hAnsi="Arial" w:cs="Arial"/>
                <w:color w:val="FFFFFF" w:themeColor="background1"/>
                <w:sz w:val="18"/>
                <w:szCs w:val="18"/>
                <w:lang w:eastAsia="es-MX"/>
              </w:rPr>
            </w:pPr>
            <w:r w:rsidRPr="00963BD0">
              <w:rPr>
                <w:rFonts w:ascii="Arial" w:eastAsia="Times New Roman" w:hAnsi="Arial" w:cs="Arial"/>
                <w:b/>
                <w:bCs/>
                <w:color w:val="FFFFFF" w:themeColor="background1"/>
                <w:sz w:val="18"/>
                <w:szCs w:val="18"/>
                <w:lang w:eastAsia="es-MX"/>
              </w:rPr>
              <w:t>S.12</w:t>
            </w:r>
            <w:r w:rsidRPr="00963BD0">
              <w:rPr>
                <w:rFonts w:ascii="Arial" w:eastAsia="Times New Roman" w:hAnsi="Arial" w:cs="Arial"/>
                <w:b/>
                <w:bCs/>
                <w:color w:val="FFFFFF" w:themeColor="background1"/>
                <w:sz w:val="18"/>
                <w:szCs w:val="18"/>
                <w:lang w:eastAsia="es-MX"/>
              </w:rPr>
              <w:br/>
              <w:t>Sociedades Financieras</w:t>
            </w:r>
          </w:p>
        </w:tc>
        <w:tc>
          <w:tcPr>
            <w:tcW w:w="969" w:type="dxa"/>
            <w:tcBorders>
              <w:top w:val="single" w:sz="8" w:space="0" w:color="000000"/>
              <w:left w:val="single" w:sz="8" w:space="0" w:color="000000"/>
              <w:bottom w:val="single" w:sz="8" w:space="0" w:color="000000"/>
              <w:right w:val="single" w:sz="8" w:space="0" w:color="000000"/>
            </w:tcBorders>
            <w:shd w:val="clear" w:color="auto" w:fill="984806" w:themeFill="accent6" w:themeFillShade="80"/>
            <w:tcMar>
              <w:top w:w="13" w:type="dxa"/>
              <w:left w:w="13" w:type="dxa"/>
              <w:bottom w:w="0" w:type="dxa"/>
              <w:right w:w="13" w:type="dxa"/>
            </w:tcMar>
            <w:vAlign w:val="center"/>
            <w:hideMark/>
          </w:tcPr>
          <w:p w14:paraId="0E684FD4" w14:textId="77777777" w:rsidR="00963BD0" w:rsidRPr="00963BD0" w:rsidRDefault="00963BD0" w:rsidP="00963BD0">
            <w:pPr>
              <w:spacing w:after="0"/>
              <w:jc w:val="center"/>
              <w:rPr>
                <w:rFonts w:ascii="Arial" w:eastAsia="Times New Roman" w:hAnsi="Arial" w:cs="Arial"/>
                <w:color w:val="FFFFFF" w:themeColor="background1"/>
                <w:sz w:val="18"/>
                <w:szCs w:val="18"/>
                <w:lang w:eastAsia="es-MX"/>
              </w:rPr>
            </w:pPr>
            <w:r w:rsidRPr="00963BD0">
              <w:rPr>
                <w:rFonts w:ascii="Arial" w:eastAsia="Times New Roman" w:hAnsi="Arial" w:cs="Arial"/>
                <w:b/>
                <w:bCs/>
                <w:color w:val="FFFFFF" w:themeColor="background1"/>
                <w:sz w:val="18"/>
                <w:szCs w:val="18"/>
                <w:lang w:eastAsia="es-MX"/>
              </w:rPr>
              <w:t>S.13</w:t>
            </w:r>
            <w:r w:rsidRPr="00963BD0">
              <w:rPr>
                <w:rFonts w:ascii="Arial" w:eastAsia="Times New Roman" w:hAnsi="Arial" w:cs="Arial"/>
                <w:b/>
                <w:bCs/>
                <w:color w:val="FFFFFF" w:themeColor="background1"/>
                <w:sz w:val="18"/>
                <w:szCs w:val="18"/>
                <w:lang w:eastAsia="es-MX"/>
              </w:rPr>
              <w:br/>
              <w:t>Gobierno General</w:t>
            </w:r>
          </w:p>
        </w:tc>
        <w:tc>
          <w:tcPr>
            <w:tcW w:w="960" w:type="dxa"/>
            <w:tcBorders>
              <w:top w:val="single" w:sz="8" w:space="0" w:color="000000"/>
              <w:left w:val="single" w:sz="8" w:space="0" w:color="000000"/>
              <w:bottom w:val="single" w:sz="8" w:space="0" w:color="000000"/>
              <w:right w:val="single" w:sz="8" w:space="0" w:color="000000"/>
            </w:tcBorders>
            <w:shd w:val="clear" w:color="auto" w:fill="984806" w:themeFill="accent6" w:themeFillShade="80"/>
            <w:tcMar>
              <w:top w:w="13" w:type="dxa"/>
              <w:left w:w="13" w:type="dxa"/>
              <w:bottom w:w="0" w:type="dxa"/>
              <w:right w:w="13" w:type="dxa"/>
            </w:tcMar>
            <w:vAlign w:val="center"/>
            <w:hideMark/>
          </w:tcPr>
          <w:p w14:paraId="52CB27E5" w14:textId="77777777" w:rsidR="00963BD0" w:rsidRPr="00963BD0" w:rsidRDefault="00963BD0" w:rsidP="00963BD0">
            <w:pPr>
              <w:spacing w:after="0"/>
              <w:jc w:val="center"/>
              <w:rPr>
                <w:rFonts w:ascii="Arial" w:eastAsia="Times New Roman" w:hAnsi="Arial" w:cs="Arial"/>
                <w:color w:val="FFFFFF" w:themeColor="background1"/>
                <w:sz w:val="18"/>
                <w:szCs w:val="18"/>
                <w:lang w:eastAsia="es-MX"/>
              </w:rPr>
            </w:pPr>
            <w:r w:rsidRPr="00963BD0">
              <w:rPr>
                <w:rFonts w:ascii="Arial" w:eastAsia="Times New Roman" w:hAnsi="Arial" w:cs="Arial"/>
                <w:b/>
                <w:bCs/>
                <w:color w:val="FFFFFF" w:themeColor="background1"/>
                <w:sz w:val="18"/>
                <w:szCs w:val="18"/>
                <w:lang w:eastAsia="es-MX"/>
              </w:rPr>
              <w:t>S.14</w:t>
            </w:r>
            <w:r w:rsidRPr="00963BD0">
              <w:rPr>
                <w:rFonts w:ascii="Arial" w:eastAsia="Times New Roman" w:hAnsi="Arial" w:cs="Arial"/>
                <w:b/>
                <w:bCs/>
                <w:color w:val="FFFFFF" w:themeColor="background1"/>
                <w:sz w:val="18"/>
                <w:szCs w:val="18"/>
                <w:lang w:eastAsia="es-MX"/>
              </w:rPr>
              <w:br/>
              <w:t>Hogares</w:t>
            </w:r>
          </w:p>
        </w:tc>
        <w:tc>
          <w:tcPr>
            <w:tcW w:w="875" w:type="dxa"/>
            <w:tcBorders>
              <w:top w:val="single" w:sz="8" w:space="0" w:color="000000"/>
              <w:left w:val="single" w:sz="8" w:space="0" w:color="000000"/>
              <w:bottom w:val="single" w:sz="8" w:space="0" w:color="000000"/>
              <w:right w:val="single" w:sz="8" w:space="0" w:color="000000"/>
            </w:tcBorders>
            <w:shd w:val="clear" w:color="auto" w:fill="984806" w:themeFill="accent6" w:themeFillShade="80"/>
            <w:tcMar>
              <w:top w:w="13" w:type="dxa"/>
              <w:left w:w="13" w:type="dxa"/>
              <w:bottom w:w="0" w:type="dxa"/>
              <w:right w:w="13" w:type="dxa"/>
            </w:tcMar>
            <w:vAlign w:val="center"/>
            <w:hideMark/>
          </w:tcPr>
          <w:p w14:paraId="56C658A7" w14:textId="77777777" w:rsidR="00963BD0" w:rsidRPr="00963BD0" w:rsidRDefault="00963BD0" w:rsidP="00963BD0">
            <w:pPr>
              <w:spacing w:after="0"/>
              <w:jc w:val="center"/>
              <w:rPr>
                <w:rFonts w:ascii="Arial" w:eastAsia="Times New Roman" w:hAnsi="Arial" w:cs="Arial"/>
                <w:color w:val="FFFFFF" w:themeColor="background1"/>
                <w:sz w:val="18"/>
                <w:szCs w:val="18"/>
                <w:lang w:eastAsia="es-MX"/>
              </w:rPr>
            </w:pPr>
            <w:r w:rsidRPr="00963BD0">
              <w:rPr>
                <w:rFonts w:ascii="Arial" w:eastAsia="Times New Roman" w:hAnsi="Arial" w:cs="Arial"/>
                <w:b/>
                <w:bCs/>
                <w:color w:val="FFFFFF" w:themeColor="background1"/>
                <w:sz w:val="18"/>
                <w:szCs w:val="18"/>
                <w:lang w:eastAsia="es-MX"/>
              </w:rPr>
              <w:t>S.15</w:t>
            </w:r>
            <w:r w:rsidRPr="00963BD0">
              <w:rPr>
                <w:rFonts w:ascii="Arial" w:eastAsia="Times New Roman" w:hAnsi="Arial" w:cs="Arial"/>
                <w:b/>
                <w:bCs/>
                <w:color w:val="FFFFFF" w:themeColor="background1"/>
                <w:sz w:val="18"/>
                <w:szCs w:val="18"/>
                <w:lang w:eastAsia="es-MX"/>
              </w:rPr>
              <w:br/>
              <w:t>ISFLSH</w:t>
            </w:r>
          </w:p>
        </w:tc>
        <w:tc>
          <w:tcPr>
            <w:tcW w:w="1202" w:type="dxa"/>
            <w:tcBorders>
              <w:top w:val="single" w:sz="8" w:space="0" w:color="000000"/>
              <w:left w:val="single" w:sz="8" w:space="0" w:color="000000"/>
              <w:bottom w:val="single" w:sz="8" w:space="0" w:color="000000"/>
              <w:right w:val="single" w:sz="8" w:space="0" w:color="000000"/>
            </w:tcBorders>
            <w:shd w:val="clear" w:color="auto" w:fill="984806" w:themeFill="accent6" w:themeFillShade="80"/>
            <w:tcMar>
              <w:top w:w="13" w:type="dxa"/>
              <w:left w:w="13" w:type="dxa"/>
              <w:bottom w:w="0" w:type="dxa"/>
              <w:right w:w="13" w:type="dxa"/>
            </w:tcMar>
            <w:vAlign w:val="center"/>
            <w:hideMark/>
          </w:tcPr>
          <w:p w14:paraId="1243DE0E" w14:textId="77777777" w:rsidR="00963BD0" w:rsidRPr="00963BD0" w:rsidRDefault="00963BD0" w:rsidP="00963BD0">
            <w:pPr>
              <w:spacing w:after="0"/>
              <w:jc w:val="center"/>
              <w:rPr>
                <w:rFonts w:ascii="Arial" w:eastAsia="Times New Roman" w:hAnsi="Arial" w:cs="Arial"/>
                <w:color w:val="FFFFFF" w:themeColor="background1"/>
                <w:sz w:val="18"/>
                <w:szCs w:val="18"/>
                <w:lang w:eastAsia="es-MX"/>
              </w:rPr>
            </w:pPr>
            <w:r w:rsidRPr="00963BD0">
              <w:rPr>
                <w:rFonts w:ascii="Arial" w:eastAsia="Times New Roman" w:hAnsi="Arial" w:cs="Arial"/>
                <w:b/>
                <w:bCs/>
                <w:color w:val="FFFFFF" w:themeColor="background1"/>
                <w:sz w:val="18"/>
                <w:szCs w:val="18"/>
                <w:lang w:eastAsia="es-MX"/>
              </w:rPr>
              <w:t>S.1</w:t>
            </w:r>
            <w:r w:rsidRPr="00963BD0">
              <w:rPr>
                <w:rFonts w:ascii="Arial" w:eastAsia="Times New Roman" w:hAnsi="Arial" w:cs="Arial"/>
                <w:b/>
                <w:bCs/>
                <w:color w:val="FFFFFF" w:themeColor="background1"/>
                <w:sz w:val="18"/>
                <w:szCs w:val="18"/>
                <w:lang w:eastAsia="es-MX"/>
              </w:rPr>
              <w:br/>
              <w:t>Economía Interna</w:t>
            </w:r>
          </w:p>
        </w:tc>
        <w:tc>
          <w:tcPr>
            <w:tcW w:w="955" w:type="dxa"/>
            <w:tcBorders>
              <w:top w:val="single" w:sz="8" w:space="0" w:color="000000"/>
              <w:left w:val="single" w:sz="8" w:space="0" w:color="000000"/>
              <w:bottom w:val="single" w:sz="8" w:space="0" w:color="000000"/>
              <w:right w:val="single" w:sz="8" w:space="0" w:color="000000"/>
            </w:tcBorders>
            <w:shd w:val="clear" w:color="auto" w:fill="984806" w:themeFill="accent6" w:themeFillShade="80"/>
            <w:tcMar>
              <w:top w:w="13" w:type="dxa"/>
              <w:left w:w="13" w:type="dxa"/>
              <w:bottom w:w="0" w:type="dxa"/>
              <w:right w:w="13" w:type="dxa"/>
            </w:tcMar>
            <w:vAlign w:val="center"/>
            <w:hideMark/>
          </w:tcPr>
          <w:p w14:paraId="50AA7B54" w14:textId="77777777" w:rsidR="00963BD0" w:rsidRPr="00963BD0" w:rsidRDefault="00963BD0" w:rsidP="00963BD0">
            <w:pPr>
              <w:spacing w:after="0"/>
              <w:jc w:val="center"/>
              <w:rPr>
                <w:rFonts w:ascii="Arial" w:eastAsia="Times New Roman" w:hAnsi="Arial" w:cs="Arial"/>
                <w:color w:val="FFFFFF" w:themeColor="background1"/>
                <w:sz w:val="18"/>
                <w:szCs w:val="18"/>
                <w:lang w:eastAsia="es-MX"/>
              </w:rPr>
            </w:pPr>
            <w:r w:rsidRPr="00963BD0">
              <w:rPr>
                <w:rFonts w:ascii="Arial" w:eastAsia="Times New Roman" w:hAnsi="Arial" w:cs="Arial"/>
                <w:b/>
                <w:bCs/>
                <w:color w:val="FFFFFF" w:themeColor="background1"/>
                <w:sz w:val="18"/>
                <w:szCs w:val="18"/>
                <w:lang w:eastAsia="es-MX"/>
              </w:rPr>
              <w:t>S.2</w:t>
            </w:r>
            <w:r w:rsidRPr="00963BD0">
              <w:rPr>
                <w:rFonts w:ascii="Arial" w:eastAsia="Times New Roman" w:hAnsi="Arial" w:cs="Arial"/>
                <w:b/>
                <w:bCs/>
                <w:color w:val="FFFFFF" w:themeColor="background1"/>
                <w:sz w:val="18"/>
                <w:szCs w:val="18"/>
                <w:lang w:eastAsia="es-MX"/>
              </w:rPr>
              <w:br/>
              <w:t>Resto del Mundo</w:t>
            </w:r>
          </w:p>
        </w:tc>
        <w:tc>
          <w:tcPr>
            <w:tcW w:w="857" w:type="dxa"/>
            <w:tcBorders>
              <w:top w:val="single" w:sz="8" w:space="0" w:color="000000"/>
              <w:left w:val="single" w:sz="8" w:space="0" w:color="000000"/>
              <w:bottom w:val="single" w:sz="8" w:space="0" w:color="000000"/>
              <w:right w:val="single" w:sz="8" w:space="0" w:color="000000"/>
            </w:tcBorders>
            <w:shd w:val="clear" w:color="auto" w:fill="984806" w:themeFill="accent6" w:themeFillShade="80"/>
            <w:tcMar>
              <w:top w:w="13" w:type="dxa"/>
              <w:left w:w="13" w:type="dxa"/>
              <w:bottom w:w="0" w:type="dxa"/>
              <w:right w:w="13" w:type="dxa"/>
            </w:tcMar>
            <w:vAlign w:val="center"/>
            <w:hideMark/>
          </w:tcPr>
          <w:p w14:paraId="374A20DB" w14:textId="77777777" w:rsidR="00963BD0" w:rsidRPr="00963BD0" w:rsidRDefault="00963BD0" w:rsidP="00963BD0">
            <w:pPr>
              <w:spacing w:after="0"/>
              <w:jc w:val="center"/>
              <w:rPr>
                <w:rFonts w:ascii="Arial" w:eastAsia="Times New Roman" w:hAnsi="Arial" w:cs="Arial"/>
                <w:color w:val="FFFFFF" w:themeColor="background1"/>
                <w:sz w:val="18"/>
                <w:szCs w:val="18"/>
                <w:lang w:eastAsia="es-MX"/>
              </w:rPr>
            </w:pPr>
            <w:r w:rsidRPr="00963BD0">
              <w:rPr>
                <w:rFonts w:ascii="Arial" w:eastAsia="Times New Roman" w:hAnsi="Arial" w:cs="Arial"/>
                <w:b/>
                <w:bCs/>
                <w:color w:val="FFFFFF" w:themeColor="background1"/>
                <w:sz w:val="18"/>
                <w:szCs w:val="18"/>
                <w:lang w:eastAsia="es-MX"/>
              </w:rPr>
              <w:t>Total</w:t>
            </w:r>
          </w:p>
        </w:tc>
      </w:tr>
      <w:tr w:rsidR="00963BD0" w:rsidRPr="00A635B2" w14:paraId="19ED53DE" w14:textId="77777777" w:rsidTr="00834B18">
        <w:trPr>
          <w:trHeight w:val="192"/>
        </w:trPr>
        <w:tc>
          <w:tcPr>
            <w:tcW w:w="573" w:type="dxa"/>
            <w:tcBorders>
              <w:top w:val="single" w:sz="8" w:space="0" w:color="000000"/>
              <w:left w:val="single" w:sz="8" w:space="0" w:color="000000"/>
              <w:bottom w:val="nil"/>
              <w:right w:val="single" w:sz="8" w:space="0" w:color="000000"/>
            </w:tcBorders>
            <w:shd w:val="clear" w:color="auto" w:fill="auto"/>
            <w:tcMar>
              <w:top w:w="13" w:type="dxa"/>
              <w:left w:w="117" w:type="dxa"/>
              <w:bottom w:w="0" w:type="dxa"/>
              <w:right w:w="13" w:type="dxa"/>
            </w:tcMar>
            <w:hideMark/>
          </w:tcPr>
          <w:p w14:paraId="4192A023" w14:textId="77777777" w:rsidR="00963BD0" w:rsidRPr="00963BD0" w:rsidRDefault="00963BD0" w:rsidP="00963BD0">
            <w:pPr>
              <w:spacing w:after="0"/>
              <w:jc w:val="center"/>
              <w:rPr>
                <w:rFonts w:ascii="Arial" w:eastAsia="Times New Roman" w:hAnsi="Arial" w:cs="Arial"/>
                <w:sz w:val="12"/>
                <w:szCs w:val="18"/>
                <w:lang w:eastAsia="es-MX"/>
              </w:rPr>
            </w:pPr>
          </w:p>
        </w:tc>
        <w:tc>
          <w:tcPr>
            <w:tcW w:w="2197" w:type="dxa"/>
            <w:tcBorders>
              <w:top w:val="single" w:sz="8" w:space="0" w:color="000000"/>
              <w:left w:val="single" w:sz="8" w:space="0" w:color="000000"/>
              <w:bottom w:val="nil"/>
              <w:right w:val="single" w:sz="8" w:space="0" w:color="000000"/>
            </w:tcBorders>
            <w:shd w:val="clear" w:color="auto" w:fill="auto"/>
            <w:tcMar>
              <w:top w:w="13" w:type="dxa"/>
              <w:left w:w="117" w:type="dxa"/>
              <w:bottom w:w="0" w:type="dxa"/>
              <w:right w:w="13" w:type="dxa"/>
            </w:tcMar>
            <w:vAlign w:val="bottom"/>
            <w:hideMark/>
          </w:tcPr>
          <w:p w14:paraId="3116346F" w14:textId="77777777" w:rsidR="00963BD0" w:rsidRPr="00963BD0" w:rsidRDefault="00963BD0" w:rsidP="00963BD0">
            <w:pPr>
              <w:spacing w:after="0"/>
              <w:jc w:val="center"/>
              <w:rPr>
                <w:rFonts w:ascii="Arial" w:eastAsia="Times New Roman" w:hAnsi="Arial" w:cs="Arial"/>
                <w:sz w:val="12"/>
                <w:szCs w:val="18"/>
                <w:lang w:eastAsia="es-MX"/>
              </w:rPr>
            </w:pPr>
            <w:r w:rsidRPr="00963BD0">
              <w:rPr>
                <w:rFonts w:ascii="Arial" w:eastAsia="Times New Roman" w:hAnsi="Arial" w:cs="Arial"/>
                <w:b/>
                <w:bCs/>
                <w:sz w:val="12"/>
                <w:szCs w:val="18"/>
                <w:lang w:eastAsia="es-MX"/>
              </w:rPr>
              <w:t> </w:t>
            </w:r>
          </w:p>
        </w:tc>
        <w:tc>
          <w:tcPr>
            <w:tcW w:w="1200" w:type="dxa"/>
            <w:tcBorders>
              <w:top w:val="single" w:sz="8" w:space="0" w:color="000000"/>
              <w:left w:val="single" w:sz="8" w:space="0" w:color="000000"/>
              <w:bottom w:val="nil"/>
              <w:right w:val="single" w:sz="8" w:space="0" w:color="000000"/>
            </w:tcBorders>
            <w:shd w:val="clear" w:color="auto" w:fill="auto"/>
            <w:tcMar>
              <w:top w:w="13" w:type="dxa"/>
              <w:left w:w="13" w:type="dxa"/>
              <w:bottom w:w="0" w:type="dxa"/>
              <w:right w:w="13" w:type="dxa"/>
            </w:tcMar>
            <w:hideMark/>
          </w:tcPr>
          <w:p w14:paraId="3BE6585F" w14:textId="77777777" w:rsidR="00963BD0" w:rsidRPr="00963BD0" w:rsidRDefault="00963BD0" w:rsidP="00963BD0">
            <w:pPr>
              <w:spacing w:after="0"/>
              <w:jc w:val="center"/>
              <w:rPr>
                <w:rFonts w:ascii="Arial" w:eastAsia="Times New Roman" w:hAnsi="Arial" w:cs="Arial"/>
                <w:sz w:val="12"/>
                <w:szCs w:val="18"/>
                <w:lang w:eastAsia="es-MX"/>
              </w:rPr>
            </w:pPr>
            <w:r w:rsidRPr="00963BD0">
              <w:rPr>
                <w:rFonts w:ascii="Arial" w:eastAsia="Times New Roman" w:hAnsi="Arial" w:cs="Arial"/>
                <w:sz w:val="12"/>
                <w:szCs w:val="18"/>
                <w:lang w:eastAsia="es-MX"/>
              </w:rPr>
              <w:t> </w:t>
            </w:r>
          </w:p>
        </w:tc>
        <w:tc>
          <w:tcPr>
            <w:tcW w:w="1165" w:type="dxa"/>
            <w:tcBorders>
              <w:top w:val="single" w:sz="8" w:space="0" w:color="000000"/>
              <w:left w:val="single" w:sz="8" w:space="0" w:color="000000"/>
              <w:bottom w:val="nil"/>
              <w:right w:val="single" w:sz="8" w:space="0" w:color="000000"/>
            </w:tcBorders>
            <w:shd w:val="clear" w:color="auto" w:fill="auto"/>
            <w:tcMar>
              <w:top w:w="13" w:type="dxa"/>
              <w:left w:w="13" w:type="dxa"/>
              <w:bottom w:w="0" w:type="dxa"/>
              <w:right w:w="13" w:type="dxa"/>
            </w:tcMar>
            <w:hideMark/>
          </w:tcPr>
          <w:p w14:paraId="0ED90A62" w14:textId="77777777" w:rsidR="00963BD0" w:rsidRPr="00963BD0" w:rsidRDefault="00963BD0" w:rsidP="00963BD0">
            <w:pPr>
              <w:spacing w:after="0"/>
              <w:jc w:val="center"/>
              <w:rPr>
                <w:rFonts w:ascii="Arial" w:eastAsia="Times New Roman" w:hAnsi="Arial" w:cs="Arial"/>
                <w:sz w:val="12"/>
                <w:szCs w:val="18"/>
                <w:lang w:eastAsia="es-MX"/>
              </w:rPr>
            </w:pPr>
            <w:r w:rsidRPr="00963BD0">
              <w:rPr>
                <w:rFonts w:ascii="Arial" w:eastAsia="Times New Roman" w:hAnsi="Arial" w:cs="Arial"/>
                <w:sz w:val="12"/>
                <w:szCs w:val="18"/>
                <w:lang w:eastAsia="es-MX"/>
              </w:rPr>
              <w:t> </w:t>
            </w:r>
          </w:p>
        </w:tc>
        <w:tc>
          <w:tcPr>
            <w:tcW w:w="969" w:type="dxa"/>
            <w:tcBorders>
              <w:top w:val="single" w:sz="8" w:space="0" w:color="000000"/>
              <w:left w:val="single" w:sz="8" w:space="0" w:color="000000"/>
              <w:bottom w:val="nil"/>
              <w:right w:val="single" w:sz="8" w:space="0" w:color="000000"/>
            </w:tcBorders>
            <w:shd w:val="clear" w:color="auto" w:fill="auto"/>
            <w:tcMar>
              <w:top w:w="13" w:type="dxa"/>
              <w:left w:w="13" w:type="dxa"/>
              <w:bottom w:w="0" w:type="dxa"/>
              <w:right w:w="13" w:type="dxa"/>
            </w:tcMar>
            <w:hideMark/>
          </w:tcPr>
          <w:p w14:paraId="37700B39" w14:textId="77777777" w:rsidR="00963BD0" w:rsidRPr="00963BD0" w:rsidRDefault="00963BD0" w:rsidP="00963BD0">
            <w:pPr>
              <w:spacing w:after="0"/>
              <w:jc w:val="center"/>
              <w:rPr>
                <w:rFonts w:ascii="Arial" w:eastAsia="Times New Roman" w:hAnsi="Arial" w:cs="Arial"/>
                <w:sz w:val="12"/>
                <w:szCs w:val="18"/>
                <w:lang w:eastAsia="es-MX"/>
              </w:rPr>
            </w:pPr>
            <w:r w:rsidRPr="00963BD0">
              <w:rPr>
                <w:rFonts w:ascii="Arial" w:eastAsia="Times New Roman" w:hAnsi="Arial" w:cs="Arial"/>
                <w:sz w:val="12"/>
                <w:szCs w:val="18"/>
                <w:lang w:eastAsia="es-MX"/>
              </w:rPr>
              <w:t> </w:t>
            </w:r>
          </w:p>
        </w:tc>
        <w:tc>
          <w:tcPr>
            <w:tcW w:w="960" w:type="dxa"/>
            <w:tcBorders>
              <w:top w:val="single" w:sz="8" w:space="0" w:color="000000"/>
              <w:left w:val="single" w:sz="8" w:space="0" w:color="000000"/>
              <w:bottom w:val="nil"/>
              <w:right w:val="single" w:sz="8" w:space="0" w:color="000000"/>
            </w:tcBorders>
            <w:shd w:val="clear" w:color="auto" w:fill="auto"/>
            <w:tcMar>
              <w:top w:w="13" w:type="dxa"/>
              <w:left w:w="13" w:type="dxa"/>
              <w:bottom w:w="0" w:type="dxa"/>
              <w:right w:w="13" w:type="dxa"/>
            </w:tcMar>
            <w:hideMark/>
          </w:tcPr>
          <w:p w14:paraId="606B5755" w14:textId="77777777" w:rsidR="00963BD0" w:rsidRPr="00963BD0" w:rsidRDefault="00963BD0" w:rsidP="00963BD0">
            <w:pPr>
              <w:spacing w:after="0"/>
              <w:jc w:val="center"/>
              <w:rPr>
                <w:rFonts w:ascii="Arial" w:eastAsia="Times New Roman" w:hAnsi="Arial" w:cs="Arial"/>
                <w:sz w:val="12"/>
                <w:szCs w:val="18"/>
                <w:lang w:eastAsia="es-MX"/>
              </w:rPr>
            </w:pPr>
            <w:r w:rsidRPr="00963BD0">
              <w:rPr>
                <w:rFonts w:ascii="Arial" w:eastAsia="Times New Roman" w:hAnsi="Arial" w:cs="Arial"/>
                <w:sz w:val="12"/>
                <w:szCs w:val="18"/>
                <w:lang w:eastAsia="es-MX"/>
              </w:rPr>
              <w:t> </w:t>
            </w:r>
          </w:p>
        </w:tc>
        <w:tc>
          <w:tcPr>
            <w:tcW w:w="875" w:type="dxa"/>
            <w:tcBorders>
              <w:top w:val="single" w:sz="8" w:space="0" w:color="000000"/>
              <w:left w:val="single" w:sz="8" w:space="0" w:color="000000"/>
              <w:bottom w:val="nil"/>
              <w:right w:val="single" w:sz="8" w:space="0" w:color="000000"/>
            </w:tcBorders>
            <w:shd w:val="clear" w:color="auto" w:fill="auto"/>
            <w:tcMar>
              <w:top w:w="13" w:type="dxa"/>
              <w:left w:w="13" w:type="dxa"/>
              <w:bottom w:w="0" w:type="dxa"/>
              <w:right w:w="13" w:type="dxa"/>
            </w:tcMar>
            <w:hideMark/>
          </w:tcPr>
          <w:p w14:paraId="1102389D" w14:textId="77777777" w:rsidR="00963BD0" w:rsidRPr="00963BD0" w:rsidRDefault="00963BD0" w:rsidP="00963BD0">
            <w:pPr>
              <w:spacing w:after="0"/>
              <w:jc w:val="center"/>
              <w:rPr>
                <w:rFonts w:ascii="Arial" w:eastAsia="Times New Roman" w:hAnsi="Arial" w:cs="Arial"/>
                <w:sz w:val="12"/>
                <w:szCs w:val="18"/>
                <w:lang w:eastAsia="es-MX"/>
              </w:rPr>
            </w:pPr>
            <w:r w:rsidRPr="00963BD0">
              <w:rPr>
                <w:rFonts w:ascii="Arial" w:eastAsia="Times New Roman" w:hAnsi="Arial" w:cs="Arial"/>
                <w:sz w:val="12"/>
                <w:szCs w:val="18"/>
                <w:lang w:eastAsia="es-MX"/>
              </w:rPr>
              <w:t> </w:t>
            </w:r>
          </w:p>
        </w:tc>
        <w:tc>
          <w:tcPr>
            <w:tcW w:w="1202" w:type="dxa"/>
            <w:tcBorders>
              <w:top w:val="single" w:sz="8" w:space="0" w:color="000000"/>
              <w:left w:val="single" w:sz="8" w:space="0" w:color="000000"/>
              <w:bottom w:val="nil"/>
              <w:right w:val="single" w:sz="8" w:space="0" w:color="000000"/>
            </w:tcBorders>
            <w:shd w:val="clear" w:color="auto" w:fill="auto"/>
            <w:tcMar>
              <w:top w:w="13" w:type="dxa"/>
              <w:left w:w="13" w:type="dxa"/>
              <w:bottom w:w="0" w:type="dxa"/>
              <w:right w:w="13" w:type="dxa"/>
            </w:tcMar>
            <w:hideMark/>
          </w:tcPr>
          <w:p w14:paraId="1D42A59F" w14:textId="77777777" w:rsidR="00963BD0" w:rsidRPr="00963BD0" w:rsidRDefault="00963BD0" w:rsidP="00963BD0">
            <w:pPr>
              <w:spacing w:after="0"/>
              <w:jc w:val="center"/>
              <w:rPr>
                <w:rFonts w:ascii="Arial" w:eastAsia="Times New Roman" w:hAnsi="Arial" w:cs="Arial"/>
                <w:sz w:val="12"/>
                <w:szCs w:val="18"/>
                <w:lang w:eastAsia="es-MX"/>
              </w:rPr>
            </w:pPr>
            <w:r w:rsidRPr="00963BD0">
              <w:rPr>
                <w:rFonts w:ascii="Arial" w:eastAsia="Times New Roman" w:hAnsi="Arial" w:cs="Arial"/>
                <w:sz w:val="12"/>
                <w:szCs w:val="18"/>
                <w:lang w:eastAsia="es-MX"/>
              </w:rPr>
              <w:t> </w:t>
            </w:r>
          </w:p>
        </w:tc>
        <w:tc>
          <w:tcPr>
            <w:tcW w:w="955" w:type="dxa"/>
            <w:tcBorders>
              <w:top w:val="single" w:sz="8" w:space="0" w:color="000000"/>
              <w:left w:val="single" w:sz="8" w:space="0" w:color="000000"/>
              <w:bottom w:val="nil"/>
              <w:right w:val="single" w:sz="8" w:space="0" w:color="000000"/>
            </w:tcBorders>
            <w:shd w:val="clear" w:color="auto" w:fill="auto"/>
            <w:tcMar>
              <w:top w:w="13" w:type="dxa"/>
              <w:left w:w="13" w:type="dxa"/>
              <w:bottom w:w="0" w:type="dxa"/>
              <w:right w:w="13" w:type="dxa"/>
            </w:tcMar>
            <w:hideMark/>
          </w:tcPr>
          <w:p w14:paraId="20D87C49" w14:textId="77777777" w:rsidR="00963BD0" w:rsidRPr="00963BD0" w:rsidRDefault="00963BD0" w:rsidP="00963BD0">
            <w:pPr>
              <w:spacing w:after="0"/>
              <w:jc w:val="center"/>
              <w:rPr>
                <w:rFonts w:ascii="Arial" w:eastAsia="Times New Roman" w:hAnsi="Arial" w:cs="Arial"/>
                <w:sz w:val="12"/>
                <w:szCs w:val="18"/>
                <w:lang w:eastAsia="es-MX"/>
              </w:rPr>
            </w:pPr>
            <w:r w:rsidRPr="00963BD0">
              <w:rPr>
                <w:rFonts w:ascii="Arial" w:eastAsia="Times New Roman" w:hAnsi="Arial" w:cs="Arial"/>
                <w:sz w:val="12"/>
                <w:szCs w:val="18"/>
                <w:lang w:eastAsia="es-MX"/>
              </w:rPr>
              <w:t> </w:t>
            </w:r>
          </w:p>
        </w:tc>
        <w:tc>
          <w:tcPr>
            <w:tcW w:w="857" w:type="dxa"/>
            <w:tcBorders>
              <w:top w:val="single" w:sz="8" w:space="0" w:color="000000"/>
              <w:left w:val="single" w:sz="8" w:space="0" w:color="000000"/>
              <w:bottom w:val="nil"/>
              <w:right w:val="single" w:sz="8" w:space="0" w:color="000000"/>
            </w:tcBorders>
            <w:shd w:val="clear" w:color="auto" w:fill="auto"/>
            <w:tcMar>
              <w:top w:w="13" w:type="dxa"/>
              <w:left w:w="13" w:type="dxa"/>
              <w:bottom w:w="0" w:type="dxa"/>
              <w:right w:w="13" w:type="dxa"/>
            </w:tcMar>
            <w:hideMark/>
          </w:tcPr>
          <w:p w14:paraId="2C24C6DA" w14:textId="77777777" w:rsidR="00963BD0" w:rsidRPr="00963BD0" w:rsidRDefault="00963BD0" w:rsidP="00963BD0">
            <w:pPr>
              <w:spacing w:after="0"/>
              <w:jc w:val="center"/>
              <w:rPr>
                <w:rFonts w:ascii="Arial" w:eastAsia="Times New Roman" w:hAnsi="Arial" w:cs="Arial"/>
                <w:sz w:val="12"/>
                <w:szCs w:val="18"/>
                <w:lang w:eastAsia="es-MX"/>
              </w:rPr>
            </w:pPr>
            <w:r w:rsidRPr="00963BD0">
              <w:rPr>
                <w:rFonts w:ascii="Arial" w:eastAsia="Times New Roman" w:hAnsi="Arial" w:cs="Arial"/>
                <w:sz w:val="12"/>
                <w:szCs w:val="18"/>
                <w:lang w:eastAsia="es-MX"/>
              </w:rPr>
              <w:t> </w:t>
            </w:r>
          </w:p>
        </w:tc>
      </w:tr>
      <w:tr w:rsidR="00963BD0" w:rsidRPr="00A635B2" w14:paraId="315B6AAB" w14:textId="77777777" w:rsidTr="00834B18">
        <w:trPr>
          <w:trHeight w:val="260"/>
        </w:trPr>
        <w:tc>
          <w:tcPr>
            <w:tcW w:w="573" w:type="dxa"/>
            <w:tcBorders>
              <w:top w:val="nil"/>
              <w:left w:val="single" w:sz="8" w:space="0" w:color="000000"/>
              <w:bottom w:val="nil"/>
              <w:right w:val="single" w:sz="8" w:space="0" w:color="000000"/>
            </w:tcBorders>
            <w:shd w:val="clear" w:color="auto" w:fill="auto"/>
            <w:tcMar>
              <w:top w:w="13" w:type="dxa"/>
              <w:left w:w="117" w:type="dxa"/>
              <w:bottom w:w="0" w:type="dxa"/>
              <w:right w:w="13" w:type="dxa"/>
            </w:tcMar>
            <w:hideMark/>
          </w:tcPr>
          <w:p w14:paraId="40B727BE" w14:textId="77777777" w:rsidR="00963BD0" w:rsidRPr="00A635B2" w:rsidRDefault="00963BD0" w:rsidP="00963BD0">
            <w:pPr>
              <w:spacing w:after="0"/>
              <w:jc w:val="center"/>
              <w:rPr>
                <w:rFonts w:ascii="Arial" w:eastAsia="Times New Roman" w:hAnsi="Arial" w:cs="Arial"/>
                <w:sz w:val="18"/>
                <w:szCs w:val="18"/>
                <w:lang w:eastAsia="es-MX"/>
              </w:rPr>
            </w:pPr>
          </w:p>
        </w:tc>
        <w:tc>
          <w:tcPr>
            <w:tcW w:w="2197"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vAlign w:val="bottom"/>
            <w:hideMark/>
          </w:tcPr>
          <w:p w14:paraId="4D7C716D" w14:textId="77777777" w:rsidR="00963BD0" w:rsidRPr="00A635B2" w:rsidRDefault="00963BD0" w:rsidP="00963BD0">
            <w:pPr>
              <w:spacing w:after="0"/>
              <w:rPr>
                <w:rFonts w:ascii="Arial" w:eastAsia="Times New Roman" w:hAnsi="Arial" w:cs="Arial"/>
                <w:sz w:val="18"/>
                <w:szCs w:val="18"/>
                <w:lang w:eastAsia="es-MX"/>
              </w:rPr>
            </w:pPr>
            <w:r w:rsidRPr="00A635B2">
              <w:rPr>
                <w:rFonts w:ascii="Arial" w:eastAsia="Times New Roman" w:hAnsi="Arial" w:cs="Arial"/>
                <w:b/>
                <w:bCs/>
                <w:sz w:val="18"/>
                <w:szCs w:val="18"/>
                <w:lang w:eastAsia="es-MX"/>
              </w:rPr>
              <w:t>Balance de Apertura</w:t>
            </w:r>
          </w:p>
        </w:tc>
        <w:tc>
          <w:tcPr>
            <w:tcW w:w="1200"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3A182E6D"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 </w:t>
            </w:r>
          </w:p>
        </w:tc>
        <w:tc>
          <w:tcPr>
            <w:tcW w:w="1165"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4CB9DE8B"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 </w:t>
            </w:r>
          </w:p>
        </w:tc>
        <w:tc>
          <w:tcPr>
            <w:tcW w:w="969"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119B5743"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 </w:t>
            </w:r>
          </w:p>
        </w:tc>
        <w:tc>
          <w:tcPr>
            <w:tcW w:w="960"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0F6F53E0"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 </w:t>
            </w:r>
          </w:p>
        </w:tc>
        <w:tc>
          <w:tcPr>
            <w:tcW w:w="875"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3CF16422"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 </w:t>
            </w:r>
          </w:p>
        </w:tc>
        <w:tc>
          <w:tcPr>
            <w:tcW w:w="1202"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139B4931"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 </w:t>
            </w:r>
          </w:p>
        </w:tc>
        <w:tc>
          <w:tcPr>
            <w:tcW w:w="955"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4753924D"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 </w:t>
            </w:r>
          </w:p>
        </w:tc>
        <w:tc>
          <w:tcPr>
            <w:tcW w:w="857"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6C2061F8"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 </w:t>
            </w:r>
          </w:p>
        </w:tc>
      </w:tr>
      <w:tr w:rsidR="00963BD0" w:rsidRPr="00A635B2" w14:paraId="36AB400E" w14:textId="77777777" w:rsidTr="00834B18">
        <w:trPr>
          <w:trHeight w:val="260"/>
        </w:trPr>
        <w:tc>
          <w:tcPr>
            <w:tcW w:w="573" w:type="dxa"/>
            <w:tcBorders>
              <w:top w:val="nil"/>
              <w:left w:val="single" w:sz="8" w:space="0" w:color="000000"/>
              <w:bottom w:val="nil"/>
              <w:right w:val="single" w:sz="8" w:space="0" w:color="000000"/>
            </w:tcBorders>
            <w:shd w:val="clear" w:color="auto" w:fill="auto"/>
            <w:tcMar>
              <w:top w:w="13" w:type="dxa"/>
              <w:left w:w="117" w:type="dxa"/>
              <w:bottom w:w="0" w:type="dxa"/>
              <w:right w:w="13" w:type="dxa"/>
            </w:tcMar>
            <w:hideMark/>
          </w:tcPr>
          <w:p w14:paraId="1B17FA77" w14:textId="77777777" w:rsidR="00963BD0" w:rsidRPr="00A635B2" w:rsidRDefault="00963BD0" w:rsidP="00963BD0">
            <w:pPr>
              <w:spacing w:after="0"/>
              <w:rPr>
                <w:rFonts w:ascii="Arial" w:eastAsia="Times New Roman" w:hAnsi="Arial" w:cs="Arial"/>
                <w:sz w:val="18"/>
                <w:szCs w:val="18"/>
                <w:lang w:eastAsia="es-MX"/>
              </w:rPr>
            </w:pPr>
            <w:r w:rsidRPr="00A635B2">
              <w:rPr>
                <w:rFonts w:ascii="Arial" w:eastAsia="Times New Roman" w:hAnsi="Arial" w:cs="Arial"/>
                <w:sz w:val="18"/>
                <w:szCs w:val="18"/>
                <w:lang w:eastAsia="es-MX"/>
              </w:rPr>
              <w:t>AN</w:t>
            </w:r>
          </w:p>
        </w:tc>
        <w:tc>
          <w:tcPr>
            <w:tcW w:w="2197"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01F060A1" w14:textId="77777777" w:rsidR="00963BD0" w:rsidRPr="00A635B2" w:rsidRDefault="00963BD0" w:rsidP="00963BD0">
            <w:pPr>
              <w:spacing w:after="0"/>
              <w:rPr>
                <w:rFonts w:ascii="Arial" w:eastAsia="Times New Roman" w:hAnsi="Arial" w:cs="Arial"/>
                <w:sz w:val="18"/>
                <w:szCs w:val="18"/>
                <w:lang w:eastAsia="es-MX"/>
              </w:rPr>
            </w:pPr>
            <w:r w:rsidRPr="00A635B2">
              <w:rPr>
                <w:rFonts w:ascii="Arial" w:eastAsia="Times New Roman" w:hAnsi="Arial" w:cs="Arial"/>
                <w:sz w:val="18"/>
                <w:szCs w:val="18"/>
                <w:lang w:eastAsia="es-MX"/>
              </w:rPr>
              <w:t>Activos No Financieros</w:t>
            </w:r>
          </w:p>
        </w:tc>
        <w:tc>
          <w:tcPr>
            <w:tcW w:w="1200"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7DB7B935"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274.0</w:t>
            </w:r>
          </w:p>
        </w:tc>
        <w:tc>
          <w:tcPr>
            <w:tcW w:w="1165"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0C49135B"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 xml:space="preserve">   3.9</w:t>
            </w:r>
          </w:p>
        </w:tc>
        <w:tc>
          <w:tcPr>
            <w:tcW w:w="969"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6A78403B"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101.2</w:t>
            </w:r>
          </w:p>
        </w:tc>
        <w:tc>
          <w:tcPr>
            <w:tcW w:w="960"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2244FDCA"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156.8</w:t>
            </w:r>
          </w:p>
        </w:tc>
        <w:tc>
          <w:tcPr>
            <w:tcW w:w="875"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4BC8E681"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3.2</w:t>
            </w:r>
          </w:p>
        </w:tc>
        <w:tc>
          <w:tcPr>
            <w:tcW w:w="1202"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753FBE93"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539.0</w:t>
            </w:r>
          </w:p>
        </w:tc>
        <w:tc>
          <w:tcPr>
            <w:tcW w:w="955"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297EF3D5"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 xml:space="preserve">    0.0</w:t>
            </w:r>
          </w:p>
        </w:tc>
        <w:tc>
          <w:tcPr>
            <w:tcW w:w="857"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065CF18C"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539.0</w:t>
            </w:r>
          </w:p>
        </w:tc>
      </w:tr>
      <w:tr w:rsidR="00963BD0" w:rsidRPr="00A635B2" w14:paraId="751558DF" w14:textId="77777777" w:rsidTr="00834B18">
        <w:trPr>
          <w:trHeight w:val="260"/>
        </w:trPr>
        <w:tc>
          <w:tcPr>
            <w:tcW w:w="573" w:type="dxa"/>
            <w:tcBorders>
              <w:top w:val="nil"/>
              <w:left w:val="single" w:sz="8" w:space="0" w:color="000000"/>
              <w:bottom w:val="nil"/>
              <w:right w:val="single" w:sz="8" w:space="0" w:color="000000"/>
            </w:tcBorders>
            <w:shd w:val="clear" w:color="auto" w:fill="auto"/>
            <w:tcMar>
              <w:top w:w="13" w:type="dxa"/>
              <w:left w:w="117" w:type="dxa"/>
              <w:bottom w:w="0" w:type="dxa"/>
              <w:right w:w="13" w:type="dxa"/>
            </w:tcMar>
            <w:hideMark/>
          </w:tcPr>
          <w:p w14:paraId="62C53BC4" w14:textId="77777777" w:rsidR="00963BD0" w:rsidRPr="00A635B2" w:rsidRDefault="00963BD0" w:rsidP="00963BD0">
            <w:pPr>
              <w:spacing w:after="0"/>
              <w:rPr>
                <w:rFonts w:ascii="Arial" w:eastAsia="Times New Roman" w:hAnsi="Arial" w:cs="Arial"/>
                <w:sz w:val="18"/>
                <w:szCs w:val="18"/>
                <w:lang w:eastAsia="es-MX"/>
              </w:rPr>
            </w:pPr>
            <w:r w:rsidRPr="00A635B2">
              <w:rPr>
                <w:rFonts w:ascii="Arial" w:eastAsia="Times New Roman" w:hAnsi="Arial" w:cs="Arial"/>
                <w:sz w:val="18"/>
                <w:szCs w:val="18"/>
                <w:lang w:eastAsia="es-MX"/>
              </w:rPr>
              <w:t>AF</w:t>
            </w:r>
          </w:p>
        </w:tc>
        <w:tc>
          <w:tcPr>
            <w:tcW w:w="2197"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4392B082" w14:textId="77777777" w:rsidR="00963BD0" w:rsidRPr="00A635B2" w:rsidRDefault="00963BD0" w:rsidP="00963BD0">
            <w:pPr>
              <w:spacing w:after="0"/>
              <w:rPr>
                <w:rFonts w:ascii="Arial" w:eastAsia="Times New Roman" w:hAnsi="Arial" w:cs="Arial"/>
                <w:sz w:val="18"/>
                <w:szCs w:val="18"/>
                <w:lang w:eastAsia="es-MX"/>
              </w:rPr>
            </w:pPr>
            <w:r w:rsidRPr="00A635B2">
              <w:rPr>
                <w:rFonts w:ascii="Arial" w:eastAsia="Times New Roman" w:hAnsi="Arial" w:cs="Arial"/>
                <w:sz w:val="18"/>
                <w:szCs w:val="18"/>
                <w:lang w:eastAsia="es-MX"/>
              </w:rPr>
              <w:t>Activos Financieros</w:t>
            </w:r>
          </w:p>
        </w:tc>
        <w:tc>
          <w:tcPr>
            <w:tcW w:w="1200"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6D8A510D"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 xml:space="preserve">  93.3</w:t>
            </w:r>
          </w:p>
        </w:tc>
        <w:tc>
          <w:tcPr>
            <w:tcW w:w="1165"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6E545A27"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112.4</w:t>
            </w:r>
          </w:p>
        </w:tc>
        <w:tc>
          <w:tcPr>
            <w:tcW w:w="969"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351382E1"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 xml:space="preserve">  27.1</w:t>
            </w:r>
          </w:p>
        </w:tc>
        <w:tc>
          <w:tcPr>
            <w:tcW w:w="960"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4890BD31"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105.3</w:t>
            </w:r>
          </w:p>
        </w:tc>
        <w:tc>
          <w:tcPr>
            <w:tcW w:w="875"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73B6D744"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0.0</w:t>
            </w:r>
          </w:p>
        </w:tc>
        <w:tc>
          <w:tcPr>
            <w:tcW w:w="1202"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486D3D12"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338.1</w:t>
            </w:r>
          </w:p>
        </w:tc>
        <w:tc>
          <w:tcPr>
            <w:tcW w:w="955"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21CCAEA3"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 xml:space="preserve">  96.8</w:t>
            </w:r>
          </w:p>
        </w:tc>
        <w:tc>
          <w:tcPr>
            <w:tcW w:w="857"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4454678D"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434.9</w:t>
            </w:r>
          </w:p>
        </w:tc>
      </w:tr>
      <w:tr w:rsidR="00963BD0" w:rsidRPr="00A635B2" w14:paraId="35C377D6" w14:textId="77777777" w:rsidTr="00834B18">
        <w:trPr>
          <w:trHeight w:val="260"/>
        </w:trPr>
        <w:tc>
          <w:tcPr>
            <w:tcW w:w="573" w:type="dxa"/>
            <w:tcBorders>
              <w:top w:val="nil"/>
              <w:left w:val="single" w:sz="8" w:space="0" w:color="000000"/>
              <w:bottom w:val="nil"/>
              <w:right w:val="single" w:sz="8" w:space="0" w:color="000000"/>
            </w:tcBorders>
            <w:shd w:val="clear" w:color="auto" w:fill="auto"/>
            <w:tcMar>
              <w:top w:w="13" w:type="dxa"/>
              <w:left w:w="117" w:type="dxa"/>
              <w:bottom w:w="0" w:type="dxa"/>
              <w:right w:w="13" w:type="dxa"/>
            </w:tcMar>
            <w:hideMark/>
          </w:tcPr>
          <w:p w14:paraId="4EFF5C3F" w14:textId="77777777" w:rsidR="00963BD0" w:rsidRPr="00A635B2" w:rsidRDefault="00963BD0" w:rsidP="00963BD0">
            <w:pPr>
              <w:spacing w:after="0"/>
              <w:rPr>
                <w:rFonts w:ascii="Arial" w:eastAsia="Times New Roman" w:hAnsi="Arial" w:cs="Arial"/>
                <w:sz w:val="18"/>
                <w:szCs w:val="18"/>
                <w:lang w:eastAsia="es-MX"/>
              </w:rPr>
            </w:pPr>
            <w:r w:rsidRPr="00A635B2">
              <w:rPr>
                <w:rFonts w:ascii="Arial" w:eastAsia="Times New Roman" w:hAnsi="Arial" w:cs="Arial"/>
                <w:sz w:val="18"/>
                <w:szCs w:val="18"/>
                <w:lang w:eastAsia="es-MX"/>
              </w:rPr>
              <w:t>P</w:t>
            </w:r>
          </w:p>
        </w:tc>
        <w:tc>
          <w:tcPr>
            <w:tcW w:w="2197"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3582B2D5" w14:textId="77777777" w:rsidR="00963BD0" w:rsidRPr="00A635B2" w:rsidRDefault="00963BD0" w:rsidP="00963BD0">
            <w:pPr>
              <w:spacing w:after="0"/>
              <w:rPr>
                <w:rFonts w:ascii="Arial" w:eastAsia="Times New Roman" w:hAnsi="Arial" w:cs="Arial"/>
                <w:sz w:val="18"/>
                <w:szCs w:val="18"/>
                <w:lang w:eastAsia="es-MX"/>
              </w:rPr>
            </w:pPr>
            <w:r w:rsidRPr="00A635B2">
              <w:rPr>
                <w:rFonts w:ascii="Arial" w:eastAsia="Times New Roman" w:hAnsi="Arial" w:cs="Arial"/>
                <w:sz w:val="18"/>
                <w:szCs w:val="18"/>
                <w:lang w:eastAsia="es-MX"/>
              </w:rPr>
              <w:t>Pasivos</w:t>
            </w:r>
          </w:p>
        </w:tc>
        <w:tc>
          <w:tcPr>
            <w:tcW w:w="1200"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721355F7"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217.6</w:t>
            </w:r>
          </w:p>
        </w:tc>
        <w:tc>
          <w:tcPr>
            <w:tcW w:w="1165"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6AD5D499"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 xml:space="preserve">  92.2</w:t>
            </w:r>
          </w:p>
        </w:tc>
        <w:tc>
          <w:tcPr>
            <w:tcW w:w="969"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2849D2C4"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 xml:space="preserve">  61.2</w:t>
            </w:r>
          </w:p>
        </w:tc>
        <w:tc>
          <w:tcPr>
            <w:tcW w:w="960"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3327734F" w14:textId="77777777" w:rsidR="00963BD0" w:rsidRPr="00A635B2" w:rsidRDefault="00AC168E" w:rsidP="0042161E">
            <w:pPr>
              <w:spacing w:after="0"/>
              <w:ind w:right="105"/>
              <w:jc w:val="center"/>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Pr>
                <w:rFonts w:ascii="Arial" w:eastAsia="Times New Roman" w:hAnsi="Arial" w:cs="Arial"/>
                <w:sz w:val="18"/>
                <w:szCs w:val="18"/>
                <w:lang w:eastAsia="es-MX"/>
              </w:rPr>
              <w:noBreakHyphen/>
              <w:t>)</w:t>
            </w:r>
            <w:r w:rsidR="00963BD0" w:rsidRPr="00A635B2">
              <w:rPr>
                <w:rFonts w:ascii="Arial" w:eastAsia="Times New Roman" w:hAnsi="Arial" w:cs="Arial"/>
                <w:sz w:val="18"/>
                <w:szCs w:val="18"/>
                <w:lang w:eastAsia="es-MX"/>
              </w:rPr>
              <w:t>1.9</w:t>
            </w:r>
          </w:p>
        </w:tc>
        <w:tc>
          <w:tcPr>
            <w:tcW w:w="875"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0B7F69D4" w14:textId="77777777" w:rsidR="00963BD0" w:rsidRPr="00A635B2" w:rsidRDefault="00AC168E" w:rsidP="00AC168E">
            <w:pPr>
              <w:spacing w:after="0"/>
              <w:ind w:right="170"/>
              <w:jc w:val="center"/>
              <w:rPr>
                <w:rFonts w:ascii="Arial" w:eastAsia="Times New Roman" w:hAnsi="Arial" w:cs="Arial"/>
                <w:sz w:val="18"/>
                <w:szCs w:val="18"/>
                <w:lang w:eastAsia="es-MX"/>
              </w:rPr>
            </w:pPr>
            <w:r>
              <w:rPr>
                <w:rFonts w:ascii="Arial" w:eastAsia="Times New Roman" w:hAnsi="Arial" w:cs="Arial"/>
                <w:sz w:val="18"/>
                <w:szCs w:val="18"/>
                <w:lang w:eastAsia="es-MX"/>
              </w:rPr>
              <w:t>(</w:t>
            </w:r>
            <w:r>
              <w:rPr>
                <w:rFonts w:ascii="Arial" w:eastAsia="Times New Roman" w:hAnsi="Arial" w:cs="Arial"/>
                <w:sz w:val="18"/>
                <w:szCs w:val="18"/>
                <w:lang w:eastAsia="es-MX"/>
              </w:rPr>
              <w:noBreakHyphen/>
              <w:t>)</w:t>
            </w:r>
            <w:r w:rsidR="00963BD0" w:rsidRPr="00A635B2">
              <w:rPr>
                <w:rFonts w:ascii="Arial" w:eastAsia="Times New Roman" w:hAnsi="Arial" w:cs="Arial"/>
                <w:sz w:val="18"/>
                <w:szCs w:val="18"/>
                <w:lang w:eastAsia="es-MX"/>
              </w:rPr>
              <w:t>2.3</w:t>
            </w:r>
          </w:p>
        </w:tc>
        <w:tc>
          <w:tcPr>
            <w:tcW w:w="1202"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320BB279"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366.8</w:t>
            </w:r>
          </w:p>
        </w:tc>
        <w:tc>
          <w:tcPr>
            <w:tcW w:w="955"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05CA983D"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 xml:space="preserve">  59.8</w:t>
            </w:r>
          </w:p>
        </w:tc>
        <w:tc>
          <w:tcPr>
            <w:tcW w:w="857"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483F0C30"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434.9</w:t>
            </w:r>
          </w:p>
        </w:tc>
      </w:tr>
      <w:tr w:rsidR="00963BD0" w:rsidRPr="00A635B2" w14:paraId="1EA2B5A7" w14:textId="77777777" w:rsidTr="00834B18">
        <w:trPr>
          <w:trHeight w:val="260"/>
        </w:trPr>
        <w:tc>
          <w:tcPr>
            <w:tcW w:w="573" w:type="dxa"/>
            <w:tcBorders>
              <w:top w:val="nil"/>
              <w:left w:val="single" w:sz="8" w:space="0" w:color="000000"/>
              <w:bottom w:val="nil"/>
              <w:right w:val="single" w:sz="8" w:space="0" w:color="000000"/>
            </w:tcBorders>
            <w:shd w:val="clear" w:color="auto" w:fill="auto"/>
            <w:tcMar>
              <w:top w:w="13" w:type="dxa"/>
              <w:left w:w="117" w:type="dxa"/>
              <w:bottom w:w="0" w:type="dxa"/>
              <w:right w:w="13" w:type="dxa"/>
            </w:tcMar>
            <w:hideMark/>
          </w:tcPr>
          <w:p w14:paraId="26D923E3" w14:textId="77777777" w:rsidR="00963BD0" w:rsidRPr="00A635B2" w:rsidRDefault="00963BD0" w:rsidP="00963BD0">
            <w:pPr>
              <w:spacing w:after="0"/>
              <w:rPr>
                <w:rFonts w:ascii="Arial" w:eastAsia="Times New Roman" w:hAnsi="Arial" w:cs="Arial"/>
                <w:sz w:val="18"/>
                <w:szCs w:val="18"/>
                <w:lang w:eastAsia="es-MX"/>
              </w:rPr>
            </w:pPr>
            <w:r w:rsidRPr="00A635B2">
              <w:rPr>
                <w:rFonts w:ascii="Arial" w:eastAsia="Times New Roman" w:hAnsi="Arial" w:cs="Arial"/>
                <w:sz w:val="18"/>
                <w:szCs w:val="18"/>
                <w:lang w:eastAsia="es-MX"/>
              </w:rPr>
              <w:t>De</w:t>
            </w:r>
          </w:p>
        </w:tc>
        <w:tc>
          <w:tcPr>
            <w:tcW w:w="2197"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73427874" w14:textId="77777777" w:rsidR="00963BD0" w:rsidRPr="00A635B2" w:rsidRDefault="00963BD0" w:rsidP="00963BD0">
            <w:pPr>
              <w:spacing w:after="0"/>
              <w:rPr>
                <w:rFonts w:ascii="Arial" w:eastAsia="Times New Roman" w:hAnsi="Arial" w:cs="Arial"/>
                <w:sz w:val="18"/>
                <w:szCs w:val="18"/>
                <w:lang w:eastAsia="es-MX"/>
              </w:rPr>
            </w:pPr>
            <w:r w:rsidRPr="00A635B2">
              <w:rPr>
                <w:rFonts w:ascii="Arial" w:eastAsia="Times New Roman" w:hAnsi="Arial" w:cs="Arial"/>
                <w:sz w:val="18"/>
                <w:szCs w:val="18"/>
                <w:lang w:eastAsia="es-MX"/>
              </w:rPr>
              <w:t xml:space="preserve">Discrepancia estadística </w:t>
            </w:r>
          </w:p>
        </w:tc>
        <w:tc>
          <w:tcPr>
            <w:tcW w:w="1200"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5813F4CC"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 </w:t>
            </w:r>
          </w:p>
        </w:tc>
        <w:tc>
          <w:tcPr>
            <w:tcW w:w="1165"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10A31D4A"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 </w:t>
            </w:r>
          </w:p>
        </w:tc>
        <w:tc>
          <w:tcPr>
            <w:tcW w:w="969"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5CA757EE"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 </w:t>
            </w:r>
          </w:p>
        </w:tc>
        <w:tc>
          <w:tcPr>
            <w:tcW w:w="960"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1AE51A35"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 </w:t>
            </w:r>
          </w:p>
        </w:tc>
        <w:tc>
          <w:tcPr>
            <w:tcW w:w="875"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622B2770"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 </w:t>
            </w:r>
          </w:p>
        </w:tc>
        <w:tc>
          <w:tcPr>
            <w:tcW w:w="1202"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2C94D8C4"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 </w:t>
            </w:r>
          </w:p>
        </w:tc>
        <w:tc>
          <w:tcPr>
            <w:tcW w:w="955"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654CB250"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 </w:t>
            </w:r>
          </w:p>
        </w:tc>
        <w:tc>
          <w:tcPr>
            <w:tcW w:w="857"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4A61A278" w14:textId="77777777" w:rsidR="00963BD0" w:rsidRPr="00A635B2" w:rsidRDefault="00963BD0" w:rsidP="000610A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 xml:space="preserve">    </w:t>
            </w:r>
            <w:r w:rsidR="000610A0">
              <w:rPr>
                <w:rFonts w:ascii="Arial" w:eastAsia="Times New Roman" w:hAnsi="Arial" w:cs="Arial"/>
                <w:sz w:val="18"/>
                <w:szCs w:val="18"/>
                <w:lang w:eastAsia="es-MX"/>
              </w:rPr>
              <w:t>8.3</w:t>
            </w:r>
          </w:p>
        </w:tc>
      </w:tr>
      <w:tr w:rsidR="00963BD0" w:rsidRPr="00A635B2" w14:paraId="261098BB" w14:textId="77777777" w:rsidTr="00834B18">
        <w:trPr>
          <w:trHeight w:val="260"/>
        </w:trPr>
        <w:tc>
          <w:tcPr>
            <w:tcW w:w="573" w:type="dxa"/>
            <w:tcBorders>
              <w:top w:val="nil"/>
              <w:left w:val="single" w:sz="8" w:space="0" w:color="000000"/>
              <w:bottom w:val="nil"/>
              <w:right w:val="single" w:sz="8" w:space="0" w:color="000000"/>
            </w:tcBorders>
            <w:shd w:val="clear" w:color="auto" w:fill="FABF8F" w:themeFill="accent6" w:themeFillTint="99"/>
            <w:tcMar>
              <w:top w:w="13" w:type="dxa"/>
              <w:left w:w="117" w:type="dxa"/>
              <w:bottom w:w="0" w:type="dxa"/>
              <w:right w:w="13" w:type="dxa"/>
            </w:tcMar>
            <w:vAlign w:val="bottom"/>
            <w:hideMark/>
          </w:tcPr>
          <w:p w14:paraId="631F9C43" w14:textId="77777777" w:rsidR="00963BD0" w:rsidRPr="00A635B2" w:rsidRDefault="00963BD0" w:rsidP="00963BD0">
            <w:pPr>
              <w:spacing w:after="0"/>
              <w:rPr>
                <w:rFonts w:ascii="Arial" w:eastAsia="Times New Roman" w:hAnsi="Arial" w:cs="Arial"/>
                <w:sz w:val="18"/>
                <w:szCs w:val="18"/>
                <w:lang w:eastAsia="es-MX"/>
              </w:rPr>
            </w:pPr>
            <w:r w:rsidRPr="00A635B2">
              <w:rPr>
                <w:rFonts w:ascii="Arial" w:eastAsia="Times New Roman" w:hAnsi="Arial" w:cs="Arial"/>
                <w:sz w:val="18"/>
                <w:szCs w:val="18"/>
                <w:lang w:eastAsia="es-MX"/>
              </w:rPr>
              <w:t>VN</w:t>
            </w:r>
          </w:p>
        </w:tc>
        <w:tc>
          <w:tcPr>
            <w:tcW w:w="2197" w:type="dxa"/>
            <w:tcBorders>
              <w:top w:val="nil"/>
              <w:left w:val="single" w:sz="8" w:space="0" w:color="000000"/>
              <w:bottom w:val="nil"/>
              <w:right w:val="single" w:sz="8" w:space="0" w:color="000000"/>
            </w:tcBorders>
            <w:shd w:val="clear" w:color="auto" w:fill="FABF8F" w:themeFill="accent6" w:themeFillTint="99"/>
            <w:tcMar>
              <w:top w:w="13" w:type="dxa"/>
              <w:left w:w="13" w:type="dxa"/>
              <w:bottom w:w="0" w:type="dxa"/>
              <w:right w:w="13" w:type="dxa"/>
            </w:tcMar>
            <w:vAlign w:val="bottom"/>
            <w:hideMark/>
          </w:tcPr>
          <w:p w14:paraId="4EBA92F3" w14:textId="77777777" w:rsidR="00963BD0" w:rsidRPr="00A635B2" w:rsidRDefault="00963BD0" w:rsidP="00963BD0">
            <w:pPr>
              <w:spacing w:after="0"/>
              <w:rPr>
                <w:rFonts w:ascii="Arial" w:eastAsia="Times New Roman" w:hAnsi="Arial" w:cs="Arial"/>
                <w:sz w:val="18"/>
                <w:szCs w:val="18"/>
                <w:lang w:eastAsia="es-MX"/>
              </w:rPr>
            </w:pPr>
            <w:r w:rsidRPr="00A635B2">
              <w:rPr>
                <w:rFonts w:ascii="Arial" w:eastAsia="Times New Roman" w:hAnsi="Arial" w:cs="Arial"/>
                <w:sz w:val="18"/>
                <w:szCs w:val="18"/>
                <w:lang w:eastAsia="es-MX"/>
              </w:rPr>
              <w:t>Valor Neto (ANF+AF-P)</w:t>
            </w:r>
          </w:p>
        </w:tc>
        <w:tc>
          <w:tcPr>
            <w:tcW w:w="1200" w:type="dxa"/>
            <w:tcBorders>
              <w:top w:val="nil"/>
              <w:left w:val="single" w:sz="8" w:space="0" w:color="000000"/>
              <w:bottom w:val="nil"/>
              <w:right w:val="single" w:sz="8" w:space="0" w:color="000000"/>
            </w:tcBorders>
            <w:shd w:val="clear" w:color="auto" w:fill="FABF8F" w:themeFill="accent6" w:themeFillTint="99"/>
            <w:tcMar>
              <w:top w:w="13" w:type="dxa"/>
              <w:left w:w="13" w:type="dxa"/>
              <w:bottom w:w="0" w:type="dxa"/>
              <w:right w:w="13" w:type="dxa"/>
            </w:tcMar>
            <w:vAlign w:val="bottom"/>
            <w:hideMark/>
          </w:tcPr>
          <w:p w14:paraId="66A46198"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149.7</w:t>
            </w:r>
          </w:p>
        </w:tc>
        <w:tc>
          <w:tcPr>
            <w:tcW w:w="1165" w:type="dxa"/>
            <w:tcBorders>
              <w:top w:val="nil"/>
              <w:left w:val="single" w:sz="8" w:space="0" w:color="000000"/>
              <w:bottom w:val="nil"/>
              <w:right w:val="single" w:sz="8" w:space="0" w:color="000000"/>
            </w:tcBorders>
            <w:shd w:val="clear" w:color="auto" w:fill="FABF8F" w:themeFill="accent6" w:themeFillTint="99"/>
            <w:tcMar>
              <w:top w:w="13" w:type="dxa"/>
              <w:left w:w="13" w:type="dxa"/>
              <w:bottom w:w="0" w:type="dxa"/>
              <w:right w:w="13" w:type="dxa"/>
            </w:tcMar>
            <w:vAlign w:val="bottom"/>
            <w:hideMark/>
          </w:tcPr>
          <w:p w14:paraId="4B4104F2"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 xml:space="preserve">  24.1</w:t>
            </w:r>
          </w:p>
        </w:tc>
        <w:tc>
          <w:tcPr>
            <w:tcW w:w="969" w:type="dxa"/>
            <w:tcBorders>
              <w:top w:val="nil"/>
              <w:left w:val="single" w:sz="8" w:space="0" w:color="000000"/>
              <w:bottom w:val="nil"/>
              <w:right w:val="single" w:sz="8" w:space="0" w:color="000000"/>
            </w:tcBorders>
            <w:shd w:val="clear" w:color="auto" w:fill="FABF8F" w:themeFill="accent6" w:themeFillTint="99"/>
            <w:tcMar>
              <w:top w:w="13" w:type="dxa"/>
              <w:left w:w="13" w:type="dxa"/>
              <w:bottom w:w="0" w:type="dxa"/>
              <w:right w:w="13" w:type="dxa"/>
            </w:tcMar>
            <w:vAlign w:val="bottom"/>
            <w:hideMark/>
          </w:tcPr>
          <w:p w14:paraId="18679401"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 xml:space="preserve"> 67.1</w:t>
            </w:r>
          </w:p>
        </w:tc>
        <w:tc>
          <w:tcPr>
            <w:tcW w:w="960" w:type="dxa"/>
            <w:tcBorders>
              <w:top w:val="nil"/>
              <w:left w:val="single" w:sz="8" w:space="0" w:color="000000"/>
              <w:bottom w:val="nil"/>
              <w:right w:val="single" w:sz="8" w:space="0" w:color="000000"/>
            </w:tcBorders>
            <w:shd w:val="clear" w:color="auto" w:fill="FABF8F" w:themeFill="accent6" w:themeFillTint="99"/>
            <w:tcMar>
              <w:top w:w="13" w:type="dxa"/>
              <w:left w:w="13" w:type="dxa"/>
              <w:bottom w:w="0" w:type="dxa"/>
              <w:right w:w="13" w:type="dxa"/>
            </w:tcMar>
            <w:vAlign w:val="bottom"/>
            <w:hideMark/>
          </w:tcPr>
          <w:p w14:paraId="58A5A6E7"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264.0</w:t>
            </w:r>
          </w:p>
        </w:tc>
        <w:tc>
          <w:tcPr>
            <w:tcW w:w="875" w:type="dxa"/>
            <w:tcBorders>
              <w:top w:val="nil"/>
              <w:left w:val="single" w:sz="8" w:space="0" w:color="000000"/>
              <w:bottom w:val="nil"/>
              <w:right w:val="single" w:sz="8" w:space="0" w:color="000000"/>
            </w:tcBorders>
            <w:shd w:val="clear" w:color="auto" w:fill="FABF8F" w:themeFill="accent6" w:themeFillTint="99"/>
            <w:tcMar>
              <w:top w:w="13" w:type="dxa"/>
              <w:left w:w="13" w:type="dxa"/>
              <w:bottom w:w="0" w:type="dxa"/>
              <w:right w:w="13" w:type="dxa"/>
            </w:tcMar>
            <w:vAlign w:val="bottom"/>
            <w:hideMark/>
          </w:tcPr>
          <w:p w14:paraId="6600E320"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5.5</w:t>
            </w:r>
          </w:p>
        </w:tc>
        <w:tc>
          <w:tcPr>
            <w:tcW w:w="1202" w:type="dxa"/>
            <w:tcBorders>
              <w:top w:val="nil"/>
              <w:left w:val="single" w:sz="8" w:space="0" w:color="000000"/>
              <w:bottom w:val="nil"/>
              <w:right w:val="single" w:sz="8" w:space="0" w:color="000000"/>
            </w:tcBorders>
            <w:shd w:val="clear" w:color="auto" w:fill="FABF8F" w:themeFill="accent6" w:themeFillTint="99"/>
            <w:tcMar>
              <w:top w:w="13" w:type="dxa"/>
              <w:left w:w="13" w:type="dxa"/>
              <w:bottom w:w="0" w:type="dxa"/>
              <w:right w:w="13" w:type="dxa"/>
            </w:tcMar>
            <w:vAlign w:val="bottom"/>
            <w:hideMark/>
          </w:tcPr>
          <w:p w14:paraId="4B164274"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510.3</w:t>
            </w:r>
          </w:p>
        </w:tc>
        <w:tc>
          <w:tcPr>
            <w:tcW w:w="955" w:type="dxa"/>
            <w:tcBorders>
              <w:top w:val="nil"/>
              <w:left w:val="single" w:sz="8" w:space="0" w:color="000000"/>
              <w:bottom w:val="nil"/>
              <w:right w:val="single" w:sz="8" w:space="0" w:color="000000"/>
            </w:tcBorders>
            <w:shd w:val="clear" w:color="auto" w:fill="FABF8F" w:themeFill="accent6" w:themeFillTint="99"/>
            <w:tcMar>
              <w:top w:w="13" w:type="dxa"/>
              <w:left w:w="13" w:type="dxa"/>
              <w:bottom w:w="0" w:type="dxa"/>
              <w:right w:w="13" w:type="dxa"/>
            </w:tcMar>
            <w:vAlign w:val="bottom"/>
            <w:hideMark/>
          </w:tcPr>
          <w:p w14:paraId="30003156"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 xml:space="preserve">  37.0</w:t>
            </w:r>
          </w:p>
        </w:tc>
        <w:tc>
          <w:tcPr>
            <w:tcW w:w="857" w:type="dxa"/>
            <w:tcBorders>
              <w:top w:val="nil"/>
              <w:left w:val="single" w:sz="8" w:space="0" w:color="000000"/>
              <w:bottom w:val="nil"/>
              <w:right w:val="single" w:sz="8" w:space="0" w:color="000000"/>
            </w:tcBorders>
            <w:shd w:val="clear" w:color="auto" w:fill="FABF8F" w:themeFill="accent6" w:themeFillTint="99"/>
            <w:tcMar>
              <w:top w:w="13" w:type="dxa"/>
              <w:left w:w="13" w:type="dxa"/>
              <w:bottom w:w="0" w:type="dxa"/>
              <w:right w:w="13" w:type="dxa"/>
            </w:tcMar>
            <w:vAlign w:val="bottom"/>
            <w:hideMark/>
          </w:tcPr>
          <w:p w14:paraId="127177E0" w14:textId="6B10F4F7" w:rsidR="00963BD0" w:rsidRPr="00A635B2" w:rsidRDefault="00963BD0" w:rsidP="00E24C50">
            <w:pPr>
              <w:spacing w:after="0"/>
              <w:ind w:right="-121"/>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539.0</w:t>
            </w:r>
          </w:p>
        </w:tc>
      </w:tr>
      <w:tr w:rsidR="00963BD0" w:rsidRPr="00A635B2" w14:paraId="62495144" w14:textId="77777777" w:rsidTr="00834B18">
        <w:trPr>
          <w:trHeight w:val="260"/>
        </w:trPr>
        <w:tc>
          <w:tcPr>
            <w:tcW w:w="573" w:type="dxa"/>
            <w:tcBorders>
              <w:top w:val="nil"/>
              <w:left w:val="single" w:sz="8" w:space="0" w:color="000000"/>
              <w:bottom w:val="nil"/>
              <w:right w:val="single" w:sz="8" w:space="0" w:color="000000"/>
            </w:tcBorders>
            <w:shd w:val="clear" w:color="auto" w:fill="auto"/>
            <w:tcMar>
              <w:top w:w="13" w:type="dxa"/>
              <w:left w:w="117" w:type="dxa"/>
              <w:bottom w:w="0" w:type="dxa"/>
              <w:right w:w="13" w:type="dxa"/>
            </w:tcMar>
            <w:hideMark/>
          </w:tcPr>
          <w:p w14:paraId="65BFF4EE" w14:textId="77777777" w:rsidR="00963BD0" w:rsidRPr="00A635B2" w:rsidRDefault="00963BD0" w:rsidP="00963BD0">
            <w:pPr>
              <w:spacing w:after="0"/>
              <w:rPr>
                <w:rFonts w:ascii="Arial" w:eastAsia="Times New Roman" w:hAnsi="Arial" w:cs="Arial"/>
                <w:sz w:val="18"/>
                <w:szCs w:val="18"/>
                <w:lang w:eastAsia="es-MX"/>
              </w:rPr>
            </w:pPr>
            <w:r w:rsidRPr="00A635B2">
              <w:rPr>
                <w:rFonts w:ascii="Arial" w:eastAsia="Times New Roman" w:hAnsi="Arial" w:cs="Arial"/>
                <w:sz w:val="18"/>
                <w:szCs w:val="18"/>
                <w:lang w:eastAsia="es-MX"/>
              </w:rPr>
              <w:t> </w:t>
            </w:r>
          </w:p>
        </w:tc>
        <w:tc>
          <w:tcPr>
            <w:tcW w:w="2197" w:type="dxa"/>
            <w:tcBorders>
              <w:top w:val="nil"/>
              <w:left w:val="single" w:sz="8" w:space="0" w:color="000000"/>
              <w:bottom w:val="nil"/>
              <w:right w:val="single" w:sz="8" w:space="0" w:color="000000"/>
            </w:tcBorders>
            <w:shd w:val="clear" w:color="auto" w:fill="auto"/>
            <w:tcMar>
              <w:top w:w="13" w:type="dxa"/>
              <w:left w:w="117" w:type="dxa"/>
              <w:bottom w:w="0" w:type="dxa"/>
              <w:right w:w="13" w:type="dxa"/>
            </w:tcMar>
            <w:hideMark/>
          </w:tcPr>
          <w:p w14:paraId="102434BE" w14:textId="77777777" w:rsidR="00963BD0" w:rsidRPr="00A635B2" w:rsidRDefault="00963BD0" w:rsidP="00963BD0">
            <w:pPr>
              <w:spacing w:after="0"/>
              <w:rPr>
                <w:rFonts w:ascii="Arial" w:eastAsia="Times New Roman" w:hAnsi="Arial" w:cs="Arial"/>
                <w:sz w:val="18"/>
                <w:szCs w:val="18"/>
                <w:lang w:eastAsia="es-MX"/>
              </w:rPr>
            </w:pPr>
            <w:r w:rsidRPr="00A635B2">
              <w:rPr>
                <w:rFonts w:ascii="Arial" w:eastAsia="Times New Roman" w:hAnsi="Arial" w:cs="Arial"/>
                <w:sz w:val="18"/>
                <w:szCs w:val="18"/>
                <w:lang w:eastAsia="es-MX"/>
              </w:rPr>
              <w:t> </w:t>
            </w:r>
          </w:p>
        </w:tc>
        <w:tc>
          <w:tcPr>
            <w:tcW w:w="1200"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58080E2D"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 </w:t>
            </w:r>
          </w:p>
        </w:tc>
        <w:tc>
          <w:tcPr>
            <w:tcW w:w="1165"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4814B42E"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 </w:t>
            </w:r>
          </w:p>
        </w:tc>
        <w:tc>
          <w:tcPr>
            <w:tcW w:w="969"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5D512EC3"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 </w:t>
            </w:r>
          </w:p>
        </w:tc>
        <w:tc>
          <w:tcPr>
            <w:tcW w:w="960"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0E7BD7D1"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 </w:t>
            </w:r>
          </w:p>
        </w:tc>
        <w:tc>
          <w:tcPr>
            <w:tcW w:w="875"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401332C2"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 </w:t>
            </w:r>
          </w:p>
        </w:tc>
        <w:tc>
          <w:tcPr>
            <w:tcW w:w="1202"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3B8F2168"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 </w:t>
            </w:r>
          </w:p>
        </w:tc>
        <w:tc>
          <w:tcPr>
            <w:tcW w:w="955"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7D015FF4"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 </w:t>
            </w:r>
          </w:p>
        </w:tc>
        <w:tc>
          <w:tcPr>
            <w:tcW w:w="857"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38CB174A"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 </w:t>
            </w:r>
          </w:p>
        </w:tc>
      </w:tr>
      <w:tr w:rsidR="00963BD0" w:rsidRPr="00A635B2" w14:paraId="44A3F191" w14:textId="77777777" w:rsidTr="00834B18">
        <w:trPr>
          <w:trHeight w:val="260"/>
        </w:trPr>
        <w:tc>
          <w:tcPr>
            <w:tcW w:w="573" w:type="dxa"/>
            <w:tcBorders>
              <w:top w:val="nil"/>
              <w:left w:val="single" w:sz="8" w:space="0" w:color="000000"/>
              <w:bottom w:val="nil"/>
              <w:right w:val="single" w:sz="8" w:space="0" w:color="000000"/>
            </w:tcBorders>
            <w:shd w:val="clear" w:color="auto" w:fill="auto"/>
            <w:tcMar>
              <w:top w:w="13" w:type="dxa"/>
              <w:left w:w="117" w:type="dxa"/>
              <w:bottom w:w="0" w:type="dxa"/>
              <w:right w:w="13" w:type="dxa"/>
            </w:tcMar>
            <w:hideMark/>
          </w:tcPr>
          <w:p w14:paraId="31BF804F" w14:textId="77777777" w:rsidR="00963BD0" w:rsidRPr="00A635B2" w:rsidRDefault="00963BD0" w:rsidP="00963BD0">
            <w:pPr>
              <w:spacing w:after="0"/>
              <w:rPr>
                <w:rFonts w:ascii="Arial" w:eastAsia="Times New Roman" w:hAnsi="Arial" w:cs="Arial"/>
                <w:sz w:val="18"/>
                <w:szCs w:val="18"/>
                <w:lang w:eastAsia="es-MX"/>
              </w:rPr>
            </w:pPr>
            <w:r w:rsidRPr="00A635B2">
              <w:rPr>
                <w:rFonts w:ascii="Arial" w:eastAsia="Times New Roman" w:hAnsi="Arial" w:cs="Arial"/>
                <w:sz w:val="18"/>
                <w:szCs w:val="18"/>
                <w:lang w:eastAsia="es-MX"/>
              </w:rPr>
              <w:t> </w:t>
            </w:r>
          </w:p>
        </w:tc>
        <w:tc>
          <w:tcPr>
            <w:tcW w:w="2197"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1AAA320A" w14:textId="77777777" w:rsidR="00963BD0" w:rsidRPr="00A635B2" w:rsidRDefault="00963BD0" w:rsidP="00963BD0">
            <w:pPr>
              <w:spacing w:after="0"/>
              <w:rPr>
                <w:rFonts w:ascii="Arial" w:eastAsia="Times New Roman" w:hAnsi="Arial" w:cs="Arial"/>
                <w:sz w:val="18"/>
                <w:szCs w:val="18"/>
                <w:lang w:eastAsia="es-MX"/>
              </w:rPr>
            </w:pPr>
            <w:r w:rsidRPr="00A635B2">
              <w:rPr>
                <w:rFonts w:ascii="Arial" w:eastAsia="Times New Roman" w:hAnsi="Arial" w:cs="Arial"/>
                <w:b/>
                <w:bCs/>
                <w:sz w:val="18"/>
                <w:szCs w:val="18"/>
                <w:lang w:eastAsia="es-MX"/>
              </w:rPr>
              <w:t xml:space="preserve">Variaciones del Valor </w:t>
            </w:r>
          </w:p>
        </w:tc>
        <w:tc>
          <w:tcPr>
            <w:tcW w:w="1200"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0E4E6D39"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 </w:t>
            </w:r>
          </w:p>
        </w:tc>
        <w:tc>
          <w:tcPr>
            <w:tcW w:w="1165"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71C0D109"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 </w:t>
            </w:r>
          </w:p>
        </w:tc>
        <w:tc>
          <w:tcPr>
            <w:tcW w:w="969"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0D20425B"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 </w:t>
            </w:r>
          </w:p>
        </w:tc>
        <w:tc>
          <w:tcPr>
            <w:tcW w:w="960"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299E48BE"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 </w:t>
            </w:r>
          </w:p>
        </w:tc>
        <w:tc>
          <w:tcPr>
            <w:tcW w:w="875"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385976E4"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 </w:t>
            </w:r>
          </w:p>
        </w:tc>
        <w:tc>
          <w:tcPr>
            <w:tcW w:w="1202"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5B32E8CF"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 </w:t>
            </w:r>
          </w:p>
        </w:tc>
        <w:tc>
          <w:tcPr>
            <w:tcW w:w="955"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4B1A4130"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 </w:t>
            </w:r>
          </w:p>
        </w:tc>
        <w:tc>
          <w:tcPr>
            <w:tcW w:w="857"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4943AF2B"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 </w:t>
            </w:r>
          </w:p>
        </w:tc>
      </w:tr>
      <w:tr w:rsidR="00963BD0" w:rsidRPr="00A635B2" w14:paraId="6611F017" w14:textId="77777777" w:rsidTr="00834B18">
        <w:trPr>
          <w:trHeight w:val="260"/>
        </w:trPr>
        <w:tc>
          <w:tcPr>
            <w:tcW w:w="573" w:type="dxa"/>
            <w:tcBorders>
              <w:top w:val="nil"/>
              <w:left w:val="single" w:sz="8" w:space="0" w:color="000000"/>
              <w:bottom w:val="nil"/>
              <w:right w:val="single" w:sz="8" w:space="0" w:color="000000"/>
            </w:tcBorders>
            <w:shd w:val="clear" w:color="auto" w:fill="auto"/>
            <w:tcMar>
              <w:top w:w="13" w:type="dxa"/>
              <w:left w:w="117" w:type="dxa"/>
              <w:bottom w:w="0" w:type="dxa"/>
              <w:right w:w="13" w:type="dxa"/>
            </w:tcMar>
            <w:hideMark/>
          </w:tcPr>
          <w:p w14:paraId="6077258F" w14:textId="77777777" w:rsidR="00963BD0" w:rsidRPr="00A635B2" w:rsidRDefault="00963BD0" w:rsidP="00963BD0">
            <w:pPr>
              <w:spacing w:after="0"/>
              <w:rPr>
                <w:rFonts w:ascii="Arial" w:eastAsia="Times New Roman" w:hAnsi="Arial" w:cs="Arial"/>
                <w:sz w:val="18"/>
                <w:szCs w:val="18"/>
                <w:lang w:eastAsia="es-MX"/>
              </w:rPr>
            </w:pPr>
            <w:r w:rsidRPr="00A635B2">
              <w:rPr>
                <w:rFonts w:ascii="Arial" w:eastAsia="Times New Roman" w:hAnsi="Arial" w:cs="Arial"/>
                <w:sz w:val="18"/>
                <w:szCs w:val="18"/>
                <w:lang w:eastAsia="es-MX"/>
              </w:rPr>
              <w:t>AN</w:t>
            </w:r>
          </w:p>
        </w:tc>
        <w:tc>
          <w:tcPr>
            <w:tcW w:w="2197"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55E8CFA4" w14:textId="77777777" w:rsidR="00963BD0" w:rsidRPr="00A635B2" w:rsidRDefault="00963BD0" w:rsidP="00963BD0">
            <w:pPr>
              <w:spacing w:after="0"/>
              <w:rPr>
                <w:rFonts w:ascii="Arial" w:eastAsia="Times New Roman" w:hAnsi="Arial" w:cs="Arial"/>
                <w:sz w:val="18"/>
                <w:szCs w:val="18"/>
                <w:lang w:eastAsia="es-MX"/>
              </w:rPr>
            </w:pPr>
            <w:r w:rsidRPr="00A635B2">
              <w:rPr>
                <w:rFonts w:ascii="Arial" w:eastAsia="Times New Roman" w:hAnsi="Arial" w:cs="Arial"/>
                <w:sz w:val="18"/>
                <w:szCs w:val="18"/>
                <w:lang w:eastAsia="es-MX"/>
              </w:rPr>
              <w:t>Activos No Financieros</w:t>
            </w:r>
          </w:p>
        </w:tc>
        <w:tc>
          <w:tcPr>
            <w:tcW w:w="1200"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5F72A79C"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 xml:space="preserve">  31.0</w:t>
            </w:r>
          </w:p>
        </w:tc>
        <w:tc>
          <w:tcPr>
            <w:tcW w:w="1165"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4C94EE21"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 xml:space="preserve">    0.2</w:t>
            </w:r>
          </w:p>
        </w:tc>
        <w:tc>
          <w:tcPr>
            <w:tcW w:w="969"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08803565"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 xml:space="preserve"> 12.5</w:t>
            </w:r>
          </w:p>
        </w:tc>
        <w:tc>
          <w:tcPr>
            <w:tcW w:w="960"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398D0928"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25.5</w:t>
            </w:r>
          </w:p>
        </w:tc>
        <w:tc>
          <w:tcPr>
            <w:tcW w:w="875"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72A51679"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0.3</w:t>
            </w:r>
          </w:p>
        </w:tc>
        <w:tc>
          <w:tcPr>
            <w:tcW w:w="1202"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425C2315"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 xml:space="preserve"> 69.5</w:t>
            </w:r>
          </w:p>
        </w:tc>
        <w:tc>
          <w:tcPr>
            <w:tcW w:w="955"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63BAB1AC"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 xml:space="preserve">    0.0</w:t>
            </w:r>
          </w:p>
        </w:tc>
        <w:tc>
          <w:tcPr>
            <w:tcW w:w="857"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0C3EF38C"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 xml:space="preserve">  69.5</w:t>
            </w:r>
          </w:p>
        </w:tc>
      </w:tr>
      <w:tr w:rsidR="00963BD0" w:rsidRPr="00A635B2" w14:paraId="6B298E92" w14:textId="77777777" w:rsidTr="00834B18">
        <w:trPr>
          <w:trHeight w:val="260"/>
        </w:trPr>
        <w:tc>
          <w:tcPr>
            <w:tcW w:w="573" w:type="dxa"/>
            <w:tcBorders>
              <w:top w:val="nil"/>
              <w:left w:val="single" w:sz="8" w:space="0" w:color="000000"/>
              <w:bottom w:val="nil"/>
              <w:right w:val="single" w:sz="8" w:space="0" w:color="000000"/>
            </w:tcBorders>
            <w:shd w:val="clear" w:color="auto" w:fill="auto"/>
            <w:tcMar>
              <w:top w:w="13" w:type="dxa"/>
              <w:left w:w="117" w:type="dxa"/>
              <w:bottom w:w="0" w:type="dxa"/>
              <w:right w:w="13" w:type="dxa"/>
            </w:tcMar>
            <w:hideMark/>
          </w:tcPr>
          <w:p w14:paraId="59347EF7" w14:textId="77777777" w:rsidR="00963BD0" w:rsidRPr="00A635B2" w:rsidRDefault="00963BD0" w:rsidP="00963BD0">
            <w:pPr>
              <w:spacing w:after="0"/>
              <w:rPr>
                <w:rFonts w:ascii="Arial" w:eastAsia="Times New Roman" w:hAnsi="Arial" w:cs="Arial"/>
                <w:sz w:val="18"/>
                <w:szCs w:val="18"/>
                <w:lang w:eastAsia="es-MX"/>
              </w:rPr>
            </w:pPr>
            <w:r w:rsidRPr="00A635B2">
              <w:rPr>
                <w:rFonts w:ascii="Arial" w:eastAsia="Times New Roman" w:hAnsi="Arial" w:cs="Arial"/>
                <w:sz w:val="18"/>
                <w:szCs w:val="18"/>
                <w:lang w:eastAsia="es-MX"/>
              </w:rPr>
              <w:t>AF</w:t>
            </w:r>
          </w:p>
        </w:tc>
        <w:tc>
          <w:tcPr>
            <w:tcW w:w="2197"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4DF7B70D" w14:textId="77777777" w:rsidR="00963BD0" w:rsidRPr="00A635B2" w:rsidRDefault="00963BD0" w:rsidP="00963BD0">
            <w:pPr>
              <w:spacing w:after="0"/>
              <w:rPr>
                <w:rFonts w:ascii="Arial" w:eastAsia="Times New Roman" w:hAnsi="Arial" w:cs="Arial"/>
                <w:sz w:val="18"/>
                <w:szCs w:val="18"/>
                <w:lang w:eastAsia="es-MX"/>
              </w:rPr>
            </w:pPr>
            <w:r w:rsidRPr="00A635B2">
              <w:rPr>
                <w:rFonts w:ascii="Arial" w:eastAsia="Times New Roman" w:hAnsi="Arial" w:cs="Arial"/>
                <w:sz w:val="18"/>
                <w:szCs w:val="18"/>
                <w:lang w:eastAsia="es-MX"/>
              </w:rPr>
              <w:t>Activos Financieros</w:t>
            </w:r>
          </w:p>
        </w:tc>
        <w:tc>
          <w:tcPr>
            <w:tcW w:w="1200"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33364816"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 xml:space="preserve">    1.8</w:t>
            </w:r>
          </w:p>
        </w:tc>
        <w:tc>
          <w:tcPr>
            <w:tcW w:w="1165"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44785014"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 xml:space="preserve">    4.0</w:t>
            </w:r>
          </w:p>
        </w:tc>
        <w:tc>
          <w:tcPr>
            <w:tcW w:w="969"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56A4F22B"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 xml:space="preserve">   2.5</w:t>
            </w:r>
          </w:p>
        </w:tc>
        <w:tc>
          <w:tcPr>
            <w:tcW w:w="960"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10EB52D6" w14:textId="77777777" w:rsidR="00963BD0" w:rsidRPr="00A635B2" w:rsidRDefault="00963BD0" w:rsidP="000610A0">
            <w:pPr>
              <w:spacing w:after="0"/>
              <w:ind w:right="105"/>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 xml:space="preserve"> </w:t>
            </w:r>
            <w:r w:rsidR="00AC168E">
              <w:rPr>
                <w:rFonts w:ascii="Arial" w:eastAsia="Times New Roman" w:hAnsi="Arial" w:cs="Arial"/>
                <w:sz w:val="18"/>
                <w:szCs w:val="18"/>
                <w:lang w:eastAsia="es-MX"/>
              </w:rPr>
              <w:t>(</w:t>
            </w:r>
            <w:r w:rsidR="00AC168E">
              <w:rPr>
                <w:rFonts w:ascii="Arial" w:eastAsia="Times New Roman" w:hAnsi="Arial" w:cs="Arial"/>
                <w:sz w:val="18"/>
                <w:szCs w:val="18"/>
                <w:lang w:eastAsia="es-MX"/>
              </w:rPr>
              <w:noBreakHyphen/>
              <w:t>)</w:t>
            </w:r>
            <w:r w:rsidRPr="00A635B2">
              <w:rPr>
                <w:rFonts w:ascii="Arial" w:eastAsia="Times New Roman" w:hAnsi="Arial" w:cs="Arial"/>
                <w:sz w:val="18"/>
                <w:szCs w:val="18"/>
                <w:lang w:eastAsia="es-MX"/>
              </w:rPr>
              <w:t>1.6</w:t>
            </w:r>
          </w:p>
        </w:tc>
        <w:tc>
          <w:tcPr>
            <w:tcW w:w="875"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2ED58ED8"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0.0</w:t>
            </w:r>
          </w:p>
        </w:tc>
        <w:tc>
          <w:tcPr>
            <w:tcW w:w="1202"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51D5C9A9"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 xml:space="preserve">   6.7</w:t>
            </w:r>
          </w:p>
        </w:tc>
        <w:tc>
          <w:tcPr>
            <w:tcW w:w="955"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11A64664"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 xml:space="preserve">    3.2</w:t>
            </w:r>
          </w:p>
        </w:tc>
        <w:tc>
          <w:tcPr>
            <w:tcW w:w="857"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32E736AE"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 xml:space="preserve">  10.0</w:t>
            </w:r>
          </w:p>
        </w:tc>
      </w:tr>
      <w:tr w:rsidR="00963BD0" w:rsidRPr="00A635B2" w14:paraId="06B08D9F" w14:textId="77777777" w:rsidTr="00834B18">
        <w:trPr>
          <w:trHeight w:val="260"/>
        </w:trPr>
        <w:tc>
          <w:tcPr>
            <w:tcW w:w="573" w:type="dxa"/>
            <w:tcBorders>
              <w:top w:val="nil"/>
              <w:left w:val="single" w:sz="8" w:space="0" w:color="000000"/>
              <w:bottom w:val="nil"/>
              <w:right w:val="single" w:sz="8" w:space="0" w:color="000000"/>
            </w:tcBorders>
            <w:shd w:val="clear" w:color="auto" w:fill="auto"/>
            <w:tcMar>
              <w:top w:w="13" w:type="dxa"/>
              <w:left w:w="117" w:type="dxa"/>
              <w:bottom w:w="0" w:type="dxa"/>
              <w:right w:w="13" w:type="dxa"/>
            </w:tcMar>
            <w:hideMark/>
          </w:tcPr>
          <w:p w14:paraId="344F5D51" w14:textId="77777777" w:rsidR="00963BD0" w:rsidRPr="00A635B2" w:rsidRDefault="00963BD0" w:rsidP="00963BD0">
            <w:pPr>
              <w:spacing w:after="0"/>
              <w:rPr>
                <w:rFonts w:ascii="Arial" w:eastAsia="Times New Roman" w:hAnsi="Arial" w:cs="Arial"/>
                <w:sz w:val="18"/>
                <w:szCs w:val="18"/>
                <w:lang w:eastAsia="es-MX"/>
              </w:rPr>
            </w:pPr>
            <w:r w:rsidRPr="00A635B2">
              <w:rPr>
                <w:rFonts w:ascii="Arial" w:eastAsia="Times New Roman" w:hAnsi="Arial" w:cs="Arial"/>
                <w:sz w:val="18"/>
                <w:szCs w:val="18"/>
                <w:lang w:eastAsia="es-MX"/>
              </w:rPr>
              <w:t>P</w:t>
            </w:r>
          </w:p>
        </w:tc>
        <w:tc>
          <w:tcPr>
            <w:tcW w:w="2197"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63BBC404" w14:textId="77777777" w:rsidR="00963BD0" w:rsidRPr="00A635B2" w:rsidRDefault="00963BD0" w:rsidP="00963BD0">
            <w:pPr>
              <w:spacing w:after="0"/>
              <w:rPr>
                <w:rFonts w:ascii="Arial" w:eastAsia="Times New Roman" w:hAnsi="Arial" w:cs="Arial"/>
                <w:sz w:val="18"/>
                <w:szCs w:val="18"/>
                <w:lang w:eastAsia="es-MX"/>
              </w:rPr>
            </w:pPr>
            <w:r w:rsidRPr="00A635B2">
              <w:rPr>
                <w:rFonts w:ascii="Arial" w:eastAsia="Times New Roman" w:hAnsi="Arial" w:cs="Arial"/>
                <w:sz w:val="18"/>
                <w:szCs w:val="18"/>
                <w:lang w:eastAsia="es-MX"/>
              </w:rPr>
              <w:t>Pasivos</w:t>
            </w:r>
          </w:p>
        </w:tc>
        <w:tc>
          <w:tcPr>
            <w:tcW w:w="1200"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355BB441" w14:textId="77777777" w:rsidR="00963BD0" w:rsidRPr="00A635B2" w:rsidRDefault="00963BD0" w:rsidP="00AC168E">
            <w:pPr>
              <w:spacing w:after="0"/>
              <w:ind w:right="171"/>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 xml:space="preserve">  </w:t>
            </w:r>
            <w:r w:rsidR="00AC168E">
              <w:rPr>
                <w:rFonts w:ascii="Arial" w:eastAsia="Times New Roman" w:hAnsi="Arial" w:cs="Arial"/>
                <w:sz w:val="18"/>
                <w:szCs w:val="18"/>
                <w:lang w:eastAsia="es-MX"/>
              </w:rPr>
              <w:t xml:space="preserve"> </w:t>
            </w:r>
            <w:r w:rsidRPr="00A635B2">
              <w:rPr>
                <w:rFonts w:ascii="Arial" w:eastAsia="Times New Roman" w:hAnsi="Arial" w:cs="Arial"/>
                <w:sz w:val="18"/>
                <w:szCs w:val="18"/>
                <w:lang w:eastAsia="es-MX"/>
              </w:rPr>
              <w:t xml:space="preserve"> </w:t>
            </w:r>
            <w:r w:rsidR="00AC168E">
              <w:rPr>
                <w:rFonts w:ascii="Arial" w:eastAsia="Times New Roman" w:hAnsi="Arial" w:cs="Arial"/>
                <w:sz w:val="18"/>
                <w:szCs w:val="18"/>
                <w:lang w:eastAsia="es-MX"/>
              </w:rPr>
              <w:t>(</w:t>
            </w:r>
            <w:r w:rsidR="00AC168E">
              <w:rPr>
                <w:rFonts w:ascii="Arial" w:eastAsia="Times New Roman" w:hAnsi="Arial" w:cs="Arial"/>
                <w:sz w:val="18"/>
                <w:szCs w:val="18"/>
                <w:lang w:eastAsia="es-MX"/>
              </w:rPr>
              <w:noBreakHyphen/>
              <w:t>)</w:t>
            </w:r>
            <w:r w:rsidRPr="00A635B2">
              <w:rPr>
                <w:rFonts w:ascii="Arial" w:eastAsia="Times New Roman" w:hAnsi="Arial" w:cs="Arial"/>
                <w:sz w:val="18"/>
                <w:szCs w:val="18"/>
                <w:lang w:eastAsia="es-MX"/>
              </w:rPr>
              <w:t>2.4</w:t>
            </w:r>
          </w:p>
        </w:tc>
        <w:tc>
          <w:tcPr>
            <w:tcW w:w="1165"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1A1F038C" w14:textId="77777777" w:rsidR="00963BD0" w:rsidRPr="00A635B2" w:rsidRDefault="00963BD0" w:rsidP="00AC168E">
            <w:pPr>
              <w:spacing w:after="0"/>
              <w:ind w:right="131"/>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 xml:space="preserve">     </w:t>
            </w:r>
            <w:r w:rsidR="00AC168E">
              <w:rPr>
                <w:rFonts w:ascii="Arial" w:eastAsia="Times New Roman" w:hAnsi="Arial" w:cs="Arial"/>
                <w:sz w:val="18"/>
                <w:szCs w:val="18"/>
                <w:lang w:eastAsia="es-MX"/>
              </w:rPr>
              <w:t xml:space="preserve">  </w:t>
            </w:r>
            <w:r w:rsidRPr="00A635B2">
              <w:rPr>
                <w:rFonts w:ascii="Arial" w:eastAsia="Times New Roman" w:hAnsi="Arial" w:cs="Arial"/>
                <w:sz w:val="18"/>
                <w:szCs w:val="18"/>
                <w:lang w:eastAsia="es-MX"/>
              </w:rPr>
              <w:t>3.1</w:t>
            </w:r>
          </w:p>
        </w:tc>
        <w:tc>
          <w:tcPr>
            <w:tcW w:w="969"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32D7D4D9"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 xml:space="preserve">   7.6</w:t>
            </w:r>
          </w:p>
        </w:tc>
        <w:tc>
          <w:tcPr>
            <w:tcW w:w="960"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1D0D4B25"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 xml:space="preserve">  1.7</w:t>
            </w:r>
          </w:p>
        </w:tc>
        <w:tc>
          <w:tcPr>
            <w:tcW w:w="875"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22089AC4" w14:textId="77777777" w:rsidR="00963BD0" w:rsidRPr="00A635B2" w:rsidRDefault="00AC168E" w:rsidP="00AC168E">
            <w:pPr>
              <w:spacing w:after="0"/>
              <w:ind w:right="170"/>
              <w:jc w:val="center"/>
              <w:rPr>
                <w:rFonts w:ascii="Arial" w:eastAsia="Times New Roman" w:hAnsi="Arial" w:cs="Arial"/>
                <w:sz w:val="18"/>
                <w:szCs w:val="18"/>
                <w:lang w:eastAsia="es-MX"/>
              </w:rPr>
            </w:pPr>
            <w:r>
              <w:rPr>
                <w:rFonts w:ascii="Arial" w:eastAsia="Times New Roman" w:hAnsi="Arial" w:cs="Arial"/>
                <w:sz w:val="18"/>
                <w:szCs w:val="18"/>
                <w:lang w:eastAsia="es-MX"/>
              </w:rPr>
              <w:t>(</w:t>
            </w:r>
            <w:r>
              <w:rPr>
                <w:rFonts w:ascii="Arial" w:eastAsia="Times New Roman" w:hAnsi="Arial" w:cs="Arial"/>
                <w:sz w:val="18"/>
                <w:szCs w:val="18"/>
                <w:lang w:eastAsia="es-MX"/>
              </w:rPr>
              <w:noBreakHyphen/>
              <w:t>)</w:t>
            </w:r>
            <w:r w:rsidR="00963BD0" w:rsidRPr="00A635B2">
              <w:rPr>
                <w:rFonts w:ascii="Arial" w:eastAsia="Times New Roman" w:hAnsi="Arial" w:cs="Arial"/>
                <w:sz w:val="18"/>
                <w:szCs w:val="18"/>
                <w:lang w:eastAsia="es-MX"/>
              </w:rPr>
              <w:t>0.9</w:t>
            </w:r>
          </w:p>
        </w:tc>
        <w:tc>
          <w:tcPr>
            <w:tcW w:w="1202"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3F262041" w14:textId="77777777" w:rsidR="00963BD0" w:rsidRPr="00A635B2" w:rsidRDefault="00963BD0" w:rsidP="00AC168E">
            <w:pPr>
              <w:spacing w:after="0"/>
              <w:ind w:right="91"/>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 xml:space="preserve">   </w:t>
            </w:r>
            <w:r w:rsidR="00AC168E">
              <w:rPr>
                <w:rFonts w:ascii="Arial" w:eastAsia="Times New Roman" w:hAnsi="Arial" w:cs="Arial"/>
                <w:sz w:val="18"/>
                <w:szCs w:val="18"/>
                <w:lang w:eastAsia="es-MX"/>
              </w:rPr>
              <w:t xml:space="preserve"> </w:t>
            </w:r>
            <w:r w:rsidRPr="00A635B2">
              <w:rPr>
                <w:rFonts w:ascii="Arial" w:eastAsia="Times New Roman" w:hAnsi="Arial" w:cs="Arial"/>
                <w:sz w:val="18"/>
                <w:szCs w:val="18"/>
                <w:lang w:eastAsia="es-MX"/>
              </w:rPr>
              <w:t xml:space="preserve"> 9.1</w:t>
            </w:r>
          </w:p>
        </w:tc>
        <w:tc>
          <w:tcPr>
            <w:tcW w:w="955"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34B0294B" w14:textId="77777777" w:rsidR="00963BD0" w:rsidRPr="00A635B2" w:rsidRDefault="00963BD0" w:rsidP="00AC168E">
            <w:pPr>
              <w:spacing w:after="0"/>
              <w:ind w:right="62"/>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 xml:space="preserve">  </w:t>
            </w:r>
            <w:r w:rsidR="00AC168E">
              <w:rPr>
                <w:rFonts w:ascii="Arial" w:eastAsia="Times New Roman" w:hAnsi="Arial" w:cs="Arial"/>
                <w:sz w:val="18"/>
                <w:szCs w:val="18"/>
                <w:lang w:eastAsia="es-MX"/>
              </w:rPr>
              <w:t>(</w:t>
            </w:r>
            <w:r w:rsidR="00AC168E">
              <w:rPr>
                <w:rFonts w:ascii="Arial" w:eastAsia="Times New Roman" w:hAnsi="Arial" w:cs="Arial"/>
                <w:sz w:val="18"/>
                <w:szCs w:val="18"/>
                <w:lang w:eastAsia="es-MX"/>
              </w:rPr>
              <w:noBreakHyphen/>
              <w:t>)</w:t>
            </w:r>
            <w:r w:rsidRPr="00A635B2">
              <w:rPr>
                <w:rFonts w:ascii="Arial" w:eastAsia="Times New Roman" w:hAnsi="Arial" w:cs="Arial"/>
                <w:sz w:val="18"/>
                <w:szCs w:val="18"/>
                <w:lang w:eastAsia="es-MX"/>
              </w:rPr>
              <w:t>1.8</w:t>
            </w:r>
          </w:p>
        </w:tc>
        <w:tc>
          <w:tcPr>
            <w:tcW w:w="857"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652CE741"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 xml:space="preserve">  10.0</w:t>
            </w:r>
          </w:p>
        </w:tc>
      </w:tr>
      <w:tr w:rsidR="00963BD0" w:rsidRPr="00A635B2" w14:paraId="0F644D21" w14:textId="77777777" w:rsidTr="00834B18">
        <w:trPr>
          <w:trHeight w:val="260"/>
        </w:trPr>
        <w:tc>
          <w:tcPr>
            <w:tcW w:w="573" w:type="dxa"/>
            <w:tcBorders>
              <w:top w:val="nil"/>
              <w:left w:val="single" w:sz="8" w:space="0" w:color="000000"/>
              <w:bottom w:val="nil"/>
              <w:right w:val="single" w:sz="8" w:space="0" w:color="000000"/>
            </w:tcBorders>
            <w:shd w:val="clear" w:color="auto" w:fill="auto"/>
            <w:tcMar>
              <w:top w:w="13" w:type="dxa"/>
              <w:left w:w="117" w:type="dxa"/>
              <w:bottom w:w="0" w:type="dxa"/>
              <w:right w:w="13" w:type="dxa"/>
            </w:tcMar>
            <w:hideMark/>
          </w:tcPr>
          <w:p w14:paraId="3E35BA8B" w14:textId="77777777" w:rsidR="00963BD0" w:rsidRPr="00A635B2" w:rsidRDefault="00963BD0" w:rsidP="00963BD0">
            <w:pPr>
              <w:spacing w:after="0"/>
              <w:rPr>
                <w:rFonts w:ascii="Arial" w:eastAsia="Times New Roman" w:hAnsi="Arial" w:cs="Arial"/>
                <w:sz w:val="18"/>
                <w:szCs w:val="18"/>
                <w:lang w:eastAsia="es-MX"/>
              </w:rPr>
            </w:pPr>
            <w:r w:rsidRPr="00A635B2">
              <w:rPr>
                <w:rFonts w:ascii="Arial" w:eastAsia="Times New Roman" w:hAnsi="Arial" w:cs="Arial"/>
                <w:sz w:val="18"/>
                <w:szCs w:val="18"/>
                <w:lang w:eastAsia="es-MX"/>
              </w:rPr>
              <w:t>De</w:t>
            </w:r>
          </w:p>
        </w:tc>
        <w:tc>
          <w:tcPr>
            <w:tcW w:w="2197"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2E423FAA" w14:textId="77777777" w:rsidR="00963BD0" w:rsidRPr="00A635B2" w:rsidRDefault="00963BD0" w:rsidP="00963BD0">
            <w:pPr>
              <w:spacing w:after="0"/>
              <w:rPr>
                <w:rFonts w:ascii="Arial" w:eastAsia="Times New Roman" w:hAnsi="Arial" w:cs="Arial"/>
                <w:sz w:val="18"/>
                <w:szCs w:val="18"/>
                <w:lang w:eastAsia="es-MX"/>
              </w:rPr>
            </w:pPr>
            <w:r w:rsidRPr="00A635B2">
              <w:rPr>
                <w:rFonts w:ascii="Arial" w:eastAsia="Times New Roman" w:hAnsi="Arial" w:cs="Arial"/>
                <w:sz w:val="18"/>
                <w:szCs w:val="18"/>
                <w:lang w:eastAsia="es-MX"/>
              </w:rPr>
              <w:t xml:space="preserve">Discrepancia estadística </w:t>
            </w:r>
          </w:p>
        </w:tc>
        <w:tc>
          <w:tcPr>
            <w:tcW w:w="1200"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3E911614"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 </w:t>
            </w:r>
          </w:p>
        </w:tc>
        <w:tc>
          <w:tcPr>
            <w:tcW w:w="1165"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5F08D561"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 </w:t>
            </w:r>
          </w:p>
        </w:tc>
        <w:tc>
          <w:tcPr>
            <w:tcW w:w="969"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70EEDB74"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 </w:t>
            </w:r>
          </w:p>
        </w:tc>
        <w:tc>
          <w:tcPr>
            <w:tcW w:w="960"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1665DC97"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 </w:t>
            </w:r>
          </w:p>
        </w:tc>
        <w:tc>
          <w:tcPr>
            <w:tcW w:w="875"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5CCC529D"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 </w:t>
            </w:r>
          </w:p>
        </w:tc>
        <w:tc>
          <w:tcPr>
            <w:tcW w:w="1202"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258A2EFF"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 </w:t>
            </w:r>
          </w:p>
        </w:tc>
        <w:tc>
          <w:tcPr>
            <w:tcW w:w="955"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4139BDEF"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 </w:t>
            </w:r>
          </w:p>
        </w:tc>
        <w:tc>
          <w:tcPr>
            <w:tcW w:w="857"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5F3856BC"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 xml:space="preserve">    2.7</w:t>
            </w:r>
          </w:p>
        </w:tc>
      </w:tr>
      <w:tr w:rsidR="00963BD0" w:rsidRPr="00A635B2" w14:paraId="32D979C4" w14:textId="77777777" w:rsidTr="00834B18">
        <w:trPr>
          <w:trHeight w:val="260"/>
        </w:trPr>
        <w:tc>
          <w:tcPr>
            <w:tcW w:w="573" w:type="dxa"/>
            <w:tcBorders>
              <w:top w:val="nil"/>
              <w:left w:val="single" w:sz="8" w:space="0" w:color="000000"/>
              <w:bottom w:val="nil"/>
              <w:right w:val="single" w:sz="8" w:space="0" w:color="000000"/>
            </w:tcBorders>
            <w:shd w:val="clear" w:color="auto" w:fill="FDE9D9" w:themeFill="accent6" w:themeFillTint="33"/>
            <w:tcMar>
              <w:top w:w="13" w:type="dxa"/>
              <w:left w:w="117" w:type="dxa"/>
              <w:bottom w:w="0" w:type="dxa"/>
              <w:right w:w="13" w:type="dxa"/>
            </w:tcMar>
            <w:vAlign w:val="bottom"/>
            <w:hideMark/>
          </w:tcPr>
          <w:p w14:paraId="15EFB4DF" w14:textId="77777777" w:rsidR="00963BD0" w:rsidRPr="00A635B2" w:rsidRDefault="00963BD0" w:rsidP="00963BD0">
            <w:pPr>
              <w:spacing w:after="0"/>
              <w:rPr>
                <w:rFonts w:ascii="Arial" w:eastAsia="Times New Roman" w:hAnsi="Arial" w:cs="Arial"/>
                <w:sz w:val="18"/>
                <w:szCs w:val="18"/>
                <w:lang w:eastAsia="es-MX"/>
              </w:rPr>
            </w:pPr>
            <w:r w:rsidRPr="00A635B2">
              <w:rPr>
                <w:rFonts w:ascii="Arial" w:eastAsia="Times New Roman" w:hAnsi="Arial" w:cs="Arial"/>
                <w:sz w:val="18"/>
                <w:szCs w:val="18"/>
                <w:lang w:eastAsia="es-MX"/>
              </w:rPr>
              <w:t>VN</w:t>
            </w:r>
          </w:p>
        </w:tc>
        <w:tc>
          <w:tcPr>
            <w:tcW w:w="2197" w:type="dxa"/>
            <w:tcBorders>
              <w:top w:val="nil"/>
              <w:left w:val="single" w:sz="8" w:space="0" w:color="000000"/>
              <w:bottom w:val="nil"/>
              <w:right w:val="single" w:sz="8" w:space="0" w:color="000000"/>
            </w:tcBorders>
            <w:shd w:val="clear" w:color="auto" w:fill="FDE9D9" w:themeFill="accent6" w:themeFillTint="33"/>
            <w:tcMar>
              <w:top w:w="13" w:type="dxa"/>
              <w:left w:w="13" w:type="dxa"/>
              <w:bottom w:w="0" w:type="dxa"/>
              <w:right w:w="13" w:type="dxa"/>
            </w:tcMar>
            <w:vAlign w:val="bottom"/>
            <w:hideMark/>
          </w:tcPr>
          <w:p w14:paraId="27FA863C" w14:textId="77777777" w:rsidR="00963BD0" w:rsidRPr="00A635B2" w:rsidRDefault="00963BD0" w:rsidP="00963BD0">
            <w:pPr>
              <w:spacing w:after="0"/>
              <w:rPr>
                <w:rFonts w:ascii="Arial" w:eastAsia="Times New Roman" w:hAnsi="Arial" w:cs="Arial"/>
                <w:sz w:val="18"/>
                <w:szCs w:val="18"/>
                <w:lang w:eastAsia="es-MX"/>
              </w:rPr>
            </w:pPr>
            <w:r w:rsidRPr="00A635B2">
              <w:rPr>
                <w:rFonts w:ascii="Arial" w:eastAsia="Times New Roman" w:hAnsi="Arial" w:cs="Arial"/>
                <w:sz w:val="18"/>
                <w:szCs w:val="18"/>
                <w:lang w:eastAsia="es-MX"/>
              </w:rPr>
              <w:t>Variaciones del Valor Neto</w:t>
            </w:r>
          </w:p>
        </w:tc>
        <w:tc>
          <w:tcPr>
            <w:tcW w:w="1200" w:type="dxa"/>
            <w:tcBorders>
              <w:top w:val="nil"/>
              <w:left w:val="single" w:sz="8" w:space="0" w:color="000000"/>
              <w:bottom w:val="nil"/>
              <w:right w:val="single" w:sz="8" w:space="0" w:color="000000"/>
            </w:tcBorders>
            <w:shd w:val="clear" w:color="auto" w:fill="FDE9D9" w:themeFill="accent6" w:themeFillTint="33"/>
            <w:tcMar>
              <w:top w:w="13" w:type="dxa"/>
              <w:left w:w="13" w:type="dxa"/>
              <w:bottom w:w="0" w:type="dxa"/>
              <w:right w:w="13" w:type="dxa"/>
            </w:tcMar>
            <w:vAlign w:val="bottom"/>
            <w:hideMark/>
          </w:tcPr>
          <w:p w14:paraId="50FC809D"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 xml:space="preserve">  35.2</w:t>
            </w:r>
          </w:p>
        </w:tc>
        <w:tc>
          <w:tcPr>
            <w:tcW w:w="1165" w:type="dxa"/>
            <w:tcBorders>
              <w:top w:val="nil"/>
              <w:left w:val="single" w:sz="8" w:space="0" w:color="000000"/>
              <w:bottom w:val="nil"/>
              <w:right w:val="single" w:sz="8" w:space="0" w:color="000000"/>
            </w:tcBorders>
            <w:shd w:val="clear" w:color="auto" w:fill="FDE9D9" w:themeFill="accent6" w:themeFillTint="33"/>
            <w:tcMar>
              <w:top w:w="13" w:type="dxa"/>
              <w:left w:w="13" w:type="dxa"/>
              <w:bottom w:w="0" w:type="dxa"/>
              <w:right w:w="13" w:type="dxa"/>
            </w:tcMar>
            <w:vAlign w:val="bottom"/>
            <w:hideMark/>
          </w:tcPr>
          <w:p w14:paraId="01DEF88E"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 xml:space="preserve">    1.2</w:t>
            </w:r>
          </w:p>
        </w:tc>
        <w:tc>
          <w:tcPr>
            <w:tcW w:w="969" w:type="dxa"/>
            <w:tcBorders>
              <w:top w:val="nil"/>
              <w:left w:val="single" w:sz="8" w:space="0" w:color="000000"/>
              <w:bottom w:val="nil"/>
              <w:right w:val="single" w:sz="8" w:space="0" w:color="000000"/>
            </w:tcBorders>
            <w:shd w:val="clear" w:color="auto" w:fill="FDE9D9" w:themeFill="accent6" w:themeFillTint="33"/>
            <w:tcMar>
              <w:top w:w="13" w:type="dxa"/>
              <w:left w:w="13" w:type="dxa"/>
              <w:bottom w:w="0" w:type="dxa"/>
              <w:right w:w="13" w:type="dxa"/>
            </w:tcMar>
            <w:vAlign w:val="bottom"/>
            <w:hideMark/>
          </w:tcPr>
          <w:p w14:paraId="61F21A2E"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 xml:space="preserve">  7.4</w:t>
            </w:r>
          </w:p>
        </w:tc>
        <w:tc>
          <w:tcPr>
            <w:tcW w:w="960" w:type="dxa"/>
            <w:tcBorders>
              <w:top w:val="nil"/>
              <w:left w:val="single" w:sz="8" w:space="0" w:color="000000"/>
              <w:bottom w:val="nil"/>
              <w:right w:val="single" w:sz="8" w:space="0" w:color="000000"/>
            </w:tcBorders>
            <w:shd w:val="clear" w:color="auto" w:fill="FDE9D9" w:themeFill="accent6" w:themeFillTint="33"/>
            <w:tcMar>
              <w:top w:w="13" w:type="dxa"/>
              <w:left w:w="13" w:type="dxa"/>
              <w:bottom w:w="0" w:type="dxa"/>
              <w:right w:w="13" w:type="dxa"/>
            </w:tcMar>
            <w:vAlign w:val="bottom"/>
            <w:hideMark/>
          </w:tcPr>
          <w:p w14:paraId="1FE33234"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22.3</w:t>
            </w:r>
          </w:p>
        </w:tc>
        <w:tc>
          <w:tcPr>
            <w:tcW w:w="875" w:type="dxa"/>
            <w:tcBorders>
              <w:top w:val="nil"/>
              <w:left w:val="single" w:sz="8" w:space="0" w:color="000000"/>
              <w:bottom w:val="nil"/>
              <w:right w:val="single" w:sz="8" w:space="0" w:color="000000"/>
            </w:tcBorders>
            <w:shd w:val="clear" w:color="auto" w:fill="FDE9D9" w:themeFill="accent6" w:themeFillTint="33"/>
            <w:tcMar>
              <w:top w:w="13" w:type="dxa"/>
              <w:left w:w="13" w:type="dxa"/>
              <w:bottom w:w="0" w:type="dxa"/>
              <w:right w:w="13" w:type="dxa"/>
            </w:tcMar>
            <w:vAlign w:val="bottom"/>
            <w:hideMark/>
          </w:tcPr>
          <w:p w14:paraId="6A09B70D"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1.2</w:t>
            </w:r>
          </w:p>
        </w:tc>
        <w:tc>
          <w:tcPr>
            <w:tcW w:w="1202" w:type="dxa"/>
            <w:tcBorders>
              <w:top w:val="nil"/>
              <w:left w:val="single" w:sz="8" w:space="0" w:color="000000"/>
              <w:bottom w:val="nil"/>
              <w:right w:val="single" w:sz="8" w:space="0" w:color="000000"/>
            </w:tcBorders>
            <w:shd w:val="clear" w:color="auto" w:fill="FDE9D9" w:themeFill="accent6" w:themeFillTint="33"/>
            <w:tcMar>
              <w:top w:w="13" w:type="dxa"/>
              <w:left w:w="13" w:type="dxa"/>
              <w:bottom w:w="0" w:type="dxa"/>
              <w:right w:w="13" w:type="dxa"/>
            </w:tcMar>
            <w:vAlign w:val="bottom"/>
            <w:hideMark/>
          </w:tcPr>
          <w:p w14:paraId="11C0567A"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 xml:space="preserve">  67.2</w:t>
            </w:r>
          </w:p>
        </w:tc>
        <w:tc>
          <w:tcPr>
            <w:tcW w:w="955" w:type="dxa"/>
            <w:tcBorders>
              <w:top w:val="nil"/>
              <w:left w:val="single" w:sz="8" w:space="0" w:color="000000"/>
              <w:bottom w:val="nil"/>
              <w:right w:val="single" w:sz="8" w:space="0" w:color="000000"/>
            </w:tcBorders>
            <w:shd w:val="clear" w:color="auto" w:fill="FDE9D9" w:themeFill="accent6" w:themeFillTint="33"/>
            <w:tcMar>
              <w:top w:w="13" w:type="dxa"/>
              <w:left w:w="13" w:type="dxa"/>
              <w:bottom w:w="0" w:type="dxa"/>
              <w:right w:w="13" w:type="dxa"/>
            </w:tcMar>
            <w:vAlign w:val="bottom"/>
            <w:hideMark/>
          </w:tcPr>
          <w:p w14:paraId="1AC23740"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 xml:space="preserve">    5.0</w:t>
            </w:r>
          </w:p>
        </w:tc>
        <w:tc>
          <w:tcPr>
            <w:tcW w:w="857" w:type="dxa"/>
            <w:tcBorders>
              <w:top w:val="nil"/>
              <w:left w:val="single" w:sz="8" w:space="0" w:color="000000"/>
              <w:bottom w:val="nil"/>
              <w:right w:val="single" w:sz="8" w:space="0" w:color="000000"/>
            </w:tcBorders>
            <w:shd w:val="clear" w:color="auto" w:fill="FDE9D9" w:themeFill="accent6" w:themeFillTint="33"/>
            <w:tcMar>
              <w:top w:w="13" w:type="dxa"/>
              <w:left w:w="13" w:type="dxa"/>
              <w:bottom w:w="0" w:type="dxa"/>
              <w:right w:w="13" w:type="dxa"/>
            </w:tcMar>
            <w:vAlign w:val="bottom"/>
            <w:hideMark/>
          </w:tcPr>
          <w:p w14:paraId="27CE5D2E" w14:textId="049294AE" w:rsidR="00963BD0" w:rsidRPr="00A635B2" w:rsidRDefault="00963BD0" w:rsidP="001C1103">
            <w:pPr>
              <w:spacing w:after="0"/>
              <w:ind w:right="-121"/>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 xml:space="preserve">  69.5</w:t>
            </w:r>
          </w:p>
        </w:tc>
      </w:tr>
      <w:tr w:rsidR="00963BD0" w:rsidRPr="00A635B2" w14:paraId="144B9F5B" w14:textId="77777777" w:rsidTr="00834B18">
        <w:trPr>
          <w:trHeight w:val="260"/>
        </w:trPr>
        <w:tc>
          <w:tcPr>
            <w:tcW w:w="573" w:type="dxa"/>
            <w:tcBorders>
              <w:top w:val="nil"/>
              <w:left w:val="single" w:sz="8" w:space="0" w:color="000000"/>
              <w:bottom w:val="nil"/>
              <w:right w:val="single" w:sz="8" w:space="0" w:color="000000"/>
            </w:tcBorders>
            <w:shd w:val="clear" w:color="auto" w:fill="auto"/>
            <w:tcMar>
              <w:top w:w="13" w:type="dxa"/>
              <w:left w:w="117" w:type="dxa"/>
              <w:bottom w:w="0" w:type="dxa"/>
              <w:right w:w="13" w:type="dxa"/>
            </w:tcMar>
            <w:hideMark/>
          </w:tcPr>
          <w:p w14:paraId="5C2115B0" w14:textId="77777777" w:rsidR="00963BD0" w:rsidRPr="00A635B2" w:rsidRDefault="00963BD0" w:rsidP="00963BD0">
            <w:pPr>
              <w:spacing w:after="0"/>
              <w:rPr>
                <w:rFonts w:ascii="Arial" w:eastAsia="Times New Roman" w:hAnsi="Arial" w:cs="Arial"/>
                <w:sz w:val="18"/>
                <w:szCs w:val="18"/>
                <w:lang w:eastAsia="es-MX"/>
              </w:rPr>
            </w:pPr>
            <w:r w:rsidRPr="00A635B2">
              <w:rPr>
                <w:rFonts w:ascii="Arial" w:eastAsia="Times New Roman" w:hAnsi="Arial" w:cs="Arial"/>
                <w:sz w:val="18"/>
                <w:szCs w:val="18"/>
                <w:lang w:eastAsia="es-MX"/>
              </w:rPr>
              <w:t> </w:t>
            </w:r>
          </w:p>
        </w:tc>
        <w:tc>
          <w:tcPr>
            <w:tcW w:w="2197" w:type="dxa"/>
            <w:tcBorders>
              <w:top w:val="nil"/>
              <w:left w:val="single" w:sz="8" w:space="0" w:color="000000"/>
              <w:bottom w:val="nil"/>
              <w:right w:val="single" w:sz="8" w:space="0" w:color="000000"/>
            </w:tcBorders>
            <w:shd w:val="clear" w:color="auto" w:fill="auto"/>
            <w:tcMar>
              <w:top w:w="13" w:type="dxa"/>
              <w:left w:w="117" w:type="dxa"/>
              <w:bottom w:w="0" w:type="dxa"/>
              <w:right w:w="13" w:type="dxa"/>
            </w:tcMar>
            <w:hideMark/>
          </w:tcPr>
          <w:p w14:paraId="7C49F7B2" w14:textId="77777777" w:rsidR="00963BD0" w:rsidRPr="00A635B2" w:rsidRDefault="00963BD0" w:rsidP="00963BD0">
            <w:pPr>
              <w:spacing w:after="0"/>
              <w:rPr>
                <w:rFonts w:ascii="Arial" w:eastAsia="Times New Roman" w:hAnsi="Arial" w:cs="Arial"/>
                <w:sz w:val="18"/>
                <w:szCs w:val="18"/>
                <w:lang w:eastAsia="es-MX"/>
              </w:rPr>
            </w:pPr>
            <w:r w:rsidRPr="00A635B2">
              <w:rPr>
                <w:rFonts w:ascii="Arial" w:eastAsia="Times New Roman" w:hAnsi="Arial" w:cs="Arial"/>
                <w:sz w:val="18"/>
                <w:szCs w:val="18"/>
                <w:lang w:eastAsia="es-MX"/>
              </w:rPr>
              <w:t> </w:t>
            </w:r>
          </w:p>
        </w:tc>
        <w:tc>
          <w:tcPr>
            <w:tcW w:w="1200"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3CB0640C"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 </w:t>
            </w:r>
          </w:p>
        </w:tc>
        <w:tc>
          <w:tcPr>
            <w:tcW w:w="1165"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55FAE7EA"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 </w:t>
            </w:r>
          </w:p>
        </w:tc>
        <w:tc>
          <w:tcPr>
            <w:tcW w:w="969"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159FE7C2"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 </w:t>
            </w:r>
          </w:p>
        </w:tc>
        <w:tc>
          <w:tcPr>
            <w:tcW w:w="960"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328AB899"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 </w:t>
            </w:r>
          </w:p>
        </w:tc>
        <w:tc>
          <w:tcPr>
            <w:tcW w:w="875"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0ED88520"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 </w:t>
            </w:r>
          </w:p>
        </w:tc>
        <w:tc>
          <w:tcPr>
            <w:tcW w:w="1202"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2377D14D"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 </w:t>
            </w:r>
          </w:p>
        </w:tc>
        <w:tc>
          <w:tcPr>
            <w:tcW w:w="955"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46A5450C"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 </w:t>
            </w:r>
          </w:p>
        </w:tc>
        <w:tc>
          <w:tcPr>
            <w:tcW w:w="857"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4D56C18A"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 </w:t>
            </w:r>
          </w:p>
        </w:tc>
      </w:tr>
      <w:tr w:rsidR="00963BD0" w:rsidRPr="00A635B2" w14:paraId="5A333FD2" w14:textId="77777777" w:rsidTr="00834B18">
        <w:trPr>
          <w:trHeight w:val="260"/>
        </w:trPr>
        <w:tc>
          <w:tcPr>
            <w:tcW w:w="573" w:type="dxa"/>
            <w:tcBorders>
              <w:top w:val="nil"/>
              <w:left w:val="single" w:sz="8" w:space="0" w:color="000000"/>
              <w:bottom w:val="nil"/>
              <w:right w:val="single" w:sz="8" w:space="0" w:color="000000"/>
            </w:tcBorders>
            <w:shd w:val="clear" w:color="auto" w:fill="auto"/>
            <w:tcMar>
              <w:top w:w="13" w:type="dxa"/>
              <w:left w:w="117" w:type="dxa"/>
              <w:bottom w:w="0" w:type="dxa"/>
              <w:right w:w="13" w:type="dxa"/>
            </w:tcMar>
            <w:hideMark/>
          </w:tcPr>
          <w:p w14:paraId="342D1FD4" w14:textId="77777777" w:rsidR="00963BD0" w:rsidRPr="00A635B2" w:rsidRDefault="00963BD0" w:rsidP="00963BD0">
            <w:pPr>
              <w:spacing w:after="0"/>
              <w:rPr>
                <w:rFonts w:ascii="Arial" w:eastAsia="Times New Roman" w:hAnsi="Arial" w:cs="Arial"/>
                <w:sz w:val="18"/>
                <w:szCs w:val="18"/>
                <w:lang w:eastAsia="es-MX"/>
              </w:rPr>
            </w:pPr>
            <w:r w:rsidRPr="00A635B2">
              <w:rPr>
                <w:rFonts w:ascii="Arial" w:eastAsia="Times New Roman" w:hAnsi="Arial" w:cs="Arial"/>
                <w:sz w:val="18"/>
                <w:szCs w:val="18"/>
                <w:lang w:eastAsia="es-MX"/>
              </w:rPr>
              <w:t> </w:t>
            </w:r>
          </w:p>
        </w:tc>
        <w:tc>
          <w:tcPr>
            <w:tcW w:w="2197"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422AE394" w14:textId="77777777" w:rsidR="00963BD0" w:rsidRPr="00A635B2" w:rsidRDefault="00963BD0" w:rsidP="00963BD0">
            <w:pPr>
              <w:spacing w:after="0"/>
              <w:rPr>
                <w:rFonts w:ascii="Arial" w:eastAsia="Times New Roman" w:hAnsi="Arial" w:cs="Arial"/>
                <w:sz w:val="18"/>
                <w:szCs w:val="18"/>
                <w:lang w:eastAsia="es-MX"/>
              </w:rPr>
            </w:pPr>
            <w:r w:rsidRPr="00A635B2">
              <w:rPr>
                <w:rFonts w:ascii="Arial" w:eastAsia="Times New Roman" w:hAnsi="Arial" w:cs="Arial"/>
                <w:b/>
                <w:bCs/>
                <w:sz w:val="18"/>
                <w:szCs w:val="18"/>
                <w:lang w:eastAsia="es-MX"/>
              </w:rPr>
              <w:t>Balance de Cierre</w:t>
            </w:r>
          </w:p>
        </w:tc>
        <w:tc>
          <w:tcPr>
            <w:tcW w:w="1200"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02697D43"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 </w:t>
            </w:r>
          </w:p>
        </w:tc>
        <w:tc>
          <w:tcPr>
            <w:tcW w:w="1165"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23F7144F"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 </w:t>
            </w:r>
          </w:p>
        </w:tc>
        <w:tc>
          <w:tcPr>
            <w:tcW w:w="969"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58D2F18B"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 </w:t>
            </w:r>
          </w:p>
        </w:tc>
        <w:tc>
          <w:tcPr>
            <w:tcW w:w="960"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2F893FFB"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 </w:t>
            </w:r>
          </w:p>
        </w:tc>
        <w:tc>
          <w:tcPr>
            <w:tcW w:w="875"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3F685BE5"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 </w:t>
            </w:r>
          </w:p>
        </w:tc>
        <w:tc>
          <w:tcPr>
            <w:tcW w:w="1202"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219A469F"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 </w:t>
            </w:r>
          </w:p>
        </w:tc>
        <w:tc>
          <w:tcPr>
            <w:tcW w:w="955"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369400DA"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 </w:t>
            </w:r>
          </w:p>
        </w:tc>
        <w:tc>
          <w:tcPr>
            <w:tcW w:w="857"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66F182C9"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 </w:t>
            </w:r>
          </w:p>
        </w:tc>
      </w:tr>
      <w:tr w:rsidR="00963BD0" w:rsidRPr="00A635B2" w14:paraId="76739469" w14:textId="77777777" w:rsidTr="00834B18">
        <w:trPr>
          <w:trHeight w:val="260"/>
        </w:trPr>
        <w:tc>
          <w:tcPr>
            <w:tcW w:w="573" w:type="dxa"/>
            <w:tcBorders>
              <w:top w:val="nil"/>
              <w:left w:val="single" w:sz="8" w:space="0" w:color="000000"/>
              <w:bottom w:val="nil"/>
              <w:right w:val="single" w:sz="8" w:space="0" w:color="000000"/>
            </w:tcBorders>
            <w:shd w:val="clear" w:color="auto" w:fill="auto"/>
            <w:tcMar>
              <w:top w:w="13" w:type="dxa"/>
              <w:left w:w="117" w:type="dxa"/>
              <w:bottom w:w="0" w:type="dxa"/>
              <w:right w:w="13" w:type="dxa"/>
            </w:tcMar>
            <w:hideMark/>
          </w:tcPr>
          <w:p w14:paraId="7B243D38" w14:textId="77777777" w:rsidR="00963BD0" w:rsidRPr="00A635B2" w:rsidRDefault="00963BD0" w:rsidP="00963BD0">
            <w:pPr>
              <w:spacing w:after="0"/>
              <w:rPr>
                <w:rFonts w:ascii="Arial" w:eastAsia="Times New Roman" w:hAnsi="Arial" w:cs="Arial"/>
                <w:sz w:val="18"/>
                <w:szCs w:val="18"/>
                <w:lang w:eastAsia="es-MX"/>
              </w:rPr>
            </w:pPr>
            <w:r w:rsidRPr="00A635B2">
              <w:rPr>
                <w:rFonts w:ascii="Arial" w:eastAsia="Times New Roman" w:hAnsi="Arial" w:cs="Arial"/>
                <w:sz w:val="18"/>
                <w:szCs w:val="18"/>
                <w:lang w:eastAsia="es-MX"/>
              </w:rPr>
              <w:t>AN</w:t>
            </w:r>
          </w:p>
        </w:tc>
        <w:tc>
          <w:tcPr>
            <w:tcW w:w="2197"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384D76B2" w14:textId="77777777" w:rsidR="00963BD0" w:rsidRPr="00A635B2" w:rsidRDefault="00963BD0" w:rsidP="00963BD0">
            <w:pPr>
              <w:spacing w:after="0"/>
              <w:rPr>
                <w:rFonts w:ascii="Arial" w:eastAsia="Times New Roman" w:hAnsi="Arial" w:cs="Arial"/>
                <w:sz w:val="18"/>
                <w:szCs w:val="18"/>
                <w:lang w:eastAsia="es-MX"/>
              </w:rPr>
            </w:pPr>
            <w:r w:rsidRPr="00A635B2">
              <w:rPr>
                <w:rFonts w:ascii="Arial" w:eastAsia="Times New Roman" w:hAnsi="Arial" w:cs="Arial"/>
                <w:sz w:val="18"/>
                <w:szCs w:val="18"/>
                <w:lang w:eastAsia="es-MX"/>
              </w:rPr>
              <w:t>Activos No Financieros</w:t>
            </w:r>
          </w:p>
        </w:tc>
        <w:tc>
          <w:tcPr>
            <w:tcW w:w="1200"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0ECF4D21"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305.0</w:t>
            </w:r>
          </w:p>
        </w:tc>
        <w:tc>
          <w:tcPr>
            <w:tcW w:w="1165"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41CEA2E3"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 xml:space="preserve">    4.1</w:t>
            </w:r>
          </w:p>
        </w:tc>
        <w:tc>
          <w:tcPr>
            <w:tcW w:w="969"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2F4BA546"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113.7</w:t>
            </w:r>
          </w:p>
        </w:tc>
        <w:tc>
          <w:tcPr>
            <w:tcW w:w="960"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04103ADC"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182.3</w:t>
            </w:r>
          </w:p>
        </w:tc>
        <w:tc>
          <w:tcPr>
            <w:tcW w:w="875"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7DAEC7E2"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3.5</w:t>
            </w:r>
          </w:p>
        </w:tc>
        <w:tc>
          <w:tcPr>
            <w:tcW w:w="1202"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3537319F"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608.5</w:t>
            </w:r>
          </w:p>
        </w:tc>
        <w:tc>
          <w:tcPr>
            <w:tcW w:w="955"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217778CE"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 xml:space="preserve">    0.0</w:t>
            </w:r>
          </w:p>
        </w:tc>
        <w:tc>
          <w:tcPr>
            <w:tcW w:w="857"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7F623AB8"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608.5</w:t>
            </w:r>
          </w:p>
        </w:tc>
      </w:tr>
      <w:tr w:rsidR="00963BD0" w:rsidRPr="00A635B2" w14:paraId="4D07AA72" w14:textId="77777777" w:rsidTr="00834B18">
        <w:trPr>
          <w:trHeight w:val="260"/>
        </w:trPr>
        <w:tc>
          <w:tcPr>
            <w:tcW w:w="573" w:type="dxa"/>
            <w:tcBorders>
              <w:top w:val="nil"/>
              <w:left w:val="single" w:sz="8" w:space="0" w:color="000000"/>
              <w:bottom w:val="nil"/>
              <w:right w:val="single" w:sz="8" w:space="0" w:color="000000"/>
            </w:tcBorders>
            <w:shd w:val="clear" w:color="auto" w:fill="auto"/>
            <w:tcMar>
              <w:top w:w="13" w:type="dxa"/>
              <w:left w:w="117" w:type="dxa"/>
              <w:bottom w:w="0" w:type="dxa"/>
              <w:right w:w="13" w:type="dxa"/>
            </w:tcMar>
            <w:hideMark/>
          </w:tcPr>
          <w:p w14:paraId="4B116BD1" w14:textId="77777777" w:rsidR="00963BD0" w:rsidRPr="00A635B2" w:rsidRDefault="00963BD0" w:rsidP="00963BD0">
            <w:pPr>
              <w:spacing w:after="0"/>
              <w:rPr>
                <w:rFonts w:ascii="Arial" w:eastAsia="Times New Roman" w:hAnsi="Arial" w:cs="Arial"/>
                <w:sz w:val="18"/>
                <w:szCs w:val="18"/>
                <w:lang w:eastAsia="es-MX"/>
              </w:rPr>
            </w:pPr>
            <w:r w:rsidRPr="00A635B2">
              <w:rPr>
                <w:rFonts w:ascii="Arial" w:eastAsia="Times New Roman" w:hAnsi="Arial" w:cs="Arial"/>
                <w:sz w:val="18"/>
                <w:szCs w:val="18"/>
                <w:lang w:eastAsia="es-MX"/>
              </w:rPr>
              <w:t>AF</w:t>
            </w:r>
          </w:p>
        </w:tc>
        <w:tc>
          <w:tcPr>
            <w:tcW w:w="2197"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76620B83" w14:textId="77777777" w:rsidR="00963BD0" w:rsidRPr="00A635B2" w:rsidRDefault="00963BD0" w:rsidP="00963BD0">
            <w:pPr>
              <w:spacing w:after="0"/>
              <w:rPr>
                <w:rFonts w:ascii="Arial" w:eastAsia="Times New Roman" w:hAnsi="Arial" w:cs="Arial"/>
                <w:sz w:val="18"/>
                <w:szCs w:val="18"/>
                <w:lang w:eastAsia="es-MX"/>
              </w:rPr>
            </w:pPr>
            <w:r w:rsidRPr="00A635B2">
              <w:rPr>
                <w:rFonts w:ascii="Arial" w:eastAsia="Times New Roman" w:hAnsi="Arial" w:cs="Arial"/>
                <w:sz w:val="18"/>
                <w:szCs w:val="18"/>
                <w:lang w:eastAsia="es-MX"/>
              </w:rPr>
              <w:t>Activos Financieros</w:t>
            </w:r>
          </w:p>
        </w:tc>
        <w:tc>
          <w:tcPr>
            <w:tcW w:w="1200"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2A609195"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 xml:space="preserve">  95.1</w:t>
            </w:r>
          </w:p>
        </w:tc>
        <w:tc>
          <w:tcPr>
            <w:tcW w:w="1165"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55BDD7AC"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116.4</w:t>
            </w:r>
          </w:p>
        </w:tc>
        <w:tc>
          <w:tcPr>
            <w:tcW w:w="969"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6F07B374"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 xml:space="preserve">  29.7</w:t>
            </w:r>
          </w:p>
        </w:tc>
        <w:tc>
          <w:tcPr>
            <w:tcW w:w="960"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157C5E68"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103.7</w:t>
            </w:r>
          </w:p>
        </w:tc>
        <w:tc>
          <w:tcPr>
            <w:tcW w:w="875"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5F3E7998"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0.0</w:t>
            </w:r>
          </w:p>
        </w:tc>
        <w:tc>
          <w:tcPr>
            <w:tcW w:w="1202"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7ACBB6CC"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344.9</w:t>
            </w:r>
          </w:p>
        </w:tc>
        <w:tc>
          <w:tcPr>
            <w:tcW w:w="955"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7430B69A"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100.0</w:t>
            </w:r>
          </w:p>
        </w:tc>
        <w:tc>
          <w:tcPr>
            <w:tcW w:w="857"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0BDA33F3"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444.9</w:t>
            </w:r>
          </w:p>
        </w:tc>
      </w:tr>
      <w:tr w:rsidR="00963BD0" w:rsidRPr="00A635B2" w14:paraId="3E7D0A5C" w14:textId="77777777" w:rsidTr="00834B18">
        <w:trPr>
          <w:trHeight w:val="260"/>
        </w:trPr>
        <w:tc>
          <w:tcPr>
            <w:tcW w:w="573" w:type="dxa"/>
            <w:tcBorders>
              <w:top w:val="nil"/>
              <w:left w:val="single" w:sz="8" w:space="0" w:color="000000"/>
              <w:bottom w:val="nil"/>
              <w:right w:val="single" w:sz="8" w:space="0" w:color="000000"/>
            </w:tcBorders>
            <w:shd w:val="clear" w:color="auto" w:fill="auto"/>
            <w:tcMar>
              <w:top w:w="13" w:type="dxa"/>
              <w:left w:w="117" w:type="dxa"/>
              <w:bottom w:w="0" w:type="dxa"/>
              <w:right w:w="13" w:type="dxa"/>
            </w:tcMar>
            <w:hideMark/>
          </w:tcPr>
          <w:p w14:paraId="3A22C7F5" w14:textId="77777777" w:rsidR="00963BD0" w:rsidRPr="00A635B2" w:rsidRDefault="00963BD0" w:rsidP="00963BD0">
            <w:pPr>
              <w:spacing w:after="0"/>
              <w:rPr>
                <w:rFonts w:ascii="Arial" w:eastAsia="Times New Roman" w:hAnsi="Arial" w:cs="Arial"/>
                <w:sz w:val="18"/>
                <w:szCs w:val="18"/>
                <w:lang w:eastAsia="es-MX"/>
              </w:rPr>
            </w:pPr>
            <w:r w:rsidRPr="00A635B2">
              <w:rPr>
                <w:rFonts w:ascii="Arial" w:eastAsia="Times New Roman" w:hAnsi="Arial" w:cs="Arial"/>
                <w:sz w:val="18"/>
                <w:szCs w:val="18"/>
                <w:lang w:eastAsia="es-MX"/>
              </w:rPr>
              <w:t>P</w:t>
            </w:r>
          </w:p>
        </w:tc>
        <w:tc>
          <w:tcPr>
            <w:tcW w:w="2197"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635DD519" w14:textId="77777777" w:rsidR="00963BD0" w:rsidRPr="00A635B2" w:rsidRDefault="00963BD0" w:rsidP="00963BD0">
            <w:pPr>
              <w:spacing w:after="0"/>
              <w:rPr>
                <w:rFonts w:ascii="Arial" w:eastAsia="Times New Roman" w:hAnsi="Arial" w:cs="Arial"/>
                <w:sz w:val="18"/>
                <w:szCs w:val="18"/>
                <w:lang w:eastAsia="es-MX"/>
              </w:rPr>
            </w:pPr>
            <w:r w:rsidRPr="00A635B2">
              <w:rPr>
                <w:rFonts w:ascii="Arial" w:eastAsia="Times New Roman" w:hAnsi="Arial" w:cs="Arial"/>
                <w:sz w:val="18"/>
                <w:szCs w:val="18"/>
                <w:lang w:eastAsia="es-MX"/>
              </w:rPr>
              <w:t>Pasivos</w:t>
            </w:r>
          </w:p>
        </w:tc>
        <w:tc>
          <w:tcPr>
            <w:tcW w:w="1200"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21C50AC8"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215.2</w:t>
            </w:r>
          </w:p>
        </w:tc>
        <w:tc>
          <w:tcPr>
            <w:tcW w:w="1165"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1F3B674F"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 xml:space="preserve">  95.3</w:t>
            </w:r>
          </w:p>
        </w:tc>
        <w:tc>
          <w:tcPr>
            <w:tcW w:w="969"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44F71492"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 xml:space="preserve">  68.8</w:t>
            </w:r>
          </w:p>
        </w:tc>
        <w:tc>
          <w:tcPr>
            <w:tcW w:w="960"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55DCFAD5" w14:textId="77777777" w:rsidR="00963BD0" w:rsidRPr="00A635B2" w:rsidRDefault="00963BD0" w:rsidP="00AC168E">
            <w:pPr>
              <w:spacing w:after="0"/>
              <w:ind w:right="76"/>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 xml:space="preserve">  </w:t>
            </w:r>
            <w:r w:rsidR="00AC168E">
              <w:rPr>
                <w:rFonts w:ascii="Arial" w:eastAsia="Times New Roman" w:hAnsi="Arial" w:cs="Arial"/>
                <w:sz w:val="18"/>
                <w:szCs w:val="18"/>
                <w:lang w:eastAsia="es-MX"/>
              </w:rPr>
              <w:t>(</w:t>
            </w:r>
            <w:r w:rsidR="00AC168E">
              <w:rPr>
                <w:rFonts w:ascii="Arial" w:eastAsia="Times New Roman" w:hAnsi="Arial" w:cs="Arial"/>
                <w:sz w:val="18"/>
                <w:szCs w:val="18"/>
                <w:lang w:eastAsia="es-MX"/>
              </w:rPr>
              <w:noBreakHyphen/>
              <w:t>)</w:t>
            </w:r>
            <w:r w:rsidRPr="00A635B2">
              <w:rPr>
                <w:rFonts w:ascii="Arial" w:eastAsia="Times New Roman" w:hAnsi="Arial" w:cs="Arial"/>
                <w:sz w:val="18"/>
                <w:szCs w:val="18"/>
                <w:lang w:eastAsia="es-MX"/>
              </w:rPr>
              <w:t>0.2</w:t>
            </w:r>
          </w:p>
        </w:tc>
        <w:tc>
          <w:tcPr>
            <w:tcW w:w="875"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198F9665" w14:textId="77777777" w:rsidR="00963BD0" w:rsidRPr="00A635B2" w:rsidRDefault="00AC168E" w:rsidP="00AC168E">
            <w:pPr>
              <w:spacing w:after="0"/>
              <w:ind w:right="170"/>
              <w:jc w:val="center"/>
              <w:rPr>
                <w:rFonts w:ascii="Arial" w:eastAsia="Times New Roman" w:hAnsi="Arial" w:cs="Arial"/>
                <w:sz w:val="18"/>
                <w:szCs w:val="18"/>
                <w:lang w:eastAsia="es-MX"/>
              </w:rPr>
            </w:pPr>
            <w:r>
              <w:rPr>
                <w:rFonts w:ascii="Arial" w:eastAsia="Times New Roman" w:hAnsi="Arial" w:cs="Arial"/>
                <w:sz w:val="18"/>
                <w:szCs w:val="18"/>
                <w:lang w:eastAsia="es-MX"/>
              </w:rPr>
              <w:t>(</w:t>
            </w:r>
            <w:r>
              <w:rPr>
                <w:rFonts w:ascii="Arial" w:eastAsia="Times New Roman" w:hAnsi="Arial" w:cs="Arial"/>
                <w:sz w:val="18"/>
                <w:szCs w:val="18"/>
                <w:lang w:eastAsia="es-MX"/>
              </w:rPr>
              <w:noBreakHyphen/>
              <w:t>)</w:t>
            </w:r>
            <w:r w:rsidR="00963BD0" w:rsidRPr="00A635B2">
              <w:rPr>
                <w:rFonts w:ascii="Arial" w:eastAsia="Times New Roman" w:hAnsi="Arial" w:cs="Arial"/>
                <w:sz w:val="18"/>
                <w:szCs w:val="18"/>
                <w:lang w:eastAsia="es-MX"/>
              </w:rPr>
              <w:t>3.2</w:t>
            </w:r>
          </w:p>
        </w:tc>
        <w:tc>
          <w:tcPr>
            <w:tcW w:w="1202"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34897270"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375.9</w:t>
            </w:r>
          </w:p>
        </w:tc>
        <w:tc>
          <w:tcPr>
            <w:tcW w:w="955"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17F8130C"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 xml:space="preserve"> 58.0</w:t>
            </w:r>
          </w:p>
        </w:tc>
        <w:tc>
          <w:tcPr>
            <w:tcW w:w="857"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22FF7D77"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444.9</w:t>
            </w:r>
          </w:p>
        </w:tc>
      </w:tr>
      <w:tr w:rsidR="00963BD0" w:rsidRPr="00A635B2" w14:paraId="4D5EE5DF" w14:textId="77777777" w:rsidTr="00834B18">
        <w:trPr>
          <w:trHeight w:val="260"/>
        </w:trPr>
        <w:tc>
          <w:tcPr>
            <w:tcW w:w="573" w:type="dxa"/>
            <w:tcBorders>
              <w:top w:val="nil"/>
              <w:left w:val="single" w:sz="8" w:space="0" w:color="000000"/>
              <w:bottom w:val="nil"/>
              <w:right w:val="single" w:sz="8" w:space="0" w:color="000000"/>
            </w:tcBorders>
            <w:shd w:val="clear" w:color="auto" w:fill="auto"/>
            <w:tcMar>
              <w:top w:w="13" w:type="dxa"/>
              <w:left w:w="117" w:type="dxa"/>
              <w:bottom w:w="0" w:type="dxa"/>
              <w:right w:w="13" w:type="dxa"/>
            </w:tcMar>
            <w:hideMark/>
          </w:tcPr>
          <w:p w14:paraId="5E0333E0" w14:textId="77777777" w:rsidR="00963BD0" w:rsidRPr="00A635B2" w:rsidRDefault="00963BD0" w:rsidP="00963BD0">
            <w:pPr>
              <w:spacing w:after="0"/>
              <w:rPr>
                <w:rFonts w:ascii="Arial" w:eastAsia="Times New Roman" w:hAnsi="Arial" w:cs="Arial"/>
                <w:sz w:val="18"/>
                <w:szCs w:val="18"/>
                <w:lang w:eastAsia="es-MX"/>
              </w:rPr>
            </w:pPr>
            <w:r w:rsidRPr="00A635B2">
              <w:rPr>
                <w:rFonts w:ascii="Arial" w:eastAsia="Times New Roman" w:hAnsi="Arial" w:cs="Arial"/>
                <w:sz w:val="18"/>
                <w:szCs w:val="18"/>
                <w:lang w:eastAsia="es-MX"/>
              </w:rPr>
              <w:t>De</w:t>
            </w:r>
          </w:p>
        </w:tc>
        <w:tc>
          <w:tcPr>
            <w:tcW w:w="2197"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3BEA0B04" w14:textId="77777777" w:rsidR="00963BD0" w:rsidRPr="00A635B2" w:rsidRDefault="00963BD0" w:rsidP="00963BD0">
            <w:pPr>
              <w:spacing w:after="0"/>
              <w:rPr>
                <w:rFonts w:ascii="Arial" w:eastAsia="Times New Roman" w:hAnsi="Arial" w:cs="Arial"/>
                <w:sz w:val="18"/>
                <w:szCs w:val="18"/>
                <w:lang w:eastAsia="es-MX"/>
              </w:rPr>
            </w:pPr>
            <w:r w:rsidRPr="00A635B2">
              <w:rPr>
                <w:rFonts w:ascii="Arial" w:eastAsia="Times New Roman" w:hAnsi="Arial" w:cs="Arial"/>
                <w:sz w:val="18"/>
                <w:szCs w:val="18"/>
                <w:lang w:eastAsia="es-MX"/>
              </w:rPr>
              <w:t xml:space="preserve">Discrepancia estadística </w:t>
            </w:r>
          </w:p>
        </w:tc>
        <w:tc>
          <w:tcPr>
            <w:tcW w:w="1200"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1CB56ED9"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 </w:t>
            </w:r>
          </w:p>
        </w:tc>
        <w:tc>
          <w:tcPr>
            <w:tcW w:w="1165"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776A3EDD"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 </w:t>
            </w:r>
          </w:p>
        </w:tc>
        <w:tc>
          <w:tcPr>
            <w:tcW w:w="969"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41FAA1CA"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 </w:t>
            </w:r>
          </w:p>
        </w:tc>
        <w:tc>
          <w:tcPr>
            <w:tcW w:w="960"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471DA5D0"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 </w:t>
            </w:r>
          </w:p>
        </w:tc>
        <w:tc>
          <w:tcPr>
            <w:tcW w:w="875"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576EF7D3"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 </w:t>
            </w:r>
          </w:p>
        </w:tc>
        <w:tc>
          <w:tcPr>
            <w:tcW w:w="1202"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57263CA2"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 </w:t>
            </w:r>
          </w:p>
        </w:tc>
        <w:tc>
          <w:tcPr>
            <w:tcW w:w="955"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70F0EAAA"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 </w:t>
            </w:r>
          </w:p>
        </w:tc>
        <w:tc>
          <w:tcPr>
            <w:tcW w:w="857"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65677776"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 xml:space="preserve">  11.0</w:t>
            </w:r>
          </w:p>
        </w:tc>
      </w:tr>
      <w:tr w:rsidR="00963BD0" w:rsidRPr="00A635B2" w14:paraId="645B7540" w14:textId="77777777" w:rsidTr="00834B18">
        <w:trPr>
          <w:trHeight w:val="260"/>
        </w:trPr>
        <w:tc>
          <w:tcPr>
            <w:tcW w:w="573" w:type="dxa"/>
            <w:tcBorders>
              <w:top w:val="nil"/>
              <w:left w:val="single" w:sz="8" w:space="0" w:color="000000"/>
              <w:bottom w:val="single" w:sz="8" w:space="0" w:color="000000"/>
              <w:right w:val="single" w:sz="8" w:space="0" w:color="000000"/>
            </w:tcBorders>
            <w:shd w:val="clear" w:color="auto" w:fill="FABF8F" w:themeFill="accent6" w:themeFillTint="99"/>
            <w:tcMar>
              <w:top w:w="13" w:type="dxa"/>
              <w:left w:w="117" w:type="dxa"/>
              <w:bottom w:w="0" w:type="dxa"/>
              <w:right w:w="13" w:type="dxa"/>
            </w:tcMar>
            <w:vAlign w:val="bottom"/>
            <w:hideMark/>
          </w:tcPr>
          <w:p w14:paraId="4CA58D74" w14:textId="77777777" w:rsidR="00963BD0" w:rsidRPr="00A635B2" w:rsidRDefault="00963BD0" w:rsidP="00963BD0">
            <w:pPr>
              <w:spacing w:after="0"/>
              <w:rPr>
                <w:rFonts w:ascii="Arial" w:eastAsia="Times New Roman" w:hAnsi="Arial" w:cs="Arial"/>
                <w:sz w:val="18"/>
                <w:szCs w:val="18"/>
                <w:lang w:eastAsia="es-MX"/>
              </w:rPr>
            </w:pPr>
            <w:r w:rsidRPr="00A635B2">
              <w:rPr>
                <w:rFonts w:ascii="Arial" w:eastAsia="Times New Roman" w:hAnsi="Arial" w:cs="Arial"/>
                <w:sz w:val="18"/>
                <w:szCs w:val="18"/>
                <w:lang w:eastAsia="es-MX"/>
              </w:rPr>
              <w:t>VN</w:t>
            </w:r>
          </w:p>
        </w:tc>
        <w:tc>
          <w:tcPr>
            <w:tcW w:w="2197" w:type="dxa"/>
            <w:tcBorders>
              <w:top w:val="nil"/>
              <w:left w:val="single" w:sz="8" w:space="0" w:color="000000"/>
              <w:bottom w:val="single" w:sz="8" w:space="0" w:color="000000"/>
              <w:right w:val="single" w:sz="8" w:space="0" w:color="000000"/>
            </w:tcBorders>
            <w:shd w:val="clear" w:color="auto" w:fill="FABF8F" w:themeFill="accent6" w:themeFillTint="99"/>
            <w:tcMar>
              <w:top w:w="13" w:type="dxa"/>
              <w:left w:w="13" w:type="dxa"/>
              <w:bottom w:w="0" w:type="dxa"/>
              <w:right w:w="13" w:type="dxa"/>
            </w:tcMar>
            <w:vAlign w:val="bottom"/>
            <w:hideMark/>
          </w:tcPr>
          <w:p w14:paraId="06307522" w14:textId="77777777" w:rsidR="00963BD0" w:rsidRPr="00A635B2" w:rsidRDefault="00963BD0" w:rsidP="00963BD0">
            <w:pPr>
              <w:spacing w:after="0"/>
              <w:rPr>
                <w:rFonts w:ascii="Arial" w:eastAsia="Times New Roman" w:hAnsi="Arial" w:cs="Arial"/>
                <w:sz w:val="18"/>
                <w:szCs w:val="18"/>
                <w:lang w:eastAsia="es-MX"/>
              </w:rPr>
            </w:pPr>
            <w:r w:rsidRPr="00A635B2">
              <w:rPr>
                <w:rFonts w:ascii="Arial" w:eastAsia="Times New Roman" w:hAnsi="Arial" w:cs="Arial"/>
                <w:sz w:val="18"/>
                <w:szCs w:val="18"/>
                <w:lang w:eastAsia="es-MX"/>
              </w:rPr>
              <w:t>Valor Neto (ANF+AF-P)</w:t>
            </w:r>
          </w:p>
        </w:tc>
        <w:tc>
          <w:tcPr>
            <w:tcW w:w="1200" w:type="dxa"/>
            <w:tcBorders>
              <w:top w:val="nil"/>
              <w:left w:val="single" w:sz="8" w:space="0" w:color="000000"/>
              <w:bottom w:val="single" w:sz="8" w:space="0" w:color="000000"/>
              <w:right w:val="single" w:sz="8" w:space="0" w:color="000000"/>
            </w:tcBorders>
            <w:shd w:val="clear" w:color="auto" w:fill="FABF8F" w:themeFill="accent6" w:themeFillTint="99"/>
            <w:tcMar>
              <w:top w:w="13" w:type="dxa"/>
              <w:left w:w="13" w:type="dxa"/>
              <w:bottom w:w="0" w:type="dxa"/>
              <w:right w:w="13" w:type="dxa"/>
            </w:tcMar>
            <w:vAlign w:val="bottom"/>
            <w:hideMark/>
          </w:tcPr>
          <w:p w14:paraId="0C0A529A"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184.9</w:t>
            </w:r>
          </w:p>
        </w:tc>
        <w:tc>
          <w:tcPr>
            <w:tcW w:w="1165" w:type="dxa"/>
            <w:tcBorders>
              <w:top w:val="nil"/>
              <w:left w:val="single" w:sz="8" w:space="0" w:color="000000"/>
              <w:bottom w:val="single" w:sz="8" w:space="0" w:color="000000"/>
              <w:right w:val="single" w:sz="8" w:space="0" w:color="000000"/>
            </w:tcBorders>
            <w:shd w:val="clear" w:color="auto" w:fill="FABF8F" w:themeFill="accent6" w:themeFillTint="99"/>
            <w:tcMar>
              <w:top w:w="13" w:type="dxa"/>
              <w:left w:w="13" w:type="dxa"/>
              <w:bottom w:w="0" w:type="dxa"/>
              <w:right w:w="13" w:type="dxa"/>
            </w:tcMar>
            <w:vAlign w:val="bottom"/>
            <w:hideMark/>
          </w:tcPr>
          <w:p w14:paraId="030F88BC"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25.2</w:t>
            </w:r>
          </w:p>
        </w:tc>
        <w:tc>
          <w:tcPr>
            <w:tcW w:w="969" w:type="dxa"/>
            <w:tcBorders>
              <w:top w:val="nil"/>
              <w:left w:val="single" w:sz="8" w:space="0" w:color="000000"/>
              <w:bottom w:val="single" w:sz="8" w:space="0" w:color="000000"/>
              <w:right w:val="single" w:sz="8" w:space="0" w:color="000000"/>
            </w:tcBorders>
            <w:shd w:val="clear" w:color="auto" w:fill="FABF8F" w:themeFill="accent6" w:themeFillTint="99"/>
            <w:tcMar>
              <w:top w:w="13" w:type="dxa"/>
              <w:left w:w="13" w:type="dxa"/>
              <w:bottom w:w="0" w:type="dxa"/>
              <w:right w:w="13" w:type="dxa"/>
            </w:tcMar>
            <w:vAlign w:val="bottom"/>
            <w:hideMark/>
          </w:tcPr>
          <w:p w14:paraId="05FD3CE9"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74.5</w:t>
            </w:r>
          </w:p>
        </w:tc>
        <w:tc>
          <w:tcPr>
            <w:tcW w:w="960" w:type="dxa"/>
            <w:tcBorders>
              <w:top w:val="nil"/>
              <w:left w:val="single" w:sz="8" w:space="0" w:color="000000"/>
              <w:bottom w:val="single" w:sz="8" w:space="0" w:color="000000"/>
              <w:right w:val="single" w:sz="8" w:space="0" w:color="000000"/>
            </w:tcBorders>
            <w:shd w:val="clear" w:color="auto" w:fill="FABF8F" w:themeFill="accent6" w:themeFillTint="99"/>
            <w:tcMar>
              <w:top w:w="13" w:type="dxa"/>
              <w:left w:w="13" w:type="dxa"/>
              <w:bottom w:w="0" w:type="dxa"/>
              <w:right w:w="13" w:type="dxa"/>
            </w:tcMar>
            <w:vAlign w:val="bottom"/>
            <w:hideMark/>
          </w:tcPr>
          <w:p w14:paraId="5F167B5B"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286.2</w:t>
            </w:r>
          </w:p>
        </w:tc>
        <w:tc>
          <w:tcPr>
            <w:tcW w:w="875" w:type="dxa"/>
            <w:tcBorders>
              <w:top w:val="nil"/>
              <w:left w:val="single" w:sz="8" w:space="0" w:color="000000"/>
              <w:bottom w:val="single" w:sz="8" w:space="0" w:color="000000"/>
              <w:right w:val="single" w:sz="8" w:space="0" w:color="000000"/>
            </w:tcBorders>
            <w:shd w:val="clear" w:color="auto" w:fill="FABF8F" w:themeFill="accent6" w:themeFillTint="99"/>
            <w:tcMar>
              <w:top w:w="13" w:type="dxa"/>
              <w:left w:w="13" w:type="dxa"/>
              <w:bottom w:w="0" w:type="dxa"/>
              <w:right w:w="13" w:type="dxa"/>
            </w:tcMar>
            <w:vAlign w:val="bottom"/>
            <w:hideMark/>
          </w:tcPr>
          <w:p w14:paraId="7C87322E"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6.7</w:t>
            </w:r>
          </w:p>
        </w:tc>
        <w:tc>
          <w:tcPr>
            <w:tcW w:w="1202" w:type="dxa"/>
            <w:tcBorders>
              <w:top w:val="nil"/>
              <w:left w:val="single" w:sz="8" w:space="0" w:color="000000"/>
              <w:bottom w:val="single" w:sz="8" w:space="0" w:color="000000"/>
              <w:right w:val="single" w:sz="8" w:space="0" w:color="000000"/>
            </w:tcBorders>
            <w:shd w:val="clear" w:color="auto" w:fill="FABF8F" w:themeFill="accent6" w:themeFillTint="99"/>
            <w:tcMar>
              <w:top w:w="13" w:type="dxa"/>
              <w:left w:w="13" w:type="dxa"/>
              <w:bottom w:w="0" w:type="dxa"/>
              <w:right w:w="13" w:type="dxa"/>
            </w:tcMar>
            <w:vAlign w:val="bottom"/>
            <w:hideMark/>
          </w:tcPr>
          <w:p w14:paraId="699D0159" w14:textId="77777777" w:rsidR="00963BD0" w:rsidRPr="00A635B2" w:rsidRDefault="00963BD0" w:rsidP="00963BD0">
            <w:pPr>
              <w:spacing w:after="0"/>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577.5</w:t>
            </w:r>
          </w:p>
        </w:tc>
        <w:tc>
          <w:tcPr>
            <w:tcW w:w="955" w:type="dxa"/>
            <w:tcBorders>
              <w:top w:val="nil"/>
              <w:left w:val="single" w:sz="8" w:space="0" w:color="000000"/>
              <w:bottom w:val="single" w:sz="8" w:space="0" w:color="000000"/>
              <w:right w:val="single" w:sz="8" w:space="0" w:color="000000"/>
            </w:tcBorders>
            <w:shd w:val="clear" w:color="auto" w:fill="FABF8F" w:themeFill="accent6" w:themeFillTint="99"/>
            <w:tcMar>
              <w:top w:w="13" w:type="dxa"/>
              <w:left w:w="13" w:type="dxa"/>
              <w:bottom w:w="0" w:type="dxa"/>
              <w:right w:w="13" w:type="dxa"/>
            </w:tcMar>
            <w:vAlign w:val="bottom"/>
            <w:hideMark/>
          </w:tcPr>
          <w:p w14:paraId="4749B03D" w14:textId="77777777" w:rsidR="00963BD0" w:rsidRPr="00A635B2" w:rsidRDefault="00AC168E" w:rsidP="00963BD0">
            <w:pPr>
              <w:spacing w:after="0"/>
              <w:jc w:val="center"/>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00963BD0" w:rsidRPr="00A635B2">
              <w:rPr>
                <w:rFonts w:ascii="Arial" w:eastAsia="Times New Roman" w:hAnsi="Arial" w:cs="Arial"/>
                <w:sz w:val="18"/>
                <w:szCs w:val="18"/>
                <w:lang w:eastAsia="es-MX"/>
              </w:rPr>
              <w:t>42.0</w:t>
            </w:r>
          </w:p>
        </w:tc>
        <w:tc>
          <w:tcPr>
            <w:tcW w:w="857" w:type="dxa"/>
            <w:tcBorders>
              <w:top w:val="nil"/>
              <w:left w:val="single" w:sz="8" w:space="0" w:color="000000"/>
              <w:bottom w:val="single" w:sz="8" w:space="0" w:color="000000"/>
              <w:right w:val="single" w:sz="8" w:space="0" w:color="000000"/>
            </w:tcBorders>
            <w:shd w:val="clear" w:color="auto" w:fill="FABF8F" w:themeFill="accent6" w:themeFillTint="99"/>
            <w:tcMar>
              <w:top w:w="13" w:type="dxa"/>
              <w:left w:w="13" w:type="dxa"/>
              <w:bottom w:w="0" w:type="dxa"/>
              <w:right w:w="13" w:type="dxa"/>
            </w:tcMar>
            <w:vAlign w:val="bottom"/>
            <w:hideMark/>
          </w:tcPr>
          <w:p w14:paraId="70FAE621" w14:textId="065E8EE3" w:rsidR="00963BD0" w:rsidRPr="00A635B2" w:rsidRDefault="00963BD0" w:rsidP="00E24C50">
            <w:pPr>
              <w:spacing w:after="0"/>
              <w:ind w:right="-121"/>
              <w:jc w:val="center"/>
              <w:rPr>
                <w:rFonts w:ascii="Arial" w:eastAsia="Times New Roman" w:hAnsi="Arial" w:cs="Arial"/>
                <w:sz w:val="18"/>
                <w:szCs w:val="18"/>
                <w:lang w:eastAsia="es-MX"/>
              </w:rPr>
            </w:pPr>
            <w:r w:rsidRPr="00A635B2">
              <w:rPr>
                <w:rFonts w:ascii="Arial" w:eastAsia="Times New Roman" w:hAnsi="Arial" w:cs="Arial"/>
                <w:sz w:val="18"/>
                <w:szCs w:val="18"/>
                <w:lang w:eastAsia="es-MX"/>
              </w:rPr>
              <w:t>608.5</w:t>
            </w:r>
          </w:p>
        </w:tc>
      </w:tr>
    </w:tbl>
    <w:p w14:paraId="64B9DC2E" w14:textId="561B296C" w:rsidR="003F06E3" w:rsidRDefault="003F06E3" w:rsidP="003F06E3">
      <w:pPr>
        <w:spacing w:after="0"/>
        <w:ind w:left="-993"/>
        <w:rPr>
          <w:rFonts w:ascii="Arial" w:hAnsi="Arial" w:cs="Arial"/>
          <w:sz w:val="16"/>
        </w:rPr>
      </w:pPr>
      <w:r w:rsidRPr="00C77061">
        <w:rPr>
          <w:rFonts w:ascii="Arial" w:hAnsi="Arial" w:cs="Arial"/>
          <w:sz w:val="16"/>
        </w:rPr>
        <w:t>Nota: La suma</w:t>
      </w:r>
      <w:r>
        <w:rPr>
          <w:rFonts w:ascii="Arial" w:hAnsi="Arial" w:cs="Arial"/>
          <w:sz w:val="16"/>
        </w:rPr>
        <w:t xml:space="preserve"> o resta de los parciales puede</w:t>
      </w:r>
      <w:r w:rsidRPr="00C77061">
        <w:rPr>
          <w:rFonts w:ascii="Arial" w:hAnsi="Arial" w:cs="Arial"/>
          <w:sz w:val="16"/>
        </w:rPr>
        <w:t xml:space="preserve"> no coincidir con </w:t>
      </w:r>
      <w:r>
        <w:rPr>
          <w:rFonts w:ascii="Arial" w:hAnsi="Arial" w:cs="Arial"/>
          <w:sz w:val="16"/>
        </w:rPr>
        <w:t>los totales debido al redondeo.</w:t>
      </w:r>
    </w:p>
    <w:p w14:paraId="4940B0D8" w14:textId="77777777" w:rsidR="00B82753" w:rsidRPr="00F615EE" w:rsidRDefault="003F06E3" w:rsidP="00963BD0">
      <w:pPr>
        <w:spacing w:after="0"/>
        <w:ind w:left="-993"/>
        <w:rPr>
          <w:rFonts w:ascii="Arial" w:eastAsia="Times New Roman" w:hAnsi="Arial" w:cs="Arial"/>
          <w:sz w:val="18"/>
          <w:szCs w:val="18"/>
          <w:lang w:eastAsia="es-MX"/>
        </w:rPr>
      </w:pPr>
      <w:r>
        <w:rPr>
          <w:rFonts w:ascii="Arial" w:hAnsi="Arial" w:cs="Arial"/>
          <w:sz w:val="16"/>
        </w:rPr>
        <w:t xml:space="preserve"> </w:t>
      </w:r>
      <w:r w:rsidR="00AF11B9" w:rsidRPr="00913174">
        <w:rPr>
          <w:rFonts w:ascii="Arial" w:hAnsi="Arial" w:cs="Arial"/>
          <w:sz w:val="16"/>
        </w:rPr>
        <w:t>F</w:t>
      </w:r>
      <w:r w:rsidR="00AF11B9">
        <w:rPr>
          <w:rFonts w:ascii="Arial" w:hAnsi="Arial" w:cs="Arial"/>
          <w:sz w:val="16"/>
        </w:rPr>
        <w:t>uente: INEGI.</w:t>
      </w:r>
    </w:p>
    <w:p w14:paraId="51CD2A08" w14:textId="77777777" w:rsidR="000D375E" w:rsidRDefault="007E2D43" w:rsidP="00963BD0">
      <w:pPr>
        <w:spacing w:before="480" w:after="0" w:line="246" w:lineRule="auto"/>
        <w:jc w:val="both"/>
        <w:rPr>
          <w:rFonts w:ascii="Arial" w:eastAsia="Arial" w:hAnsi="Arial" w:cs="Arial"/>
          <w:sz w:val="24"/>
          <w:szCs w:val="24"/>
        </w:rPr>
      </w:pPr>
      <w:r>
        <w:rPr>
          <w:rFonts w:ascii="Arial" w:eastAsia="Arial" w:hAnsi="Arial" w:cs="Arial"/>
          <w:sz w:val="24"/>
          <w:szCs w:val="24"/>
        </w:rPr>
        <w:t xml:space="preserve">Al final </w:t>
      </w:r>
      <w:r w:rsidRPr="00116F48">
        <w:rPr>
          <w:rFonts w:ascii="Arial" w:eastAsia="Arial" w:hAnsi="Arial" w:cs="Arial"/>
          <w:sz w:val="24"/>
          <w:szCs w:val="24"/>
        </w:rPr>
        <w:t xml:space="preserve">del </w:t>
      </w:r>
      <w:r w:rsidR="00D4205C">
        <w:rPr>
          <w:rFonts w:ascii="Arial" w:eastAsia="Arial" w:hAnsi="Arial" w:cs="Arial"/>
          <w:sz w:val="24"/>
          <w:szCs w:val="24"/>
        </w:rPr>
        <w:t>201</w:t>
      </w:r>
      <w:r w:rsidR="00AC168E">
        <w:rPr>
          <w:rFonts w:ascii="Arial" w:eastAsia="Arial" w:hAnsi="Arial" w:cs="Arial"/>
          <w:sz w:val="24"/>
          <w:szCs w:val="24"/>
        </w:rPr>
        <w:t>8</w:t>
      </w:r>
      <w:r w:rsidR="009A2492" w:rsidRPr="00116F48">
        <w:rPr>
          <w:rFonts w:ascii="Arial" w:eastAsia="Arial" w:hAnsi="Arial" w:cs="Arial"/>
          <w:sz w:val="24"/>
          <w:szCs w:val="24"/>
        </w:rPr>
        <w:t xml:space="preserve"> fueron los </w:t>
      </w:r>
      <w:r w:rsidR="009A2492">
        <w:rPr>
          <w:rFonts w:ascii="Arial" w:eastAsia="Arial" w:hAnsi="Arial" w:cs="Arial"/>
          <w:sz w:val="24"/>
          <w:szCs w:val="24"/>
        </w:rPr>
        <w:t xml:space="preserve">Hogares y las Sociedades no financieras </w:t>
      </w:r>
      <w:r w:rsidR="000D375E" w:rsidRPr="00967568">
        <w:rPr>
          <w:rFonts w:ascii="Arial" w:eastAsia="Arial" w:hAnsi="Arial" w:cs="Arial"/>
          <w:sz w:val="24"/>
          <w:szCs w:val="24"/>
        </w:rPr>
        <w:t xml:space="preserve">los </w:t>
      </w:r>
      <w:r w:rsidR="00047420" w:rsidRPr="00967568">
        <w:rPr>
          <w:rFonts w:ascii="Arial" w:eastAsia="Arial" w:hAnsi="Arial" w:cs="Arial"/>
          <w:sz w:val="24"/>
          <w:szCs w:val="24"/>
        </w:rPr>
        <w:t>sectores con</w:t>
      </w:r>
      <w:r w:rsidR="000D375E" w:rsidRPr="00967568">
        <w:rPr>
          <w:rFonts w:ascii="Arial" w:eastAsia="Arial" w:hAnsi="Arial" w:cs="Arial"/>
          <w:sz w:val="24"/>
          <w:szCs w:val="24"/>
        </w:rPr>
        <w:t xml:space="preserve"> mayor posesión de activos</w:t>
      </w:r>
      <w:r w:rsidR="00E57253" w:rsidRPr="00967568">
        <w:rPr>
          <w:rFonts w:ascii="Arial" w:eastAsia="Arial" w:hAnsi="Arial" w:cs="Arial"/>
          <w:sz w:val="24"/>
          <w:szCs w:val="24"/>
        </w:rPr>
        <w:t xml:space="preserve"> netos</w:t>
      </w:r>
      <w:r w:rsidR="000D375E" w:rsidRPr="00967568">
        <w:rPr>
          <w:rFonts w:ascii="Arial" w:eastAsia="Arial" w:hAnsi="Arial" w:cs="Arial"/>
          <w:sz w:val="24"/>
          <w:szCs w:val="24"/>
        </w:rPr>
        <w:t xml:space="preserve">. Los Hogares concluyeron </w:t>
      </w:r>
      <w:r w:rsidR="00E57253" w:rsidRPr="00967568">
        <w:rPr>
          <w:rFonts w:ascii="Arial" w:eastAsia="Arial" w:hAnsi="Arial" w:cs="Arial"/>
          <w:sz w:val="24"/>
          <w:szCs w:val="24"/>
        </w:rPr>
        <w:t xml:space="preserve">el año </w:t>
      </w:r>
      <w:r w:rsidR="000D375E" w:rsidRPr="00967568">
        <w:rPr>
          <w:rFonts w:ascii="Arial" w:eastAsia="Arial" w:hAnsi="Arial" w:cs="Arial"/>
          <w:sz w:val="24"/>
          <w:szCs w:val="24"/>
        </w:rPr>
        <w:t xml:space="preserve">con un </w:t>
      </w:r>
      <w:r w:rsidR="009A2492">
        <w:rPr>
          <w:rFonts w:ascii="Arial" w:eastAsia="Arial" w:hAnsi="Arial" w:cs="Arial"/>
          <w:sz w:val="24"/>
          <w:szCs w:val="24"/>
        </w:rPr>
        <w:t>v</w:t>
      </w:r>
      <w:r w:rsidR="00E0761C" w:rsidRPr="00967568">
        <w:rPr>
          <w:rFonts w:ascii="Arial" w:eastAsia="Arial" w:hAnsi="Arial" w:cs="Arial"/>
          <w:sz w:val="24"/>
          <w:szCs w:val="24"/>
        </w:rPr>
        <w:t>alor neto</w:t>
      </w:r>
      <w:r w:rsidR="0031744B">
        <w:rPr>
          <w:rFonts w:ascii="Arial" w:eastAsia="Arial" w:hAnsi="Arial" w:cs="Arial"/>
          <w:sz w:val="24"/>
          <w:szCs w:val="24"/>
        </w:rPr>
        <w:t xml:space="preserve"> equivalente </w:t>
      </w:r>
      <w:r w:rsidR="00D4205C">
        <w:rPr>
          <w:rFonts w:ascii="Arial" w:eastAsia="Arial" w:hAnsi="Arial" w:cs="Arial"/>
          <w:sz w:val="24"/>
          <w:szCs w:val="24"/>
        </w:rPr>
        <w:t>al 28</w:t>
      </w:r>
      <w:r w:rsidR="00AC168E">
        <w:rPr>
          <w:rFonts w:ascii="Arial" w:eastAsia="Arial" w:hAnsi="Arial" w:cs="Arial"/>
          <w:sz w:val="24"/>
          <w:szCs w:val="24"/>
        </w:rPr>
        <w:t>6.2</w:t>
      </w:r>
      <w:r w:rsidR="000D375E" w:rsidRPr="00116F48">
        <w:rPr>
          <w:rFonts w:ascii="Arial" w:eastAsia="Arial" w:hAnsi="Arial" w:cs="Arial"/>
          <w:sz w:val="24"/>
          <w:szCs w:val="24"/>
        </w:rPr>
        <w:t xml:space="preserve">% del PIB </w:t>
      </w:r>
      <w:r w:rsidR="000D375E" w:rsidRPr="00967568">
        <w:rPr>
          <w:rFonts w:ascii="Arial" w:eastAsia="Arial" w:hAnsi="Arial" w:cs="Arial"/>
          <w:sz w:val="24"/>
          <w:szCs w:val="24"/>
        </w:rPr>
        <w:t>(</w:t>
      </w:r>
      <w:r w:rsidR="00AC168E">
        <w:rPr>
          <w:rFonts w:ascii="Arial" w:eastAsia="Arial" w:hAnsi="Arial" w:cs="Arial"/>
          <w:sz w:val="24"/>
          <w:szCs w:val="24"/>
        </w:rPr>
        <w:t>67,243,304</w:t>
      </w:r>
      <w:r w:rsidR="009610CD" w:rsidRPr="00116F48">
        <w:rPr>
          <w:rFonts w:ascii="Arial" w:eastAsia="Arial" w:hAnsi="Arial" w:cs="Arial"/>
          <w:sz w:val="24"/>
          <w:szCs w:val="24"/>
        </w:rPr>
        <w:t xml:space="preserve"> </w:t>
      </w:r>
      <w:r w:rsidR="000D375E" w:rsidRPr="00116F48">
        <w:rPr>
          <w:rFonts w:ascii="Arial" w:eastAsia="Arial" w:hAnsi="Arial" w:cs="Arial"/>
          <w:sz w:val="24"/>
          <w:szCs w:val="24"/>
        </w:rPr>
        <w:t>millones de pesos</w:t>
      </w:r>
      <w:r w:rsidR="000D375E" w:rsidRPr="00967568">
        <w:rPr>
          <w:rFonts w:ascii="Arial" w:eastAsia="Arial" w:hAnsi="Arial" w:cs="Arial"/>
          <w:sz w:val="24"/>
          <w:szCs w:val="24"/>
        </w:rPr>
        <w:t xml:space="preserve">), mientras que </w:t>
      </w:r>
      <w:r w:rsidR="009A2492">
        <w:rPr>
          <w:rFonts w:ascii="Arial" w:eastAsia="Arial" w:hAnsi="Arial" w:cs="Arial"/>
          <w:sz w:val="24"/>
          <w:szCs w:val="24"/>
        </w:rPr>
        <w:t>las Sociedades no financieras</w:t>
      </w:r>
      <w:r w:rsidR="000D375E" w:rsidRPr="00967568">
        <w:rPr>
          <w:rFonts w:ascii="Arial" w:eastAsia="Arial" w:hAnsi="Arial" w:cs="Arial"/>
          <w:sz w:val="24"/>
          <w:szCs w:val="24"/>
        </w:rPr>
        <w:t xml:space="preserve"> lo </w:t>
      </w:r>
      <w:r w:rsidR="00493EDC">
        <w:rPr>
          <w:rFonts w:ascii="Arial" w:eastAsia="Arial" w:hAnsi="Arial" w:cs="Arial"/>
          <w:sz w:val="24"/>
          <w:szCs w:val="24"/>
        </w:rPr>
        <w:t>hicieron</w:t>
      </w:r>
      <w:r w:rsidR="000D375E" w:rsidRPr="00967568">
        <w:rPr>
          <w:rFonts w:ascii="Arial" w:eastAsia="Arial" w:hAnsi="Arial" w:cs="Arial"/>
          <w:sz w:val="24"/>
          <w:szCs w:val="24"/>
        </w:rPr>
        <w:t xml:space="preserve"> con activos </w:t>
      </w:r>
      <w:r w:rsidR="000D375E" w:rsidRPr="00116F48">
        <w:rPr>
          <w:rFonts w:ascii="Arial" w:eastAsia="Arial" w:hAnsi="Arial" w:cs="Arial"/>
          <w:sz w:val="24"/>
          <w:szCs w:val="24"/>
        </w:rPr>
        <w:t xml:space="preserve">netos por </w:t>
      </w:r>
      <w:r w:rsidR="00AC168E">
        <w:rPr>
          <w:rFonts w:ascii="Arial" w:eastAsia="Arial" w:hAnsi="Arial" w:cs="Arial"/>
          <w:sz w:val="24"/>
          <w:szCs w:val="24"/>
        </w:rPr>
        <w:t>184.9</w:t>
      </w:r>
      <w:r w:rsidR="000D375E" w:rsidRPr="00116F48">
        <w:rPr>
          <w:rFonts w:ascii="Arial" w:eastAsia="Arial" w:hAnsi="Arial" w:cs="Arial"/>
          <w:sz w:val="24"/>
          <w:szCs w:val="24"/>
        </w:rPr>
        <w:t>% del PIB (</w:t>
      </w:r>
      <w:r w:rsidR="00AC168E">
        <w:rPr>
          <w:rFonts w:ascii="Arial" w:eastAsia="Arial" w:hAnsi="Arial" w:cs="Arial"/>
          <w:sz w:val="24"/>
          <w:szCs w:val="24"/>
        </w:rPr>
        <w:t>43,427,095</w:t>
      </w:r>
      <w:r w:rsidR="00E01564" w:rsidRPr="00116F48">
        <w:rPr>
          <w:rFonts w:ascii="Arial" w:eastAsia="Arial" w:hAnsi="Arial" w:cs="Arial"/>
          <w:sz w:val="24"/>
          <w:szCs w:val="24"/>
        </w:rPr>
        <w:t xml:space="preserve"> millones de pesos).</w:t>
      </w:r>
      <w:r w:rsidR="000D375E" w:rsidRPr="00116F48">
        <w:rPr>
          <w:rFonts w:ascii="Arial" w:eastAsia="Arial" w:hAnsi="Arial" w:cs="Arial"/>
          <w:sz w:val="24"/>
          <w:szCs w:val="24"/>
        </w:rPr>
        <w:t xml:space="preserve"> </w:t>
      </w:r>
      <w:r w:rsidR="009A2492" w:rsidRPr="00116F48">
        <w:rPr>
          <w:rFonts w:ascii="Arial" w:eastAsia="Arial" w:hAnsi="Arial" w:cs="Arial"/>
          <w:sz w:val="24"/>
          <w:szCs w:val="24"/>
        </w:rPr>
        <w:t>En el año de estudio amb</w:t>
      </w:r>
      <w:r w:rsidR="00D4205C">
        <w:rPr>
          <w:rFonts w:ascii="Arial" w:eastAsia="Arial" w:hAnsi="Arial" w:cs="Arial"/>
          <w:sz w:val="24"/>
          <w:szCs w:val="24"/>
        </w:rPr>
        <w:t xml:space="preserve">os sectores concentraron el </w:t>
      </w:r>
      <w:r w:rsidR="006861EB">
        <w:rPr>
          <w:rFonts w:ascii="Arial" w:eastAsia="Arial" w:hAnsi="Arial" w:cs="Arial"/>
          <w:sz w:val="24"/>
          <w:szCs w:val="24"/>
        </w:rPr>
        <w:t>77.4</w:t>
      </w:r>
      <w:r w:rsidR="009A2492" w:rsidRPr="00116F48">
        <w:rPr>
          <w:rFonts w:ascii="Arial" w:eastAsia="Arial" w:hAnsi="Arial" w:cs="Arial"/>
          <w:sz w:val="24"/>
          <w:szCs w:val="24"/>
        </w:rPr>
        <w:t xml:space="preserve">% del valor neto </w:t>
      </w:r>
      <w:r w:rsidR="006861EB">
        <w:rPr>
          <w:rFonts w:ascii="Arial" w:eastAsia="Arial" w:hAnsi="Arial" w:cs="Arial"/>
          <w:sz w:val="24"/>
          <w:szCs w:val="24"/>
        </w:rPr>
        <w:t xml:space="preserve">total </w:t>
      </w:r>
      <w:r w:rsidR="009A2492" w:rsidRPr="00116F48">
        <w:rPr>
          <w:rFonts w:ascii="Arial" w:eastAsia="Arial" w:hAnsi="Arial" w:cs="Arial"/>
          <w:sz w:val="24"/>
          <w:szCs w:val="24"/>
        </w:rPr>
        <w:t>de los activos del país</w:t>
      </w:r>
      <w:r w:rsidR="009A2492">
        <w:rPr>
          <w:rFonts w:ascii="Arial" w:eastAsia="Arial" w:hAnsi="Arial" w:cs="Arial"/>
          <w:sz w:val="24"/>
          <w:szCs w:val="24"/>
        </w:rPr>
        <w:t>.</w:t>
      </w:r>
    </w:p>
    <w:p w14:paraId="46D24D65" w14:textId="77777777" w:rsidR="00025F8C" w:rsidRDefault="00025F8C">
      <w:pPr>
        <w:rPr>
          <w:rFonts w:ascii="Arial" w:hAnsi="Arial" w:cs="Arial"/>
          <w:b/>
          <w:smallCaps/>
          <w:sz w:val="24"/>
        </w:rPr>
      </w:pPr>
      <w:r>
        <w:rPr>
          <w:rFonts w:ascii="Arial" w:hAnsi="Arial" w:cs="Arial"/>
          <w:b/>
          <w:smallCaps/>
          <w:sz w:val="24"/>
        </w:rPr>
        <w:br w:type="page"/>
      </w:r>
    </w:p>
    <w:p w14:paraId="0CF00964" w14:textId="77777777" w:rsidR="00047420" w:rsidRPr="00967568" w:rsidRDefault="00330A88" w:rsidP="007E2DC6">
      <w:pPr>
        <w:spacing w:before="480" w:after="0" w:line="240" w:lineRule="auto"/>
        <w:jc w:val="both"/>
        <w:rPr>
          <w:rFonts w:ascii="Arial" w:hAnsi="Arial" w:cs="Arial"/>
          <w:sz w:val="24"/>
          <w:szCs w:val="24"/>
        </w:rPr>
      </w:pPr>
      <w:r>
        <w:rPr>
          <w:rFonts w:ascii="Arial" w:hAnsi="Arial" w:cs="Arial"/>
          <w:b/>
          <w:smallCaps/>
          <w:sz w:val="24"/>
        </w:rPr>
        <w:lastRenderedPageBreak/>
        <w:t>A</w:t>
      </w:r>
      <w:r w:rsidR="00047420" w:rsidRPr="00967568">
        <w:rPr>
          <w:rFonts w:ascii="Arial" w:hAnsi="Arial" w:cs="Arial"/>
          <w:b/>
          <w:smallCaps/>
          <w:sz w:val="24"/>
        </w:rPr>
        <w:t>spectos Metodológicos</w:t>
      </w:r>
    </w:p>
    <w:p w14:paraId="6FA4F1CE" w14:textId="77777777" w:rsidR="00E56887" w:rsidRPr="00557C6D" w:rsidRDefault="00E56887" w:rsidP="00E56887">
      <w:pPr>
        <w:spacing w:before="240" w:after="0" w:line="246" w:lineRule="auto"/>
        <w:jc w:val="both"/>
        <w:rPr>
          <w:rFonts w:ascii="Arial" w:eastAsia="Arial" w:hAnsi="Arial" w:cs="Arial"/>
          <w:spacing w:val="-2"/>
          <w:sz w:val="24"/>
          <w:szCs w:val="24"/>
        </w:rPr>
      </w:pPr>
      <w:r w:rsidRPr="00557C6D">
        <w:rPr>
          <w:rFonts w:ascii="Arial" w:eastAsia="Arial" w:hAnsi="Arial" w:cs="Arial"/>
          <w:spacing w:val="-2"/>
          <w:sz w:val="24"/>
          <w:szCs w:val="24"/>
        </w:rPr>
        <w:t>Los resultados por sector institucional forman parte de un complemento informativo de las “Cuentas de bienes y servicios” por sector económico de origen que difunde el Instituto. Estos dos enfoques de la economía permiten disponer de información acerca del comportamiento real y, en la perspectiva de sectores institucionales, la vinculación de la corriente real con la financiera dentro del circuito de la economía.</w:t>
      </w:r>
    </w:p>
    <w:p w14:paraId="25DD59AF" w14:textId="77777777" w:rsidR="00E56887" w:rsidRPr="00557C6D" w:rsidRDefault="00E56887" w:rsidP="00E56887">
      <w:pPr>
        <w:spacing w:before="240" w:after="0" w:line="246" w:lineRule="auto"/>
        <w:jc w:val="both"/>
        <w:rPr>
          <w:rFonts w:ascii="Arial" w:eastAsia="Arial" w:hAnsi="Arial" w:cs="Arial"/>
          <w:spacing w:val="-2"/>
          <w:sz w:val="24"/>
          <w:szCs w:val="24"/>
        </w:rPr>
      </w:pPr>
      <w:r w:rsidRPr="00557C6D">
        <w:rPr>
          <w:rFonts w:ascii="Arial" w:eastAsia="Arial" w:hAnsi="Arial" w:cs="Arial"/>
          <w:spacing w:val="-2"/>
          <w:sz w:val="24"/>
          <w:szCs w:val="24"/>
        </w:rPr>
        <w:t>Las unidades institucionales son entidades económicas con capacidad para realizar actividades económicas y efectuar transacciones con otras, poseer activos y contraer pasivos, se agrupan en sectores institucionales en función de su naturaleza. La sectorización definida para México guarda correspondencia con la recomendada en el SCN 2008, en tanto que la subsectorización aplicada responde a la importancia económica y a la disponibilidad de información adecuada para el sistema.</w:t>
      </w:r>
    </w:p>
    <w:p w14:paraId="37C64D24" w14:textId="77777777" w:rsidR="00E56887" w:rsidRPr="00557C6D" w:rsidRDefault="00E56887" w:rsidP="007E2DC6">
      <w:pPr>
        <w:spacing w:before="280" w:after="0" w:line="246" w:lineRule="auto"/>
        <w:jc w:val="both"/>
        <w:rPr>
          <w:rFonts w:ascii="Arial" w:eastAsia="Arial" w:hAnsi="Arial" w:cs="Arial"/>
          <w:spacing w:val="-2"/>
          <w:sz w:val="24"/>
          <w:szCs w:val="24"/>
        </w:rPr>
      </w:pPr>
      <w:r w:rsidRPr="00557C6D">
        <w:rPr>
          <w:rFonts w:ascii="Arial" w:eastAsia="Arial" w:hAnsi="Arial" w:cs="Arial"/>
          <w:spacing w:val="-2"/>
          <w:sz w:val="24"/>
          <w:szCs w:val="24"/>
        </w:rPr>
        <w:t>1. Sociedades no financieras: Está conformado por las sociedades o empresas no financieras residentes en el país, incluidas las denominadas cuasisociedades que son empresas que no están constituidas en sociedad pero que funcionan como tal, es decir, su operación es en forma autónoma e independiente de sus propietarios.</w:t>
      </w:r>
    </w:p>
    <w:p w14:paraId="4D8A2B41" w14:textId="77777777" w:rsidR="00E56887" w:rsidRPr="00557C6D" w:rsidRDefault="00E56887" w:rsidP="007E2DC6">
      <w:pPr>
        <w:spacing w:before="280" w:after="0" w:line="246" w:lineRule="auto"/>
        <w:jc w:val="both"/>
        <w:rPr>
          <w:rFonts w:ascii="Arial" w:eastAsia="Arial" w:hAnsi="Arial" w:cs="Arial"/>
          <w:spacing w:val="-2"/>
          <w:sz w:val="24"/>
          <w:szCs w:val="24"/>
        </w:rPr>
      </w:pPr>
      <w:r w:rsidRPr="00557C6D">
        <w:rPr>
          <w:rFonts w:ascii="Arial" w:eastAsia="Arial" w:hAnsi="Arial" w:cs="Arial"/>
          <w:spacing w:val="-2"/>
          <w:sz w:val="24"/>
          <w:szCs w:val="24"/>
        </w:rPr>
        <w:t xml:space="preserve">La función principal de este sector es la de producir bienes y servicios no financieros para su </w:t>
      </w:r>
      <w:r>
        <w:rPr>
          <w:rFonts w:ascii="Arial" w:eastAsia="Arial" w:hAnsi="Arial" w:cs="Arial"/>
          <w:spacing w:val="-2"/>
          <w:sz w:val="24"/>
          <w:szCs w:val="24"/>
        </w:rPr>
        <w:t>venta en el</w:t>
      </w:r>
      <w:r w:rsidRPr="00557C6D">
        <w:rPr>
          <w:rFonts w:ascii="Arial" w:eastAsia="Arial" w:hAnsi="Arial" w:cs="Arial"/>
          <w:spacing w:val="-2"/>
          <w:sz w:val="24"/>
          <w:szCs w:val="24"/>
        </w:rPr>
        <w:t xml:space="preserve"> mercado. Las sociedades públicas adicionalmente pueden recibir transferencias, aportaciones y/o subsidios del Gobierno general.</w:t>
      </w:r>
    </w:p>
    <w:p w14:paraId="48AA39E6" w14:textId="77777777" w:rsidR="00E56887" w:rsidRPr="00557C6D" w:rsidRDefault="00E56887" w:rsidP="007E2DC6">
      <w:pPr>
        <w:spacing w:before="280" w:after="0" w:line="246" w:lineRule="auto"/>
        <w:jc w:val="both"/>
        <w:rPr>
          <w:rFonts w:ascii="Arial" w:eastAsia="Arial" w:hAnsi="Arial" w:cs="Arial"/>
          <w:spacing w:val="-2"/>
          <w:sz w:val="24"/>
          <w:szCs w:val="24"/>
        </w:rPr>
      </w:pPr>
      <w:r w:rsidRPr="00557C6D">
        <w:rPr>
          <w:rFonts w:ascii="Arial" w:eastAsia="Arial" w:hAnsi="Arial" w:cs="Arial"/>
          <w:spacing w:val="-2"/>
          <w:sz w:val="24"/>
          <w:szCs w:val="24"/>
        </w:rPr>
        <w:t>2. Sociedades financieras: Se conforman por las sociedades y cuasisociedades financieras, tanto de capital privado como público. Como su nombre lo indica, realizan actividades de intermediación financiera, facilitan su realización y administran carteras de riesgo. Asimismo, se incluyen las sociedades cuya función principal es asegurar y afianzar transformando riesgos individuales en colectivos mediante la constitución de reservas técnicas de seguros y cuyos “recursos” principales provienen de primas contractuales.</w:t>
      </w:r>
    </w:p>
    <w:p w14:paraId="457C0BDD" w14:textId="77777777" w:rsidR="00E56887" w:rsidRPr="00557C6D" w:rsidRDefault="00E56887" w:rsidP="007E2DC6">
      <w:pPr>
        <w:spacing w:before="280" w:after="0" w:line="246" w:lineRule="auto"/>
        <w:jc w:val="both"/>
        <w:rPr>
          <w:rFonts w:ascii="Arial" w:eastAsia="Arial" w:hAnsi="Arial" w:cs="Arial"/>
          <w:spacing w:val="-2"/>
          <w:sz w:val="24"/>
          <w:szCs w:val="24"/>
        </w:rPr>
      </w:pPr>
      <w:r w:rsidRPr="00557C6D">
        <w:rPr>
          <w:rFonts w:ascii="Arial" w:eastAsia="Arial" w:hAnsi="Arial" w:cs="Arial"/>
          <w:spacing w:val="-2"/>
          <w:sz w:val="24"/>
          <w:szCs w:val="24"/>
        </w:rPr>
        <w:t>3. Gobierno general: El tercer sector institucional corresponde al Gobierno general, cuya función principal es suministrar bienes y servicios no de mercado tanto para los individuos como para la comunidad en su conjunto, ejemplo de ello son: seguridad pública, administración de justicia, educación, salud, esparcimiento e investigación, entre otros.</w:t>
      </w:r>
    </w:p>
    <w:p w14:paraId="42DFF8EC" w14:textId="77777777" w:rsidR="00E56887" w:rsidRPr="00557C6D" w:rsidRDefault="00E56887" w:rsidP="007E2DC6">
      <w:pPr>
        <w:spacing w:before="280" w:after="0" w:line="246" w:lineRule="auto"/>
        <w:jc w:val="both"/>
        <w:rPr>
          <w:rFonts w:ascii="Arial" w:eastAsia="Arial" w:hAnsi="Arial" w:cs="Arial"/>
          <w:spacing w:val="-2"/>
          <w:sz w:val="24"/>
          <w:szCs w:val="24"/>
        </w:rPr>
      </w:pPr>
      <w:r w:rsidRPr="00557C6D">
        <w:rPr>
          <w:rFonts w:ascii="Arial" w:eastAsia="Arial" w:hAnsi="Arial" w:cs="Arial"/>
          <w:spacing w:val="-2"/>
          <w:sz w:val="24"/>
          <w:szCs w:val="24"/>
        </w:rPr>
        <w:t>El Gobierno general se subdivide en cuatro subsectores: Gobierno central, Gobierno estatal, Gobierno local y Fondos de seguridad social. Cada uno de estos subsectores se presenta desagregado para los niveles de gobierno que lo componen.</w:t>
      </w:r>
    </w:p>
    <w:p w14:paraId="255D5532" w14:textId="77777777" w:rsidR="00025F8C" w:rsidRDefault="00025F8C">
      <w:pPr>
        <w:rPr>
          <w:rFonts w:ascii="Arial" w:eastAsia="Arial" w:hAnsi="Arial" w:cs="Arial"/>
          <w:spacing w:val="-2"/>
          <w:sz w:val="24"/>
          <w:szCs w:val="24"/>
        </w:rPr>
      </w:pPr>
      <w:r>
        <w:rPr>
          <w:rFonts w:ascii="Arial" w:eastAsia="Arial" w:hAnsi="Arial" w:cs="Arial"/>
          <w:spacing w:val="-2"/>
          <w:sz w:val="24"/>
          <w:szCs w:val="24"/>
        </w:rPr>
        <w:br w:type="page"/>
      </w:r>
    </w:p>
    <w:p w14:paraId="089A2261" w14:textId="77777777" w:rsidR="00E56887" w:rsidRPr="00557C6D" w:rsidRDefault="00E56887" w:rsidP="007E2DC6">
      <w:pPr>
        <w:spacing w:before="280" w:after="0" w:line="246" w:lineRule="auto"/>
        <w:jc w:val="both"/>
        <w:rPr>
          <w:rFonts w:ascii="Arial" w:eastAsia="Arial" w:hAnsi="Arial" w:cs="Arial"/>
          <w:sz w:val="24"/>
          <w:szCs w:val="24"/>
        </w:rPr>
      </w:pPr>
      <w:r w:rsidRPr="00557C6D">
        <w:rPr>
          <w:rFonts w:ascii="Arial" w:eastAsia="Arial" w:hAnsi="Arial" w:cs="Arial"/>
          <w:spacing w:val="-2"/>
          <w:sz w:val="24"/>
          <w:szCs w:val="24"/>
        </w:rPr>
        <w:lastRenderedPageBreak/>
        <w:t>4. Hogares: En el SCN 2008 se define como una unidad institucional cuando se trata de un pequeño</w:t>
      </w:r>
      <w:r w:rsidRPr="00557C6D">
        <w:rPr>
          <w:rFonts w:ascii="Arial" w:eastAsia="Arial" w:hAnsi="Arial" w:cs="Arial"/>
          <w:spacing w:val="5"/>
          <w:sz w:val="24"/>
          <w:szCs w:val="24"/>
        </w:rPr>
        <w:t xml:space="preserve"> </w:t>
      </w:r>
      <w:r w:rsidRPr="00557C6D">
        <w:rPr>
          <w:rFonts w:ascii="Arial" w:eastAsia="Arial" w:hAnsi="Arial" w:cs="Arial"/>
          <w:spacing w:val="1"/>
          <w:sz w:val="24"/>
          <w:szCs w:val="24"/>
        </w:rPr>
        <w:t>grup</w:t>
      </w:r>
      <w:r w:rsidRPr="00557C6D">
        <w:rPr>
          <w:rFonts w:ascii="Arial" w:eastAsia="Arial" w:hAnsi="Arial" w:cs="Arial"/>
          <w:sz w:val="24"/>
          <w:szCs w:val="24"/>
        </w:rPr>
        <w:t xml:space="preserve">o </w:t>
      </w:r>
      <w:r w:rsidRPr="00557C6D">
        <w:rPr>
          <w:rFonts w:ascii="Arial" w:eastAsia="Arial" w:hAnsi="Arial" w:cs="Arial"/>
          <w:spacing w:val="1"/>
          <w:sz w:val="24"/>
          <w:szCs w:val="24"/>
        </w:rPr>
        <w:t>d</w:t>
      </w:r>
      <w:r w:rsidRPr="00557C6D">
        <w:rPr>
          <w:rFonts w:ascii="Arial" w:eastAsia="Arial" w:hAnsi="Arial" w:cs="Arial"/>
          <w:sz w:val="24"/>
          <w:szCs w:val="24"/>
        </w:rPr>
        <w:t xml:space="preserve">e </w:t>
      </w:r>
      <w:r w:rsidRPr="00557C6D">
        <w:rPr>
          <w:rFonts w:ascii="Arial" w:eastAsia="Arial" w:hAnsi="Arial" w:cs="Arial"/>
          <w:spacing w:val="1"/>
          <w:sz w:val="24"/>
          <w:szCs w:val="24"/>
        </w:rPr>
        <w:t>per</w:t>
      </w:r>
      <w:r w:rsidRPr="00557C6D">
        <w:rPr>
          <w:rFonts w:ascii="Arial" w:eastAsia="Arial" w:hAnsi="Arial" w:cs="Arial"/>
          <w:sz w:val="24"/>
          <w:szCs w:val="24"/>
        </w:rPr>
        <w:t>s</w:t>
      </w:r>
      <w:r w:rsidRPr="00557C6D">
        <w:rPr>
          <w:rFonts w:ascii="Arial" w:eastAsia="Arial" w:hAnsi="Arial" w:cs="Arial"/>
          <w:spacing w:val="1"/>
          <w:sz w:val="24"/>
          <w:szCs w:val="24"/>
        </w:rPr>
        <w:t>ona</w:t>
      </w:r>
      <w:r w:rsidRPr="00557C6D">
        <w:rPr>
          <w:rFonts w:ascii="Arial" w:eastAsia="Arial" w:hAnsi="Arial" w:cs="Arial"/>
          <w:sz w:val="24"/>
          <w:szCs w:val="24"/>
        </w:rPr>
        <w:t xml:space="preserve">s </w:t>
      </w:r>
      <w:r w:rsidRPr="00557C6D">
        <w:rPr>
          <w:rFonts w:ascii="Arial" w:eastAsia="Arial" w:hAnsi="Arial" w:cs="Arial"/>
          <w:spacing w:val="1"/>
          <w:sz w:val="24"/>
          <w:szCs w:val="24"/>
        </w:rPr>
        <w:t>qu</w:t>
      </w:r>
      <w:r w:rsidRPr="00557C6D">
        <w:rPr>
          <w:rFonts w:ascii="Arial" w:eastAsia="Arial" w:hAnsi="Arial" w:cs="Arial"/>
          <w:sz w:val="24"/>
          <w:szCs w:val="24"/>
        </w:rPr>
        <w:t>e c</w:t>
      </w:r>
      <w:r w:rsidRPr="00557C6D">
        <w:rPr>
          <w:rFonts w:ascii="Arial" w:eastAsia="Arial" w:hAnsi="Arial" w:cs="Arial"/>
          <w:spacing w:val="1"/>
          <w:sz w:val="24"/>
          <w:szCs w:val="24"/>
        </w:rPr>
        <w:t>o</w:t>
      </w:r>
      <w:r w:rsidRPr="00557C6D">
        <w:rPr>
          <w:rFonts w:ascii="Arial" w:eastAsia="Arial" w:hAnsi="Arial" w:cs="Arial"/>
          <w:spacing w:val="-8"/>
          <w:sz w:val="24"/>
          <w:szCs w:val="24"/>
        </w:rPr>
        <w:t>m</w:t>
      </w:r>
      <w:r w:rsidRPr="00557C6D">
        <w:rPr>
          <w:rFonts w:ascii="Arial" w:eastAsia="Arial" w:hAnsi="Arial" w:cs="Arial"/>
          <w:spacing w:val="1"/>
          <w:sz w:val="24"/>
          <w:szCs w:val="24"/>
        </w:rPr>
        <w:t>par</w:t>
      </w:r>
      <w:r w:rsidRPr="00557C6D">
        <w:rPr>
          <w:rFonts w:ascii="Arial" w:eastAsia="Arial" w:hAnsi="Arial" w:cs="Arial"/>
          <w:sz w:val="24"/>
          <w:szCs w:val="24"/>
        </w:rPr>
        <w:t>t</w:t>
      </w:r>
      <w:r w:rsidRPr="00557C6D">
        <w:rPr>
          <w:rFonts w:ascii="Arial" w:eastAsia="Arial" w:hAnsi="Arial" w:cs="Arial"/>
          <w:spacing w:val="1"/>
          <w:sz w:val="24"/>
          <w:szCs w:val="24"/>
        </w:rPr>
        <w:t>e</w:t>
      </w:r>
      <w:r w:rsidRPr="00557C6D">
        <w:rPr>
          <w:rFonts w:ascii="Arial" w:eastAsia="Arial" w:hAnsi="Arial" w:cs="Arial"/>
          <w:sz w:val="24"/>
          <w:szCs w:val="24"/>
        </w:rPr>
        <w:t xml:space="preserve">n </w:t>
      </w:r>
      <w:r w:rsidRPr="00557C6D">
        <w:rPr>
          <w:rFonts w:ascii="Arial" w:eastAsia="Arial" w:hAnsi="Arial" w:cs="Arial"/>
          <w:spacing w:val="4"/>
          <w:sz w:val="24"/>
          <w:szCs w:val="24"/>
        </w:rPr>
        <w:t>l</w:t>
      </w:r>
      <w:r w:rsidRPr="00557C6D">
        <w:rPr>
          <w:rFonts w:ascii="Arial" w:eastAsia="Arial" w:hAnsi="Arial" w:cs="Arial"/>
          <w:sz w:val="24"/>
          <w:szCs w:val="24"/>
        </w:rPr>
        <w:t xml:space="preserve">a </w:t>
      </w:r>
      <w:r w:rsidRPr="00557C6D">
        <w:rPr>
          <w:rFonts w:ascii="Arial" w:eastAsia="Arial" w:hAnsi="Arial" w:cs="Arial"/>
          <w:spacing w:val="-8"/>
          <w:sz w:val="24"/>
          <w:szCs w:val="24"/>
        </w:rPr>
        <w:t>m</w:t>
      </w:r>
      <w:r w:rsidRPr="00557C6D">
        <w:rPr>
          <w:rFonts w:ascii="Arial" w:eastAsia="Arial" w:hAnsi="Arial" w:cs="Arial"/>
          <w:spacing w:val="4"/>
          <w:sz w:val="24"/>
          <w:szCs w:val="24"/>
        </w:rPr>
        <w:t>i</w:t>
      </w:r>
      <w:r w:rsidRPr="00557C6D">
        <w:rPr>
          <w:rFonts w:ascii="Arial" w:eastAsia="Arial" w:hAnsi="Arial" w:cs="Arial"/>
          <w:sz w:val="24"/>
          <w:szCs w:val="24"/>
        </w:rPr>
        <w:t>s</w:t>
      </w:r>
      <w:r w:rsidRPr="00557C6D">
        <w:rPr>
          <w:rFonts w:ascii="Arial" w:eastAsia="Arial" w:hAnsi="Arial" w:cs="Arial"/>
          <w:spacing w:val="-8"/>
          <w:sz w:val="24"/>
          <w:szCs w:val="24"/>
        </w:rPr>
        <w:t>m</w:t>
      </w:r>
      <w:r w:rsidRPr="00557C6D">
        <w:rPr>
          <w:rFonts w:ascii="Arial" w:eastAsia="Arial" w:hAnsi="Arial" w:cs="Arial"/>
          <w:sz w:val="24"/>
          <w:szCs w:val="24"/>
        </w:rPr>
        <w:t>a v</w:t>
      </w:r>
      <w:r w:rsidRPr="00557C6D">
        <w:rPr>
          <w:rFonts w:ascii="Arial" w:eastAsia="Arial" w:hAnsi="Arial" w:cs="Arial"/>
          <w:spacing w:val="4"/>
          <w:sz w:val="24"/>
          <w:szCs w:val="24"/>
        </w:rPr>
        <w:t>i</w:t>
      </w:r>
      <w:r w:rsidRPr="00557C6D">
        <w:rPr>
          <w:rFonts w:ascii="Arial" w:eastAsia="Arial" w:hAnsi="Arial" w:cs="Arial"/>
          <w:sz w:val="24"/>
          <w:szCs w:val="24"/>
        </w:rPr>
        <w:t>v</w:t>
      </w:r>
      <w:r w:rsidRPr="00557C6D">
        <w:rPr>
          <w:rFonts w:ascii="Arial" w:eastAsia="Arial" w:hAnsi="Arial" w:cs="Arial"/>
          <w:spacing w:val="4"/>
          <w:sz w:val="24"/>
          <w:szCs w:val="24"/>
        </w:rPr>
        <w:t>i</w:t>
      </w:r>
      <w:r w:rsidRPr="00557C6D">
        <w:rPr>
          <w:rFonts w:ascii="Arial" w:eastAsia="Arial" w:hAnsi="Arial" w:cs="Arial"/>
          <w:spacing w:val="1"/>
          <w:sz w:val="24"/>
          <w:szCs w:val="24"/>
        </w:rPr>
        <w:t>end</w:t>
      </w:r>
      <w:r w:rsidRPr="00557C6D">
        <w:rPr>
          <w:rFonts w:ascii="Arial" w:eastAsia="Arial" w:hAnsi="Arial" w:cs="Arial"/>
          <w:sz w:val="24"/>
          <w:szCs w:val="24"/>
        </w:rPr>
        <w:t>a</w:t>
      </w:r>
      <w:r w:rsidRPr="00557C6D">
        <w:rPr>
          <w:rFonts w:ascii="Arial" w:eastAsia="Arial" w:hAnsi="Arial" w:cs="Arial"/>
          <w:spacing w:val="6"/>
          <w:sz w:val="24"/>
          <w:szCs w:val="24"/>
        </w:rPr>
        <w:t xml:space="preserve"> </w:t>
      </w:r>
      <w:r w:rsidRPr="00557C6D">
        <w:rPr>
          <w:rFonts w:ascii="Arial" w:eastAsia="Arial" w:hAnsi="Arial" w:cs="Arial"/>
          <w:sz w:val="24"/>
          <w:szCs w:val="24"/>
        </w:rPr>
        <w:t>y</w:t>
      </w:r>
      <w:r w:rsidRPr="00557C6D">
        <w:rPr>
          <w:rFonts w:ascii="Arial" w:eastAsia="Arial" w:hAnsi="Arial" w:cs="Arial"/>
          <w:spacing w:val="5"/>
          <w:sz w:val="24"/>
          <w:szCs w:val="24"/>
        </w:rPr>
        <w:t xml:space="preserve"> </w:t>
      </w:r>
      <w:r w:rsidRPr="00557C6D">
        <w:rPr>
          <w:rFonts w:ascii="Arial" w:eastAsia="Arial" w:hAnsi="Arial" w:cs="Arial"/>
          <w:spacing w:val="-5"/>
          <w:sz w:val="24"/>
          <w:szCs w:val="24"/>
        </w:rPr>
        <w:t>j</w:t>
      </w:r>
      <w:r w:rsidRPr="00557C6D">
        <w:rPr>
          <w:rFonts w:ascii="Arial" w:eastAsia="Arial" w:hAnsi="Arial" w:cs="Arial"/>
          <w:spacing w:val="1"/>
          <w:sz w:val="24"/>
          <w:szCs w:val="24"/>
        </w:rPr>
        <w:t>un</w:t>
      </w:r>
      <w:r w:rsidRPr="00557C6D">
        <w:rPr>
          <w:rFonts w:ascii="Arial" w:eastAsia="Arial" w:hAnsi="Arial" w:cs="Arial"/>
          <w:sz w:val="24"/>
          <w:szCs w:val="24"/>
        </w:rPr>
        <w:t>t</w:t>
      </w:r>
      <w:r w:rsidRPr="00557C6D">
        <w:rPr>
          <w:rFonts w:ascii="Arial" w:eastAsia="Arial" w:hAnsi="Arial" w:cs="Arial"/>
          <w:spacing w:val="1"/>
          <w:sz w:val="24"/>
          <w:szCs w:val="24"/>
        </w:rPr>
        <w:t>a</w:t>
      </w:r>
      <w:r w:rsidRPr="00557C6D">
        <w:rPr>
          <w:rFonts w:ascii="Arial" w:eastAsia="Arial" w:hAnsi="Arial" w:cs="Arial"/>
          <w:sz w:val="24"/>
          <w:szCs w:val="24"/>
        </w:rPr>
        <w:t>n</w:t>
      </w:r>
      <w:r w:rsidRPr="00557C6D">
        <w:rPr>
          <w:rFonts w:ascii="Arial" w:eastAsia="Arial" w:hAnsi="Arial" w:cs="Arial"/>
          <w:spacing w:val="6"/>
          <w:sz w:val="24"/>
          <w:szCs w:val="24"/>
        </w:rPr>
        <w:t xml:space="preserve"> </w:t>
      </w:r>
      <w:r w:rsidRPr="00557C6D">
        <w:rPr>
          <w:rFonts w:ascii="Arial" w:eastAsia="Arial" w:hAnsi="Arial" w:cs="Arial"/>
          <w:sz w:val="24"/>
          <w:szCs w:val="24"/>
        </w:rPr>
        <w:t>t</w:t>
      </w:r>
      <w:r w:rsidRPr="00557C6D">
        <w:rPr>
          <w:rFonts w:ascii="Arial" w:eastAsia="Arial" w:hAnsi="Arial" w:cs="Arial"/>
          <w:spacing w:val="1"/>
          <w:sz w:val="24"/>
          <w:szCs w:val="24"/>
        </w:rPr>
        <w:t>o</w:t>
      </w:r>
      <w:r w:rsidRPr="00557C6D">
        <w:rPr>
          <w:rFonts w:ascii="Arial" w:eastAsia="Arial" w:hAnsi="Arial" w:cs="Arial"/>
          <w:sz w:val="24"/>
          <w:szCs w:val="24"/>
        </w:rPr>
        <w:t>t</w:t>
      </w:r>
      <w:r w:rsidRPr="00557C6D">
        <w:rPr>
          <w:rFonts w:ascii="Arial" w:eastAsia="Arial" w:hAnsi="Arial" w:cs="Arial"/>
          <w:spacing w:val="1"/>
          <w:sz w:val="24"/>
          <w:szCs w:val="24"/>
        </w:rPr>
        <w:t>a</w:t>
      </w:r>
      <w:r w:rsidRPr="00557C6D">
        <w:rPr>
          <w:rFonts w:ascii="Arial" w:eastAsia="Arial" w:hAnsi="Arial" w:cs="Arial"/>
          <w:sz w:val="24"/>
          <w:szCs w:val="24"/>
        </w:rPr>
        <w:t>l</w:t>
      </w:r>
      <w:r w:rsidRPr="00557C6D">
        <w:rPr>
          <w:rFonts w:ascii="Arial" w:eastAsia="Arial" w:hAnsi="Arial" w:cs="Arial"/>
          <w:spacing w:val="4"/>
          <w:sz w:val="24"/>
          <w:szCs w:val="24"/>
        </w:rPr>
        <w:t xml:space="preserve"> </w:t>
      </w:r>
      <w:r w:rsidRPr="00557C6D">
        <w:rPr>
          <w:rFonts w:ascii="Arial" w:eastAsia="Arial" w:hAnsi="Arial" w:cs="Arial"/>
          <w:sz w:val="24"/>
          <w:szCs w:val="24"/>
        </w:rPr>
        <w:t>o</w:t>
      </w:r>
      <w:r w:rsidRPr="00557C6D">
        <w:rPr>
          <w:rFonts w:ascii="Arial" w:eastAsia="Arial" w:hAnsi="Arial" w:cs="Arial"/>
          <w:spacing w:val="1"/>
          <w:sz w:val="24"/>
          <w:szCs w:val="24"/>
        </w:rPr>
        <w:t xml:space="preserve"> par</w:t>
      </w:r>
      <w:r w:rsidRPr="00557C6D">
        <w:rPr>
          <w:rFonts w:ascii="Arial" w:eastAsia="Arial" w:hAnsi="Arial" w:cs="Arial"/>
          <w:sz w:val="24"/>
          <w:szCs w:val="24"/>
        </w:rPr>
        <w:t>c</w:t>
      </w:r>
      <w:r w:rsidRPr="00557C6D">
        <w:rPr>
          <w:rFonts w:ascii="Arial" w:eastAsia="Arial" w:hAnsi="Arial" w:cs="Arial"/>
          <w:spacing w:val="4"/>
          <w:sz w:val="24"/>
          <w:szCs w:val="24"/>
        </w:rPr>
        <w:t>i</w:t>
      </w:r>
      <w:r w:rsidRPr="00557C6D">
        <w:rPr>
          <w:rFonts w:ascii="Arial" w:eastAsia="Arial" w:hAnsi="Arial" w:cs="Arial"/>
          <w:spacing w:val="1"/>
          <w:sz w:val="24"/>
          <w:szCs w:val="24"/>
        </w:rPr>
        <w:t>a</w:t>
      </w:r>
      <w:r w:rsidRPr="00557C6D">
        <w:rPr>
          <w:rFonts w:ascii="Arial" w:eastAsia="Arial" w:hAnsi="Arial" w:cs="Arial"/>
          <w:spacing w:val="4"/>
          <w:sz w:val="24"/>
          <w:szCs w:val="24"/>
        </w:rPr>
        <w:t>l</w:t>
      </w:r>
      <w:r w:rsidRPr="00557C6D">
        <w:rPr>
          <w:rFonts w:ascii="Arial" w:eastAsia="Arial" w:hAnsi="Arial" w:cs="Arial"/>
          <w:spacing w:val="-8"/>
          <w:sz w:val="24"/>
          <w:szCs w:val="24"/>
        </w:rPr>
        <w:t>m</w:t>
      </w:r>
      <w:r w:rsidRPr="00557C6D">
        <w:rPr>
          <w:rFonts w:ascii="Arial" w:eastAsia="Arial" w:hAnsi="Arial" w:cs="Arial"/>
          <w:spacing w:val="1"/>
          <w:sz w:val="24"/>
          <w:szCs w:val="24"/>
        </w:rPr>
        <w:t>en</w:t>
      </w:r>
      <w:r w:rsidRPr="00557C6D">
        <w:rPr>
          <w:rFonts w:ascii="Arial" w:eastAsia="Arial" w:hAnsi="Arial" w:cs="Arial"/>
          <w:sz w:val="24"/>
          <w:szCs w:val="24"/>
        </w:rPr>
        <w:t>te</w:t>
      </w:r>
      <w:r w:rsidRPr="00557C6D">
        <w:rPr>
          <w:rFonts w:ascii="Arial" w:eastAsia="Arial" w:hAnsi="Arial" w:cs="Arial"/>
          <w:spacing w:val="1"/>
          <w:sz w:val="24"/>
          <w:szCs w:val="24"/>
        </w:rPr>
        <w:t xml:space="preserve"> </w:t>
      </w:r>
      <w:r w:rsidRPr="00557C6D">
        <w:rPr>
          <w:rFonts w:ascii="Arial" w:eastAsia="Arial" w:hAnsi="Arial" w:cs="Arial"/>
          <w:sz w:val="24"/>
          <w:szCs w:val="24"/>
        </w:rPr>
        <w:t>s</w:t>
      </w:r>
      <w:r w:rsidRPr="00557C6D">
        <w:rPr>
          <w:rFonts w:ascii="Arial" w:eastAsia="Arial" w:hAnsi="Arial" w:cs="Arial"/>
          <w:spacing w:val="1"/>
          <w:sz w:val="24"/>
          <w:szCs w:val="24"/>
        </w:rPr>
        <w:t>u</w:t>
      </w:r>
      <w:r w:rsidRPr="00557C6D">
        <w:rPr>
          <w:rFonts w:ascii="Arial" w:eastAsia="Arial" w:hAnsi="Arial" w:cs="Arial"/>
          <w:sz w:val="24"/>
          <w:szCs w:val="24"/>
        </w:rPr>
        <w:t xml:space="preserve">s </w:t>
      </w:r>
      <w:r w:rsidRPr="00557C6D">
        <w:rPr>
          <w:rFonts w:ascii="Arial" w:eastAsia="Arial" w:hAnsi="Arial" w:cs="Arial"/>
          <w:spacing w:val="4"/>
          <w:sz w:val="24"/>
          <w:szCs w:val="24"/>
        </w:rPr>
        <w:t>i</w:t>
      </w:r>
      <w:r w:rsidRPr="00557C6D">
        <w:rPr>
          <w:rFonts w:ascii="Arial" w:eastAsia="Arial" w:hAnsi="Arial" w:cs="Arial"/>
          <w:spacing w:val="1"/>
          <w:sz w:val="24"/>
          <w:szCs w:val="24"/>
        </w:rPr>
        <w:t>ngre</w:t>
      </w:r>
      <w:r w:rsidRPr="00557C6D">
        <w:rPr>
          <w:rFonts w:ascii="Arial" w:eastAsia="Arial" w:hAnsi="Arial" w:cs="Arial"/>
          <w:sz w:val="24"/>
          <w:szCs w:val="24"/>
        </w:rPr>
        <w:t>s</w:t>
      </w:r>
      <w:r w:rsidRPr="00557C6D">
        <w:rPr>
          <w:rFonts w:ascii="Arial" w:eastAsia="Arial" w:hAnsi="Arial" w:cs="Arial"/>
          <w:spacing w:val="1"/>
          <w:sz w:val="24"/>
          <w:szCs w:val="24"/>
        </w:rPr>
        <w:t>o</w:t>
      </w:r>
      <w:r w:rsidRPr="00557C6D">
        <w:rPr>
          <w:rFonts w:ascii="Arial" w:eastAsia="Arial" w:hAnsi="Arial" w:cs="Arial"/>
          <w:sz w:val="24"/>
          <w:szCs w:val="24"/>
        </w:rPr>
        <w:t>s y su</w:t>
      </w:r>
      <w:r w:rsidRPr="00557C6D">
        <w:rPr>
          <w:rFonts w:ascii="Arial" w:eastAsia="Arial" w:hAnsi="Arial" w:cs="Arial"/>
          <w:spacing w:val="1"/>
          <w:sz w:val="24"/>
          <w:szCs w:val="24"/>
        </w:rPr>
        <w:t xml:space="preserve"> r</w:t>
      </w:r>
      <w:r w:rsidRPr="00557C6D">
        <w:rPr>
          <w:rFonts w:ascii="Arial" w:eastAsia="Arial" w:hAnsi="Arial" w:cs="Arial"/>
          <w:spacing w:val="4"/>
          <w:sz w:val="24"/>
          <w:szCs w:val="24"/>
        </w:rPr>
        <w:t>i</w:t>
      </w:r>
      <w:r w:rsidRPr="00557C6D">
        <w:rPr>
          <w:rFonts w:ascii="Arial" w:eastAsia="Arial" w:hAnsi="Arial" w:cs="Arial"/>
          <w:spacing w:val="1"/>
          <w:sz w:val="24"/>
          <w:szCs w:val="24"/>
        </w:rPr>
        <w:t>que</w:t>
      </w:r>
      <w:r w:rsidRPr="00557C6D">
        <w:rPr>
          <w:rFonts w:ascii="Arial" w:eastAsia="Arial" w:hAnsi="Arial" w:cs="Arial"/>
          <w:sz w:val="24"/>
          <w:szCs w:val="24"/>
        </w:rPr>
        <w:t>z</w:t>
      </w:r>
      <w:r w:rsidRPr="00557C6D">
        <w:rPr>
          <w:rFonts w:ascii="Arial" w:eastAsia="Arial" w:hAnsi="Arial" w:cs="Arial"/>
          <w:spacing w:val="1"/>
          <w:sz w:val="24"/>
          <w:szCs w:val="24"/>
        </w:rPr>
        <w:t>a</w:t>
      </w:r>
      <w:r w:rsidRPr="00557C6D">
        <w:rPr>
          <w:rFonts w:ascii="Arial" w:eastAsia="Arial" w:hAnsi="Arial" w:cs="Arial"/>
          <w:sz w:val="24"/>
          <w:szCs w:val="24"/>
        </w:rPr>
        <w:t>,</w:t>
      </w:r>
      <w:r w:rsidRPr="00557C6D">
        <w:rPr>
          <w:rFonts w:ascii="Arial" w:eastAsia="Arial" w:hAnsi="Arial" w:cs="Arial"/>
          <w:spacing w:val="1"/>
          <w:sz w:val="24"/>
          <w:szCs w:val="24"/>
        </w:rPr>
        <w:t xml:space="preserve"> </w:t>
      </w:r>
      <w:r w:rsidRPr="00557C6D">
        <w:rPr>
          <w:rFonts w:ascii="Arial" w:eastAsia="Arial" w:hAnsi="Arial" w:cs="Arial"/>
          <w:sz w:val="24"/>
          <w:szCs w:val="24"/>
        </w:rPr>
        <w:t>c</w:t>
      </w:r>
      <w:r w:rsidRPr="00557C6D">
        <w:rPr>
          <w:rFonts w:ascii="Arial" w:eastAsia="Arial" w:hAnsi="Arial" w:cs="Arial"/>
          <w:spacing w:val="1"/>
          <w:sz w:val="24"/>
          <w:szCs w:val="24"/>
        </w:rPr>
        <w:t>on</w:t>
      </w:r>
      <w:r w:rsidRPr="00557C6D">
        <w:rPr>
          <w:rFonts w:ascii="Arial" w:eastAsia="Arial" w:hAnsi="Arial" w:cs="Arial"/>
          <w:sz w:val="24"/>
          <w:szCs w:val="24"/>
        </w:rPr>
        <w:t>s</w:t>
      </w:r>
      <w:r w:rsidRPr="00557C6D">
        <w:rPr>
          <w:rFonts w:ascii="Arial" w:eastAsia="Arial" w:hAnsi="Arial" w:cs="Arial"/>
          <w:spacing w:val="1"/>
          <w:sz w:val="24"/>
          <w:szCs w:val="24"/>
        </w:rPr>
        <w:t>u</w:t>
      </w:r>
      <w:r w:rsidRPr="00557C6D">
        <w:rPr>
          <w:rFonts w:ascii="Arial" w:eastAsia="Arial" w:hAnsi="Arial" w:cs="Arial"/>
          <w:spacing w:val="-8"/>
          <w:sz w:val="24"/>
          <w:szCs w:val="24"/>
        </w:rPr>
        <w:t>m</w:t>
      </w:r>
      <w:r w:rsidRPr="00557C6D">
        <w:rPr>
          <w:rFonts w:ascii="Arial" w:eastAsia="Arial" w:hAnsi="Arial" w:cs="Arial"/>
          <w:spacing w:val="4"/>
          <w:sz w:val="24"/>
          <w:szCs w:val="24"/>
        </w:rPr>
        <w:t>i</w:t>
      </w:r>
      <w:r w:rsidRPr="00557C6D">
        <w:rPr>
          <w:rFonts w:ascii="Arial" w:eastAsia="Arial" w:hAnsi="Arial" w:cs="Arial"/>
          <w:spacing w:val="1"/>
          <w:sz w:val="24"/>
          <w:szCs w:val="24"/>
        </w:rPr>
        <w:t>end</w:t>
      </w:r>
      <w:r w:rsidRPr="00557C6D">
        <w:rPr>
          <w:rFonts w:ascii="Arial" w:eastAsia="Arial" w:hAnsi="Arial" w:cs="Arial"/>
          <w:sz w:val="24"/>
          <w:szCs w:val="24"/>
        </w:rPr>
        <w:t>o c</w:t>
      </w:r>
      <w:r w:rsidRPr="00557C6D">
        <w:rPr>
          <w:rFonts w:ascii="Arial" w:eastAsia="Arial" w:hAnsi="Arial" w:cs="Arial"/>
          <w:spacing w:val="1"/>
          <w:sz w:val="24"/>
          <w:szCs w:val="24"/>
        </w:rPr>
        <w:t>o</w:t>
      </w:r>
      <w:r w:rsidRPr="00557C6D">
        <w:rPr>
          <w:rFonts w:ascii="Arial" w:eastAsia="Arial" w:hAnsi="Arial" w:cs="Arial"/>
          <w:spacing w:val="4"/>
          <w:sz w:val="24"/>
          <w:szCs w:val="24"/>
        </w:rPr>
        <w:t>l</w:t>
      </w:r>
      <w:r w:rsidRPr="00557C6D">
        <w:rPr>
          <w:rFonts w:ascii="Arial" w:eastAsia="Arial" w:hAnsi="Arial" w:cs="Arial"/>
          <w:spacing w:val="1"/>
          <w:sz w:val="24"/>
          <w:szCs w:val="24"/>
        </w:rPr>
        <w:t>e</w:t>
      </w:r>
      <w:r w:rsidRPr="00557C6D">
        <w:rPr>
          <w:rFonts w:ascii="Arial" w:eastAsia="Arial" w:hAnsi="Arial" w:cs="Arial"/>
          <w:sz w:val="24"/>
          <w:szCs w:val="24"/>
        </w:rPr>
        <w:t>ct</w:t>
      </w:r>
      <w:r w:rsidRPr="00557C6D">
        <w:rPr>
          <w:rFonts w:ascii="Arial" w:eastAsia="Arial" w:hAnsi="Arial" w:cs="Arial"/>
          <w:spacing w:val="5"/>
          <w:sz w:val="24"/>
          <w:szCs w:val="24"/>
        </w:rPr>
        <w:t>i</w:t>
      </w:r>
      <w:r w:rsidRPr="00557C6D">
        <w:rPr>
          <w:rFonts w:ascii="Arial" w:eastAsia="Arial" w:hAnsi="Arial" w:cs="Arial"/>
          <w:sz w:val="24"/>
          <w:szCs w:val="24"/>
        </w:rPr>
        <w:t>v</w:t>
      </w:r>
      <w:r w:rsidRPr="00557C6D">
        <w:rPr>
          <w:rFonts w:ascii="Arial" w:eastAsia="Arial" w:hAnsi="Arial" w:cs="Arial"/>
          <w:spacing w:val="1"/>
          <w:sz w:val="24"/>
          <w:szCs w:val="24"/>
        </w:rPr>
        <w:t>a</w:t>
      </w:r>
      <w:r w:rsidRPr="00557C6D">
        <w:rPr>
          <w:rFonts w:ascii="Arial" w:eastAsia="Arial" w:hAnsi="Arial" w:cs="Arial"/>
          <w:spacing w:val="-8"/>
          <w:sz w:val="24"/>
          <w:szCs w:val="24"/>
        </w:rPr>
        <w:t>m</w:t>
      </w:r>
      <w:r w:rsidRPr="00557C6D">
        <w:rPr>
          <w:rFonts w:ascii="Arial" w:eastAsia="Arial" w:hAnsi="Arial" w:cs="Arial"/>
          <w:spacing w:val="1"/>
          <w:sz w:val="24"/>
          <w:szCs w:val="24"/>
        </w:rPr>
        <w:t>en</w:t>
      </w:r>
      <w:r w:rsidRPr="00557C6D">
        <w:rPr>
          <w:rFonts w:ascii="Arial" w:eastAsia="Arial" w:hAnsi="Arial" w:cs="Arial"/>
          <w:sz w:val="24"/>
          <w:szCs w:val="24"/>
        </w:rPr>
        <w:t>te</w:t>
      </w:r>
      <w:r w:rsidRPr="00557C6D">
        <w:rPr>
          <w:rFonts w:ascii="Arial" w:eastAsia="Arial" w:hAnsi="Arial" w:cs="Arial"/>
          <w:spacing w:val="5"/>
          <w:sz w:val="24"/>
          <w:szCs w:val="24"/>
        </w:rPr>
        <w:t xml:space="preserve"> </w:t>
      </w:r>
      <w:r w:rsidRPr="00557C6D">
        <w:rPr>
          <w:rFonts w:ascii="Arial" w:eastAsia="Arial" w:hAnsi="Arial" w:cs="Arial"/>
          <w:spacing w:val="1"/>
          <w:sz w:val="24"/>
          <w:szCs w:val="24"/>
        </w:rPr>
        <w:t>b</w:t>
      </w:r>
      <w:r w:rsidRPr="00557C6D">
        <w:rPr>
          <w:rFonts w:ascii="Arial" w:eastAsia="Arial" w:hAnsi="Arial" w:cs="Arial"/>
          <w:spacing w:val="4"/>
          <w:sz w:val="24"/>
          <w:szCs w:val="24"/>
        </w:rPr>
        <w:t>i</w:t>
      </w:r>
      <w:r w:rsidRPr="00557C6D">
        <w:rPr>
          <w:rFonts w:ascii="Arial" w:eastAsia="Arial" w:hAnsi="Arial" w:cs="Arial"/>
          <w:spacing w:val="1"/>
          <w:sz w:val="24"/>
          <w:szCs w:val="24"/>
        </w:rPr>
        <w:t>ene</w:t>
      </w:r>
      <w:r w:rsidRPr="00557C6D">
        <w:rPr>
          <w:rFonts w:ascii="Arial" w:eastAsia="Arial" w:hAnsi="Arial" w:cs="Arial"/>
          <w:sz w:val="24"/>
          <w:szCs w:val="24"/>
        </w:rPr>
        <w:t>s</w:t>
      </w:r>
      <w:r w:rsidRPr="00557C6D">
        <w:rPr>
          <w:rFonts w:ascii="Arial" w:eastAsia="Arial" w:hAnsi="Arial" w:cs="Arial"/>
          <w:spacing w:val="5"/>
          <w:sz w:val="24"/>
          <w:szCs w:val="24"/>
        </w:rPr>
        <w:t xml:space="preserve"> </w:t>
      </w:r>
      <w:r w:rsidRPr="00557C6D">
        <w:rPr>
          <w:rFonts w:ascii="Arial" w:eastAsia="Arial" w:hAnsi="Arial" w:cs="Arial"/>
          <w:sz w:val="24"/>
          <w:szCs w:val="24"/>
        </w:rPr>
        <w:t>y s</w:t>
      </w:r>
      <w:r w:rsidRPr="00557C6D">
        <w:rPr>
          <w:rFonts w:ascii="Arial" w:eastAsia="Arial" w:hAnsi="Arial" w:cs="Arial"/>
          <w:spacing w:val="1"/>
          <w:sz w:val="24"/>
          <w:szCs w:val="24"/>
        </w:rPr>
        <w:t>er</w:t>
      </w:r>
      <w:r w:rsidRPr="00557C6D">
        <w:rPr>
          <w:rFonts w:ascii="Arial" w:eastAsia="Arial" w:hAnsi="Arial" w:cs="Arial"/>
          <w:sz w:val="24"/>
          <w:szCs w:val="24"/>
        </w:rPr>
        <w:t>v</w:t>
      </w:r>
      <w:r w:rsidRPr="00557C6D">
        <w:rPr>
          <w:rFonts w:ascii="Arial" w:eastAsia="Arial" w:hAnsi="Arial" w:cs="Arial"/>
          <w:spacing w:val="4"/>
          <w:sz w:val="24"/>
          <w:szCs w:val="24"/>
        </w:rPr>
        <w:t>i</w:t>
      </w:r>
      <w:r w:rsidRPr="00557C6D">
        <w:rPr>
          <w:rFonts w:ascii="Arial" w:eastAsia="Arial" w:hAnsi="Arial" w:cs="Arial"/>
          <w:sz w:val="24"/>
          <w:szCs w:val="24"/>
        </w:rPr>
        <w:t>c</w:t>
      </w:r>
      <w:r w:rsidRPr="00557C6D">
        <w:rPr>
          <w:rFonts w:ascii="Arial" w:eastAsia="Arial" w:hAnsi="Arial" w:cs="Arial"/>
          <w:spacing w:val="4"/>
          <w:sz w:val="24"/>
          <w:szCs w:val="24"/>
        </w:rPr>
        <w:t>i</w:t>
      </w:r>
      <w:r w:rsidRPr="00557C6D">
        <w:rPr>
          <w:rFonts w:ascii="Arial" w:eastAsia="Arial" w:hAnsi="Arial" w:cs="Arial"/>
          <w:spacing w:val="1"/>
          <w:sz w:val="24"/>
          <w:szCs w:val="24"/>
        </w:rPr>
        <w:t>o</w:t>
      </w:r>
      <w:r w:rsidRPr="00557C6D">
        <w:rPr>
          <w:rFonts w:ascii="Arial" w:eastAsia="Arial" w:hAnsi="Arial" w:cs="Arial"/>
          <w:sz w:val="24"/>
          <w:szCs w:val="24"/>
        </w:rPr>
        <w:t>s, t</w:t>
      </w:r>
      <w:r w:rsidRPr="00557C6D">
        <w:rPr>
          <w:rFonts w:ascii="Arial" w:eastAsia="Arial" w:hAnsi="Arial" w:cs="Arial"/>
          <w:spacing w:val="1"/>
          <w:sz w:val="24"/>
          <w:szCs w:val="24"/>
        </w:rPr>
        <w:t>a</w:t>
      </w:r>
      <w:r w:rsidRPr="00557C6D">
        <w:rPr>
          <w:rFonts w:ascii="Arial" w:eastAsia="Arial" w:hAnsi="Arial" w:cs="Arial"/>
          <w:spacing w:val="4"/>
          <w:sz w:val="24"/>
          <w:szCs w:val="24"/>
        </w:rPr>
        <w:t>l</w:t>
      </w:r>
      <w:r w:rsidRPr="00557C6D">
        <w:rPr>
          <w:rFonts w:ascii="Arial" w:eastAsia="Arial" w:hAnsi="Arial" w:cs="Arial"/>
          <w:spacing w:val="1"/>
          <w:sz w:val="24"/>
          <w:szCs w:val="24"/>
        </w:rPr>
        <w:t>e</w:t>
      </w:r>
      <w:r w:rsidRPr="00557C6D">
        <w:rPr>
          <w:rFonts w:ascii="Arial" w:eastAsia="Arial" w:hAnsi="Arial" w:cs="Arial"/>
          <w:sz w:val="24"/>
          <w:szCs w:val="24"/>
        </w:rPr>
        <w:t>s c</w:t>
      </w:r>
      <w:r w:rsidRPr="00557C6D">
        <w:rPr>
          <w:rFonts w:ascii="Arial" w:eastAsia="Arial" w:hAnsi="Arial" w:cs="Arial"/>
          <w:spacing w:val="1"/>
          <w:sz w:val="24"/>
          <w:szCs w:val="24"/>
        </w:rPr>
        <w:t>o</w:t>
      </w:r>
      <w:r w:rsidRPr="00557C6D">
        <w:rPr>
          <w:rFonts w:ascii="Arial" w:eastAsia="Arial" w:hAnsi="Arial" w:cs="Arial"/>
          <w:spacing w:val="-8"/>
          <w:sz w:val="24"/>
          <w:szCs w:val="24"/>
        </w:rPr>
        <w:t>m</w:t>
      </w:r>
      <w:r w:rsidRPr="00557C6D">
        <w:rPr>
          <w:rFonts w:ascii="Arial" w:eastAsia="Arial" w:hAnsi="Arial" w:cs="Arial"/>
          <w:sz w:val="24"/>
          <w:szCs w:val="24"/>
        </w:rPr>
        <w:t xml:space="preserve">o </w:t>
      </w:r>
      <w:r w:rsidRPr="00557C6D">
        <w:rPr>
          <w:rFonts w:ascii="Arial" w:eastAsia="Arial" w:hAnsi="Arial" w:cs="Arial"/>
          <w:spacing w:val="4"/>
          <w:sz w:val="24"/>
          <w:szCs w:val="24"/>
        </w:rPr>
        <w:t>l</w:t>
      </w:r>
      <w:r w:rsidRPr="00557C6D">
        <w:rPr>
          <w:rFonts w:ascii="Arial" w:eastAsia="Arial" w:hAnsi="Arial" w:cs="Arial"/>
          <w:sz w:val="24"/>
          <w:szCs w:val="24"/>
        </w:rPr>
        <w:t xml:space="preserve">a </w:t>
      </w:r>
      <w:r w:rsidRPr="00557C6D">
        <w:rPr>
          <w:rFonts w:ascii="Arial" w:eastAsia="Arial" w:hAnsi="Arial" w:cs="Arial"/>
          <w:spacing w:val="1"/>
          <w:sz w:val="24"/>
          <w:szCs w:val="24"/>
        </w:rPr>
        <w:t>a</w:t>
      </w:r>
      <w:r w:rsidRPr="00557C6D">
        <w:rPr>
          <w:rFonts w:ascii="Arial" w:eastAsia="Arial" w:hAnsi="Arial" w:cs="Arial"/>
          <w:spacing w:val="4"/>
          <w:sz w:val="24"/>
          <w:szCs w:val="24"/>
        </w:rPr>
        <w:t>li</w:t>
      </w:r>
      <w:r w:rsidRPr="00557C6D">
        <w:rPr>
          <w:rFonts w:ascii="Arial" w:eastAsia="Arial" w:hAnsi="Arial" w:cs="Arial"/>
          <w:spacing w:val="-8"/>
          <w:sz w:val="24"/>
          <w:szCs w:val="24"/>
        </w:rPr>
        <w:t>m</w:t>
      </w:r>
      <w:r w:rsidRPr="00557C6D">
        <w:rPr>
          <w:rFonts w:ascii="Arial" w:eastAsia="Arial" w:hAnsi="Arial" w:cs="Arial"/>
          <w:spacing w:val="1"/>
          <w:sz w:val="24"/>
          <w:szCs w:val="24"/>
        </w:rPr>
        <w:t>en</w:t>
      </w:r>
      <w:r w:rsidRPr="00557C6D">
        <w:rPr>
          <w:rFonts w:ascii="Arial" w:eastAsia="Arial" w:hAnsi="Arial" w:cs="Arial"/>
          <w:sz w:val="24"/>
          <w:szCs w:val="24"/>
        </w:rPr>
        <w:t>t</w:t>
      </w:r>
      <w:r w:rsidRPr="00557C6D">
        <w:rPr>
          <w:rFonts w:ascii="Arial" w:eastAsia="Arial" w:hAnsi="Arial" w:cs="Arial"/>
          <w:spacing w:val="1"/>
          <w:sz w:val="24"/>
          <w:szCs w:val="24"/>
        </w:rPr>
        <w:t>a</w:t>
      </w:r>
      <w:r w:rsidRPr="00557C6D">
        <w:rPr>
          <w:rFonts w:ascii="Arial" w:eastAsia="Arial" w:hAnsi="Arial" w:cs="Arial"/>
          <w:sz w:val="24"/>
          <w:szCs w:val="24"/>
        </w:rPr>
        <w:t>c</w:t>
      </w:r>
      <w:r w:rsidRPr="00557C6D">
        <w:rPr>
          <w:rFonts w:ascii="Arial" w:eastAsia="Arial" w:hAnsi="Arial" w:cs="Arial"/>
          <w:spacing w:val="4"/>
          <w:sz w:val="24"/>
          <w:szCs w:val="24"/>
        </w:rPr>
        <w:t>i</w:t>
      </w:r>
      <w:r w:rsidRPr="00557C6D">
        <w:rPr>
          <w:rFonts w:ascii="Arial" w:eastAsia="Arial" w:hAnsi="Arial" w:cs="Arial"/>
          <w:spacing w:val="1"/>
          <w:sz w:val="24"/>
          <w:szCs w:val="24"/>
        </w:rPr>
        <w:t>ó</w:t>
      </w:r>
      <w:r w:rsidRPr="00557C6D">
        <w:rPr>
          <w:rFonts w:ascii="Arial" w:eastAsia="Arial" w:hAnsi="Arial" w:cs="Arial"/>
          <w:sz w:val="24"/>
          <w:szCs w:val="24"/>
        </w:rPr>
        <w:t xml:space="preserve">n y </w:t>
      </w:r>
      <w:r w:rsidRPr="00557C6D">
        <w:rPr>
          <w:rFonts w:ascii="Arial" w:eastAsia="Arial" w:hAnsi="Arial" w:cs="Arial"/>
          <w:spacing w:val="1"/>
          <w:sz w:val="24"/>
          <w:szCs w:val="24"/>
        </w:rPr>
        <w:t>e</w:t>
      </w:r>
      <w:r w:rsidRPr="00557C6D">
        <w:rPr>
          <w:rFonts w:ascii="Arial" w:eastAsia="Arial" w:hAnsi="Arial" w:cs="Arial"/>
          <w:sz w:val="24"/>
          <w:szCs w:val="24"/>
        </w:rPr>
        <w:t xml:space="preserve">l </w:t>
      </w:r>
      <w:r w:rsidRPr="00557C6D">
        <w:rPr>
          <w:rFonts w:ascii="Arial" w:eastAsia="Arial" w:hAnsi="Arial" w:cs="Arial"/>
          <w:spacing w:val="1"/>
          <w:sz w:val="24"/>
          <w:szCs w:val="24"/>
        </w:rPr>
        <w:t>a</w:t>
      </w:r>
      <w:r w:rsidRPr="00557C6D">
        <w:rPr>
          <w:rFonts w:ascii="Arial" w:eastAsia="Arial" w:hAnsi="Arial" w:cs="Arial"/>
          <w:spacing w:val="4"/>
          <w:sz w:val="24"/>
          <w:szCs w:val="24"/>
        </w:rPr>
        <w:t>l</w:t>
      </w:r>
      <w:r w:rsidRPr="00557C6D">
        <w:rPr>
          <w:rFonts w:ascii="Arial" w:eastAsia="Arial" w:hAnsi="Arial" w:cs="Arial"/>
          <w:spacing w:val="1"/>
          <w:sz w:val="24"/>
          <w:szCs w:val="24"/>
        </w:rPr>
        <w:t>o</w:t>
      </w:r>
      <w:r w:rsidRPr="00557C6D">
        <w:rPr>
          <w:rFonts w:ascii="Arial" w:eastAsia="Arial" w:hAnsi="Arial" w:cs="Arial"/>
          <w:spacing w:val="-5"/>
          <w:sz w:val="24"/>
          <w:szCs w:val="24"/>
        </w:rPr>
        <w:t>j</w:t>
      </w:r>
      <w:r w:rsidRPr="00557C6D">
        <w:rPr>
          <w:rFonts w:ascii="Arial" w:eastAsia="Arial" w:hAnsi="Arial" w:cs="Arial"/>
          <w:spacing w:val="1"/>
          <w:sz w:val="24"/>
          <w:szCs w:val="24"/>
        </w:rPr>
        <w:t>a</w:t>
      </w:r>
      <w:r w:rsidRPr="00557C6D">
        <w:rPr>
          <w:rFonts w:ascii="Arial" w:eastAsia="Arial" w:hAnsi="Arial" w:cs="Arial"/>
          <w:spacing w:val="-8"/>
          <w:sz w:val="24"/>
          <w:szCs w:val="24"/>
        </w:rPr>
        <w:t>m</w:t>
      </w:r>
      <w:r w:rsidRPr="00557C6D">
        <w:rPr>
          <w:rFonts w:ascii="Arial" w:eastAsia="Arial" w:hAnsi="Arial" w:cs="Arial"/>
          <w:spacing w:val="4"/>
          <w:sz w:val="24"/>
          <w:szCs w:val="24"/>
        </w:rPr>
        <w:t>i</w:t>
      </w:r>
      <w:r w:rsidRPr="00557C6D">
        <w:rPr>
          <w:rFonts w:ascii="Arial" w:eastAsia="Arial" w:hAnsi="Arial" w:cs="Arial"/>
          <w:spacing w:val="1"/>
          <w:sz w:val="24"/>
          <w:szCs w:val="24"/>
        </w:rPr>
        <w:t>en</w:t>
      </w:r>
      <w:r w:rsidRPr="00557C6D">
        <w:rPr>
          <w:rFonts w:ascii="Arial" w:eastAsia="Arial" w:hAnsi="Arial" w:cs="Arial"/>
          <w:sz w:val="24"/>
          <w:szCs w:val="24"/>
        </w:rPr>
        <w:t>t</w:t>
      </w:r>
      <w:r w:rsidRPr="00557C6D">
        <w:rPr>
          <w:rFonts w:ascii="Arial" w:eastAsia="Arial" w:hAnsi="Arial" w:cs="Arial"/>
          <w:spacing w:val="1"/>
          <w:sz w:val="24"/>
          <w:szCs w:val="24"/>
        </w:rPr>
        <w:t>o</w:t>
      </w:r>
      <w:r w:rsidRPr="00557C6D">
        <w:rPr>
          <w:rFonts w:ascii="Arial" w:eastAsia="Arial" w:hAnsi="Arial" w:cs="Arial"/>
          <w:sz w:val="24"/>
          <w:szCs w:val="24"/>
        </w:rPr>
        <w:t>.</w:t>
      </w:r>
      <w:r w:rsidRPr="00557C6D">
        <w:rPr>
          <w:rFonts w:ascii="Arial" w:eastAsia="Arial" w:hAnsi="Arial" w:cs="Arial"/>
          <w:spacing w:val="5"/>
          <w:sz w:val="24"/>
          <w:szCs w:val="24"/>
        </w:rPr>
        <w:t xml:space="preserve"> </w:t>
      </w:r>
      <w:r w:rsidRPr="00557C6D">
        <w:rPr>
          <w:rFonts w:ascii="Arial" w:eastAsia="Arial" w:hAnsi="Arial" w:cs="Arial"/>
          <w:spacing w:val="-2"/>
          <w:sz w:val="24"/>
          <w:szCs w:val="24"/>
        </w:rPr>
        <w:t>A</w:t>
      </w:r>
      <w:r w:rsidRPr="00557C6D">
        <w:rPr>
          <w:rFonts w:ascii="Arial" w:eastAsia="Arial" w:hAnsi="Arial" w:cs="Arial"/>
          <w:spacing w:val="1"/>
          <w:sz w:val="24"/>
          <w:szCs w:val="24"/>
        </w:rPr>
        <w:t>de</w:t>
      </w:r>
      <w:r w:rsidRPr="00557C6D">
        <w:rPr>
          <w:rFonts w:ascii="Arial" w:eastAsia="Arial" w:hAnsi="Arial" w:cs="Arial"/>
          <w:spacing w:val="-8"/>
          <w:sz w:val="24"/>
          <w:szCs w:val="24"/>
        </w:rPr>
        <w:t>m</w:t>
      </w:r>
      <w:r w:rsidRPr="00557C6D">
        <w:rPr>
          <w:rFonts w:ascii="Arial" w:eastAsia="Arial" w:hAnsi="Arial" w:cs="Arial"/>
          <w:spacing w:val="1"/>
          <w:sz w:val="24"/>
          <w:szCs w:val="24"/>
        </w:rPr>
        <w:t>á</w:t>
      </w:r>
      <w:r w:rsidRPr="00557C6D">
        <w:rPr>
          <w:rFonts w:ascii="Arial" w:eastAsia="Arial" w:hAnsi="Arial" w:cs="Arial"/>
          <w:sz w:val="24"/>
          <w:szCs w:val="24"/>
        </w:rPr>
        <w:t>s</w:t>
      </w:r>
      <w:r w:rsidRPr="00557C6D">
        <w:rPr>
          <w:rFonts w:ascii="Arial" w:eastAsia="Arial" w:hAnsi="Arial" w:cs="Arial"/>
          <w:spacing w:val="5"/>
          <w:sz w:val="24"/>
          <w:szCs w:val="24"/>
        </w:rPr>
        <w:t xml:space="preserve"> </w:t>
      </w:r>
      <w:r w:rsidRPr="00557C6D">
        <w:rPr>
          <w:rFonts w:ascii="Arial" w:eastAsia="Arial" w:hAnsi="Arial" w:cs="Arial"/>
          <w:spacing w:val="1"/>
          <w:sz w:val="24"/>
          <w:szCs w:val="24"/>
        </w:rPr>
        <w:t>d</w:t>
      </w:r>
      <w:r w:rsidRPr="00557C6D">
        <w:rPr>
          <w:rFonts w:ascii="Arial" w:eastAsia="Arial" w:hAnsi="Arial" w:cs="Arial"/>
          <w:sz w:val="24"/>
          <w:szCs w:val="24"/>
        </w:rPr>
        <w:t>e</w:t>
      </w:r>
      <w:r w:rsidRPr="00557C6D">
        <w:rPr>
          <w:rFonts w:ascii="Arial" w:eastAsia="Arial" w:hAnsi="Arial" w:cs="Arial"/>
          <w:spacing w:val="6"/>
          <w:sz w:val="24"/>
          <w:szCs w:val="24"/>
        </w:rPr>
        <w:t xml:space="preserve"> </w:t>
      </w:r>
      <w:r w:rsidRPr="00557C6D">
        <w:rPr>
          <w:rFonts w:ascii="Arial" w:eastAsia="Arial" w:hAnsi="Arial" w:cs="Arial"/>
          <w:sz w:val="24"/>
          <w:szCs w:val="24"/>
        </w:rPr>
        <w:t>c</w:t>
      </w:r>
      <w:r w:rsidRPr="00557C6D">
        <w:rPr>
          <w:rFonts w:ascii="Arial" w:eastAsia="Arial" w:hAnsi="Arial" w:cs="Arial"/>
          <w:spacing w:val="1"/>
          <w:sz w:val="24"/>
          <w:szCs w:val="24"/>
        </w:rPr>
        <w:t>on</w:t>
      </w:r>
      <w:r w:rsidRPr="00557C6D">
        <w:rPr>
          <w:rFonts w:ascii="Arial" w:eastAsia="Arial" w:hAnsi="Arial" w:cs="Arial"/>
          <w:sz w:val="24"/>
          <w:szCs w:val="24"/>
        </w:rPr>
        <w:t>s</w:t>
      </w:r>
      <w:r w:rsidRPr="00557C6D">
        <w:rPr>
          <w:rFonts w:ascii="Arial" w:eastAsia="Arial" w:hAnsi="Arial" w:cs="Arial"/>
          <w:spacing w:val="1"/>
          <w:sz w:val="24"/>
          <w:szCs w:val="24"/>
        </w:rPr>
        <w:t>u</w:t>
      </w:r>
      <w:r w:rsidRPr="00557C6D">
        <w:rPr>
          <w:rFonts w:ascii="Arial" w:eastAsia="Arial" w:hAnsi="Arial" w:cs="Arial"/>
          <w:spacing w:val="-8"/>
          <w:sz w:val="24"/>
          <w:szCs w:val="24"/>
        </w:rPr>
        <w:t>m</w:t>
      </w:r>
      <w:r w:rsidRPr="00557C6D">
        <w:rPr>
          <w:rFonts w:ascii="Arial" w:eastAsia="Arial" w:hAnsi="Arial" w:cs="Arial"/>
          <w:spacing w:val="4"/>
          <w:sz w:val="24"/>
          <w:szCs w:val="24"/>
        </w:rPr>
        <w:t>i</w:t>
      </w:r>
      <w:r w:rsidRPr="00557C6D">
        <w:rPr>
          <w:rFonts w:ascii="Arial" w:eastAsia="Arial" w:hAnsi="Arial" w:cs="Arial"/>
          <w:spacing w:val="1"/>
          <w:sz w:val="24"/>
          <w:szCs w:val="24"/>
        </w:rPr>
        <w:t>dore</w:t>
      </w:r>
      <w:r w:rsidRPr="00557C6D">
        <w:rPr>
          <w:rFonts w:ascii="Arial" w:eastAsia="Arial" w:hAnsi="Arial" w:cs="Arial"/>
          <w:sz w:val="24"/>
          <w:szCs w:val="24"/>
        </w:rPr>
        <w:t>s,</w:t>
      </w:r>
      <w:r w:rsidRPr="00557C6D">
        <w:rPr>
          <w:rFonts w:ascii="Arial" w:eastAsia="Arial" w:hAnsi="Arial" w:cs="Arial"/>
          <w:spacing w:val="1"/>
          <w:sz w:val="24"/>
          <w:szCs w:val="24"/>
        </w:rPr>
        <w:t xml:space="preserve"> </w:t>
      </w:r>
      <w:r w:rsidRPr="00557C6D">
        <w:rPr>
          <w:rFonts w:ascii="Arial" w:eastAsia="Arial" w:hAnsi="Arial" w:cs="Arial"/>
          <w:spacing w:val="4"/>
          <w:sz w:val="24"/>
          <w:szCs w:val="24"/>
        </w:rPr>
        <w:t>l</w:t>
      </w:r>
      <w:r w:rsidRPr="00557C6D">
        <w:rPr>
          <w:rFonts w:ascii="Arial" w:eastAsia="Arial" w:hAnsi="Arial" w:cs="Arial"/>
          <w:spacing w:val="1"/>
          <w:sz w:val="24"/>
          <w:szCs w:val="24"/>
        </w:rPr>
        <w:t>o</w:t>
      </w:r>
      <w:r w:rsidRPr="00557C6D">
        <w:rPr>
          <w:rFonts w:ascii="Arial" w:eastAsia="Arial" w:hAnsi="Arial" w:cs="Arial"/>
          <w:sz w:val="24"/>
          <w:szCs w:val="24"/>
        </w:rPr>
        <w:t xml:space="preserve">s </w:t>
      </w:r>
      <w:r w:rsidRPr="00557C6D">
        <w:rPr>
          <w:rFonts w:ascii="Arial" w:eastAsia="Arial" w:hAnsi="Arial" w:cs="Arial"/>
          <w:spacing w:val="1"/>
          <w:sz w:val="24"/>
          <w:szCs w:val="24"/>
        </w:rPr>
        <w:t>hogare</w:t>
      </w:r>
      <w:r w:rsidRPr="00557C6D">
        <w:rPr>
          <w:rFonts w:ascii="Arial" w:eastAsia="Arial" w:hAnsi="Arial" w:cs="Arial"/>
          <w:sz w:val="24"/>
          <w:szCs w:val="24"/>
        </w:rPr>
        <w:t>s</w:t>
      </w:r>
      <w:r w:rsidRPr="00557C6D">
        <w:rPr>
          <w:rFonts w:ascii="Arial" w:eastAsia="Arial" w:hAnsi="Arial" w:cs="Arial"/>
          <w:spacing w:val="10"/>
          <w:sz w:val="24"/>
          <w:szCs w:val="24"/>
        </w:rPr>
        <w:t xml:space="preserve"> </w:t>
      </w:r>
      <w:r w:rsidRPr="00557C6D">
        <w:rPr>
          <w:rFonts w:ascii="Arial" w:eastAsia="Arial" w:hAnsi="Arial" w:cs="Arial"/>
          <w:spacing w:val="1"/>
          <w:sz w:val="24"/>
          <w:szCs w:val="24"/>
        </w:rPr>
        <w:t>puede</w:t>
      </w:r>
      <w:r w:rsidRPr="00557C6D">
        <w:rPr>
          <w:rFonts w:ascii="Arial" w:eastAsia="Arial" w:hAnsi="Arial" w:cs="Arial"/>
          <w:sz w:val="24"/>
          <w:szCs w:val="24"/>
        </w:rPr>
        <w:t>n</w:t>
      </w:r>
      <w:r w:rsidRPr="00557C6D">
        <w:rPr>
          <w:rFonts w:ascii="Arial" w:eastAsia="Arial" w:hAnsi="Arial" w:cs="Arial"/>
          <w:spacing w:val="1"/>
          <w:sz w:val="24"/>
          <w:szCs w:val="24"/>
        </w:rPr>
        <w:t xml:space="preserve"> de</w:t>
      </w:r>
      <w:r w:rsidRPr="00557C6D">
        <w:rPr>
          <w:rFonts w:ascii="Arial" w:eastAsia="Arial" w:hAnsi="Arial" w:cs="Arial"/>
          <w:sz w:val="24"/>
          <w:szCs w:val="24"/>
        </w:rPr>
        <w:t>s</w:t>
      </w:r>
      <w:r w:rsidRPr="00557C6D">
        <w:rPr>
          <w:rFonts w:ascii="Arial" w:eastAsia="Arial" w:hAnsi="Arial" w:cs="Arial"/>
          <w:spacing w:val="1"/>
          <w:sz w:val="24"/>
          <w:szCs w:val="24"/>
        </w:rPr>
        <w:t>arro</w:t>
      </w:r>
      <w:r w:rsidRPr="00557C6D">
        <w:rPr>
          <w:rFonts w:ascii="Arial" w:eastAsia="Arial" w:hAnsi="Arial" w:cs="Arial"/>
          <w:spacing w:val="4"/>
          <w:sz w:val="24"/>
          <w:szCs w:val="24"/>
        </w:rPr>
        <w:t>ll</w:t>
      </w:r>
      <w:r w:rsidRPr="00557C6D">
        <w:rPr>
          <w:rFonts w:ascii="Arial" w:eastAsia="Arial" w:hAnsi="Arial" w:cs="Arial"/>
          <w:spacing w:val="1"/>
          <w:sz w:val="24"/>
          <w:szCs w:val="24"/>
        </w:rPr>
        <w:t>a</w:t>
      </w:r>
      <w:r w:rsidRPr="00557C6D">
        <w:rPr>
          <w:rFonts w:ascii="Arial" w:eastAsia="Arial" w:hAnsi="Arial" w:cs="Arial"/>
          <w:sz w:val="24"/>
          <w:szCs w:val="24"/>
        </w:rPr>
        <w:t>r</w:t>
      </w:r>
      <w:r w:rsidRPr="00557C6D">
        <w:rPr>
          <w:rFonts w:ascii="Arial" w:eastAsia="Arial" w:hAnsi="Arial" w:cs="Arial"/>
          <w:spacing w:val="1"/>
          <w:sz w:val="24"/>
          <w:szCs w:val="24"/>
        </w:rPr>
        <w:t xml:space="preserve"> </w:t>
      </w:r>
      <w:r w:rsidRPr="00557C6D">
        <w:rPr>
          <w:rFonts w:ascii="Arial" w:eastAsia="Arial" w:hAnsi="Arial" w:cs="Arial"/>
          <w:sz w:val="24"/>
          <w:szCs w:val="24"/>
        </w:rPr>
        <w:t>c</w:t>
      </w:r>
      <w:r w:rsidRPr="00557C6D">
        <w:rPr>
          <w:rFonts w:ascii="Arial" w:eastAsia="Arial" w:hAnsi="Arial" w:cs="Arial"/>
          <w:spacing w:val="1"/>
          <w:sz w:val="24"/>
          <w:szCs w:val="24"/>
        </w:rPr>
        <w:t>ua</w:t>
      </w:r>
      <w:r w:rsidRPr="00557C6D">
        <w:rPr>
          <w:rFonts w:ascii="Arial" w:eastAsia="Arial" w:hAnsi="Arial" w:cs="Arial"/>
          <w:spacing w:val="4"/>
          <w:sz w:val="24"/>
          <w:szCs w:val="24"/>
        </w:rPr>
        <w:t>l</w:t>
      </w:r>
      <w:r w:rsidRPr="00557C6D">
        <w:rPr>
          <w:rFonts w:ascii="Arial" w:eastAsia="Arial" w:hAnsi="Arial" w:cs="Arial"/>
          <w:spacing w:val="1"/>
          <w:sz w:val="24"/>
          <w:szCs w:val="24"/>
        </w:rPr>
        <w:t>qu</w:t>
      </w:r>
      <w:r w:rsidRPr="00557C6D">
        <w:rPr>
          <w:rFonts w:ascii="Arial" w:eastAsia="Arial" w:hAnsi="Arial" w:cs="Arial"/>
          <w:spacing w:val="4"/>
          <w:sz w:val="24"/>
          <w:szCs w:val="24"/>
        </w:rPr>
        <w:t>i</w:t>
      </w:r>
      <w:r w:rsidRPr="00557C6D">
        <w:rPr>
          <w:rFonts w:ascii="Arial" w:eastAsia="Arial" w:hAnsi="Arial" w:cs="Arial"/>
          <w:spacing w:val="1"/>
          <w:sz w:val="24"/>
          <w:szCs w:val="24"/>
        </w:rPr>
        <w:t>e</w:t>
      </w:r>
      <w:r w:rsidRPr="00557C6D">
        <w:rPr>
          <w:rFonts w:ascii="Arial" w:eastAsia="Arial" w:hAnsi="Arial" w:cs="Arial"/>
          <w:sz w:val="24"/>
          <w:szCs w:val="24"/>
        </w:rPr>
        <w:t>r c</w:t>
      </w:r>
      <w:r w:rsidRPr="00557C6D">
        <w:rPr>
          <w:rFonts w:ascii="Arial" w:eastAsia="Arial" w:hAnsi="Arial" w:cs="Arial"/>
          <w:spacing w:val="4"/>
          <w:sz w:val="24"/>
          <w:szCs w:val="24"/>
        </w:rPr>
        <w:t>l</w:t>
      </w:r>
      <w:r w:rsidRPr="00557C6D">
        <w:rPr>
          <w:rFonts w:ascii="Arial" w:eastAsia="Arial" w:hAnsi="Arial" w:cs="Arial"/>
          <w:spacing w:val="1"/>
          <w:sz w:val="24"/>
          <w:szCs w:val="24"/>
        </w:rPr>
        <w:t>a</w:t>
      </w:r>
      <w:r w:rsidRPr="00557C6D">
        <w:rPr>
          <w:rFonts w:ascii="Arial" w:eastAsia="Arial" w:hAnsi="Arial" w:cs="Arial"/>
          <w:sz w:val="24"/>
          <w:szCs w:val="24"/>
        </w:rPr>
        <w:t xml:space="preserve">se </w:t>
      </w:r>
      <w:r w:rsidRPr="00557C6D">
        <w:rPr>
          <w:rFonts w:ascii="Arial" w:eastAsia="Arial" w:hAnsi="Arial" w:cs="Arial"/>
          <w:spacing w:val="1"/>
          <w:sz w:val="24"/>
          <w:szCs w:val="24"/>
        </w:rPr>
        <w:t>d</w:t>
      </w:r>
      <w:r w:rsidRPr="00557C6D">
        <w:rPr>
          <w:rFonts w:ascii="Arial" w:eastAsia="Arial" w:hAnsi="Arial" w:cs="Arial"/>
          <w:sz w:val="24"/>
          <w:szCs w:val="24"/>
        </w:rPr>
        <w:t xml:space="preserve">e </w:t>
      </w:r>
      <w:r w:rsidRPr="00557C6D">
        <w:rPr>
          <w:rFonts w:ascii="Arial" w:eastAsia="Arial" w:hAnsi="Arial" w:cs="Arial"/>
          <w:spacing w:val="1"/>
          <w:sz w:val="24"/>
          <w:szCs w:val="24"/>
        </w:rPr>
        <w:t>a</w:t>
      </w:r>
      <w:r w:rsidRPr="00557C6D">
        <w:rPr>
          <w:rFonts w:ascii="Arial" w:eastAsia="Arial" w:hAnsi="Arial" w:cs="Arial"/>
          <w:sz w:val="24"/>
          <w:szCs w:val="24"/>
        </w:rPr>
        <w:t>ct</w:t>
      </w:r>
      <w:r w:rsidRPr="00557C6D">
        <w:rPr>
          <w:rFonts w:ascii="Arial" w:eastAsia="Arial" w:hAnsi="Arial" w:cs="Arial"/>
          <w:spacing w:val="5"/>
          <w:sz w:val="24"/>
          <w:szCs w:val="24"/>
        </w:rPr>
        <w:t>i</w:t>
      </w:r>
      <w:r w:rsidRPr="00557C6D">
        <w:rPr>
          <w:rFonts w:ascii="Arial" w:eastAsia="Arial" w:hAnsi="Arial" w:cs="Arial"/>
          <w:sz w:val="24"/>
          <w:szCs w:val="24"/>
        </w:rPr>
        <w:t>v</w:t>
      </w:r>
      <w:r w:rsidRPr="00557C6D">
        <w:rPr>
          <w:rFonts w:ascii="Arial" w:eastAsia="Arial" w:hAnsi="Arial" w:cs="Arial"/>
          <w:spacing w:val="4"/>
          <w:sz w:val="24"/>
          <w:szCs w:val="24"/>
        </w:rPr>
        <w:t>i</w:t>
      </w:r>
      <w:r w:rsidRPr="00557C6D">
        <w:rPr>
          <w:rFonts w:ascii="Arial" w:eastAsia="Arial" w:hAnsi="Arial" w:cs="Arial"/>
          <w:spacing w:val="1"/>
          <w:sz w:val="24"/>
          <w:szCs w:val="24"/>
        </w:rPr>
        <w:t>da</w:t>
      </w:r>
      <w:r w:rsidRPr="00557C6D">
        <w:rPr>
          <w:rFonts w:ascii="Arial" w:eastAsia="Arial" w:hAnsi="Arial" w:cs="Arial"/>
          <w:sz w:val="24"/>
          <w:szCs w:val="24"/>
        </w:rPr>
        <w:t xml:space="preserve">d </w:t>
      </w:r>
      <w:r w:rsidRPr="00557C6D">
        <w:rPr>
          <w:rFonts w:ascii="Arial" w:eastAsia="Arial" w:hAnsi="Arial" w:cs="Arial"/>
          <w:spacing w:val="1"/>
          <w:sz w:val="24"/>
          <w:szCs w:val="24"/>
        </w:rPr>
        <w:t>e</w:t>
      </w:r>
      <w:r w:rsidRPr="00557C6D">
        <w:rPr>
          <w:rFonts w:ascii="Arial" w:eastAsia="Arial" w:hAnsi="Arial" w:cs="Arial"/>
          <w:sz w:val="24"/>
          <w:szCs w:val="24"/>
        </w:rPr>
        <w:t>c</w:t>
      </w:r>
      <w:r w:rsidRPr="00557C6D">
        <w:rPr>
          <w:rFonts w:ascii="Arial" w:eastAsia="Arial" w:hAnsi="Arial" w:cs="Arial"/>
          <w:spacing w:val="1"/>
          <w:sz w:val="24"/>
          <w:szCs w:val="24"/>
        </w:rPr>
        <w:t>onó</w:t>
      </w:r>
      <w:r w:rsidRPr="00557C6D">
        <w:rPr>
          <w:rFonts w:ascii="Arial" w:eastAsia="Arial" w:hAnsi="Arial" w:cs="Arial"/>
          <w:spacing w:val="-8"/>
          <w:sz w:val="24"/>
          <w:szCs w:val="24"/>
        </w:rPr>
        <w:t>m</w:t>
      </w:r>
      <w:r w:rsidRPr="00557C6D">
        <w:rPr>
          <w:rFonts w:ascii="Arial" w:eastAsia="Arial" w:hAnsi="Arial" w:cs="Arial"/>
          <w:spacing w:val="4"/>
          <w:sz w:val="24"/>
          <w:szCs w:val="24"/>
        </w:rPr>
        <w:t>i</w:t>
      </w:r>
      <w:r w:rsidRPr="00557C6D">
        <w:rPr>
          <w:rFonts w:ascii="Arial" w:eastAsia="Arial" w:hAnsi="Arial" w:cs="Arial"/>
          <w:sz w:val="24"/>
          <w:szCs w:val="24"/>
        </w:rPr>
        <w:t xml:space="preserve">ca </w:t>
      </w:r>
      <w:r w:rsidRPr="00557C6D">
        <w:rPr>
          <w:rFonts w:ascii="Arial" w:eastAsia="Arial" w:hAnsi="Arial" w:cs="Arial"/>
          <w:spacing w:val="1"/>
          <w:sz w:val="24"/>
          <w:szCs w:val="24"/>
        </w:rPr>
        <w:t>o</w:t>
      </w:r>
      <w:r w:rsidRPr="00557C6D">
        <w:rPr>
          <w:rFonts w:ascii="Arial" w:eastAsia="Arial" w:hAnsi="Arial" w:cs="Arial"/>
          <w:sz w:val="24"/>
          <w:szCs w:val="24"/>
        </w:rPr>
        <w:t>f</w:t>
      </w:r>
      <w:r w:rsidRPr="00557C6D">
        <w:rPr>
          <w:rFonts w:ascii="Arial" w:eastAsia="Arial" w:hAnsi="Arial" w:cs="Arial"/>
          <w:spacing w:val="1"/>
          <w:sz w:val="24"/>
          <w:szCs w:val="24"/>
        </w:rPr>
        <w:t>er</w:t>
      </w:r>
      <w:r w:rsidRPr="00557C6D">
        <w:rPr>
          <w:rFonts w:ascii="Arial" w:eastAsia="Arial" w:hAnsi="Arial" w:cs="Arial"/>
          <w:sz w:val="24"/>
          <w:szCs w:val="24"/>
        </w:rPr>
        <w:t>t</w:t>
      </w:r>
      <w:r w:rsidRPr="00557C6D">
        <w:rPr>
          <w:rFonts w:ascii="Arial" w:eastAsia="Arial" w:hAnsi="Arial" w:cs="Arial"/>
          <w:spacing w:val="1"/>
          <w:sz w:val="24"/>
          <w:szCs w:val="24"/>
        </w:rPr>
        <w:t>and</w:t>
      </w:r>
      <w:r w:rsidRPr="00557C6D">
        <w:rPr>
          <w:rFonts w:ascii="Arial" w:eastAsia="Arial" w:hAnsi="Arial" w:cs="Arial"/>
          <w:sz w:val="24"/>
          <w:szCs w:val="24"/>
        </w:rPr>
        <w:t xml:space="preserve">o su </w:t>
      </w:r>
      <w:r w:rsidRPr="00557C6D">
        <w:rPr>
          <w:rFonts w:ascii="Arial" w:eastAsia="Arial" w:hAnsi="Arial" w:cs="Arial"/>
          <w:spacing w:val="-8"/>
          <w:sz w:val="24"/>
          <w:szCs w:val="24"/>
        </w:rPr>
        <w:t>m</w:t>
      </w:r>
      <w:r w:rsidRPr="00557C6D">
        <w:rPr>
          <w:rFonts w:ascii="Arial" w:eastAsia="Arial" w:hAnsi="Arial" w:cs="Arial"/>
          <w:spacing w:val="1"/>
          <w:sz w:val="24"/>
          <w:szCs w:val="24"/>
        </w:rPr>
        <w:t>an</w:t>
      </w:r>
      <w:r w:rsidRPr="00557C6D">
        <w:rPr>
          <w:rFonts w:ascii="Arial" w:eastAsia="Arial" w:hAnsi="Arial" w:cs="Arial"/>
          <w:sz w:val="24"/>
          <w:szCs w:val="24"/>
        </w:rPr>
        <w:t xml:space="preserve">o </w:t>
      </w:r>
      <w:r w:rsidRPr="00557C6D">
        <w:rPr>
          <w:rFonts w:ascii="Arial" w:eastAsia="Arial" w:hAnsi="Arial" w:cs="Arial"/>
          <w:spacing w:val="1"/>
          <w:sz w:val="24"/>
          <w:szCs w:val="24"/>
        </w:rPr>
        <w:t>d</w:t>
      </w:r>
      <w:r w:rsidRPr="00557C6D">
        <w:rPr>
          <w:rFonts w:ascii="Arial" w:eastAsia="Arial" w:hAnsi="Arial" w:cs="Arial"/>
          <w:sz w:val="24"/>
          <w:szCs w:val="24"/>
        </w:rPr>
        <w:t xml:space="preserve">e </w:t>
      </w:r>
      <w:r w:rsidRPr="00557C6D">
        <w:rPr>
          <w:rFonts w:ascii="Arial" w:eastAsia="Arial" w:hAnsi="Arial" w:cs="Arial"/>
          <w:spacing w:val="1"/>
          <w:sz w:val="24"/>
          <w:szCs w:val="24"/>
        </w:rPr>
        <w:t>obra</w:t>
      </w:r>
      <w:r w:rsidRPr="00557C6D">
        <w:rPr>
          <w:rFonts w:ascii="Arial" w:eastAsia="Arial" w:hAnsi="Arial" w:cs="Arial"/>
          <w:sz w:val="24"/>
          <w:szCs w:val="24"/>
        </w:rPr>
        <w:t xml:space="preserve">, </w:t>
      </w:r>
      <w:r w:rsidRPr="00557C6D">
        <w:rPr>
          <w:rFonts w:ascii="Arial" w:eastAsia="Arial" w:hAnsi="Arial" w:cs="Arial"/>
          <w:spacing w:val="1"/>
          <w:sz w:val="24"/>
          <w:szCs w:val="24"/>
        </w:rPr>
        <w:t>produ</w:t>
      </w:r>
      <w:r w:rsidRPr="00557C6D">
        <w:rPr>
          <w:rFonts w:ascii="Arial" w:eastAsia="Arial" w:hAnsi="Arial" w:cs="Arial"/>
          <w:sz w:val="24"/>
          <w:szCs w:val="24"/>
        </w:rPr>
        <w:t>c</w:t>
      </w:r>
      <w:r w:rsidRPr="00557C6D">
        <w:rPr>
          <w:rFonts w:ascii="Arial" w:eastAsia="Arial" w:hAnsi="Arial" w:cs="Arial"/>
          <w:spacing w:val="4"/>
          <w:sz w:val="24"/>
          <w:szCs w:val="24"/>
        </w:rPr>
        <w:t>i</w:t>
      </w:r>
      <w:r w:rsidRPr="00557C6D">
        <w:rPr>
          <w:rFonts w:ascii="Arial" w:eastAsia="Arial" w:hAnsi="Arial" w:cs="Arial"/>
          <w:spacing w:val="1"/>
          <w:sz w:val="24"/>
          <w:szCs w:val="24"/>
        </w:rPr>
        <w:t>end</w:t>
      </w:r>
      <w:r w:rsidRPr="00557C6D">
        <w:rPr>
          <w:rFonts w:ascii="Arial" w:eastAsia="Arial" w:hAnsi="Arial" w:cs="Arial"/>
          <w:sz w:val="24"/>
          <w:szCs w:val="24"/>
        </w:rPr>
        <w:t>o a t</w:t>
      </w:r>
      <w:r w:rsidRPr="00557C6D">
        <w:rPr>
          <w:rFonts w:ascii="Arial" w:eastAsia="Arial" w:hAnsi="Arial" w:cs="Arial"/>
          <w:spacing w:val="2"/>
          <w:sz w:val="24"/>
          <w:szCs w:val="24"/>
        </w:rPr>
        <w:t>r</w:t>
      </w:r>
      <w:r w:rsidRPr="00557C6D">
        <w:rPr>
          <w:rFonts w:ascii="Arial" w:eastAsia="Arial" w:hAnsi="Arial" w:cs="Arial"/>
          <w:spacing w:val="1"/>
          <w:sz w:val="24"/>
          <w:szCs w:val="24"/>
        </w:rPr>
        <w:t>a</w:t>
      </w:r>
      <w:r w:rsidRPr="00557C6D">
        <w:rPr>
          <w:rFonts w:ascii="Arial" w:eastAsia="Arial" w:hAnsi="Arial" w:cs="Arial"/>
          <w:sz w:val="24"/>
          <w:szCs w:val="24"/>
        </w:rPr>
        <w:t>v</w:t>
      </w:r>
      <w:r w:rsidRPr="00557C6D">
        <w:rPr>
          <w:rFonts w:ascii="Arial" w:eastAsia="Arial" w:hAnsi="Arial" w:cs="Arial"/>
          <w:spacing w:val="1"/>
          <w:sz w:val="24"/>
          <w:szCs w:val="24"/>
        </w:rPr>
        <w:t>é</w:t>
      </w:r>
      <w:r w:rsidRPr="00557C6D">
        <w:rPr>
          <w:rFonts w:ascii="Arial" w:eastAsia="Arial" w:hAnsi="Arial" w:cs="Arial"/>
          <w:sz w:val="24"/>
          <w:szCs w:val="24"/>
        </w:rPr>
        <w:t xml:space="preserve">s </w:t>
      </w:r>
      <w:r w:rsidRPr="00557C6D">
        <w:rPr>
          <w:rFonts w:ascii="Arial" w:eastAsia="Arial" w:hAnsi="Arial" w:cs="Arial"/>
          <w:spacing w:val="1"/>
          <w:sz w:val="24"/>
          <w:szCs w:val="24"/>
        </w:rPr>
        <w:t>d</w:t>
      </w:r>
      <w:r w:rsidRPr="00557C6D">
        <w:rPr>
          <w:rFonts w:ascii="Arial" w:eastAsia="Arial" w:hAnsi="Arial" w:cs="Arial"/>
          <w:sz w:val="24"/>
          <w:szCs w:val="24"/>
        </w:rPr>
        <w:t>e</w:t>
      </w:r>
      <w:r w:rsidRPr="00557C6D">
        <w:rPr>
          <w:rFonts w:ascii="Arial" w:eastAsia="Arial" w:hAnsi="Arial" w:cs="Arial"/>
          <w:spacing w:val="6"/>
          <w:sz w:val="24"/>
          <w:szCs w:val="24"/>
        </w:rPr>
        <w:t xml:space="preserve"> </w:t>
      </w:r>
      <w:r w:rsidRPr="00557C6D">
        <w:rPr>
          <w:rFonts w:ascii="Arial" w:eastAsia="Arial" w:hAnsi="Arial" w:cs="Arial"/>
          <w:spacing w:val="1"/>
          <w:sz w:val="24"/>
          <w:szCs w:val="24"/>
        </w:rPr>
        <w:t>e</w:t>
      </w:r>
      <w:r w:rsidRPr="00557C6D">
        <w:rPr>
          <w:rFonts w:ascii="Arial" w:eastAsia="Arial" w:hAnsi="Arial" w:cs="Arial"/>
          <w:spacing w:val="-8"/>
          <w:sz w:val="24"/>
          <w:szCs w:val="24"/>
        </w:rPr>
        <w:t>m</w:t>
      </w:r>
      <w:r w:rsidRPr="00557C6D">
        <w:rPr>
          <w:rFonts w:ascii="Arial" w:eastAsia="Arial" w:hAnsi="Arial" w:cs="Arial"/>
          <w:spacing w:val="1"/>
          <w:sz w:val="24"/>
          <w:szCs w:val="24"/>
        </w:rPr>
        <w:t>pre</w:t>
      </w:r>
      <w:r w:rsidRPr="00557C6D">
        <w:rPr>
          <w:rFonts w:ascii="Arial" w:eastAsia="Arial" w:hAnsi="Arial" w:cs="Arial"/>
          <w:sz w:val="24"/>
          <w:szCs w:val="24"/>
        </w:rPr>
        <w:t>s</w:t>
      </w:r>
      <w:r w:rsidRPr="00557C6D">
        <w:rPr>
          <w:rFonts w:ascii="Arial" w:eastAsia="Arial" w:hAnsi="Arial" w:cs="Arial"/>
          <w:spacing w:val="1"/>
          <w:sz w:val="24"/>
          <w:szCs w:val="24"/>
        </w:rPr>
        <w:t>a</w:t>
      </w:r>
      <w:r w:rsidRPr="00557C6D">
        <w:rPr>
          <w:rFonts w:ascii="Arial" w:eastAsia="Arial" w:hAnsi="Arial" w:cs="Arial"/>
          <w:sz w:val="24"/>
          <w:szCs w:val="24"/>
        </w:rPr>
        <w:t>s</w:t>
      </w:r>
      <w:r w:rsidRPr="00557C6D">
        <w:rPr>
          <w:rFonts w:ascii="Arial" w:eastAsia="Arial" w:hAnsi="Arial" w:cs="Arial"/>
          <w:spacing w:val="5"/>
          <w:sz w:val="24"/>
          <w:szCs w:val="24"/>
        </w:rPr>
        <w:t xml:space="preserve"> </w:t>
      </w:r>
      <w:r w:rsidRPr="00557C6D">
        <w:rPr>
          <w:rFonts w:ascii="Arial" w:eastAsia="Arial" w:hAnsi="Arial" w:cs="Arial"/>
          <w:spacing w:val="1"/>
          <w:sz w:val="24"/>
          <w:szCs w:val="24"/>
        </w:rPr>
        <w:t>prop</w:t>
      </w:r>
      <w:r w:rsidRPr="00557C6D">
        <w:rPr>
          <w:rFonts w:ascii="Arial" w:eastAsia="Arial" w:hAnsi="Arial" w:cs="Arial"/>
          <w:spacing w:val="4"/>
          <w:sz w:val="24"/>
          <w:szCs w:val="24"/>
        </w:rPr>
        <w:t>i</w:t>
      </w:r>
      <w:r w:rsidRPr="00557C6D">
        <w:rPr>
          <w:rFonts w:ascii="Arial" w:eastAsia="Arial" w:hAnsi="Arial" w:cs="Arial"/>
          <w:spacing w:val="1"/>
          <w:sz w:val="24"/>
          <w:szCs w:val="24"/>
        </w:rPr>
        <w:t>a</w:t>
      </w:r>
      <w:r w:rsidRPr="00557C6D">
        <w:rPr>
          <w:rFonts w:ascii="Arial" w:eastAsia="Arial" w:hAnsi="Arial" w:cs="Arial"/>
          <w:sz w:val="24"/>
          <w:szCs w:val="24"/>
        </w:rPr>
        <w:t>s</w:t>
      </w:r>
      <w:r w:rsidRPr="00557C6D">
        <w:rPr>
          <w:rFonts w:ascii="Arial" w:eastAsia="Arial" w:hAnsi="Arial" w:cs="Arial"/>
          <w:spacing w:val="5"/>
          <w:sz w:val="24"/>
          <w:szCs w:val="24"/>
        </w:rPr>
        <w:t xml:space="preserve"> </w:t>
      </w:r>
      <w:r w:rsidRPr="00557C6D">
        <w:rPr>
          <w:rFonts w:ascii="Arial" w:eastAsia="Arial" w:hAnsi="Arial" w:cs="Arial"/>
          <w:spacing w:val="1"/>
          <w:sz w:val="24"/>
          <w:szCs w:val="24"/>
        </w:rPr>
        <w:t>qu</w:t>
      </w:r>
      <w:r w:rsidRPr="00557C6D">
        <w:rPr>
          <w:rFonts w:ascii="Arial" w:eastAsia="Arial" w:hAnsi="Arial" w:cs="Arial"/>
          <w:sz w:val="24"/>
          <w:szCs w:val="24"/>
        </w:rPr>
        <w:t>e</w:t>
      </w:r>
      <w:r w:rsidRPr="00557C6D">
        <w:rPr>
          <w:rFonts w:ascii="Arial" w:eastAsia="Arial" w:hAnsi="Arial" w:cs="Arial"/>
          <w:spacing w:val="6"/>
          <w:sz w:val="24"/>
          <w:szCs w:val="24"/>
        </w:rPr>
        <w:t xml:space="preserve"> </w:t>
      </w:r>
      <w:r w:rsidRPr="00557C6D">
        <w:rPr>
          <w:rFonts w:ascii="Arial" w:eastAsia="Arial" w:hAnsi="Arial" w:cs="Arial"/>
          <w:spacing w:val="1"/>
          <w:sz w:val="24"/>
          <w:szCs w:val="24"/>
        </w:rPr>
        <w:t>n</w:t>
      </w:r>
      <w:r w:rsidRPr="00557C6D">
        <w:rPr>
          <w:rFonts w:ascii="Arial" w:eastAsia="Arial" w:hAnsi="Arial" w:cs="Arial"/>
          <w:sz w:val="24"/>
          <w:szCs w:val="24"/>
        </w:rPr>
        <w:t>o</w:t>
      </w:r>
      <w:r w:rsidRPr="00557C6D">
        <w:rPr>
          <w:rFonts w:ascii="Arial" w:eastAsia="Arial" w:hAnsi="Arial" w:cs="Arial"/>
          <w:spacing w:val="6"/>
          <w:sz w:val="24"/>
          <w:szCs w:val="24"/>
        </w:rPr>
        <w:t xml:space="preserve"> </w:t>
      </w:r>
      <w:r w:rsidRPr="00557C6D">
        <w:rPr>
          <w:rFonts w:ascii="Arial" w:eastAsia="Arial" w:hAnsi="Arial" w:cs="Arial"/>
          <w:spacing w:val="1"/>
          <w:sz w:val="24"/>
          <w:szCs w:val="24"/>
        </w:rPr>
        <w:t>e</w:t>
      </w:r>
      <w:r w:rsidRPr="00557C6D">
        <w:rPr>
          <w:rFonts w:ascii="Arial" w:eastAsia="Arial" w:hAnsi="Arial" w:cs="Arial"/>
          <w:sz w:val="24"/>
          <w:szCs w:val="24"/>
        </w:rPr>
        <w:t>st</w:t>
      </w:r>
      <w:r w:rsidRPr="00557C6D">
        <w:rPr>
          <w:rFonts w:ascii="Arial" w:eastAsia="Arial" w:hAnsi="Arial" w:cs="Arial"/>
          <w:spacing w:val="1"/>
          <w:sz w:val="24"/>
          <w:szCs w:val="24"/>
        </w:rPr>
        <w:t>é</w:t>
      </w:r>
      <w:r w:rsidRPr="00557C6D">
        <w:rPr>
          <w:rFonts w:ascii="Arial" w:eastAsia="Arial" w:hAnsi="Arial" w:cs="Arial"/>
          <w:sz w:val="24"/>
          <w:szCs w:val="24"/>
        </w:rPr>
        <w:t>n</w:t>
      </w:r>
      <w:r w:rsidRPr="00557C6D">
        <w:rPr>
          <w:rFonts w:ascii="Arial" w:eastAsia="Arial" w:hAnsi="Arial" w:cs="Arial"/>
          <w:spacing w:val="1"/>
          <w:sz w:val="24"/>
          <w:szCs w:val="24"/>
        </w:rPr>
        <w:t xml:space="preserve"> </w:t>
      </w:r>
      <w:r w:rsidRPr="00557C6D">
        <w:rPr>
          <w:rFonts w:ascii="Arial" w:eastAsia="Arial" w:hAnsi="Arial" w:cs="Arial"/>
          <w:sz w:val="24"/>
          <w:szCs w:val="24"/>
        </w:rPr>
        <w:t>c</w:t>
      </w:r>
      <w:r w:rsidRPr="00557C6D">
        <w:rPr>
          <w:rFonts w:ascii="Arial" w:eastAsia="Arial" w:hAnsi="Arial" w:cs="Arial"/>
          <w:spacing w:val="1"/>
          <w:sz w:val="24"/>
          <w:szCs w:val="24"/>
        </w:rPr>
        <w:t>on</w:t>
      </w:r>
      <w:r w:rsidRPr="00557C6D">
        <w:rPr>
          <w:rFonts w:ascii="Arial" w:eastAsia="Arial" w:hAnsi="Arial" w:cs="Arial"/>
          <w:sz w:val="24"/>
          <w:szCs w:val="24"/>
        </w:rPr>
        <w:t>st</w:t>
      </w:r>
      <w:r w:rsidRPr="00557C6D">
        <w:rPr>
          <w:rFonts w:ascii="Arial" w:eastAsia="Arial" w:hAnsi="Arial" w:cs="Arial"/>
          <w:spacing w:val="5"/>
          <w:sz w:val="24"/>
          <w:szCs w:val="24"/>
        </w:rPr>
        <w:t>i</w:t>
      </w:r>
      <w:r w:rsidRPr="00557C6D">
        <w:rPr>
          <w:rFonts w:ascii="Arial" w:eastAsia="Arial" w:hAnsi="Arial" w:cs="Arial"/>
          <w:sz w:val="24"/>
          <w:szCs w:val="24"/>
        </w:rPr>
        <w:t>t</w:t>
      </w:r>
      <w:r w:rsidRPr="00557C6D">
        <w:rPr>
          <w:rFonts w:ascii="Arial" w:eastAsia="Arial" w:hAnsi="Arial" w:cs="Arial"/>
          <w:spacing w:val="1"/>
          <w:sz w:val="24"/>
          <w:szCs w:val="24"/>
        </w:rPr>
        <w:t>u</w:t>
      </w:r>
      <w:r w:rsidRPr="00557C6D">
        <w:rPr>
          <w:rFonts w:ascii="Arial" w:eastAsia="Arial" w:hAnsi="Arial" w:cs="Arial"/>
          <w:spacing w:val="4"/>
          <w:sz w:val="24"/>
          <w:szCs w:val="24"/>
        </w:rPr>
        <w:t>i</w:t>
      </w:r>
      <w:r w:rsidRPr="00557C6D">
        <w:rPr>
          <w:rFonts w:ascii="Arial" w:eastAsia="Arial" w:hAnsi="Arial" w:cs="Arial"/>
          <w:spacing w:val="1"/>
          <w:sz w:val="24"/>
          <w:szCs w:val="24"/>
        </w:rPr>
        <w:t>da</w:t>
      </w:r>
      <w:r w:rsidRPr="00557C6D">
        <w:rPr>
          <w:rFonts w:ascii="Arial" w:eastAsia="Arial" w:hAnsi="Arial" w:cs="Arial"/>
          <w:sz w:val="24"/>
          <w:szCs w:val="24"/>
        </w:rPr>
        <w:t xml:space="preserve">s </w:t>
      </w:r>
      <w:r w:rsidRPr="00557C6D">
        <w:rPr>
          <w:rFonts w:ascii="Arial" w:eastAsia="Arial" w:hAnsi="Arial" w:cs="Arial"/>
          <w:spacing w:val="1"/>
          <w:sz w:val="24"/>
          <w:szCs w:val="24"/>
        </w:rPr>
        <w:t>e</w:t>
      </w:r>
      <w:r w:rsidRPr="00557C6D">
        <w:rPr>
          <w:rFonts w:ascii="Arial" w:eastAsia="Arial" w:hAnsi="Arial" w:cs="Arial"/>
          <w:sz w:val="24"/>
          <w:szCs w:val="24"/>
        </w:rPr>
        <w:t>n</w:t>
      </w:r>
      <w:r w:rsidRPr="00557C6D">
        <w:rPr>
          <w:rFonts w:ascii="Arial" w:eastAsia="Arial" w:hAnsi="Arial" w:cs="Arial"/>
          <w:spacing w:val="1"/>
          <w:sz w:val="24"/>
          <w:szCs w:val="24"/>
        </w:rPr>
        <w:t xml:space="preserve"> </w:t>
      </w:r>
      <w:r w:rsidRPr="00557C6D">
        <w:rPr>
          <w:rFonts w:ascii="Arial" w:eastAsia="Arial" w:hAnsi="Arial" w:cs="Arial"/>
          <w:sz w:val="24"/>
          <w:szCs w:val="24"/>
        </w:rPr>
        <w:t>s</w:t>
      </w:r>
      <w:r w:rsidRPr="00557C6D">
        <w:rPr>
          <w:rFonts w:ascii="Arial" w:eastAsia="Arial" w:hAnsi="Arial" w:cs="Arial"/>
          <w:spacing w:val="1"/>
          <w:sz w:val="24"/>
          <w:szCs w:val="24"/>
        </w:rPr>
        <w:t>o</w:t>
      </w:r>
      <w:r w:rsidRPr="00557C6D">
        <w:rPr>
          <w:rFonts w:ascii="Arial" w:eastAsia="Arial" w:hAnsi="Arial" w:cs="Arial"/>
          <w:sz w:val="24"/>
          <w:szCs w:val="24"/>
        </w:rPr>
        <w:t>c</w:t>
      </w:r>
      <w:r w:rsidRPr="00557C6D">
        <w:rPr>
          <w:rFonts w:ascii="Arial" w:eastAsia="Arial" w:hAnsi="Arial" w:cs="Arial"/>
          <w:spacing w:val="4"/>
          <w:sz w:val="24"/>
          <w:szCs w:val="24"/>
        </w:rPr>
        <w:t>i</w:t>
      </w:r>
      <w:r w:rsidRPr="00557C6D">
        <w:rPr>
          <w:rFonts w:ascii="Arial" w:eastAsia="Arial" w:hAnsi="Arial" w:cs="Arial"/>
          <w:spacing w:val="1"/>
          <w:sz w:val="24"/>
          <w:szCs w:val="24"/>
        </w:rPr>
        <w:t>eda</w:t>
      </w:r>
      <w:r w:rsidRPr="00557C6D">
        <w:rPr>
          <w:rFonts w:ascii="Arial" w:eastAsia="Arial" w:hAnsi="Arial" w:cs="Arial"/>
          <w:sz w:val="24"/>
          <w:szCs w:val="24"/>
        </w:rPr>
        <w:t>d</w:t>
      </w:r>
      <w:r w:rsidRPr="00557C6D">
        <w:rPr>
          <w:rFonts w:ascii="Arial" w:eastAsia="Arial" w:hAnsi="Arial" w:cs="Arial"/>
          <w:spacing w:val="1"/>
          <w:sz w:val="24"/>
          <w:szCs w:val="24"/>
        </w:rPr>
        <w:t xml:space="preserve"> </w:t>
      </w:r>
      <w:r w:rsidRPr="00557C6D">
        <w:rPr>
          <w:rFonts w:ascii="Arial" w:eastAsia="Arial" w:hAnsi="Arial" w:cs="Arial"/>
          <w:sz w:val="24"/>
          <w:szCs w:val="24"/>
        </w:rPr>
        <w:t>o</w:t>
      </w:r>
      <w:r w:rsidRPr="00557C6D">
        <w:rPr>
          <w:rFonts w:ascii="Arial" w:eastAsia="Arial" w:hAnsi="Arial" w:cs="Arial"/>
          <w:spacing w:val="1"/>
          <w:sz w:val="24"/>
          <w:szCs w:val="24"/>
        </w:rPr>
        <w:t xml:space="preserve"> per</w:t>
      </w:r>
      <w:r w:rsidRPr="00557C6D">
        <w:rPr>
          <w:rFonts w:ascii="Arial" w:eastAsia="Arial" w:hAnsi="Arial" w:cs="Arial"/>
          <w:sz w:val="24"/>
          <w:szCs w:val="24"/>
        </w:rPr>
        <w:t>c</w:t>
      </w:r>
      <w:r w:rsidRPr="00557C6D">
        <w:rPr>
          <w:rFonts w:ascii="Arial" w:eastAsia="Arial" w:hAnsi="Arial" w:cs="Arial"/>
          <w:spacing w:val="4"/>
          <w:sz w:val="24"/>
          <w:szCs w:val="24"/>
        </w:rPr>
        <w:t>i</w:t>
      </w:r>
      <w:r w:rsidRPr="00557C6D">
        <w:rPr>
          <w:rFonts w:ascii="Arial" w:eastAsia="Arial" w:hAnsi="Arial" w:cs="Arial"/>
          <w:spacing w:val="1"/>
          <w:sz w:val="24"/>
          <w:szCs w:val="24"/>
        </w:rPr>
        <w:t>b</w:t>
      </w:r>
      <w:r w:rsidRPr="00557C6D">
        <w:rPr>
          <w:rFonts w:ascii="Arial" w:eastAsia="Arial" w:hAnsi="Arial" w:cs="Arial"/>
          <w:spacing w:val="4"/>
          <w:sz w:val="24"/>
          <w:szCs w:val="24"/>
        </w:rPr>
        <w:t>i</w:t>
      </w:r>
      <w:r w:rsidRPr="00557C6D">
        <w:rPr>
          <w:rFonts w:ascii="Arial" w:eastAsia="Arial" w:hAnsi="Arial" w:cs="Arial"/>
          <w:spacing w:val="1"/>
          <w:sz w:val="24"/>
          <w:szCs w:val="24"/>
        </w:rPr>
        <w:t>end</w:t>
      </w:r>
      <w:r w:rsidRPr="00557C6D">
        <w:rPr>
          <w:rFonts w:ascii="Arial" w:eastAsia="Arial" w:hAnsi="Arial" w:cs="Arial"/>
          <w:sz w:val="24"/>
          <w:szCs w:val="24"/>
        </w:rPr>
        <w:t xml:space="preserve">o </w:t>
      </w:r>
      <w:r w:rsidRPr="00557C6D">
        <w:rPr>
          <w:rFonts w:ascii="Arial" w:eastAsia="Arial" w:hAnsi="Arial" w:cs="Arial"/>
          <w:spacing w:val="1"/>
          <w:sz w:val="24"/>
          <w:szCs w:val="24"/>
        </w:rPr>
        <w:t>ren</w:t>
      </w:r>
      <w:r w:rsidRPr="00557C6D">
        <w:rPr>
          <w:rFonts w:ascii="Arial" w:eastAsia="Arial" w:hAnsi="Arial" w:cs="Arial"/>
          <w:sz w:val="24"/>
          <w:szCs w:val="24"/>
        </w:rPr>
        <w:t>t</w:t>
      </w:r>
      <w:r w:rsidRPr="00557C6D">
        <w:rPr>
          <w:rFonts w:ascii="Arial" w:eastAsia="Arial" w:hAnsi="Arial" w:cs="Arial"/>
          <w:spacing w:val="1"/>
          <w:sz w:val="24"/>
          <w:szCs w:val="24"/>
        </w:rPr>
        <w:t>a</w:t>
      </w:r>
      <w:r w:rsidRPr="00557C6D">
        <w:rPr>
          <w:rFonts w:ascii="Arial" w:eastAsia="Arial" w:hAnsi="Arial" w:cs="Arial"/>
          <w:sz w:val="24"/>
          <w:szCs w:val="24"/>
        </w:rPr>
        <w:t xml:space="preserve">s </w:t>
      </w:r>
      <w:r w:rsidRPr="00557C6D">
        <w:rPr>
          <w:rFonts w:ascii="Arial" w:eastAsia="Arial" w:hAnsi="Arial" w:cs="Arial"/>
          <w:spacing w:val="1"/>
          <w:sz w:val="24"/>
          <w:szCs w:val="24"/>
        </w:rPr>
        <w:t>d</w:t>
      </w:r>
      <w:r w:rsidRPr="00557C6D">
        <w:rPr>
          <w:rFonts w:ascii="Arial" w:eastAsia="Arial" w:hAnsi="Arial" w:cs="Arial"/>
          <w:spacing w:val="4"/>
          <w:sz w:val="24"/>
          <w:szCs w:val="24"/>
        </w:rPr>
        <w:t>i</w:t>
      </w:r>
      <w:r w:rsidRPr="00557C6D">
        <w:rPr>
          <w:rFonts w:ascii="Arial" w:eastAsia="Arial" w:hAnsi="Arial" w:cs="Arial"/>
          <w:sz w:val="24"/>
          <w:szCs w:val="24"/>
        </w:rPr>
        <w:t>v</w:t>
      </w:r>
      <w:r w:rsidRPr="00557C6D">
        <w:rPr>
          <w:rFonts w:ascii="Arial" w:eastAsia="Arial" w:hAnsi="Arial" w:cs="Arial"/>
          <w:spacing w:val="1"/>
          <w:sz w:val="24"/>
          <w:szCs w:val="24"/>
        </w:rPr>
        <w:t>er</w:t>
      </w:r>
      <w:r w:rsidRPr="00557C6D">
        <w:rPr>
          <w:rFonts w:ascii="Arial" w:eastAsia="Arial" w:hAnsi="Arial" w:cs="Arial"/>
          <w:sz w:val="24"/>
          <w:szCs w:val="24"/>
        </w:rPr>
        <w:t>s</w:t>
      </w:r>
      <w:r w:rsidRPr="00557C6D">
        <w:rPr>
          <w:rFonts w:ascii="Arial" w:eastAsia="Arial" w:hAnsi="Arial" w:cs="Arial"/>
          <w:spacing w:val="1"/>
          <w:sz w:val="24"/>
          <w:szCs w:val="24"/>
        </w:rPr>
        <w:t>a</w:t>
      </w:r>
      <w:r w:rsidRPr="00557C6D">
        <w:rPr>
          <w:rFonts w:ascii="Arial" w:eastAsia="Arial" w:hAnsi="Arial" w:cs="Arial"/>
          <w:sz w:val="24"/>
          <w:szCs w:val="24"/>
        </w:rPr>
        <w:t>s.</w:t>
      </w:r>
    </w:p>
    <w:p w14:paraId="1C259418" w14:textId="77777777" w:rsidR="00E56887" w:rsidRPr="00557C6D" w:rsidRDefault="00E56887" w:rsidP="007E2DC6">
      <w:pPr>
        <w:spacing w:before="320" w:after="0" w:line="246" w:lineRule="auto"/>
        <w:jc w:val="both"/>
        <w:rPr>
          <w:rFonts w:ascii="Arial" w:eastAsia="Arial" w:hAnsi="Arial" w:cs="Arial"/>
          <w:spacing w:val="-2"/>
          <w:sz w:val="24"/>
          <w:szCs w:val="24"/>
        </w:rPr>
      </w:pPr>
      <w:r w:rsidRPr="00557C6D">
        <w:rPr>
          <w:rFonts w:ascii="Arial" w:eastAsia="Arial" w:hAnsi="Arial" w:cs="Arial"/>
          <w:spacing w:val="-2"/>
          <w:sz w:val="24"/>
          <w:szCs w:val="24"/>
        </w:rPr>
        <w:t xml:space="preserve">Se contabilizan como hogares productores a los trabajadores por cuenta propia, profesionistas independientes, ejidatarios, jornaleros, artesanos, vendedores ambulantes, etc. Los hogares productores pueden realizar sus actividades en la vivienda o fuera de ella. </w:t>
      </w:r>
    </w:p>
    <w:p w14:paraId="68AF20AD" w14:textId="77777777" w:rsidR="00E56887" w:rsidRPr="00557C6D" w:rsidRDefault="00E56887" w:rsidP="007E2DC6">
      <w:pPr>
        <w:spacing w:before="320" w:after="0" w:line="246" w:lineRule="auto"/>
        <w:jc w:val="both"/>
        <w:rPr>
          <w:rFonts w:ascii="Arial" w:eastAsia="Arial" w:hAnsi="Arial" w:cs="Arial"/>
          <w:spacing w:val="-2"/>
          <w:sz w:val="24"/>
          <w:szCs w:val="24"/>
        </w:rPr>
      </w:pPr>
      <w:r w:rsidRPr="00557C6D">
        <w:rPr>
          <w:rFonts w:ascii="Arial" w:eastAsia="Arial" w:hAnsi="Arial" w:cs="Arial"/>
          <w:spacing w:val="-2"/>
          <w:sz w:val="24"/>
          <w:szCs w:val="24"/>
        </w:rPr>
        <w:t>También se registra, conforme a las recomendaciones internacionales, el valor agregado de las viviendas habitadas por sus dueños, ya que éstas efectivamente les proporcionan un servicio.  Asimismo, se incluyen hogares colectivos como son los asilos, hospitales, conventos y prisiones.</w:t>
      </w:r>
    </w:p>
    <w:p w14:paraId="21858363" w14:textId="77777777" w:rsidR="00E56887" w:rsidRPr="00557C6D" w:rsidRDefault="00E56887" w:rsidP="007E2DC6">
      <w:pPr>
        <w:spacing w:before="320" w:after="0" w:line="246" w:lineRule="auto"/>
        <w:jc w:val="both"/>
        <w:rPr>
          <w:rFonts w:ascii="Arial" w:eastAsia="Arial" w:hAnsi="Arial" w:cs="Arial"/>
          <w:spacing w:val="-4"/>
          <w:sz w:val="24"/>
          <w:szCs w:val="24"/>
        </w:rPr>
      </w:pPr>
      <w:r w:rsidRPr="00557C6D">
        <w:rPr>
          <w:rFonts w:ascii="Arial" w:eastAsia="Arial" w:hAnsi="Arial" w:cs="Arial"/>
          <w:spacing w:val="-4"/>
          <w:sz w:val="24"/>
          <w:szCs w:val="24"/>
        </w:rPr>
        <w:t>5. Instituciones Sin Fines de Lucro que Sirven a los Hogares ISFLSH: Está constituido por entidades jurídicas o sociales creadas para producir bienes y servicios a los hogares gratuitamente o a precios económicamente no significativos, cuyo estatuto legal no les permite ser fuente de ingreso, beneficio u otra ganancia financiera para las unidades que las establecen, controlan o financian. Sus actividades productivas pueden generar excedentes, pero no pueden traspasarse a otras unidades institucionales, por este motivo es posible que se les declare exentas de diversos impuestos. Existen otras instituciones sin fines de lucro que sirven a las empresas o al gobierno, las que se incluyen en sus respectivos sectores institucionales.</w:t>
      </w:r>
    </w:p>
    <w:p w14:paraId="1A0E2E15" w14:textId="77777777" w:rsidR="00E56887" w:rsidRPr="00557C6D" w:rsidRDefault="00E56887" w:rsidP="007E2DC6">
      <w:pPr>
        <w:spacing w:before="320" w:after="0" w:line="246" w:lineRule="auto"/>
        <w:jc w:val="both"/>
        <w:rPr>
          <w:rFonts w:ascii="Arial" w:eastAsia="Arial" w:hAnsi="Arial" w:cs="Arial"/>
          <w:spacing w:val="-2"/>
          <w:sz w:val="24"/>
          <w:szCs w:val="24"/>
        </w:rPr>
      </w:pPr>
      <w:r w:rsidRPr="00557C6D">
        <w:rPr>
          <w:rFonts w:ascii="Arial" w:eastAsia="Arial" w:hAnsi="Arial" w:cs="Arial"/>
          <w:spacing w:val="-2"/>
          <w:sz w:val="24"/>
          <w:szCs w:val="24"/>
        </w:rPr>
        <w:t>En este sector de ISFLSH se incluyen las iglesias o asociaciones religiosas; los clubes sociales, deportivos, culturales y recreativos; los sindicatos, partidos políticos, organizaciones no gubernamentales y otros organismos de beneficencia y asistencia social, asociaciones profesionales, etcétera.</w:t>
      </w:r>
    </w:p>
    <w:p w14:paraId="2D0A8930" w14:textId="77777777" w:rsidR="00E56887" w:rsidRPr="00557C6D" w:rsidRDefault="00E56887" w:rsidP="007E2DC6">
      <w:pPr>
        <w:spacing w:before="320" w:after="0" w:line="246" w:lineRule="auto"/>
        <w:jc w:val="both"/>
        <w:rPr>
          <w:rFonts w:ascii="Arial" w:eastAsia="Arial" w:hAnsi="Arial" w:cs="Arial"/>
          <w:spacing w:val="-2"/>
          <w:sz w:val="24"/>
          <w:szCs w:val="24"/>
        </w:rPr>
      </w:pPr>
      <w:r w:rsidRPr="00557C6D">
        <w:rPr>
          <w:rFonts w:ascii="Arial" w:eastAsia="Arial" w:hAnsi="Arial" w:cs="Arial"/>
          <w:spacing w:val="-2"/>
          <w:sz w:val="24"/>
          <w:szCs w:val="24"/>
        </w:rPr>
        <w:t>6. Resto del mundo: Estrictamente no es un sector institucional más de la economía del país, pero su integración proporciona una visión del conjunto de transacciones que ligan la economía interna con el exterior.  El “resto del mundo” está visto desde la óptica del exterior y se caracteriza por agrupar las operaciones de las unidades institucionales residentes que realizan con las no residentes. La fuente de información utilizada es la Balanza de pagos de México.</w:t>
      </w:r>
    </w:p>
    <w:p w14:paraId="083DBAB3" w14:textId="77777777" w:rsidR="00025F8C" w:rsidRDefault="00025F8C">
      <w:pPr>
        <w:rPr>
          <w:rFonts w:ascii="Arial" w:eastAsia="Arial" w:hAnsi="Arial" w:cs="Arial"/>
          <w:spacing w:val="-2"/>
          <w:sz w:val="24"/>
          <w:szCs w:val="24"/>
        </w:rPr>
      </w:pPr>
      <w:r>
        <w:rPr>
          <w:rFonts w:ascii="Arial" w:eastAsia="Arial" w:hAnsi="Arial" w:cs="Arial"/>
          <w:spacing w:val="-2"/>
          <w:sz w:val="24"/>
          <w:szCs w:val="24"/>
        </w:rPr>
        <w:br w:type="page"/>
      </w:r>
    </w:p>
    <w:p w14:paraId="43302AB6" w14:textId="77777777" w:rsidR="00E56887" w:rsidRPr="00557C6D" w:rsidRDefault="00E56887" w:rsidP="007E2DC6">
      <w:pPr>
        <w:spacing w:before="320" w:after="0" w:line="246" w:lineRule="auto"/>
        <w:jc w:val="both"/>
        <w:rPr>
          <w:rFonts w:ascii="Arial" w:eastAsia="Arial" w:hAnsi="Arial" w:cs="Arial"/>
          <w:spacing w:val="-2"/>
          <w:sz w:val="24"/>
          <w:szCs w:val="24"/>
        </w:rPr>
      </w:pPr>
      <w:r w:rsidRPr="00557C6D">
        <w:rPr>
          <w:rFonts w:ascii="Arial" w:eastAsia="Arial" w:hAnsi="Arial" w:cs="Arial"/>
          <w:spacing w:val="-2"/>
          <w:sz w:val="24"/>
          <w:szCs w:val="24"/>
        </w:rPr>
        <w:lastRenderedPageBreak/>
        <w:t>A partir de los avances alcanzados en la implementación de la Recomendación #15 Cuentas sectoriales</w:t>
      </w:r>
      <w:r w:rsidRPr="00557C6D">
        <w:rPr>
          <w:rFonts w:eastAsia="Arial"/>
          <w:spacing w:val="-2"/>
          <w:sz w:val="24"/>
          <w:szCs w:val="24"/>
          <w:vertAlign w:val="superscript"/>
        </w:rPr>
        <w:footnoteReference w:id="8"/>
      </w:r>
      <w:r w:rsidRPr="00557C6D">
        <w:rPr>
          <w:rFonts w:ascii="Arial" w:eastAsia="Arial" w:hAnsi="Arial" w:cs="Arial"/>
          <w:spacing w:val="-2"/>
          <w:sz w:val="24"/>
          <w:szCs w:val="24"/>
        </w:rPr>
        <w:t>, el Grupo Intersecretarial sobre Estadísticas Económicas y Financieras, que incluye a todas las agencias representadas en el Grupo Intersecretarial de Trabajo sobre Cuentas Nacionales, desarrollará una estrategia para promover la compilación y divulgación del enfoque de hojas de balance (BSA, por sus siglas en inglés), flujo de fondos, e información sectorial de forma más general; derivando en la creación de un marco contable que posibilitó la medición de stocks de activos financieros y no financieros.</w:t>
      </w:r>
    </w:p>
    <w:p w14:paraId="29E35F1C" w14:textId="77777777" w:rsidR="00E56887" w:rsidRPr="00557C6D" w:rsidRDefault="00E56887" w:rsidP="00E56887">
      <w:pPr>
        <w:spacing w:before="240" w:after="0" w:line="246" w:lineRule="auto"/>
        <w:jc w:val="both"/>
        <w:rPr>
          <w:rFonts w:ascii="Arial" w:eastAsia="Arial" w:hAnsi="Arial" w:cs="Arial"/>
          <w:spacing w:val="-2"/>
          <w:sz w:val="24"/>
          <w:szCs w:val="24"/>
        </w:rPr>
      </w:pPr>
      <w:r w:rsidRPr="00557C6D">
        <w:rPr>
          <w:rFonts w:ascii="Arial" w:eastAsia="Arial" w:hAnsi="Arial" w:cs="Arial"/>
          <w:spacing w:val="-2"/>
          <w:sz w:val="24"/>
          <w:szCs w:val="24"/>
        </w:rPr>
        <w:t>En el SCN los stocks se registran en las cuentas denominadas balances, estas se elaboran con referencia al comienzo y al final del período contable. Los stocks relacionados con los flujos son el resultado de la acumulación de transacciones y otros flujos anteriores, y se modifican por transacciones y otros flujos durante el período. Los stocks son el resultado de un proceso continuo de entradas y salidas, con algunas variaciones de volumen o de valor producidas durante el tiempo de tenencia de un activo o pasivo dado.</w:t>
      </w:r>
    </w:p>
    <w:p w14:paraId="12C48A98" w14:textId="77777777" w:rsidR="00E56887" w:rsidRPr="00557C6D" w:rsidRDefault="00E56887" w:rsidP="00E56887">
      <w:pPr>
        <w:spacing w:before="240" w:after="0" w:line="246" w:lineRule="auto"/>
        <w:jc w:val="both"/>
        <w:rPr>
          <w:rFonts w:ascii="Arial" w:eastAsia="Arial" w:hAnsi="Arial" w:cs="Arial"/>
          <w:spacing w:val="-2"/>
          <w:sz w:val="24"/>
          <w:szCs w:val="24"/>
        </w:rPr>
      </w:pPr>
      <w:r w:rsidRPr="00557C6D">
        <w:rPr>
          <w:rFonts w:ascii="Arial" w:eastAsia="Arial" w:hAnsi="Arial" w:cs="Arial"/>
          <w:spacing w:val="-2"/>
          <w:sz w:val="24"/>
          <w:szCs w:val="24"/>
        </w:rPr>
        <w:t>Los stocks se refieren al nivel total de activos o pasivos de una economía en un momento dado. (En la metodología de la balanza de pagos, los niveles de los stocks suelen denominarse posiciones). Para poder estudiar los stocks es necesario definir los activos y pasivos, definiciones que dependen fundamentalmente de los conceptos de beneficios y de propiedad.</w:t>
      </w:r>
    </w:p>
    <w:p w14:paraId="19059F65" w14:textId="77777777" w:rsidR="00E56887" w:rsidRPr="00557C6D" w:rsidRDefault="00E56887" w:rsidP="00E56887">
      <w:pPr>
        <w:spacing w:before="240" w:after="0" w:line="246" w:lineRule="auto"/>
        <w:jc w:val="both"/>
        <w:rPr>
          <w:rFonts w:ascii="Arial" w:eastAsia="Arial" w:hAnsi="Arial" w:cs="Arial"/>
          <w:spacing w:val="-2"/>
          <w:sz w:val="24"/>
          <w:szCs w:val="24"/>
        </w:rPr>
      </w:pPr>
      <w:r w:rsidRPr="00557C6D">
        <w:rPr>
          <w:rFonts w:ascii="Arial" w:eastAsia="Arial" w:hAnsi="Arial" w:cs="Arial"/>
          <w:spacing w:val="-2"/>
          <w:sz w:val="24"/>
          <w:szCs w:val="24"/>
        </w:rPr>
        <w:t>Se pueden distinguir dos tipos de activos, los activos financieros y los no financieros. Los activos financieros son todos los derechos financieros, acciones u otras participaciones de capital en sociedades más el oro en lingotes en poder de las autoridades monetarias mantenido como activo de reserva. Los activos no financieros pueden ser producidos y no producidos, los producidos aparecen vía el proceso de producción o de importación y se pueden diferenciar en activos fijos, existencias y objetos valiosos. Los activos no producidos comprenden tres categorías, tales como recursos naturales; contratos, arrendamientos y licencias y fondos de comercio y activos de comercialización.</w:t>
      </w:r>
    </w:p>
    <w:p w14:paraId="07C0A5AF" w14:textId="77777777" w:rsidR="00E56887" w:rsidRPr="00557C6D" w:rsidRDefault="00E56887" w:rsidP="00E56887">
      <w:pPr>
        <w:spacing w:before="240" w:after="0" w:line="246" w:lineRule="auto"/>
        <w:jc w:val="both"/>
        <w:rPr>
          <w:rFonts w:ascii="Arial" w:eastAsia="Arial" w:hAnsi="Arial" w:cs="Arial"/>
          <w:spacing w:val="-2"/>
          <w:sz w:val="24"/>
          <w:szCs w:val="24"/>
        </w:rPr>
      </w:pPr>
      <w:r w:rsidRPr="00557C6D">
        <w:rPr>
          <w:rFonts w:ascii="Arial" w:eastAsia="Arial" w:hAnsi="Arial" w:cs="Arial"/>
          <w:spacing w:val="-2"/>
          <w:sz w:val="24"/>
          <w:szCs w:val="24"/>
        </w:rPr>
        <w:t xml:space="preserve">Un balance es un estado contable, </w:t>
      </w:r>
      <w:r w:rsidR="003F06E3">
        <w:rPr>
          <w:rFonts w:ascii="Arial" w:eastAsia="Arial" w:hAnsi="Arial" w:cs="Arial"/>
          <w:spacing w:val="-2"/>
          <w:sz w:val="24"/>
          <w:szCs w:val="24"/>
        </w:rPr>
        <w:t>elaborado</w:t>
      </w:r>
      <w:r w:rsidRPr="00557C6D">
        <w:rPr>
          <w:rFonts w:ascii="Arial" w:eastAsia="Arial" w:hAnsi="Arial" w:cs="Arial"/>
          <w:spacing w:val="-2"/>
          <w:sz w:val="24"/>
          <w:szCs w:val="24"/>
        </w:rPr>
        <w:t xml:space="preserve"> en un momento concreto en el tiempo, de los valores de activos que se poseen y de los pasivos adeudados por una unidad o sector institucional. El balance completa la secuencia de cuentas y muestra el resultado final de los asientos registrados en las cuentas de producción, distribución y utilización del ingreso, y acumulación. El saldo contable del balance es el Valor neto.</w:t>
      </w:r>
    </w:p>
    <w:p w14:paraId="04A0E2B3" w14:textId="77777777" w:rsidR="00025F8C" w:rsidRDefault="00025F8C">
      <w:pPr>
        <w:rPr>
          <w:rFonts w:ascii="Arial" w:eastAsia="Arial" w:hAnsi="Arial" w:cs="Arial"/>
          <w:spacing w:val="-2"/>
          <w:sz w:val="24"/>
          <w:szCs w:val="24"/>
        </w:rPr>
      </w:pPr>
      <w:r>
        <w:rPr>
          <w:rFonts w:ascii="Arial" w:eastAsia="Arial" w:hAnsi="Arial" w:cs="Arial"/>
          <w:spacing w:val="-2"/>
          <w:sz w:val="24"/>
          <w:szCs w:val="24"/>
        </w:rPr>
        <w:br w:type="page"/>
      </w:r>
    </w:p>
    <w:p w14:paraId="2B25A261" w14:textId="77777777" w:rsidR="00E56887" w:rsidRPr="00557C6D" w:rsidRDefault="00E56887" w:rsidP="00E56887">
      <w:pPr>
        <w:spacing w:before="240" w:after="0" w:line="246" w:lineRule="auto"/>
        <w:jc w:val="both"/>
        <w:rPr>
          <w:rFonts w:ascii="Arial" w:eastAsia="Arial" w:hAnsi="Arial" w:cs="Arial"/>
          <w:spacing w:val="-2"/>
          <w:sz w:val="24"/>
          <w:szCs w:val="24"/>
        </w:rPr>
      </w:pPr>
      <w:r w:rsidRPr="00557C6D">
        <w:rPr>
          <w:rFonts w:ascii="Arial" w:eastAsia="Arial" w:hAnsi="Arial" w:cs="Arial"/>
          <w:spacing w:val="-2"/>
          <w:sz w:val="24"/>
          <w:szCs w:val="24"/>
        </w:rPr>
        <w:lastRenderedPageBreak/>
        <w:t>El Valor neto se define como el valor de todos los activos que posee una unidad o sector institucional menos el valor de todos sus pasivos pendientes. Como saldo contable, el Valor neto se calcula para las unidades y sectores institucionales y para la economía total.</w:t>
      </w:r>
    </w:p>
    <w:p w14:paraId="5DD3234D" w14:textId="77777777" w:rsidR="00E56887" w:rsidRPr="00557C6D" w:rsidRDefault="00E56887" w:rsidP="00E56887">
      <w:pPr>
        <w:spacing w:before="240" w:after="0" w:line="246" w:lineRule="auto"/>
        <w:jc w:val="both"/>
        <w:rPr>
          <w:rFonts w:ascii="Arial" w:eastAsia="Arial" w:hAnsi="Arial" w:cs="Arial"/>
          <w:spacing w:val="-2"/>
          <w:sz w:val="24"/>
          <w:szCs w:val="24"/>
        </w:rPr>
      </w:pPr>
      <w:r w:rsidRPr="00557C6D">
        <w:rPr>
          <w:rFonts w:ascii="Arial" w:eastAsia="Arial" w:hAnsi="Arial" w:cs="Arial"/>
          <w:spacing w:val="-2"/>
          <w:sz w:val="24"/>
          <w:szCs w:val="24"/>
        </w:rPr>
        <w:t>La existencia de un conjunto de balances integrados con las cuentas de flujos permite a los analistas formarse una visión más amplia respecto al seguimiento y evaluación de las condiciones y los comportamientos económicos y financieros.</w:t>
      </w:r>
    </w:p>
    <w:p w14:paraId="07FE266E" w14:textId="77777777" w:rsidR="00E56887" w:rsidRPr="00557C6D" w:rsidRDefault="00E56887" w:rsidP="00E56887">
      <w:pPr>
        <w:spacing w:before="240" w:after="0" w:line="246" w:lineRule="auto"/>
        <w:jc w:val="both"/>
        <w:rPr>
          <w:rFonts w:ascii="Arial" w:eastAsia="Arial" w:hAnsi="Arial" w:cs="Arial"/>
          <w:spacing w:val="-2"/>
          <w:sz w:val="24"/>
          <w:szCs w:val="24"/>
        </w:rPr>
      </w:pPr>
      <w:r w:rsidRPr="00557C6D">
        <w:rPr>
          <w:rFonts w:ascii="Arial" w:eastAsia="Arial" w:hAnsi="Arial" w:cs="Arial"/>
          <w:spacing w:val="-2"/>
          <w:sz w:val="24"/>
          <w:szCs w:val="24"/>
        </w:rPr>
        <w:t>Un aspecto muy importante en la compilación de balances es la elaboración de las cuentas de otras variaciones en el volumen. Estas cuentas son de seis tipos y un conjunto de tres más que dan cuenta de las revalorizaciones. Su función principal es permitir que ciertos activos entren y salgan del Sistema por vías diferentes a las transacciones, registrar los efectos de acontecimientos excepcionales e imprevistos que afectan a los beneficios económicos que pueden obtenerse de los activos (y los pasivos correspondientes), el registro de los cambios en la clasificación de las unidades económicas, de los activos y en la estructura de las unidades institucionales.</w:t>
      </w:r>
    </w:p>
    <w:p w14:paraId="3C14FB30" w14:textId="77777777" w:rsidR="00E56887" w:rsidRPr="00557C6D" w:rsidRDefault="00E56887" w:rsidP="00E56887">
      <w:pPr>
        <w:pStyle w:val="Textodebloque1"/>
        <w:ind w:left="0" w:right="-63" w:firstLine="0"/>
        <w:rPr>
          <w:rFonts w:eastAsia="Arial" w:cs="Arial"/>
          <w:b w:val="0"/>
          <w:spacing w:val="-2"/>
          <w:sz w:val="24"/>
          <w:szCs w:val="24"/>
          <w:lang w:val="es-MX" w:eastAsia="en-US"/>
        </w:rPr>
      </w:pPr>
      <w:r w:rsidRPr="00557C6D">
        <w:rPr>
          <w:rFonts w:eastAsia="Arial" w:cs="Arial"/>
          <w:b w:val="0"/>
          <w:spacing w:val="-2"/>
          <w:sz w:val="24"/>
          <w:szCs w:val="24"/>
          <w:lang w:val="es-MX" w:eastAsia="en-US"/>
        </w:rPr>
        <w:t>Esta información se sigue ofreciendo mediante menús interactivos con los que se pueden realizar las descargas de información, buscando así resolver con posibilidades más dinámicas las distintas necesidades de uso de esta información.</w:t>
      </w:r>
    </w:p>
    <w:p w14:paraId="0BF5473E" w14:textId="77777777" w:rsidR="00E56887" w:rsidRPr="00557C6D" w:rsidRDefault="00E56887" w:rsidP="00E56887">
      <w:pPr>
        <w:pStyle w:val="Textodebloque1"/>
        <w:ind w:left="0" w:right="-63" w:firstLine="0"/>
        <w:rPr>
          <w:rFonts w:eastAsia="Arial" w:cs="Arial"/>
          <w:b w:val="0"/>
          <w:spacing w:val="-2"/>
          <w:sz w:val="24"/>
          <w:szCs w:val="24"/>
          <w:lang w:val="es-MX" w:eastAsia="en-US"/>
        </w:rPr>
      </w:pPr>
      <w:r w:rsidRPr="00557C6D">
        <w:rPr>
          <w:rFonts w:eastAsia="Arial" w:cs="Arial"/>
          <w:b w:val="0"/>
          <w:spacing w:val="-2"/>
          <w:sz w:val="24"/>
          <w:szCs w:val="24"/>
          <w:lang w:val="es-MX" w:eastAsia="en-US"/>
        </w:rPr>
        <w:t>El conjunto de tabulados que integran este producto proporcionan datos sobre las transacciones reales y financieras que realizan los distintos sectores</w:t>
      </w:r>
      <w:r w:rsidRPr="00557C6D">
        <w:rPr>
          <w:rFonts w:eastAsia="Arial" w:cs="Arial"/>
          <w:b w:val="0"/>
          <w:spacing w:val="-2"/>
          <w:sz w:val="20"/>
          <w:szCs w:val="24"/>
          <w:vertAlign w:val="superscript"/>
          <w:lang w:val="es-MX" w:eastAsia="en-US"/>
        </w:rPr>
        <w:footnoteReference w:id="9"/>
      </w:r>
      <w:r w:rsidRPr="00557C6D">
        <w:rPr>
          <w:rFonts w:eastAsia="Arial" w:cs="Arial"/>
          <w:b w:val="0"/>
          <w:spacing w:val="-2"/>
          <w:sz w:val="24"/>
          <w:szCs w:val="24"/>
          <w:lang w:val="es-MX" w:eastAsia="en-US"/>
        </w:rPr>
        <w:t xml:space="preserve"> entre sí y con el resto del mundo. Así como las posiciones de stocks de activos y pasivos, para cerrar el marco contable propuesto con los datos sobre riqueza por sector institucional y del país.</w:t>
      </w:r>
    </w:p>
    <w:p w14:paraId="5BBAD117" w14:textId="77777777" w:rsidR="00D4205C" w:rsidRDefault="00E56887" w:rsidP="00E56887">
      <w:pPr>
        <w:spacing w:before="240" w:after="0" w:line="246" w:lineRule="auto"/>
        <w:jc w:val="both"/>
        <w:rPr>
          <w:rFonts w:ascii="Arial" w:eastAsia="Arial" w:hAnsi="Arial" w:cs="Arial"/>
          <w:spacing w:val="-2"/>
          <w:sz w:val="24"/>
          <w:szCs w:val="24"/>
        </w:rPr>
      </w:pPr>
      <w:r w:rsidRPr="00557C6D">
        <w:rPr>
          <w:rFonts w:ascii="Arial" w:eastAsia="Arial" w:hAnsi="Arial" w:cs="Arial"/>
          <w:spacing w:val="-2"/>
          <w:sz w:val="24"/>
          <w:szCs w:val="24"/>
        </w:rPr>
        <w:t>La información referida es sólo una parte del acervo que proporciona este proyecto, ya que las posibilidades de análisis pueden ser múltiples. Las Cuentas por Sectores Institucionales pueden ser consultadas en la página del Instituto en Internet</w:t>
      </w:r>
      <w:r w:rsidR="00D4205C">
        <w:rPr>
          <w:rFonts w:ascii="Arial" w:eastAsia="Arial" w:hAnsi="Arial" w:cs="Arial"/>
          <w:spacing w:val="-2"/>
          <w:sz w:val="24"/>
          <w:szCs w:val="24"/>
        </w:rPr>
        <w:t>:</w:t>
      </w:r>
    </w:p>
    <w:p w14:paraId="28F448B5" w14:textId="77777777" w:rsidR="00544F84" w:rsidRPr="000610A0" w:rsidRDefault="00567D17" w:rsidP="00E56887">
      <w:pPr>
        <w:spacing w:before="240" w:after="0" w:line="246" w:lineRule="auto"/>
        <w:jc w:val="both"/>
        <w:rPr>
          <w:rFonts w:ascii="Arial" w:hAnsi="Arial" w:cs="Arial"/>
          <w:color w:val="0000FF"/>
          <w:sz w:val="24"/>
        </w:rPr>
      </w:pPr>
      <w:hyperlink r:id="rId28" w:history="1">
        <w:r w:rsidR="000610A0" w:rsidRPr="000610A0">
          <w:rPr>
            <w:rStyle w:val="Hipervnculo"/>
            <w:rFonts w:ascii="Arial" w:hAnsi="Arial" w:cs="Arial"/>
            <w:color w:val="0000FF"/>
            <w:sz w:val="24"/>
          </w:rPr>
          <w:t>https://www.inegi.org.mx/temas/si/</w:t>
        </w:r>
      </w:hyperlink>
    </w:p>
    <w:p w14:paraId="3E960A11" w14:textId="77777777" w:rsidR="000610A0" w:rsidRPr="000610A0" w:rsidRDefault="00567D17" w:rsidP="00E56887">
      <w:pPr>
        <w:spacing w:before="240" w:after="0" w:line="246" w:lineRule="auto"/>
        <w:jc w:val="both"/>
        <w:rPr>
          <w:rFonts w:ascii="Arial" w:eastAsia="Arial" w:hAnsi="Arial" w:cs="Arial"/>
          <w:sz w:val="28"/>
          <w:szCs w:val="24"/>
        </w:rPr>
      </w:pPr>
      <w:hyperlink r:id="rId29" w:history="1">
        <w:r w:rsidR="000610A0" w:rsidRPr="000610A0">
          <w:rPr>
            <w:rStyle w:val="Hipervnculo"/>
            <w:rFonts w:ascii="Arial" w:hAnsi="Arial" w:cs="Arial"/>
            <w:color w:val="0000FF"/>
            <w:sz w:val="24"/>
          </w:rPr>
          <w:t>https://www.inegi.org.mx/programas/si/2013/</w:t>
        </w:r>
      </w:hyperlink>
    </w:p>
    <w:sectPr w:rsidR="000610A0" w:rsidRPr="000610A0" w:rsidSect="00081A17">
      <w:headerReference w:type="default" r:id="rId30"/>
      <w:pgSz w:w="12240" w:h="15840" w:code="1"/>
      <w:pgMar w:top="851" w:right="1639" w:bottom="1134" w:left="1639" w:header="567" w:footer="7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C3948A" w14:textId="77777777" w:rsidR="00567D17" w:rsidRDefault="00567D17" w:rsidP="00CC4F8B">
      <w:pPr>
        <w:spacing w:after="0" w:line="240" w:lineRule="auto"/>
      </w:pPr>
      <w:r>
        <w:separator/>
      </w:r>
    </w:p>
  </w:endnote>
  <w:endnote w:type="continuationSeparator" w:id="0">
    <w:p w14:paraId="06E3EE1F" w14:textId="77777777" w:rsidR="00567D17" w:rsidRDefault="00567D17" w:rsidP="00CC4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BBAC0" w14:textId="77777777" w:rsidR="00496C09" w:rsidRDefault="00496C0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95752" w14:textId="77777777" w:rsidR="00290DB7" w:rsidRPr="001F648F" w:rsidRDefault="00290DB7" w:rsidP="00290DB7">
    <w:pPr>
      <w:pStyle w:val="Piedepgina"/>
      <w:contextualSpacing/>
      <w:jc w:val="center"/>
      <w:rPr>
        <w:rFonts w:ascii="Arial" w:hAnsi="Arial" w:cs="Arial"/>
        <w:color w:val="002060"/>
        <w:sz w:val="18"/>
        <w:szCs w:val="18"/>
      </w:rPr>
    </w:pPr>
    <w:r w:rsidRPr="001F648F">
      <w:rPr>
        <w:rFonts w:ascii="Arial" w:hAnsi="Arial" w:cs="Arial"/>
        <w:b/>
        <w:color w:val="002060"/>
        <w:sz w:val="18"/>
        <w:szCs w:val="18"/>
      </w:rPr>
      <w:t>COMUNICACIÓN SOCIAL</w:t>
    </w:r>
  </w:p>
  <w:p w14:paraId="0907D5C9" w14:textId="77777777" w:rsidR="00290DB7" w:rsidRPr="001F648F" w:rsidRDefault="00290DB7" w:rsidP="00290DB7">
    <w:pPr>
      <w:pStyle w:val="Piedepgina"/>
      <w:contextualSpacing/>
      <w:jc w:val="center"/>
      <w:rPr>
        <w:rFonts w:ascii="Arial" w:hAnsi="Arial" w:cs="Arial"/>
        <w:b/>
        <w:color w:val="00206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D61F2" w14:textId="77777777" w:rsidR="00496C09" w:rsidRDefault="00496C0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DD4FFE" w14:textId="77777777" w:rsidR="00567D17" w:rsidRDefault="00567D17" w:rsidP="00CC4F8B">
      <w:pPr>
        <w:spacing w:after="0" w:line="240" w:lineRule="auto"/>
      </w:pPr>
      <w:r>
        <w:separator/>
      </w:r>
    </w:p>
  </w:footnote>
  <w:footnote w:type="continuationSeparator" w:id="0">
    <w:p w14:paraId="709647E6" w14:textId="77777777" w:rsidR="00567D17" w:rsidRDefault="00567D17" w:rsidP="00CC4F8B">
      <w:pPr>
        <w:spacing w:after="0" w:line="240" w:lineRule="auto"/>
      </w:pPr>
      <w:r>
        <w:continuationSeparator/>
      </w:r>
    </w:p>
  </w:footnote>
  <w:footnote w:id="1">
    <w:p w14:paraId="06C22DB9" w14:textId="77777777" w:rsidR="00290DB7" w:rsidRPr="00B07FFD" w:rsidRDefault="00290DB7" w:rsidP="00997F5E">
      <w:pPr>
        <w:pStyle w:val="Textonotapie"/>
        <w:ind w:left="142" w:hanging="142"/>
        <w:jc w:val="both"/>
        <w:rPr>
          <w:rFonts w:ascii="Arial" w:hAnsi="Arial" w:cs="Arial"/>
        </w:rPr>
      </w:pPr>
      <w:r w:rsidRPr="000610A0">
        <w:rPr>
          <w:rStyle w:val="Refdenotaalpie"/>
          <w:rFonts w:ascii="Arial" w:hAnsi="Arial" w:cs="Arial"/>
        </w:rPr>
        <w:footnoteRef/>
      </w:r>
      <w:r>
        <w:rPr>
          <w:rFonts w:ascii="Arial" w:hAnsi="Arial" w:cs="Arial"/>
          <w:sz w:val="16"/>
          <w:szCs w:val="16"/>
        </w:rPr>
        <w:tab/>
      </w:r>
      <w:r w:rsidRPr="00576351">
        <w:rPr>
          <w:rFonts w:ascii="Arial" w:hAnsi="Arial" w:cs="Arial"/>
          <w:sz w:val="16"/>
          <w:szCs w:val="16"/>
        </w:rPr>
        <w:t>Los Sectores Institucionales se conforman por: las Sociedades no financieras, las Sociedades financieras, el Gobierno general, los Hogares y las Instituciones sin fines de lucro que sirven a los Hogares (ISFLSH) y se considera a los no residentes en el rubro “Resto del Mundo”.</w:t>
      </w:r>
    </w:p>
  </w:footnote>
  <w:footnote w:id="2">
    <w:p w14:paraId="6260D903" w14:textId="77777777" w:rsidR="00290DB7" w:rsidRDefault="00290DB7" w:rsidP="00997F5E">
      <w:pPr>
        <w:pStyle w:val="Textonotapie"/>
        <w:tabs>
          <w:tab w:val="left" w:pos="142"/>
        </w:tabs>
        <w:jc w:val="both"/>
        <w:rPr>
          <w:rFonts w:ascii="Arial" w:hAnsi="Arial" w:cs="Arial"/>
          <w:sz w:val="16"/>
          <w:szCs w:val="16"/>
        </w:rPr>
      </w:pPr>
      <w:r w:rsidRPr="000610A0">
        <w:rPr>
          <w:rStyle w:val="Refdenotaalpie"/>
          <w:rFonts w:ascii="Arial" w:hAnsi="Arial" w:cs="Arial"/>
        </w:rPr>
        <w:footnoteRef/>
      </w:r>
      <w:r>
        <w:tab/>
      </w:r>
      <w:r w:rsidRPr="00FB19A6">
        <w:rPr>
          <w:rFonts w:ascii="Arial" w:hAnsi="Arial" w:cs="Arial"/>
          <w:sz w:val="16"/>
          <w:szCs w:val="16"/>
        </w:rPr>
        <w:t xml:space="preserve">El </w:t>
      </w:r>
      <w:r w:rsidRPr="007878D2">
        <w:rPr>
          <w:rFonts w:ascii="Arial" w:hAnsi="Arial" w:cs="Arial"/>
          <w:sz w:val="16"/>
          <w:szCs w:val="16"/>
        </w:rPr>
        <w:t xml:space="preserve">restante </w:t>
      </w:r>
      <w:r>
        <w:rPr>
          <w:rFonts w:ascii="Arial" w:hAnsi="Arial" w:cs="Arial"/>
          <w:sz w:val="16"/>
          <w:szCs w:val="16"/>
        </w:rPr>
        <w:t>5.5</w:t>
      </w:r>
      <w:r w:rsidRPr="007878D2">
        <w:rPr>
          <w:rFonts w:ascii="Arial" w:hAnsi="Arial" w:cs="Arial"/>
          <w:sz w:val="16"/>
          <w:szCs w:val="16"/>
        </w:rPr>
        <w:t xml:space="preserve">% </w:t>
      </w:r>
      <w:r>
        <w:rPr>
          <w:rFonts w:ascii="Arial" w:hAnsi="Arial" w:cs="Arial"/>
          <w:sz w:val="16"/>
          <w:szCs w:val="16"/>
        </w:rPr>
        <w:t>estuvo</w:t>
      </w:r>
      <w:r w:rsidRPr="007878D2">
        <w:rPr>
          <w:rFonts w:ascii="Arial" w:hAnsi="Arial" w:cs="Arial"/>
          <w:sz w:val="16"/>
          <w:szCs w:val="16"/>
        </w:rPr>
        <w:t xml:space="preserve"> </w:t>
      </w:r>
      <w:r w:rsidRPr="003611EE">
        <w:rPr>
          <w:rFonts w:ascii="Arial" w:hAnsi="Arial" w:cs="Arial"/>
          <w:sz w:val="16"/>
          <w:szCs w:val="16"/>
        </w:rPr>
        <w:t>compuesto</w:t>
      </w:r>
      <w:r w:rsidRPr="00FB19A6">
        <w:rPr>
          <w:rFonts w:ascii="Arial" w:hAnsi="Arial" w:cs="Arial"/>
          <w:sz w:val="16"/>
          <w:szCs w:val="16"/>
        </w:rPr>
        <w:t xml:space="preserve"> por los impuestos netos de subsidios a los productos.</w:t>
      </w:r>
    </w:p>
    <w:p w14:paraId="38723AE1" w14:textId="77777777" w:rsidR="00290DB7" w:rsidRPr="00FB19A6" w:rsidRDefault="00290DB7" w:rsidP="00997F5E">
      <w:pPr>
        <w:pStyle w:val="Textonotapie"/>
        <w:tabs>
          <w:tab w:val="left" w:pos="142"/>
        </w:tabs>
        <w:jc w:val="both"/>
        <w:rPr>
          <w:rFonts w:ascii="Arial" w:hAnsi="Arial" w:cs="Arial"/>
          <w:sz w:val="16"/>
          <w:szCs w:val="16"/>
        </w:rPr>
      </w:pPr>
    </w:p>
  </w:footnote>
  <w:footnote w:id="3">
    <w:p w14:paraId="1149AE12" w14:textId="6B5416A7" w:rsidR="00290DB7" w:rsidRDefault="00290DB7" w:rsidP="00997F5E">
      <w:pPr>
        <w:pStyle w:val="Textonotapie"/>
        <w:ind w:left="142" w:hanging="142"/>
        <w:jc w:val="both"/>
        <w:rPr>
          <w:rFonts w:ascii="Arial" w:hAnsi="Arial" w:cs="Arial"/>
          <w:sz w:val="16"/>
        </w:rPr>
      </w:pPr>
      <w:r w:rsidRPr="000610A0">
        <w:rPr>
          <w:rStyle w:val="Refdenotaalpie"/>
          <w:rFonts w:ascii="Arial" w:hAnsi="Arial" w:cs="Arial"/>
        </w:rPr>
        <w:footnoteRef/>
      </w:r>
      <w:r>
        <w:rPr>
          <w:rFonts w:ascii="Arial" w:hAnsi="Arial" w:cs="Arial"/>
          <w:sz w:val="18"/>
        </w:rPr>
        <w:tab/>
      </w:r>
      <w:r w:rsidRPr="00DD23E7">
        <w:rPr>
          <w:rFonts w:ascii="Arial" w:hAnsi="Arial" w:cs="Arial"/>
          <w:sz w:val="16"/>
        </w:rPr>
        <w:t xml:space="preserve">El </w:t>
      </w:r>
      <w:r>
        <w:rPr>
          <w:rFonts w:ascii="Arial" w:hAnsi="Arial" w:cs="Arial"/>
          <w:sz w:val="16"/>
        </w:rPr>
        <w:t xml:space="preserve">complemento </w:t>
      </w:r>
      <w:r w:rsidRPr="00426519">
        <w:rPr>
          <w:rFonts w:ascii="Arial" w:hAnsi="Arial" w:cs="Arial"/>
          <w:sz w:val="16"/>
        </w:rPr>
        <w:t xml:space="preserve">de </w:t>
      </w:r>
      <w:r>
        <w:rPr>
          <w:rFonts w:ascii="Arial" w:hAnsi="Arial" w:cs="Arial"/>
          <w:sz w:val="16"/>
        </w:rPr>
        <w:t>1.8</w:t>
      </w:r>
      <w:r w:rsidRPr="00426519">
        <w:rPr>
          <w:rFonts w:ascii="Arial" w:hAnsi="Arial" w:cs="Arial"/>
          <w:sz w:val="16"/>
        </w:rPr>
        <w:t xml:space="preserve">%, que permite cerrar la brecha entre requerimientos financieros y recursos disponibles, fue cubierto con ahorro </w:t>
      </w:r>
      <w:r w:rsidRPr="00DD23E7">
        <w:rPr>
          <w:rFonts w:ascii="Arial" w:hAnsi="Arial" w:cs="Arial"/>
          <w:sz w:val="16"/>
        </w:rPr>
        <w:t>externo.</w:t>
      </w:r>
    </w:p>
    <w:p w14:paraId="13F5EA93" w14:textId="77777777" w:rsidR="009F3965" w:rsidRPr="00DD23E7" w:rsidRDefault="009F3965" w:rsidP="00997F5E">
      <w:pPr>
        <w:pStyle w:val="Textonotapie"/>
        <w:ind w:left="142" w:hanging="142"/>
        <w:jc w:val="both"/>
        <w:rPr>
          <w:rFonts w:ascii="Arial" w:hAnsi="Arial" w:cs="Arial"/>
        </w:rPr>
      </w:pPr>
    </w:p>
  </w:footnote>
  <w:footnote w:id="4">
    <w:p w14:paraId="16BB0654" w14:textId="77777777" w:rsidR="00290DB7" w:rsidRPr="00FB19A6" w:rsidRDefault="00290DB7" w:rsidP="00081B83">
      <w:pPr>
        <w:pStyle w:val="Textonotapie"/>
        <w:jc w:val="both"/>
        <w:rPr>
          <w:rFonts w:ascii="Arial" w:hAnsi="Arial" w:cs="Arial"/>
          <w:sz w:val="16"/>
          <w:szCs w:val="16"/>
        </w:rPr>
      </w:pPr>
      <w:r w:rsidRPr="000610A0">
        <w:rPr>
          <w:rStyle w:val="Refdenotaalpie"/>
          <w:rFonts w:ascii="Arial" w:hAnsi="Arial" w:cs="Arial"/>
        </w:rPr>
        <w:footnoteRef/>
      </w:r>
      <w:r>
        <w:t xml:space="preserve"> </w:t>
      </w:r>
      <w:r>
        <w:rPr>
          <w:rFonts w:ascii="Arial" w:hAnsi="Arial" w:cs="Arial"/>
          <w:sz w:val="16"/>
          <w:szCs w:val="16"/>
        </w:rPr>
        <w:t xml:space="preserve">El </w:t>
      </w:r>
      <w:r w:rsidRPr="002E31F5">
        <w:rPr>
          <w:rFonts w:ascii="Arial" w:hAnsi="Arial" w:cs="Arial"/>
          <w:sz w:val="16"/>
          <w:szCs w:val="16"/>
        </w:rPr>
        <w:t>complemento de</w:t>
      </w:r>
      <w:r>
        <w:rPr>
          <w:rFonts w:ascii="Arial" w:hAnsi="Arial" w:cs="Arial"/>
          <w:sz w:val="16"/>
          <w:szCs w:val="16"/>
        </w:rPr>
        <w:t xml:space="preserve"> 5.5</w:t>
      </w:r>
      <w:r w:rsidRPr="002E31F5">
        <w:rPr>
          <w:rFonts w:ascii="Arial" w:hAnsi="Arial" w:cs="Arial"/>
          <w:sz w:val="16"/>
          <w:szCs w:val="16"/>
        </w:rPr>
        <w:t xml:space="preserve">% </w:t>
      </w:r>
      <w:r>
        <w:rPr>
          <w:rFonts w:ascii="Arial" w:hAnsi="Arial" w:cs="Arial"/>
          <w:sz w:val="16"/>
          <w:szCs w:val="16"/>
        </w:rPr>
        <w:t>estuvo</w:t>
      </w:r>
      <w:r w:rsidRPr="002E31F5">
        <w:rPr>
          <w:rFonts w:ascii="Arial" w:hAnsi="Arial" w:cs="Arial"/>
          <w:sz w:val="16"/>
          <w:szCs w:val="16"/>
        </w:rPr>
        <w:t xml:space="preserve"> compuesto por los impuestos </w:t>
      </w:r>
      <w:r w:rsidRPr="003611EE">
        <w:rPr>
          <w:rFonts w:ascii="Arial" w:hAnsi="Arial" w:cs="Arial"/>
          <w:sz w:val="16"/>
          <w:szCs w:val="16"/>
        </w:rPr>
        <w:t>a los productos netos de subsidios.</w:t>
      </w:r>
    </w:p>
  </w:footnote>
  <w:footnote w:id="5">
    <w:p w14:paraId="1FEE937E" w14:textId="77777777" w:rsidR="00290DB7" w:rsidRPr="00425FAB" w:rsidRDefault="00290DB7" w:rsidP="00A564BF">
      <w:pPr>
        <w:pStyle w:val="Textonotapie"/>
        <w:ind w:left="142" w:hanging="142"/>
        <w:jc w:val="both"/>
        <w:rPr>
          <w:rFonts w:ascii="Arial" w:hAnsi="Arial" w:cs="Arial"/>
          <w:sz w:val="16"/>
          <w:szCs w:val="16"/>
        </w:rPr>
      </w:pPr>
      <w:r w:rsidRPr="000610A0">
        <w:rPr>
          <w:rFonts w:ascii="Arial" w:hAnsi="Arial" w:cs="Arial"/>
          <w:szCs w:val="16"/>
          <w:vertAlign w:val="superscript"/>
        </w:rPr>
        <w:footnoteRef/>
      </w:r>
      <w:r w:rsidRPr="00425FAB">
        <w:rPr>
          <w:rFonts w:ascii="Arial" w:hAnsi="Arial" w:cs="Arial"/>
          <w:sz w:val="16"/>
          <w:szCs w:val="16"/>
        </w:rPr>
        <w:t xml:space="preserve"> Las otras trasferencias corrientes con el exterior se componen principalmente del flujo neto de divisas derivado de la “cooperación internacional corriente” </w:t>
      </w:r>
      <w:r>
        <w:rPr>
          <w:rFonts w:ascii="Arial" w:hAnsi="Arial" w:cs="Arial"/>
          <w:sz w:val="16"/>
          <w:szCs w:val="16"/>
        </w:rPr>
        <w:t xml:space="preserve">que se registra en el Gobierno </w:t>
      </w:r>
      <w:r w:rsidRPr="00425FAB">
        <w:rPr>
          <w:rFonts w:ascii="Arial" w:hAnsi="Arial" w:cs="Arial"/>
          <w:sz w:val="16"/>
          <w:szCs w:val="16"/>
        </w:rPr>
        <w:t>y de las “Transferencias corrientes entre hogares y no residentes” (remesas)</w:t>
      </w:r>
      <w:r>
        <w:rPr>
          <w:rFonts w:ascii="Arial" w:hAnsi="Arial" w:cs="Arial"/>
          <w:sz w:val="16"/>
          <w:szCs w:val="16"/>
        </w:rPr>
        <w:t xml:space="preserve"> que se registra en los hogares</w:t>
      </w:r>
      <w:r w:rsidRPr="00425FAB">
        <w:rPr>
          <w:rFonts w:ascii="Arial" w:hAnsi="Arial" w:cs="Arial"/>
          <w:sz w:val="16"/>
          <w:szCs w:val="16"/>
        </w:rPr>
        <w:t>.</w:t>
      </w:r>
    </w:p>
  </w:footnote>
  <w:footnote w:id="6">
    <w:p w14:paraId="1E9D0D7C" w14:textId="77777777" w:rsidR="00290DB7" w:rsidRDefault="00290DB7" w:rsidP="00547C41">
      <w:pPr>
        <w:pStyle w:val="Textonotapie"/>
        <w:ind w:left="142" w:hanging="142"/>
        <w:jc w:val="both"/>
      </w:pPr>
      <w:r w:rsidRPr="000610A0">
        <w:rPr>
          <w:rStyle w:val="Refdenotaalpie"/>
          <w:rFonts w:ascii="Arial" w:hAnsi="Arial" w:cs="Arial"/>
        </w:rPr>
        <w:footnoteRef/>
      </w:r>
      <w:r w:rsidRPr="00547C41">
        <w:rPr>
          <w:rFonts w:ascii="Arial" w:hAnsi="Arial" w:cs="Arial"/>
          <w:sz w:val="18"/>
        </w:rPr>
        <w:t xml:space="preserve"> </w:t>
      </w:r>
      <w:r w:rsidRPr="00CA112D">
        <w:rPr>
          <w:rFonts w:ascii="Arial" w:hAnsi="Arial" w:cs="Arial"/>
          <w:sz w:val="16"/>
        </w:rPr>
        <w:t>Entendid</w:t>
      </w:r>
      <w:r>
        <w:rPr>
          <w:rFonts w:ascii="Arial" w:hAnsi="Arial" w:cs="Arial"/>
          <w:sz w:val="16"/>
        </w:rPr>
        <w:t>o é</w:t>
      </w:r>
      <w:r w:rsidRPr="00CA112D">
        <w:rPr>
          <w:rFonts w:ascii="Arial" w:hAnsi="Arial" w:cs="Arial"/>
          <w:sz w:val="16"/>
        </w:rPr>
        <w:t>st</w:t>
      </w:r>
      <w:r>
        <w:rPr>
          <w:rFonts w:ascii="Arial" w:hAnsi="Arial" w:cs="Arial"/>
          <w:sz w:val="16"/>
        </w:rPr>
        <w:t>e</w:t>
      </w:r>
      <w:r w:rsidRPr="00CA112D">
        <w:rPr>
          <w:rFonts w:ascii="Arial" w:hAnsi="Arial" w:cs="Arial"/>
          <w:sz w:val="16"/>
        </w:rPr>
        <w:t xml:space="preserve"> </w:t>
      </w:r>
      <w:r>
        <w:rPr>
          <w:rFonts w:ascii="Arial" w:hAnsi="Arial" w:cs="Arial"/>
          <w:sz w:val="16"/>
        </w:rPr>
        <w:t>como el valor de todas las posesiones o activos que cada sector institucional tiene a lo largo del año. Éste incluye los activos no financieros producidos (por ejemplo: inmuebles, maquinaria, equipo, existencias, etc.), activos no financieros no producidos (por ejemplo: terrenos, recursos naturales –árboles, minas, petróleo, etc.-, contratos, arrendamientos y licencias, fondos y activos comerciales), y los activos financieros (como son: títulos de deuda y opciones accionarias de empleados, el oro monetario y los derechos especiales de giro -DEG-, acciones y participaciones en fondos de inversión, los seguros y sistemas de pensiones).</w:t>
      </w:r>
    </w:p>
  </w:footnote>
  <w:footnote w:id="7">
    <w:p w14:paraId="0A1B172E" w14:textId="77777777" w:rsidR="00290DB7" w:rsidRPr="005D367F" w:rsidRDefault="00290DB7" w:rsidP="00FA2267">
      <w:pPr>
        <w:pStyle w:val="Textonotapie"/>
        <w:tabs>
          <w:tab w:val="center" w:pos="4481"/>
        </w:tabs>
        <w:ind w:left="142" w:hanging="142"/>
        <w:jc w:val="both"/>
        <w:rPr>
          <w:rFonts w:ascii="Arial" w:hAnsi="Arial" w:cs="Arial"/>
        </w:rPr>
      </w:pPr>
      <w:r w:rsidRPr="000610A0">
        <w:rPr>
          <w:rStyle w:val="Refdenotaalpie"/>
          <w:rFonts w:ascii="Arial" w:hAnsi="Arial" w:cs="Arial"/>
        </w:rPr>
        <w:footnoteRef/>
      </w:r>
      <w:r w:rsidRPr="005D367F">
        <w:rPr>
          <w:rFonts w:ascii="Arial" w:hAnsi="Arial" w:cs="Arial"/>
        </w:rPr>
        <w:t xml:space="preserve"> </w:t>
      </w:r>
      <w:r w:rsidRPr="00033909">
        <w:rPr>
          <w:rFonts w:ascii="Arial" w:hAnsi="Arial" w:cs="Arial"/>
          <w:sz w:val="16"/>
        </w:rPr>
        <w:t>Cabe precisar que en 2016 se registró un cambio en los resultados de los Balances de Apertura y Cierre de Activos, como resultado de revisiones realizadas por la fuente respecto a la valoración de activos del resto del mundo, proveniente de la información de la Balanza de Pagos.</w:t>
      </w:r>
    </w:p>
  </w:footnote>
  <w:footnote w:id="8">
    <w:p w14:paraId="4C54FDFA" w14:textId="77777777" w:rsidR="00290DB7" w:rsidRPr="002D6A29" w:rsidRDefault="00290DB7" w:rsidP="00330A88">
      <w:pPr>
        <w:pStyle w:val="Textonotapie"/>
        <w:tabs>
          <w:tab w:val="center" w:pos="4481"/>
        </w:tabs>
        <w:ind w:left="142" w:hanging="142"/>
        <w:jc w:val="both"/>
        <w:rPr>
          <w:sz w:val="16"/>
          <w:szCs w:val="16"/>
        </w:rPr>
      </w:pPr>
      <w:r w:rsidRPr="000610A0">
        <w:rPr>
          <w:rStyle w:val="Refdenotaalpie"/>
          <w:rFonts w:ascii="Arial" w:hAnsi="Arial" w:cs="Arial"/>
        </w:rPr>
        <w:footnoteRef/>
      </w:r>
      <w:r>
        <w:rPr>
          <w:rFonts w:ascii="Arial" w:hAnsi="Arial" w:cs="Arial"/>
          <w:sz w:val="16"/>
          <w:szCs w:val="16"/>
        </w:rPr>
        <w:t xml:space="preserve"> </w:t>
      </w:r>
      <w:r w:rsidRPr="002D6A29">
        <w:rPr>
          <w:rFonts w:ascii="Arial" w:hAnsi="Arial" w:cs="Arial"/>
          <w:sz w:val="16"/>
          <w:szCs w:val="16"/>
        </w:rPr>
        <w:t xml:space="preserve">Contenida en el reporte The Financial Crisis and Information Gaps (October 2009) –conocido como Iniciativa de datos G20- y desarrollado más ampliamente en The Financial Crisis and Información Gaps: </w:t>
      </w:r>
      <w:r>
        <w:rPr>
          <w:rFonts w:ascii="Arial" w:hAnsi="Arial" w:cs="Arial"/>
          <w:sz w:val="16"/>
          <w:szCs w:val="16"/>
        </w:rPr>
        <w:t>Esta iniciativa entró a su fase 2, en dónde se atiende la recomendación #8 Cuentas Sectoriales.</w:t>
      </w:r>
    </w:p>
  </w:footnote>
  <w:footnote w:id="9">
    <w:p w14:paraId="73A0377C" w14:textId="77777777" w:rsidR="00290DB7" w:rsidRPr="00993464" w:rsidRDefault="00290DB7" w:rsidP="00330A88">
      <w:pPr>
        <w:pStyle w:val="Textonotapie"/>
        <w:ind w:left="142" w:hanging="142"/>
        <w:jc w:val="both"/>
        <w:rPr>
          <w:sz w:val="18"/>
        </w:rPr>
      </w:pPr>
      <w:r w:rsidRPr="000610A0">
        <w:rPr>
          <w:rStyle w:val="Refdenotaalpie"/>
          <w:rFonts w:ascii="Arial" w:hAnsi="Arial" w:cs="Arial"/>
        </w:rPr>
        <w:footnoteRef/>
      </w:r>
      <w:r w:rsidRPr="00993464">
        <w:rPr>
          <w:sz w:val="18"/>
        </w:rPr>
        <w:t xml:space="preserve"> </w:t>
      </w:r>
      <w:r w:rsidRPr="00993464">
        <w:rPr>
          <w:rFonts w:ascii="Arial" w:hAnsi="Arial" w:cs="Arial"/>
          <w:sz w:val="16"/>
        </w:rPr>
        <w:t>Los Sectores Institucionales se co</w:t>
      </w:r>
      <w:r>
        <w:rPr>
          <w:rFonts w:ascii="Arial" w:hAnsi="Arial" w:cs="Arial"/>
          <w:sz w:val="16"/>
        </w:rPr>
        <w:t>nforman por: las Sociedades no financieras, las Sociedades f</w:t>
      </w:r>
      <w:r w:rsidRPr="00993464">
        <w:rPr>
          <w:rFonts w:ascii="Arial" w:hAnsi="Arial" w:cs="Arial"/>
          <w:sz w:val="16"/>
        </w:rPr>
        <w:t>inancieras, el Gobierno general, los Hogares y las Instituciones sin fines de lucro que sirven a los hogares (ISFLSH).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2A7CE" w14:textId="77777777" w:rsidR="00496C09" w:rsidRDefault="00496C0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7A455" w14:textId="287BD289" w:rsidR="00290DB7" w:rsidRPr="005C2ACA" w:rsidRDefault="00290DB7" w:rsidP="00496C09">
    <w:pPr>
      <w:pStyle w:val="Encabezado"/>
      <w:framePr w:w="5504" w:hSpace="141" w:wrap="auto" w:vAnchor="text" w:hAnchor="page" w:x="5595" w:y="42"/>
      <w:ind w:left="567" w:hanging="11"/>
      <w:jc w:val="right"/>
      <w:rPr>
        <w:rFonts w:ascii="Arial" w:hAnsi="Arial" w:cs="Arial"/>
        <w:b/>
        <w:color w:val="002060"/>
        <w:sz w:val="24"/>
        <w:szCs w:val="24"/>
      </w:rPr>
    </w:pPr>
    <w:r w:rsidRPr="005C2ACA">
      <w:rPr>
        <w:rFonts w:ascii="Arial" w:hAnsi="Arial" w:cs="Arial"/>
        <w:b/>
        <w:color w:val="002060"/>
        <w:sz w:val="24"/>
        <w:szCs w:val="24"/>
      </w:rPr>
      <w:t xml:space="preserve">COMUNICADO DE PRENSA NÚM. </w:t>
    </w:r>
    <w:r w:rsidR="00496C09">
      <w:rPr>
        <w:rFonts w:ascii="Arial" w:hAnsi="Arial" w:cs="Arial"/>
        <w:b/>
        <w:color w:val="002060"/>
        <w:sz w:val="24"/>
        <w:szCs w:val="24"/>
      </w:rPr>
      <w:t>64</w:t>
    </w:r>
    <w:r w:rsidR="00116E3C">
      <w:rPr>
        <w:rFonts w:ascii="Arial" w:hAnsi="Arial" w:cs="Arial"/>
        <w:b/>
        <w:color w:val="002060"/>
        <w:sz w:val="24"/>
        <w:szCs w:val="24"/>
      </w:rPr>
      <w:t>2</w:t>
    </w:r>
    <w:bookmarkStart w:id="0" w:name="_GoBack"/>
    <w:bookmarkEnd w:id="0"/>
    <w:r w:rsidRPr="005C2ACA">
      <w:rPr>
        <w:rFonts w:ascii="Arial" w:hAnsi="Arial" w:cs="Arial"/>
        <w:b/>
        <w:color w:val="002060"/>
        <w:sz w:val="24"/>
        <w:szCs w:val="24"/>
      </w:rPr>
      <w:t>/1</w:t>
    </w:r>
    <w:r>
      <w:rPr>
        <w:rFonts w:ascii="Arial" w:hAnsi="Arial" w:cs="Arial"/>
        <w:b/>
        <w:color w:val="002060"/>
        <w:sz w:val="24"/>
        <w:szCs w:val="24"/>
      </w:rPr>
      <w:t>9</w:t>
    </w:r>
  </w:p>
  <w:p w14:paraId="045828C6" w14:textId="77777777" w:rsidR="00290DB7" w:rsidRPr="005C2ACA" w:rsidRDefault="00290DB7" w:rsidP="00496C09">
    <w:pPr>
      <w:pStyle w:val="Encabezado"/>
      <w:framePr w:w="5504" w:hSpace="141" w:wrap="auto" w:vAnchor="text" w:hAnchor="page" w:x="5595" w:y="42"/>
      <w:ind w:left="567" w:hanging="11"/>
      <w:jc w:val="right"/>
      <w:rPr>
        <w:rFonts w:ascii="Arial" w:hAnsi="Arial" w:cs="Arial"/>
        <w:b/>
        <w:color w:val="002060"/>
        <w:sz w:val="24"/>
        <w:szCs w:val="24"/>
        <w:lang w:val="pt-BR"/>
      </w:rPr>
    </w:pPr>
    <w:r>
      <w:rPr>
        <w:rFonts w:ascii="Arial" w:hAnsi="Arial" w:cs="Arial"/>
        <w:b/>
        <w:color w:val="002060"/>
        <w:sz w:val="24"/>
        <w:szCs w:val="24"/>
        <w:lang w:val="pt-BR"/>
      </w:rPr>
      <w:t xml:space="preserve"> 5 </w:t>
    </w:r>
    <w:r w:rsidRPr="005C2ACA">
      <w:rPr>
        <w:rFonts w:ascii="Arial" w:hAnsi="Arial" w:cs="Arial"/>
        <w:b/>
        <w:color w:val="002060"/>
        <w:sz w:val="24"/>
        <w:szCs w:val="24"/>
        <w:lang w:val="pt-BR"/>
      </w:rPr>
      <w:t xml:space="preserve">DE </w:t>
    </w:r>
    <w:r>
      <w:rPr>
        <w:rFonts w:ascii="Arial" w:hAnsi="Arial" w:cs="Arial"/>
        <w:b/>
        <w:color w:val="002060"/>
        <w:sz w:val="24"/>
        <w:szCs w:val="24"/>
        <w:lang w:val="pt-BR"/>
      </w:rPr>
      <w:t xml:space="preserve">DICIEMBRE </w:t>
    </w:r>
    <w:r w:rsidRPr="005C2ACA">
      <w:rPr>
        <w:rFonts w:ascii="Arial" w:hAnsi="Arial" w:cs="Arial"/>
        <w:b/>
        <w:color w:val="002060"/>
        <w:sz w:val="24"/>
        <w:szCs w:val="24"/>
        <w:lang w:val="pt-BR"/>
      </w:rPr>
      <w:t>DE 201</w:t>
    </w:r>
    <w:r>
      <w:rPr>
        <w:rFonts w:ascii="Arial" w:hAnsi="Arial" w:cs="Arial"/>
        <w:b/>
        <w:color w:val="002060"/>
        <w:sz w:val="24"/>
        <w:szCs w:val="24"/>
        <w:lang w:val="pt-BR"/>
      </w:rPr>
      <w:t>9</w:t>
    </w:r>
  </w:p>
  <w:p w14:paraId="4520E9E1" w14:textId="77777777" w:rsidR="00290DB7" w:rsidRPr="005C2ACA" w:rsidRDefault="00290DB7" w:rsidP="00496C09">
    <w:pPr>
      <w:pStyle w:val="Encabezado"/>
      <w:framePr w:w="5504" w:hSpace="141" w:wrap="auto" w:vAnchor="text" w:hAnchor="page" w:x="5595" w:y="42"/>
      <w:ind w:left="567" w:hanging="11"/>
      <w:jc w:val="right"/>
      <w:rPr>
        <w:rFonts w:ascii="Arial" w:hAnsi="Arial" w:cs="Arial"/>
        <w:b/>
        <w:color w:val="002060"/>
        <w:sz w:val="24"/>
        <w:szCs w:val="24"/>
        <w:lang w:val="pt-BR"/>
      </w:rPr>
    </w:pPr>
    <w:r w:rsidRPr="005C2ACA">
      <w:rPr>
        <w:rFonts w:ascii="Arial" w:hAnsi="Arial" w:cs="Arial"/>
        <w:b/>
        <w:color w:val="002060"/>
        <w:sz w:val="24"/>
        <w:szCs w:val="24"/>
        <w:lang w:val="pt-BR"/>
      </w:rPr>
      <w:t xml:space="preserve">PÁGINA </w:t>
    </w:r>
    <w:r w:rsidRPr="005C2ACA">
      <w:rPr>
        <w:rFonts w:ascii="Arial" w:hAnsi="Arial" w:cs="Arial"/>
        <w:b/>
        <w:color w:val="002060"/>
        <w:sz w:val="24"/>
        <w:szCs w:val="24"/>
      </w:rPr>
      <w:fldChar w:fldCharType="begin"/>
    </w:r>
    <w:r w:rsidRPr="005C2ACA">
      <w:rPr>
        <w:rFonts w:ascii="Arial" w:hAnsi="Arial" w:cs="Arial"/>
        <w:b/>
        <w:color w:val="002060"/>
        <w:sz w:val="24"/>
        <w:szCs w:val="24"/>
        <w:lang w:val="pt-BR"/>
      </w:rPr>
      <w:instrText xml:space="preserve">\PAGE </w:instrText>
    </w:r>
    <w:r w:rsidRPr="005C2ACA">
      <w:rPr>
        <w:rFonts w:ascii="Arial" w:hAnsi="Arial" w:cs="Arial"/>
        <w:color w:val="002060"/>
        <w:sz w:val="24"/>
        <w:szCs w:val="24"/>
      </w:rPr>
      <w:fldChar w:fldCharType="separate"/>
    </w:r>
    <w:r>
      <w:rPr>
        <w:rFonts w:ascii="Arial" w:hAnsi="Arial" w:cs="Arial"/>
        <w:b/>
        <w:noProof/>
        <w:color w:val="002060"/>
        <w:sz w:val="24"/>
        <w:szCs w:val="24"/>
        <w:lang w:val="pt-BR"/>
      </w:rPr>
      <w:t>3</w:t>
    </w:r>
    <w:r w:rsidRPr="005C2ACA">
      <w:rPr>
        <w:rFonts w:ascii="Arial" w:hAnsi="Arial" w:cs="Arial"/>
        <w:color w:val="002060"/>
        <w:sz w:val="24"/>
        <w:szCs w:val="24"/>
      </w:rPr>
      <w:fldChar w:fldCharType="end"/>
    </w:r>
    <w:r w:rsidRPr="005C2ACA">
      <w:rPr>
        <w:rFonts w:ascii="Arial" w:hAnsi="Arial" w:cs="Arial"/>
        <w:b/>
        <w:color w:val="002060"/>
        <w:sz w:val="24"/>
        <w:szCs w:val="24"/>
        <w:lang w:val="pt-BR"/>
      </w:rPr>
      <w:t>/3</w:t>
    </w:r>
  </w:p>
  <w:p w14:paraId="1AB92E30" w14:textId="77777777" w:rsidR="00290DB7" w:rsidRDefault="00290DB7" w:rsidP="00290DB7">
    <w:pPr>
      <w:pStyle w:val="Encabezado"/>
      <w:ind w:left="-993"/>
    </w:pPr>
    <w:r>
      <w:rPr>
        <w:noProof/>
      </w:rPr>
      <w:drawing>
        <wp:inline distT="0" distB="0" distL="0" distR="0" wp14:anchorId="1EC2E680" wp14:editId="36118B67">
          <wp:extent cx="927615" cy="963545"/>
          <wp:effectExtent l="0" t="0" r="6350" b="8255"/>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62FF3" w14:textId="77777777" w:rsidR="00496C09" w:rsidRDefault="00496C09">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EC6A0" w14:textId="77777777" w:rsidR="00290DB7" w:rsidRDefault="00290DB7" w:rsidP="00997F5E">
    <w:pPr>
      <w:pStyle w:val="Encabezado"/>
      <w:tabs>
        <w:tab w:val="center" w:pos="4164"/>
        <w:tab w:val="center" w:pos="4537"/>
        <w:tab w:val="left" w:pos="7410"/>
      </w:tabs>
      <w:ind w:left="-426"/>
      <w:jc w:val="center"/>
      <w:rPr>
        <w:sz w:val="20"/>
        <w:szCs w:val="20"/>
      </w:rPr>
    </w:pPr>
    <w:r>
      <w:rPr>
        <w:noProof/>
        <w:lang w:eastAsia="es-MX"/>
      </w:rPr>
      <w:drawing>
        <wp:inline distT="0" distB="0" distL="0" distR="0" wp14:anchorId="0DCF6116" wp14:editId="67CC3846">
          <wp:extent cx="928370" cy="964565"/>
          <wp:effectExtent l="0" t="0" r="5080" b="6985"/>
          <wp:docPr id="13" name="Imagen 13" descr="cid:image002.png@01D4B335.490B1A50"/>
          <wp:cNvGraphicFramePr/>
          <a:graphic xmlns:a="http://schemas.openxmlformats.org/drawingml/2006/main">
            <a:graphicData uri="http://schemas.openxmlformats.org/drawingml/2006/picture">
              <pic:pic xmlns:pic="http://schemas.openxmlformats.org/drawingml/2006/picture">
                <pic:nvPicPr>
                  <pic:cNvPr id="4" name="Imagen 4"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370" cy="964565"/>
                  </a:xfrm>
                  <a:prstGeom prst="rect">
                    <a:avLst/>
                  </a:prstGeom>
                  <a:noFill/>
                  <a:ln>
                    <a:noFill/>
                  </a:ln>
                </pic:spPr>
              </pic:pic>
            </a:graphicData>
          </a:graphic>
        </wp:inline>
      </w:drawing>
    </w:r>
  </w:p>
  <w:p w14:paraId="2B46DCB7" w14:textId="77777777" w:rsidR="00290DB7" w:rsidRDefault="00290DB7" w:rsidP="00025F8C">
    <w:pPr>
      <w:pStyle w:val="Encabezado"/>
      <w:tabs>
        <w:tab w:val="center" w:pos="4164"/>
        <w:tab w:val="center" w:pos="4537"/>
        <w:tab w:val="left" w:pos="7410"/>
      </w:tabs>
      <w:ind w:left="-426"/>
      <w:rPr>
        <w:sz w:val="20"/>
        <w:szCs w:val="20"/>
      </w:rPr>
    </w:pPr>
  </w:p>
  <w:p w14:paraId="588E243B" w14:textId="77777777" w:rsidR="00290DB7" w:rsidRDefault="00290DB7" w:rsidP="00025F8C">
    <w:pPr>
      <w:pStyle w:val="Encabezado"/>
      <w:tabs>
        <w:tab w:val="center" w:pos="4164"/>
        <w:tab w:val="center" w:pos="4537"/>
        <w:tab w:val="left" w:pos="7410"/>
      </w:tabs>
      <w:ind w:left="-426"/>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5B1C05"/>
    <w:multiLevelType w:val="hybridMultilevel"/>
    <w:tmpl w:val="1B84E278"/>
    <w:lvl w:ilvl="0" w:tplc="97AE9344">
      <w:numFmt w:val="bullet"/>
      <w:lvlText w:val=""/>
      <w:lvlJc w:val="left"/>
      <w:pPr>
        <w:ind w:left="1078" w:hanging="360"/>
      </w:pPr>
      <w:rPr>
        <w:rFonts w:ascii="Symbol" w:eastAsia="Symbol" w:hAnsi="Symbol" w:cs="Symbol" w:hint="default"/>
      </w:rPr>
    </w:lvl>
    <w:lvl w:ilvl="1" w:tplc="080A0003" w:tentative="1">
      <w:start w:val="1"/>
      <w:numFmt w:val="bullet"/>
      <w:lvlText w:val="o"/>
      <w:lvlJc w:val="left"/>
      <w:pPr>
        <w:ind w:left="1798" w:hanging="360"/>
      </w:pPr>
      <w:rPr>
        <w:rFonts w:ascii="Courier New" w:hAnsi="Courier New" w:cs="Courier New" w:hint="default"/>
      </w:rPr>
    </w:lvl>
    <w:lvl w:ilvl="2" w:tplc="080A0005" w:tentative="1">
      <w:start w:val="1"/>
      <w:numFmt w:val="bullet"/>
      <w:lvlText w:val=""/>
      <w:lvlJc w:val="left"/>
      <w:pPr>
        <w:ind w:left="2518" w:hanging="360"/>
      </w:pPr>
      <w:rPr>
        <w:rFonts w:ascii="Wingdings" w:hAnsi="Wingdings" w:hint="default"/>
      </w:rPr>
    </w:lvl>
    <w:lvl w:ilvl="3" w:tplc="080A0001" w:tentative="1">
      <w:start w:val="1"/>
      <w:numFmt w:val="bullet"/>
      <w:lvlText w:val=""/>
      <w:lvlJc w:val="left"/>
      <w:pPr>
        <w:ind w:left="3238" w:hanging="360"/>
      </w:pPr>
      <w:rPr>
        <w:rFonts w:ascii="Symbol" w:hAnsi="Symbol" w:hint="default"/>
      </w:rPr>
    </w:lvl>
    <w:lvl w:ilvl="4" w:tplc="080A0003" w:tentative="1">
      <w:start w:val="1"/>
      <w:numFmt w:val="bullet"/>
      <w:lvlText w:val="o"/>
      <w:lvlJc w:val="left"/>
      <w:pPr>
        <w:ind w:left="3958" w:hanging="360"/>
      </w:pPr>
      <w:rPr>
        <w:rFonts w:ascii="Courier New" w:hAnsi="Courier New" w:cs="Courier New" w:hint="default"/>
      </w:rPr>
    </w:lvl>
    <w:lvl w:ilvl="5" w:tplc="080A0005" w:tentative="1">
      <w:start w:val="1"/>
      <w:numFmt w:val="bullet"/>
      <w:lvlText w:val=""/>
      <w:lvlJc w:val="left"/>
      <w:pPr>
        <w:ind w:left="4678" w:hanging="360"/>
      </w:pPr>
      <w:rPr>
        <w:rFonts w:ascii="Wingdings" w:hAnsi="Wingdings" w:hint="default"/>
      </w:rPr>
    </w:lvl>
    <w:lvl w:ilvl="6" w:tplc="080A0001" w:tentative="1">
      <w:start w:val="1"/>
      <w:numFmt w:val="bullet"/>
      <w:lvlText w:val=""/>
      <w:lvlJc w:val="left"/>
      <w:pPr>
        <w:ind w:left="5398" w:hanging="360"/>
      </w:pPr>
      <w:rPr>
        <w:rFonts w:ascii="Symbol" w:hAnsi="Symbol" w:hint="default"/>
      </w:rPr>
    </w:lvl>
    <w:lvl w:ilvl="7" w:tplc="080A0003" w:tentative="1">
      <w:start w:val="1"/>
      <w:numFmt w:val="bullet"/>
      <w:lvlText w:val="o"/>
      <w:lvlJc w:val="left"/>
      <w:pPr>
        <w:ind w:left="6118" w:hanging="360"/>
      </w:pPr>
      <w:rPr>
        <w:rFonts w:ascii="Courier New" w:hAnsi="Courier New" w:cs="Courier New" w:hint="default"/>
      </w:rPr>
    </w:lvl>
    <w:lvl w:ilvl="8" w:tplc="080A0005" w:tentative="1">
      <w:start w:val="1"/>
      <w:numFmt w:val="bullet"/>
      <w:lvlText w:val=""/>
      <w:lvlJc w:val="left"/>
      <w:pPr>
        <w:ind w:left="6838" w:hanging="360"/>
      </w:pPr>
      <w:rPr>
        <w:rFonts w:ascii="Wingdings" w:hAnsi="Wingdings" w:hint="default"/>
      </w:rPr>
    </w:lvl>
  </w:abstractNum>
  <w:abstractNum w:abstractNumId="1" w15:restartNumberingAfterBreak="0">
    <w:nsid w:val="7C676053"/>
    <w:multiLevelType w:val="hybridMultilevel"/>
    <w:tmpl w:val="DE7487F8"/>
    <w:lvl w:ilvl="0" w:tplc="080A0001">
      <w:start w:val="1"/>
      <w:numFmt w:val="bullet"/>
      <w:lvlText w:val=""/>
      <w:lvlJc w:val="left"/>
      <w:pPr>
        <w:ind w:left="450" w:hanging="360"/>
      </w:pPr>
      <w:rPr>
        <w:rFonts w:ascii="Symbol" w:hAnsi="Symbol" w:hint="default"/>
      </w:rPr>
    </w:lvl>
    <w:lvl w:ilvl="1" w:tplc="080A0003" w:tentative="1">
      <w:start w:val="1"/>
      <w:numFmt w:val="bullet"/>
      <w:lvlText w:val="o"/>
      <w:lvlJc w:val="left"/>
      <w:pPr>
        <w:ind w:left="1170" w:hanging="360"/>
      </w:pPr>
      <w:rPr>
        <w:rFonts w:ascii="Courier New" w:hAnsi="Courier New" w:cs="Courier New" w:hint="default"/>
      </w:rPr>
    </w:lvl>
    <w:lvl w:ilvl="2" w:tplc="080A0005" w:tentative="1">
      <w:start w:val="1"/>
      <w:numFmt w:val="bullet"/>
      <w:lvlText w:val=""/>
      <w:lvlJc w:val="left"/>
      <w:pPr>
        <w:ind w:left="1890" w:hanging="360"/>
      </w:pPr>
      <w:rPr>
        <w:rFonts w:ascii="Wingdings" w:hAnsi="Wingdings" w:hint="default"/>
      </w:rPr>
    </w:lvl>
    <w:lvl w:ilvl="3" w:tplc="080A0001" w:tentative="1">
      <w:start w:val="1"/>
      <w:numFmt w:val="bullet"/>
      <w:lvlText w:val=""/>
      <w:lvlJc w:val="left"/>
      <w:pPr>
        <w:ind w:left="2610" w:hanging="360"/>
      </w:pPr>
      <w:rPr>
        <w:rFonts w:ascii="Symbol" w:hAnsi="Symbol" w:hint="default"/>
      </w:rPr>
    </w:lvl>
    <w:lvl w:ilvl="4" w:tplc="080A0003" w:tentative="1">
      <w:start w:val="1"/>
      <w:numFmt w:val="bullet"/>
      <w:lvlText w:val="o"/>
      <w:lvlJc w:val="left"/>
      <w:pPr>
        <w:ind w:left="3330" w:hanging="360"/>
      </w:pPr>
      <w:rPr>
        <w:rFonts w:ascii="Courier New" w:hAnsi="Courier New" w:cs="Courier New" w:hint="default"/>
      </w:rPr>
    </w:lvl>
    <w:lvl w:ilvl="5" w:tplc="080A0005" w:tentative="1">
      <w:start w:val="1"/>
      <w:numFmt w:val="bullet"/>
      <w:lvlText w:val=""/>
      <w:lvlJc w:val="left"/>
      <w:pPr>
        <w:ind w:left="4050" w:hanging="360"/>
      </w:pPr>
      <w:rPr>
        <w:rFonts w:ascii="Wingdings" w:hAnsi="Wingdings" w:hint="default"/>
      </w:rPr>
    </w:lvl>
    <w:lvl w:ilvl="6" w:tplc="080A0001" w:tentative="1">
      <w:start w:val="1"/>
      <w:numFmt w:val="bullet"/>
      <w:lvlText w:val=""/>
      <w:lvlJc w:val="left"/>
      <w:pPr>
        <w:ind w:left="4770" w:hanging="360"/>
      </w:pPr>
      <w:rPr>
        <w:rFonts w:ascii="Symbol" w:hAnsi="Symbol" w:hint="default"/>
      </w:rPr>
    </w:lvl>
    <w:lvl w:ilvl="7" w:tplc="080A0003" w:tentative="1">
      <w:start w:val="1"/>
      <w:numFmt w:val="bullet"/>
      <w:lvlText w:val="o"/>
      <w:lvlJc w:val="left"/>
      <w:pPr>
        <w:ind w:left="5490" w:hanging="360"/>
      </w:pPr>
      <w:rPr>
        <w:rFonts w:ascii="Courier New" w:hAnsi="Courier New" w:cs="Courier New" w:hint="default"/>
      </w:rPr>
    </w:lvl>
    <w:lvl w:ilvl="8" w:tplc="080A0005" w:tentative="1">
      <w:start w:val="1"/>
      <w:numFmt w:val="bullet"/>
      <w:lvlText w:val=""/>
      <w:lvlJc w:val="left"/>
      <w:pPr>
        <w:ind w:left="621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activeWritingStyle w:appName="MSWord" w:lang="pt-BR" w:vendorID="64" w:dllVersion="6" w:nlCheck="1" w:checkStyle="0"/>
  <w:activeWritingStyle w:appName="MSWord" w:lang="es-MX" w:vendorID="64" w:dllVersion="6" w:nlCheck="1" w:checkStyle="0"/>
  <w:activeWritingStyle w:appName="MSWord" w:lang="es-ES_tradnl" w:vendorID="64" w:dllVersion="6" w:nlCheck="1" w:checkStyle="0"/>
  <w:activeWritingStyle w:appName="MSWord" w:lang="pt-BR" w:vendorID="64" w:dllVersion="0" w:nlCheck="1" w:checkStyle="0"/>
  <w:activeWritingStyle w:appName="MSWord" w:lang="es-MX" w:vendorID="64" w:dllVersion="0" w:nlCheck="1" w:checkStyle="0"/>
  <w:activeWritingStyle w:appName="MSWord" w:lang="es-ES_tradnl" w:vendorID="64" w:dllVersion="0" w:nlCheck="1" w:checkStyle="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F8B"/>
    <w:rsid w:val="00000475"/>
    <w:rsid w:val="0000237A"/>
    <w:rsid w:val="00005B5E"/>
    <w:rsid w:val="00010280"/>
    <w:rsid w:val="00012656"/>
    <w:rsid w:val="000228F4"/>
    <w:rsid w:val="00022F0B"/>
    <w:rsid w:val="00025F8C"/>
    <w:rsid w:val="00033909"/>
    <w:rsid w:val="00033B56"/>
    <w:rsid w:val="00047420"/>
    <w:rsid w:val="000474C3"/>
    <w:rsid w:val="000477BA"/>
    <w:rsid w:val="00047F8C"/>
    <w:rsid w:val="0005122A"/>
    <w:rsid w:val="00056236"/>
    <w:rsid w:val="000610A0"/>
    <w:rsid w:val="0006189A"/>
    <w:rsid w:val="00061C66"/>
    <w:rsid w:val="00064781"/>
    <w:rsid w:val="00070ADE"/>
    <w:rsid w:val="00070FCE"/>
    <w:rsid w:val="000733CC"/>
    <w:rsid w:val="000772D9"/>
    <w:rsid w:val="00081A17"/>
    <w:rsid w:val="00081AEB"/>
    <w:rsid w:val="00081B83"/>
    <w:rsid w:val="00082E95"/>
    <w:rsid w:val="00084AE6"/>
    <w:rsid w:val="000859AE"/>
    <w:rsid w:val="00094226"/>
    <w:rsid w:val="00097A11"/>
    <w:rsid w:val="000A4058"/>
    <w:rsid w:val="000A6E21"/>
    <w:rsid w:val="000B147E"/>
    <w:rsid w:val="000B2AA3"/>
    <w:rsid w:val="000B762B"/>
    <w:rsid w:val="000C0187"/>
    <w:rsid w:val="000C5E26"/>
    <w:rsid w:val="000D375E"/>
    <w:rsid w:val="000D65AB"/>
    <w:rsid w:val="000E0127"/>
    <w:rsid w:val="000E3952"/>
    <w:rsid w:val="000E4837"/>
    <w:rsid w:val="000E4DBA"/>
    <w:rsid w:val="000F146C"/>
    <w:rsid w:val="000F3FCE"/>
    <w:rsid w:val="000F4514"/>
    <w:rsid w:val="000F62D2"/>
    <w:rsid w:val="00100496"/>
    <w:rsid w:val="001012CC"/>
    <w:rsid w:val="00105894"/>
    <w:rsid w:val="00106290"/>
    <w:rsid w:val="0011620B"/>
    <w:rsid w:val="00116B7B"/>
    <w:rsid w:val="00116E3C"/>
    <w:rsid w:val="00116F39"/>
    <w:rsid w:val="00116F48"/>
    <w:rsid w:val="00121F4C"/>
    <w:rsid w:val="00124A76"/>
    <w:rsid w:val="001306BF"/>
    <w:rsid w:val="001306EA"/>
    <w:rsid w:val="00133ADB"/>
    <w:rsid w:val="00133CD9"/>
    <w:rsid w:val="00134DD5"/>
    <w:rsid w:val="001401A0"/>
    <w:rsid w:val="00141324"/>
    <w:rsid w:val="0014663D"/>
    <w:rsid w:val="00147D82"/>
    <w:rsid w:val="001514C9"/>
    <w:rsid w:val="001540E2"/>
    <w:rsid w:val="00154862"/>
    <w:rsid w:val="0015529E"/>
    <w:rsid w:val="00161F59"/>
    <w:rsid w:val="00166E44"/>
    <w:rsid w:val="00167921"/>
    <w:rsid w:val="00170AC2"/>
    <w:rsid w:val="001722E4"/>
    <w:rsid w:val="0017250D"/>
    <w:rsid w:val="0017296C"/>
    <w:rsid w:val="00173414"/>
    <w:rsid w:val="00175879"/>
    <w:rsid w:val="001774D5"/>
    <w:rsid w:val="00180E3F"/>
    <w:rsid w:val="001821F0"/>
    <w:rsid w:val="00182E0F"/>
    <w:rsid w:val="00183EED"/>
    <w:rsid w:val="00184DF0"/>
    <w:rsid w:val="001863C3"/>
    <w:rsid w:val="0019324D"/>
    <w:rsid w:val="00193334"/>
    <w:rsid w:val="001955FB"/>
    <w:rsid w:val="001A1406"/>
    <w:rsid w:val="001A2E66"/>
    <w:rsid w:val="001A7283"/>
    <w:rsid w:val="001A7739"/>
    <w:rsid w:val="001B2987"/>
    <w:rsid w:val="001B47B3"/>
    <w:rsid w:val="001B647F"/>
    <w:rsid w:val="001B6CBC"/>
    <w:rsid w:val="001B733D"/>
    <w:rsid w:val="001C017C"/>
    <w:rsid w:val="001C1103"/>
    <w:rsid w:val="001C1916"/>
    <w:rsid w:val="001C2EF3"/>
    <w:rsid w:val="001C6139"/>
    <w:rsid w:val="001D01C0"/>
    <w:rsid w:val="001D6076"/>
    <w:rsid w:val="001E1780"/>
    <w:rsid w:val="001E1D05"/>
    <w:rsid w:val="001E2D17"/>
    <w:rsid w:val="001E3E77"/>
    <w:rsid w:val="001E6506"/>
    <w:rsid w:val="001E79A2"/>
    <w:rsid w:val="001F03D5"/>
    <w:rsid w:val="001F78AF"/>
    <w:rsid w:val="00201841"/>
    <w:rsid w:val="00204A42"/>
    <w:rsid w:val="00205A1C"/>
    <w:rsid w:val="002111B3"/>
    <w:rsid w:val="00217483"/>
    <w:rsid w:val="00217643"/>
    <w:rsid w:val="002263AA"/>
    <w:rsid w:val="002270B3"/>
    <w:rsid w:val="002309B8"/>
    <w:rsid w:val="00234A2A"/>
    <w:rsid w:val="0023796E"/>
    <w:rsid w:val="00241C21"/>
    <w:rsid w:val="0024305F"/>
    <w:rsid w:val="002441D0"/>
    <w:rsid w:val="00245E3F"/>
    <w:rsid w:val="00247412"/>
    <w:rsid w:val="00255FF0"/>
    <w:rsid w:val="002602F6"/>
    <w:rsid w:val="00260BA0"/>
    <w:rsid w:val="00260D69"/>
    <w:rsid w:val="00261547"/>
    <w:rsid w:val="00264247"/>
    <w:rsid w:val="002650ED"/>
    <w:rsid w:val="0026720E"/>
    <w:rsid w:val="0026761D"/>
    <w:rsid w:val="002814A1"/>
    <w:rsid w:val="00281709"/>
    <w:rsid w:val="00284188"/>
    <w:rsid w:val="0028685F"/>
    <w:rsid w:val="00290DB7"/>
    <w:rsid w:val="00292046"/>
    <w:rsid w:val="002940C9"/>
    <w:rsid w:val="0029508B"/>
    <w:rsid w:val="002A065F"/>
    <w:rsid w:val="002A1047"/>
    <w:rsid w:val="002A1E5F"/>
    <w:rsid w:val="002A418E"/>
    <w:rsid w:val="002A5961"/>
    <w:rsid w:val="002A598E"/>
    <w:rsid w:val="002A7458"/>
    <w:rsid w:val="002B0EDC"/>
    <w:rsid w:val="002B438B"/>
    <w:rsid w:val="002B6CF9"/>
    <w:rsid w:val="002B6FD8"/>
    <w:rsid w:val="002B7A0E"/>
    <w:rsid w:val="002C29E1"/>
    <w:rsid w:val="002C6745"/>
    <w:rsid w:val="002C7257"/>
    <w:rsid w:val="002C79EE"/>
    <w:rsid w:val="002C7ECB"/>
    <w:rsid w:val="002D30D1"/>
    <w:rsid w:val="002D3841"/>
    <w:rsid w:val="002D3C91"/>
    <w:rsid w:val="002D4CFA"/>
    <w:rsid w:val="002D6A29"/>
    <w:rsid w:val="002E059E"/>
    <w:rsid w:val="002E31F5"/>
    <w:rsid w:val="002E66E6"/>
    <w:rsid w:val="002E7A86"/>
    <w:rsid w:val="002F088B"/>
    <w:rsid w:val="002F1DE2"/>
    <w:rsid w:val="002F2C11"/>
    <w:rsid w:val="002F3113"/>
    <w:rsid w:val="002F33F4"/>
    <w:rsid w:val="002F5E18"/>
    <w:rsid w:val="003037CC"/>
    <w:rsid w:val="00305BD0"/>
    <w:rsid w:val="00305F8D"/>
    <w:rsid w:val="003067EE"/>
    <w:rsid w:val="003110B3"/>
    <w:rsid w:val="003122A8"/>
    <w:rsid w:val="00316C84"/>
    <w:rsid w:val="0031744B"/>
    <w:rsid w:val="00317C79"/>
    <w:rsid w:val="00321556"/>
    <w:rsid w:val="00321C46"/>
    <w:rsid w:val="00323C72"/>
    <w:rsid w:val="00324613"/>
    <w:rsid w:val="0032591F"/>
    <w:rsid w:val="00330A88"/>
    <w:rsid w:val="00330B83"/>
    <w:rsid w:val="00332F75"/>
    <w:rsid w:val="00334C41"/>
    <w:rsid w:val="003353B3"/>
    <w:rsid w:val="00343335"/>
    <w:rsid w:val="003449EE"/>
    <w:rsid w:val="00347FDA"/>
    <w:rsid w:val="0035392A"/>
    <w:rsid w:val="00353AB9"/>
    <w:rsid w:val="003550EB"/>
    <w:rsid w:val="003561DF"/>
    <w:rsid w:val="00360305"/>
    <w:rsid w:val="003611EE"/>
    <w:rsid w:val="003622B0"/>
    <w:rsid w:val="0037163F"/>
    <w:rsid w:val="00371C90"/>
    <w:rsid w:val="0037391D"/>
    <w:rsid w:val="00373EAC"/>
    <w:rsid w:val="00374729"/>
    <w:rsid w:val="00374F61"/>
    <w:rsid w:val="00376DD3"/>
    <w:rsid w:val="003843D7"/>
    <w:rsid w:val="00387C35"/>
    <w:rsid w:val="003907D0"/>
    <w:rsid w:val="00390C02"/>
    <w:rsid w:val="00391974"/>
    <w:rsid w:val="00391D3E"/>
    <w:rsid w:val="003943FD"/>
    <w:rsid w:val="003945F0"/>
    <w:rsid w:val="00394B7B"/>
    <w:rsid w:val="003A1F6E"/>
    <w:rsid w:val="003A2461"/>
    <w:rsid w:val="003A453F"/>
    <w:rsid w:val="003B1067"/>
    <w:rsid w:val="003B2E8C"/>
    <w:rsid w:val="003B4A43"/>
    <w:rsid w:val="003B4B57"/>
    <w:rsid w:val="003B4C87"/>
    <w:rsid w:val="003B6D24"/>
    <w:rsid w:val="003B6EBE"/>
    <w:rsid w:val="003C2135"/>
    <w:rsid w:val="003C4405"/>
    <w:rsid w:val="003C4635"/>
    <w:rsid w:val="003C4A2A"/>
    <w:rsid w:val="003C5A45"/>
    <w:rsid w:val="003C76D5"/>
    <w:rsid w:val="003D3E47"/>
    <w:rsid w:val="003D5844"/>
    <w:rsid w:val="003E11BD"/>
    <w:rsid w:val="003E64F2"/>
    <w:rsid w:val="003E72CA"/>
    <w:rsid w:val="003F06E3"/>
    <w:rsid w:val="003F1E04"/>
    <w:rsid w:val="003F3753"/>
    <w:rsid w:val="003F405F"/>
    <w:rsid w:val="003F5DD2"/>
    <w:rsid w:val="003F6A47"/>
    <w:rsid w:val="00400E10"/>
    <w:rsid w:val="004018F0"/>
    <w:rsid w:val="00401D10"/>
    <w:rsid w:val="00404AA6"/>
    <w:rsid w:val="00405B83"/>
    <w:rsid w:val="0040738C"/>
    <w:rsid w:val="00407C33"/>
    <w:rsid w:val="00411A5F"/>
    <w:rsid w:val="00413C30"/>
    <w:rsid w:val="004179E7"/>
    <w:rsid w:val="00420434"/>
    <w:rsid w:val="0042161E"/>
    <w:rsid w:val="004220AA"/>
    <w:rsid w:val="004239E2"/>
    <w:rsid w:val="0042552A"/>
    <w:rsid w:val="00425FAB"/>
    <w:rsid w:val="00426519"/>
    <w:rsid w:val="00431B98"/>
    <w:rsid w:val="004325E5"/>
    <w:rsid w:val="0043262D"/>
    <w:rsid w:val="00435318"/>
    <w:rsid w:val="004418FE"/>
    <w:rsid w:val="00441B51"/>
    <w:rsid w:val="00443AEB"/>
    <w:rsid w:val="004446AC"/>
    <w:rsid w:val="00447D2D"/>
    <w:rsid w:val="00452146"/>
    <w:rsid w:val="00454F1D"/>
    <w:rsid w:val="004557EF"/>
    <w:rsid w:val="00461CD5"/>
    <w:rsid w:val="00464AED"/>
    <w:rsid w:val="0046737B"/>
    <w:rsid w:val="00470D5D"/>
    <w:rsid w:val="0047618E"/>
    <w:rsid w:val="0047625B"/>
    <w:rsid w:val="00477212"/>
    <w:rsid w:val="004810A2"/>
    <w:rsid w:val="00481D28"/>
    <w:rsid w:val="0048654A"/>
    <w:rsid w:val="00491A75"/>
    <w:rsid w:val="00492A1C"/>
    <w:rsid w:val="00493EDC"/>
    <w:rsid w:val="00496C09"/>
    <w:rsid w:val="004A3E4C"/>
    <w:rsid w:val="004B09F0"/>
    <w:rsid w:val="004B3288"/>
    <w:rsid w:val="004B4A18"/>
    <w:rsid w:val="004B4C65"/>
    <w:rsid w:val="004B7DCE"/>
    <w:rsid w:val="004C5788"/>
    <w:rsid w:val="004C5F05"/>
    <w:rsid w:val="004D04FC"/>
    <w:rsid w:val="004D3915"/>
    <w:rsid w:val="004D68A8"/>
    <w:rsid w:val="004E3283"/>
    <w:rsid w:val="004E57A8"/>
    <w:rsid w:val="004F394A"/>
    <w:rsid w:val="004F6636"/>
    <w:rsid w:val="004F6C7D"/>
    <w:rsid w:val="00502B65"/>
    <w:rsid w:val="00512690"/>
    <w:rsid w:val="00513DFB"/>
    <w:rsid w:val="00514432"/>
    <w:rsid w:val="005149D1"/>
    <w:rsid w:val="005155A3"/>
    <w:rsid w:val="005174DF"/>
    <w:rsid w:val="00517A16"/>
    <w:rsid w:val="0052450D"/>
    <w:rsid w:val="00524FDB"/>
    <w:rsid w:val="00531EED"/>
    <w:rsid w:val="00532D56"/>
    <w:rsid w:val="0053380B"/>
    <w:rsid w:val="00535317"/>
    <w:rsid w:val="005408D7"/>
    <w:rsid w:val="0054092A"/>
    <w:rsid w:val="00541DC2"/>
    <w:rsid w:val="0054235E"/>
    <w:rsid w:val="0054476C"/>
    <w:rsid w:val="00544F84"/>
    <w:rsid w:val="00546AFA"/>
    <w:rsid w:val="00546E7A"/>
    <w:rsid w:val="00547BB7"/>
    <w:rsid w:val="00547C41"/>
    <w:rsid w:val="005556A6"/>
    <w:rsid w:val="0056067F"/>
    <w:rsid w:val="00564D28"/>
    <w:rsid w:val="00567D17"/>
    <w:rsid w:val="005716E0"/>
    <w:rsid w:val="005737AE"/>
    <w:rsid w:val="00576351"/>
    <w:rsid w:val="00580209"/>
    <w:rsid w:val="0058323C"/>
    <w:rsid w:val="0058569B"/>
    <w:rsid w:val="00586763"/>
    <w:rsid w:val="005920A3"/>
    <w:rsid w:val="005951BA"/>
    <w:rsid w:val="0059561B"/>
    <w:rsid w:val="005A03D1"/>
    <w:rsid w:val="005A2AFE"/>
    <w:rsid w:val="005A4D8E"/>
    <w:rsid w:val="005A5607"/>
    <w:rsid w:val="005A640B"/>
    <w:rsid w:val="005B013D"/>
    <w:rsid w:val="005B0D38"/>
    <w:rsid w:val="005B1622"/>
    <w:rsid w:val="005B179B"/>
    <w:rsid w:val="005B4446"/>
    <w:rsid w:val="005B7DDB"/>
    <w:rsid w:val="005C0B83"/>
    <w:rsid w:val="005C2CF8"/>
    <w:rsid w:val="005C5FB8"/>
    <w:rsid w:val="005D0483"/>
    <w:rsid w:val="005D357B"/>
    <w:rsid w:val="005D367F"/>
    <w:rsid w:val="005D3DC9"/>
    <w:rsid w:val="005E4BB8"/>
    <w:rsid w:val="005F0026"/>
    <w:rsid w:val="005F291E"/>
    <w:rsid w:val="005F2EDD"/>
    <w:rsid w:val="005F6D1C"/>
    <w:rsid w:val="00604667"/>
    <w:rsid w:val="00611439"/>
    <w:rsid w:val="006150B7"/>
    <w:rsid w:val="0062115B"/>
    <w:rsid w:val="006234AB"/>
    <w:rsid w:val="00624CFE"/>
    <w:rsid w:val="00624E9B"/>
    <w:rsid w:val="0062640B"/>
    <w:rsid w:val="0063305E"/>
    <w:rsid w:val="0063433A"/>
    <w:rsid w:val="006412A5"/>
    <w:rsid w:val="00642B16"/>
    <w:rsid w:val="0064647D"/>
    <w:rsid w:val="006478EE"/>
    <w:rsid w:val="0065575F"/>
    <w:rsid w:val="00660EE3"/>
    <w:rsid w:val="006615EF"/>
    <w:rsid w:val="00663A5E"/>
    <w:rsid w:val="00664414"/>
    <w:rsid w:val="00672758"/>
    <w:rsid w:val="00676CB7"/>
    <w:rsid w:val="00682FE9"/>
    <w:rsid w:val="00684F2B"/>
    <w:rsid w:val="006861EB"/>
    <w:rsid w:val="006877EF"/>
    <w:rsid w:val="00687F57"/>
    <w:rsid w:val="0069416F"/>
    <w:rsid w:val="0069574E"/>
    <w:rsid w:val="006966AB"/>
    <w:rsid w:val="006A218B"/>
    <w:rsid w:val="006A28A1"/>
    <w:rsid w:val="006A3E72"/>
    <w:rsid w:val="006A53C8"/>
    <w:rsid w:val="006B5B51"/>
    <w:rsid w:val="006C29F7"/>
    <w:rsid w:val="006C440E"/>
    <w:rsid w:val="006C613A"/>
    <w:rsid w:val="006C7055"/>
    <w:rsid w:val="006C7E46"/>
    <w:rsid w:val="006D0D5E"/>
    <w:rsid w:val="006D1B85"/>
    <w:rsid w:val="006D1F09"/>
    <w:rsid w:val="006D5372"/>
    <w:rsid w:val="006D7329"/>
    <w:rsid w:val="006E035B"/>
    <w:rsid w:val="006E0EBD"/>
    <w:rsid w:val="006E1594"/>
    <w:rsid w:val="006E7CFA"/>
    <w:rsid w:val="006F2CEF"/>
    <w:rsid w:val="006F5041"/>
    <w:rsid w:val="00710E0B"/>
    <w:rsid w:val="00721F85"/>
    <w:rsid w:val="0072465B"/>
    <w:rsid w:val="00724D24"/>
    <w:rsid w:val="00730604"/>
    <w:rsid w:val="00731B29"/>
    <w:rsid w:val="00732807"/>
    <w:rsid w:val="00733838"/>
    <w:rsid w:val="007346E6"/>
    <w:rsid w:val="00735706"/>
    <w:rsid w:val="007368CC"/>
    <w:rsid w:val="007429E6"/>
    <w:rsid w:val="00746D61"/>
    <w:rsid w:val="00750705"/>
    <w:rsid w:val="00752808"/>
    <w:rsid w:val="00753DF2"/>
    <w:rsid w:val="00754930"/>
    <w:rsid w:val="007631B4"/>
    <w:rsid w:val="007631BB"/>
    <w:rsid w:val="007658EF"/>
    <w:rsid w:val="00771249"/>
    <w:rsid w:val="00771D0B"/>
    <w:rsid w:val="007737FD"/>
    <w:rsid w:val="007778BA"/>
    <w:rsid w:val="007809DC"/>
    <w:rsid w:val="0078479D"/>
    <w:rsid w:val="00784EEA"/>
    <w:rsid w:val="00785552"/>
    <w:rsid w:val="007878D2"/>
    <w:rsid w:val="007902B2"/>
    <w:rsid w:val="0079253D"/>
    <w:rsid w:val="00792A15"/>
    <w:rsid w:val="007935B8"/>
    <w:rsid w:val="00795C83"/>
    <w:rsid w:val="007A3BEE"/>
    <w:rsid w:val="007A709F"/>
    <w:rsid w:val="007B155C"/>
    <w:rsid w:val="007B1F34"/>
    <w:rsid w:val="007B29E4"/>
    <w:rsid w:val="007B2A84"/>
    <w:rsid w:val="007B6F86"/>
    <w:rsid w:val="007C1D90"/>
    <w:rsid w:val="007C2505"/>
    <w:rsid w:val="007C4E8A"/>
    <w:rsid w:val="007C78BE"/>
    <w:rsid w:val="007C7970"/>
    <w:rsid w:val="007D177F"/>
    <w:rsid w:val="007D5C2A"/>
    <w:rsid w:val="007D6BAD"/>
    <w:rsid w:val="007D7ED5"/>
    <w:rsid w:val="007E0725"/>
    <w:rsid w:val="007E1D1A"/>
    <w:rsid w:val="007E2D43"/>
    <w:rsid w:val="007E2DC6"/>
    <w:rsid w:val="007E6518"/>
    <w:rsid w:val="007E7F7B"/>
    <w:rsid w:val="007F3A1C"/>
    <w:rsid w:val="007F4708"/>
    <w:rsid w:val="007F67D3"/>
    <w:rsid w:val="007F6C80"/>
    <w:rsid w:val="007F7ADE"/>
    <w:rsid w:val="007F7FDC"/>
    <w:rsid w:val="00800603"/>
    <w:rsid w:val="00802B55"/>
    <w:rsid w:val="00804B36"/>
    <w:rsid w:val="008072B8"/>
    <w:rsid w:val="00810568"/>
    <w:rsid w:val="00812900"/>
    <w:rsid w:val="00812A92"/>
    <w:rsid w:val="00815DFE"/>
    <w:rsid w:val="008201D3"/>
    <w:rsid w:val="00820388"/>
    <w:rsid w:val="00821865"/>
    <w:rsid w:val="00821FFA"/>
    <w:rsid w:val="00823A57"/>
    <w:rsid w:val="00824D6C"/>
    <w:rsid w:val="00826473"/>
    <w:rsid w:val="008267F4"/>
    <w:rsid w:val="00833A8D"/>
    <w:rsid w:val="00833EEC"/>
    <w:rsid w:val="00834B18"/>
    <w:rsid w:val="00834C63"/>
    <w:rsid w:val="00842F59"/>
    <w:rsid w:val="00846378"/>
    <w:rsid w:val="0085275E"/>
    <w:rsid w:val="00853BF4"/>
    <w:rsid w:val="008550E5"/>
    <w:rsid w:val="00855BAA"/>
    <w:rsid w:val="00856965"/>
    <w:rsid w:val="00857793"/>
    <w:rsid w:val="008577B6"/>
    <w:rsid w:val="00860EBB"/>
    <w:rsid w:val="00863A8A"/>
    <w:rsid w:val="008661AB"/>
    <w:rsid w:val="00866700"/>
    <w:rsid w:val="00866FFA"/>
    <w:rsid w:val="00873411"/>
    <w:rsid w:val="0087349A"/>
    <w:rsid w:val="00876266"/>
    <w:rsid w:val="00877B73"/>
    <w:rsid w:val="008909AB"/>
    <w:rsid w:val="00894AC6"/>
    <w:rsid w:val="008951EA"/>
    <w:rsid w:val="008975D5"/>
    <w:rsid w:val="008A1802"/>
    <w:rsid w:val="008A2D59"/>
    <w:rsid w:val="008B7FA4"/>
    <w:rsid w:val="008C4BD9"/>
    <w:rsid w:val="008C6B22"/>
    <w:rsid w:val="008C7F94"/>
    <w:rsid w:val="008D52AE"/>
    <w:rsid w:val="008D79DA"/>
    <w:rsid w:val="008E0775"/>
    <w:rsid w:val="008E2527"/>
    <w:rsid w:val="008E40FC"/>
    <w:rsid w:val="008F09A5"/>
    <w:rsid w:val="008F2DC9"/>
    <w:rsid w:val="008F6DE9"/>
    <w:rsid w:val="0090674B"/>
    <w:rsid w:val="009075C7"/>
    <w:rsid w:val="009116FC"/>
    <w:rsid w:val="009156F1"/>
    <w:rsid w:val="0091666F"/>
    <w:rsid w:val="00920062"/>
    <w:rsid w:val="00926A8D"/>
    <w:rsid w:val="00926C7D"/>
    <w:rsid w:val="009333DE"/>
    <w:rsid w:val="00936410"/>
    <w:rsid w:val="00951C7F"/>
    <w:rsid w:val="00952B13"/>
    <w:rsid w:val="00953C34"/>
    <w:rsid w:val="009578B7"/>
    <w:rsid w:val="009610CD"/>
    <w:rsid w:val="00963BD0"/>
    <w:rsid w:val="009645C0"/>
    <w:rsid w:val="009672BC"/>
    <w:rsid w:val="009673DC"/>
    <w:rsid w:val="00967568"/>
    <w:rsid w:val="00973A45"/>
    <w:rsid w:val="00977D35"/>
    <w:rsid w:val="0098197E"/>
    <w:rsid w:val="0098325F"/>
    <w:rsid w:val="0098345F"/>
    <w:rsid w:val="00984871"/>
    <w:rsid w:val="00991232"/>
    <w:rsid w:val="00993464"/>
    <w:rsid w:val="00995572"/>
    <w:rsid w:val="009978C6"/>
    <w:rsid w:val="00997F5E"/>
    <w:rsid w:val="009A0F65"/>
    <w:rsid w:val="009A2492"/>
    <w:rsid w:val="009A2755"/>
    <w:rsid w:val="009A3117"/>
    <w:rsid w:val="009A384E"/>
    <w:rsid w:val="009B05D6"/>
    <w:rsid w:val="009B5DAD"/>
    <w:rsid w:val="009C148A"/>
    <w:rsid w:val="009C31D7"/>
    <w:rsid w:val="009D02AE"/>
    <w:rsid w:val="009D4CAD"/>
    <w:rsid w:val="009D4CC4"/>
    <w:rsid w:val="009D5EE2"/>
    <w:rsid w:val="009E321A"/>
    <w:rsid w:val="009E60F8"/>
    <w:rsid w:val="009E6330"/>
    <w:rsid w:val="009E707E"/>
    <w:rsid w:val="009E7F28"/>
    <w:rsid w:val="009F08F6"/>
    <w:rsid w:val="009F2C67"/>
    <w:rsid w:val="009F3965"/>
    <w:rsid w:val="009F636B"/>
    <w:rsid w:val="00A04064"/>
    <w:rsid w:val="00A05A16"/>
    <w:rsid w:val="00A070C1"/>
    <w:rsid w:val="00A112FE"/>
    <w:rsid w:val="00A13425"/>
    <w:rsid w:val="00A14665"/>
    <w:rsid w:val="00A15440"/>
    <w:rsid w:val="00A249E1"/>
    <w:rsid w:val="00A25E04"/>
    <w:rsid w:val="00A26C45"/>
    <w:rsid w:val="00A34FAC"/>
    <w:rsid w:val="00A358EC"/>
    <w:rsid w:val="00A35916"/>
    <w:rsid w:val="00A4444E"/>
    <w:rsid w:val="00A47946"/>
    <w:rsid w:val="00A51977"/>
    <w:rsid w:val="00A54FC1"/>
    <w:rsid w:val="00A56021"/>
    <w:rsid w:val="00A564BF"/>
    <w:rsid w:val="00A62EE1"/>
    <w:rsid w:val="00A64D67"/>
    <w:rsid w:val="00A65328"/>
    <w:rsid w:val="00A7154D"/>
    <w:rsid w:val="00A72ED6"/>
    <w:rsid w:val="00A76B6B"/>
    <w:rsid w:val="00A85F38"/>
    <w:rsid w:val="00A87124"/>
    <w:rsid w:val="00A87FB6"/>
    <w:rsid w:val="00A90EE7"/>
    <w:rsid w:val="00A916DE"/>
    <w:rsid w:val="00A97D70"/>
    <w:rsid w:val="00AA21AF"/>
    <w:rsid w:val="00AA26F2"/>
    <w:rsid w:val="00AA468D"/>
    <w:rsid w:val="00AA66C2"/>
    <w:rsid w:val="00AB3138"/>
    <w:rsid w:val="00AB40B8"/>
    <w:rsid w:val="00AB7120"/>
    <w:rsid w:val="00AB7F92"/>
    <w:rsid w:val="00AC168E"/>
    <w:rsid w:val="00AC401C"/>
    <w:rsid w:val="00AC5701"/>
    <w:rsid w:val="00AC5882"/>
    <w:rsid w:val="00AC5A3C"/>
    <w:rsid w:val="00AC623C"/>
    <w:rsid w:val="00AD1803"/>
    <w:rsid w:val="00AD3436"/>
    <w:rsid w:val="00AD3ECF"/>
    <w:rsid w:val="00AD4CC1"/>
    <w:rsid w:val="00AD5747"/>
    <w:rsid w:val="00AE5568"/>
    <w:rsid w:val="00AE5868"/>
    <w:rsid w:val="00AF11B9"/>
    <w:rsid w:val="00AF2675"/>
    <w:rsid w:val="00AF335D"/>
    <w:rsid w:val="00AF33AA"/>
    <w:rsid w:val="00AF59DC"/>
    <w:rsid w:val="00AF6422"/>
    <w:rsid w:val="00B006B5"/>
    <w:rsid w:val="00B01DD3"/>
    <w:rsid w:val="00B04F54"/>
    <w:rsid w:val="00B05B3A"/>
    <w:rsid w:val="00B073FD"/>
    <w:rsid w:val="00B07FFD"/>
    <w:rsid w:val="00B114E8"/>
    <w:rsid w:val="00B11B2D"/>
    <w:rsid w:val="00B13436"/>
    <w:rsid w:val="00B175E7"/>
    <w:rsid w:val="00B17AF0"/>
    <w:rsid w:val="00B22087"/>
    <w:rsid w:val="00B23BB7"/>
    <w:rsid w:val="00B24109"/>
    <w:rsid w:val="00B30201"/>
    <w:rsid w:val="00B36A91"/>
    <w:rsid w:val="00B42074"/>
    <w:rsid w:val="00B43BD6"/>
    <w:rsid w:val="00B53349"/>
    <w:rsid w:val="00B5708F"/>
    <w:rsid w:val="00B61D97"/>
    <w:rsid w:val="00B62F5D"/>
    <w:rsid w:val="00B6777F"/>
    <w:rsid w:val="00B82753"/>
    <w:rsid w:val="00B845FD"/>
    <w:rsid w:val="00B856E3"/>
    <w:rsid w:val="00B85A54"/>
    <w:rsid w:val="00B86A33"/>
    <w:rsid w:val="00B9435B"/>
    <w:rsid w:val="00B95B1D"/>
    <w:rsid w:val="00B978F5"/>
    <w:rsid w:val="00BB0577"/>
    <w:rsid w:val="00BB19E7"/>
    <w:rsid w:val="00BB38C1"/>
    <w:rsid w:val="00BB3CF7"/>
    <w:rsid w:val="00BB4DE6"/>
    <w:rsid w:val="00BC5BD6"/>
    <w:rsid w:val="00BC6250"/>
    <w:rsid w:val="00BD082E"/>
    <w:rsid w:val="00BD2336"/>
    <w:rsid w:val="00BD44C1"/>
    <w:rsid w:val="00BD67E1"/>
    <w:rsid w:val="00BE1499"/>
    <w:rsid w:val="00BE2548"/>
    <w:rsid w:val="00BE6F02"/>
    <w:rsid w:val="00BF12D1"/>
    <w:rsid w:val="00BF7367"/>
    <w:rsid w:val="00BF7FC7"/>
    <w:rsid w:val="00C008FC"/>
    <w:rsid w:val="00C027E0"/>
    <w:rsid w:val="00C04E03"/>
    <w:rsid w:val="00C05127"/>
    <w:rsid w:val="00C06433"/>
    <w:rsid w:val="00C10C11"/>
    <w:rsid w:val="00C1144F"/>
    <w:rsid w:val="00C12485"/>
    <w:rsid w:val="00C1442E"/>
    <w:rsid w:val="00C15816"/>
    <w:rsid w:val="00C15966"/>
    <w:rsid w:val="00C16377"/>
    <w:rsid w:val="00C2254A"/>
    <w:rsid w:val="00C23008"/>
    <w:rsid w:val="00C25DDC"/>
    <w:rsid w:val="00C304D5"/>
    <w:rsid w:val="00C30EDD"/>
    <w:rsid w:val="00C31A31"/>
    <w:rsid w:val="00C33819"/>
    <w:rsid w:val="00C35020"/>
    <w:rsid w:val="00C369AE"/>
    <w:rsid w:val="00C40441"/>
    <w:rsid w:val="00C42175"/>
    <w:rsid w:val="00C451F2"/>
    <w:rsid w:val="00C47F09"/>
    <w:rsid w:val="00C51DEF"/>
    <w:rsid w:val="00C55374"/>
    <w:rsid w:val="00C5701D"/>
    <w:rsid w:val="00C6048B"/>
    <w:rsid w:val="00C63E95"/>
    <w:rsid w:val="00C66180"/>
    <w:rsid w:val="00C665F3"/>
    <w:rsid w:val="00C6668D"/>
    <w:rsid w:val="00C67897"/>
    <w:rsid w:val="00C733CB"/>
    <w:rsid w:val="00C73BC8"/>
    <w:rsid w:val="00C75EC3"/>
    <w:rsid w:val="00C770D4"/>
    <w:rsid w:val="00C77CBC"/>
    <w:rsid w:val="00C81D52"/>
    <w:rsid w:val="00C82B88"/>
    <w:rsid w:val="00C84CF3"/>
    <w:rsid w:val="00C90F5B"/>
    <w:rsid w:val="00C916BE"/>
    <w:rsid w:val="00C91DEE"/>
    <w:rsid w:val="00C93C21"/>
    <w:rsid w:val="00C94571"/>
    <w:rsid w:val="00CA02F8"/>
    <w:rsid w:val="00CA0ED5"/>
    <w:rsid w:val="00CA7813"/>
    <w:rsid w:val="00CA7840"/>
    <w:rsid w:val="00CB07F9"/>
    <w:rsid w:val="00CB6A4A"/>
    <w:rsid w:val="00CC2328"/>
    <w:rsid w:val="00CC4F8B"/>
    <w:rsid w:val="00CD1426"/>
    <w:rsid w:val="00CD193C"/>
    <w:rsid w:val="00CD5272"/>
    <w:rsid w:val="00CD7AAA"/>
    <w:rsid w:val="00CE0D0D"/>
    <w:rsid w:val="00CE1077"/>
    <w:rsid w:val="00CE3586"/>
    <w:rsid w:val="00CE4827"/>
    <w:rsid w:val="00CF044C"/>
    <w:rsid w:val="00CF2914"/>
    <w:rsid w:val="00CF34AB"/>
    <w:rsid w:val="00D00521"/>
    <w:rsid w:val="00D01F0B"/>
    <w:rsid w:val="00D04970"/>
    <w:rsid w:val="00D10F0A"/>
    <w:rsid w:val="00D12B7A"/>
    <w:rsid w:val="00D15309"/>
    <w:rsid w:val="00D17647"/>
    <w:rsid w:val="00D2496D"/>
    <w:rsid w:val="00D35A97"/>
    <w:rsid w:val="00D37309"/>
    <w:rsid w:val="00D41DBF"/>
    <w:rsid w:val="00D4205C"/>
    <w:rsid w:val="00D45F62"/>
    <w:rsid w:val="00D50018"/>
    <w:rsid w:val="00D61AFD"/>
    <w:rsid w:val="00D61C13"/>
    <w:rsid w:val="00D64424"/>
    <w:rsid w:val="00D6623D"/>
    <w:rsid w:val="00D66E78"/>
    <w:rsid w:val="00D708E7"/>
    <w:rsid w:val="00D70B85"/>
    <w:rsid w:val="00D71956"/>
    <w:rsid w:val="00D71B0E"/>
    <w:rsid w:val="00D7705B"/>
    <w:rsid w:val="00D77EF9"/>
    <w:rsid w:val="00D8360D"/>
    <w:rsid w:val="00D84389"/>
    <w:rsid w:val="00D85C2B"/>
    <w:rsid w:val="00D901C6"/>
    <w:rsid w:val="00D93129"/>
    <w:rsid w:val="00D94422"/>
    <w:rsid w:val="00DA0236"/>
    <w:rsid w:val="00DA2950"/>
    <w:rsid w:val="00DA5907"/>
    <w:rsid w:val="00DB2969"/>
    <w:rsid w:val="00DB3D17"/>
    <w:rsid w:val="00DC0578"/>
    <w:rsid w:val="00DC2A4E"/>
    <w:rsid w:val="00DC2FCB"/>
    <w:rsid w:val="00DD0950"/>
    <w:rsid w:val="00DD0AC7"/>
    <w:rsid w:val="00DD1026"/>
    <w:rsid w:val="00DD2327"/>
    <w:rsid w:val="00DD23E7"/>
    <w:rsid w:val="00DD59EA"/>
    <w:rsid w:val="00DE161D"/>
    <w:rsid w:val="00DE4C5F"/>
    <w:rsid w:val="00DE5891"/>
    <w:rsid w:val="00DF0C40"/>
    <w:rsid w:val="00DF1103"/>
    <w:rsid w:val="00DF13CE"/>
    <w:rsid w:val="00DF1B74"/>
    <w:rsid w:val="00DF5D70"/>
    <w:rsid w:val="00DF6E2C"/>
    <w:rsid w:val="00E0146D"/>
    <w:rsid w:val="00E01564"/>
    <w:rsid w:val="00E02BEE"/>
    <w:rsid w:val="00E06FE3"/>
    <w:rsid w:val="00E0761C"/>
    <w:rsid w:val="00E10F59"/>
    <w:rsid w:val="00E12517"/>
    <w:rsid w:val="00E1428E"/>
    <w:rsid w:val="00E2012B"/>
    <w:rsid w:val="00E24C50"/>
    <w:rsid w:val="00E274C2"/>
    <w:rsid w:val="00E32D62"/>
    <w:rsid w:val="00E35B21"/>
    <w:rsid w:val="00E36B0B"/>
    <w:rsid w:val="00E37FFA"/>
    <w:rsid w:val="00E41821"/>
    <w:rsid w:val="00E42317"/>
    <w:rsid w:val="00E42FEF"/>
    <w:rsid w:val="00E4387D"/>
    <w:rsid w:val="00E44C7F"/>
    <w:rsid w:val="00E46269"/>
    <w:rsid w:val="00E47B26"/>
    <w:rsid w:val="00E5018D"/>
    <w:rsid w:val="00E50BB7"/>
    <w:rsid w:val="00E556D1"/>
    <w:rsid w:val="00E56887"/>
    <w:rsid w:val="00E56C32"/>
    <w:rsid w:val="00E57253"/>
    <w:rsid w:val="00E6003C"/>
    <w:rsid w:val="00E60791"/>
    <w:rsid w:val="00E65520"/>
    <w:rsid w:val="00E66A47"/>
    <w:rsid w:val="00E670C2"/>
    <w:rsid w:val="00E70554"/>
    <w:rsid w:val="00E710A8"/>
    <w:rsid w:val="00E73DE7"/>
    <w:rsid w:val="00E7569A"/>
    <w:rsid w:val="00E75F2B"/>
    <w:rsid w:val="00E76403"/>
    <w:rsid w:val="00E807EE"/>
    <w:rsid w:val="00E84A64"/>
    <w:rsid w:val="00E86216"/>
    <w:rsid w:val="00E873DA"/>
    <w:rsid w:val="00E9052D"/>
    <w:rsid w:val="00E922C5"/>
    <w:rsid w:val="00E932EC"/>
    <w:rsid w:val="00E94329"/>
    <w:rsid w:val="00EA1100"/>
    <w:rsid w:val="00EA4260"/>
    <w:rsid w:val="00EA474F"/>
    <w:rsid w:val="00EA5AAD"/>
    <w:rsid w:val="00EA76B2"/>
    <w:rsid w:val="00EB4AE4"/>
    <w:rsid w:val="00EB5BBE"/>
    <w:rsid w:val="00EB6590"/>
    <w:rsid w:val="00EB7430"/>
    <w:rsid w:val="00EB7677"/>
    <w:rsid w:val="00EB79DC"/>
    <w:rsid w:val="00EC0A1D"/>
    <w:rsid w:val="00EC104A"/>
    <w:rsid w:val="00EC16A2"/>
    <w:rsid w:val="00EC2CC4"/>
    <w:rsid w:val="00EC554E"/>
    <w:rsid w:val="00EC5D44"/>
    <w:rsid w:val="00ED33F6"/>
    <w:rsid w:val="00ED43E2"/>
    <w:rsid w:val="00ED49F6"/>
    <w:rsid w:val="00ED4A07"/>
    <w:rsid w:val="00ED50AC"/>
    <w:rsid w:val="00ED5F54"/>
    <w:rsid w:val="00EE2179"/>
    <w:rsid w:val="00EE475C"/>
    <w:rsid w:val="00EF0051"/>
    <w:rsid w:val="00EF117C"/>
    <w:rsid w:val="00EF3F2C"/>
    <w:rsid w:val="00EF46CB"/>
    <w:rsid w:val="00EF7667"/>
    <w:rsid w:val="00F01DB5"/>
    <w:rsid w:val="00F06F8C"/>
    <w:rsid w:val="00F07775"/>
    <w:rsid w:val="00F1200A"/>
    <w:rsid w:val="00F131A9"/>
    <w:rsid w:val="00F16608"/>
    <w:rsid w:val="00F1721B"/>
    <w:rsid w:val="00F20B7F"/>
    <w:rsid w:val="00F21700"/>
    <w:rsid w:val="00F2242B"/>
    <w:rsid w:val="00F22E06"/>
    <w:rsid w:val="00F2584A"/>
    <w:rsid w:val="00F25CCC"/>
    <w:rsid w:val="00F30D78"/>
    <w:rsid w:val="00F32BA1"/>
    <w:rsid w:val="00F32E15"/>
    <w:rsid w:val="00F3344B"/>
    <w:rsid w:val="00F3605F"/>
    <w:rsid w:val="00F40863"/>
    <w:rsid w:val="00F40DFD"/>
    <w:rsid w:val="00F41784"/>
    <w:rsid w:val="00F4299D"/>
    <w:rsid w:val="00F42D0A"/>
    <w:rsid w:val="00F43DEC"/>
    <w:rsid w:val="00F44BF3"/>
    <w:rsid w:val="00F600B0"/>
    <w:rsid w:val="00F615EE"/>
    <w:rsid w:val="00F61A76"/>
    <w:rsid w:val="00F6421A"/>
    <w:rsid w:val="00F64F79"/>
    <w:rsid w:val="00F70D9E"/>
    <w:rsid w:val="00F71B81"/>
    <w:rsid w:val="00F72766"/>
    <w:rsid w:val="00F763E0"/>
    <w:rsid w:val="00F839E1"/>
    <w:rsid w:val="00F86F0C"/>
    <w:rsid w:val="00F92EA0"/>
    <w:rsid w:val="00F93C18"/>
    <w:rsid w:val="00F96171"/>
    <w:rsid w:val="00FA0693"/>
    <w:rsid w:val="00FA1E05"/>
    <w:rsid w:val="00FA2267"/>
    <w:rsid w:val="00FA2967"/>
    <w:rsid w:val="00FA38E6"/>
    <w:rsid w:val="00FA5C52"/>
    <w:rsid w:val="00FA7839"/>
    <w:rsid w:val="00FB19A6"/>
    <w:rsid w:val="00FB3D2A"/>
    <w:rsid w:val="00FC2867"/>
    <w:rsid w:val="00FC45C2"/>
    <w:rsid w:val="00FC7050"/>
    <w:rsid w:val="00FD3271"/>
    <w:rsid w:val="00FE23ED"/>
    <w:rsid w:val="00FE2B5C"/>
    <w:rsid w:val="00FE48B8"/>
    <w:rsid w:val="00FE51B3"/>
    <w:rsid w:val="00FF1AC2"/>
    <w:rsid w:val="00FF2C5A"/>
    <w:rsid w:val="00FF571A"/>
    <w:rsid w:val="00FF7E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032DE4"/>
  <w15:chartTrackingRefBased/>
  <w15:docId w15:val="{C003FF34-6CD8-4572-BABC-19F060FC3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rPr>
      <w:lang w:val="es-MX"/>
    </w:rPr>
  </w:style>
  <w:style w:type="paragraph" w:styleId="Ttulo2">
    <w:name w:val="heading 2"/>
    <w:basedOn w:val="Normal"/>
    <w:next w:val="Normal"/>
    <w:link w:val="Ttulo2Car"/>
    <w:uiPriority w:val="9"/>
    <w:unhideWhenUsed/>
    <w:qFormat/>
    <w:rsid w:val="004B4A1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133ADB"/>
    <w:pPr>
      <w:tabs>
        <w:tab w:val="center" w:pos="4419"/>
        <w:tab w:val="right" w:pos="8838"/>
      </w:tabs>
      <w:spacing w:after="0" w:line="240" w:lineRule="auto"/>
    </w:pPr>
  </w:style>
  <w:style w:type="character" w:customStyle="1" w:styleId="EncabezadoCar">
    <w:name w:val="Encabezado Car"/>
    <w:basedOn w:val="Fuentedeprrafopredeter"/>
    <w:link w:val="Encabezado"/>
    <w:rsid w:val="00133ADB"/>
  </w:style>
  <w:style w:type="paragraph" w:styleId="Piedepgina">
    <w:name w:val="footer"/>
    <w:basedOn w:val="Normal"/>
    <w:link w:val="PiedepginaCar"/>
    <w:uiPriority w:val="99"/>
    <w:unhideWhenUsed/>
    <w:rsid w:val="00133AD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3ADB"/>
  </w:style>
  <w:style w:type="paragraph" w:styleId="Textodeglobo">
    <w:name w:val="Balloon Text"/>
    <w:basedOn w:val="Normal"/>
    <w:link w:val="TextodegloboCar"/>
    <w:uiPriority w:val="99"/>
    <w:semiHidden/>
    <w:unhideWhenUsed/>
    <w:rsid w:val="0078479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8479D"/>
    <w:rPr>
      <w:rFonts w:ascii="Tahoma" w:hAnsi="Tahoma" w:cs="Tahoma"/>
      <w:sz w:val="16"/>
      <w:szCs w:val="16"/>
      <w:lang w:val="es-MX"/>
    </w:rPr>
  </w:style>
  <w:style w:type="paragraph" w:styleId="NormalWeb">
    <w:name w:val="Normal (Web)"/>
    <w:basedOn w:val="Normal"/>
    <w:uiPriority w:val="99"/>
    <w:unhideWhenUsed/>
    <w:rsid w:val="002602F6"/>
    <w:pPr>
      <w:widowControl/>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512690"/>
    <w:pPr>
      <w:ind w:left="720"/>
      <w:contextualSpacing/>
    </w:pPr>
  </w:style>
  <w:style w:type="character" w:customStyle="1" w:styleId="tituloproy21">
    <w:name w:val="titulo_proy21"/>
    <w:basedOn w:val="Fuentedeprrafopredeter"/>
    <w:rsid w:val="001722E4"/>
    <w:rPr>
      <w:rFonts w:ascii="Arial" w:hAnsi="Arial" w:cs="Arial" w:hint="default"/>
      <w:b/>
      <w:bCs/>
      <w:strike w:val="0"/>
      <w:dstrike w:val="0"/>
      <w:color w:val="000000"/>
      <w:sz w:val="30"/>
      <w:szCs w:val="30"/>
      <w:u w:val="none"/>
      <w:effect w:val="none"/>
    </w:rPr>
  </w:style>
  <w:style w:type="paragraph" w:styleId="Textonotapie">
    <w:name w:val="footnote text"/>
    <w:basedOn w:val="Normal"/>
    <w:link w:val="TextonotapieCar"/>
    <w:uiPriority w:val="99"/>
    <w:unhideWhenUsed/>
    <w:rsid w:val="00FB19A6"/>
    <w:pPr>
      <w:spacing w:after="0" w:line="240" w:lineRule="auto"/>
    </w:pPr>
    <w:rPr>
      <w:sz w:val="20"/>
      <w:szCs w:val="20"/>
    </w:rPr>
  </w:style>
  <w:style w:type="character" w:customStyle="1" w:styleId="TextonotapieCar">
    <w:name w:val="Texto nota pie Car"/>
    <w:basedOn w:val="Fuentedeprrafopredeter"/>
    <w:link w:val="Textonotapie"/>
    <w:uiPriority w:val="99"/>
    <w:rsid w:val="00FB19A6"/>
    <w:rPr>
      <w:sz w:val="20"/>
      <w:szCs w:val="20"/>
      <w:lang w:val="es-MX"/>
    </w:rPr>
  </w:style>
  <w:style w:type="character" w:styleId="Refdenotaalpie">
    <w:name w:val="footnote reference"/>
    <w:basedOn w:val="Fuentedeprrafopredeter"/>
    <w:unhideWhenUsed/>
    <w:rsid w:val="00FB19A6"/>
    <w:rPr>
      <w:vertAlign w:val="superscript"/>
    </w:rPr>
  </w:style>
  <w:style w:type="paragraph" w:customStyle="1" w:styleId="Textodebloque1">
    <w:name w:val="Texto de bloque1"/>
    <w:basedOn w:val="Normal"/>
    <w:rsid w:val="0079253D"/>
    <w:pPr>
      <w:widowControl/>
      <w:spacing w:before="240" w:after="0" w:line="240" w:lineRule="auto"/>
      <w:ind w:left="1843" w:right="1361" w:hanging="273"/>
      <w:jc w:val="both"/>
    </w:pPr>
    <w:rPr>
      <w:rFonts w:ascii="Arial" w:eastAsia="Times New Roman" w:hAnsi="Arial" w:cs="Times New Roman"/>
      <w:b/>
      <w:szCs w:val="20"/>
      <w:lang w:val="es-ES_tradnl" w:eastAsia="es-ES"/>
    </w:rPr>
  </w:style>
  <w:style w:type="paragraph" w:customStyle="1" w:styleId="n01">
    <w:name w:val="n01"/>
    <w:basedOn w:val="Normal"/>
    <w:rsid w:val="00081B83"/>
    <w:pPr>
      <w:keepLines/>
      <w:widowControl/>
      <w:spacing w:before="240" w:after="0" w:line="240" w:lineRule="auto"/>
      <w:ind w:left="720" w:hanging="720"/>
      <w:jc w:val="both"/>
    </w:pPr>
    <w:rPr>
      <w:rFonts w:ascii="Univers (W1)" w:eastAsia="Times New Roman" w:hAnsi="Univers (W1)" w:cs="Times New Roman"/>
      <w:color w:val="800080"/>
      <w:sz w:val="24"/>
      <w:szCs w:val="20"/>
      <w:lang w:val="es-ES_tradnl" w:eastAsia="es-ES"/>
    </w:rPr>
  </w:style>
  <w:style w:type="paragraph" w:styleId="Mapadeldocumento">
    <w:name w:val="Document Map"/>
    <w:basedOn w:val="Normal"/>
    <w:link w:val="MapadeldocumentoCar"/>
    <w:uiPriority w:val="99"/>
    <w:semiHidden/>
    <w:unhideWhenUsed/>
    <w:rsid w:val="002B7A0E"/>
    <w:pPr>
      <w:spacing w:after="0"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2B7A0E"/>
    <w:rPr>
      <w:rFonts w:ascii="Tahoma" w:hAnsi="Tahoma" w:cs="Tahoma"/>
      <w:sz w:val="16"/>
      <w:szCs w:val="16"/>
      <w:lang w:val="es-MX"/>
    </w:rPr>
  </w:style>
  <w:style w:type="character" w:customStyle="1" w:styleId="Ttulo2Car">
    <w:name w:val="Título 2 Car"/>
    <w:basedOn w:val="Fuentedeprrafopredeter"/>
    <w:link w:val="Ttulo2"/>
    <w:uiPriority w:val="9"/>
    <w:rsid w:val="004B4A18"/>
    <w:rPr>
      <w:rFonts w:asciiTheme="majorHAnsi" w:eastAsiaTheme="majorEastAsia" w:hAnsiTheme="majorHAnsi" w:cstheme="majorBidi"/>
      <w:b/>
      <w:bCs/>
      <w:color w:val="4F81BD" w:themeColor="accent1"/>
      <w:sz w:val="26"/>
      <w:szCs w:val="26"/>
      <w:lang w:val="es-MX"/>
    </w:rPr>
  </w:style>
  <w:style w:type="paragraph" w:customStyle="1" w:styleId="p0">
    <w:name w:val="p0"/>
    <w:basedOn w:val="Normal"/>
    <w:rsid w:val="002C7257"/>
    <w:pPr>
      <w:widowControl/>
      <w:spacing w:before="240" w:after="0" w:line="240" w:lineRule="auto"/>
      <w:ind w:left="1417" w:right="23" w:hanging="709"/>
    </w:pPr>
    <w:rPr>
      <w:rFonts w:ascii="Arial" w:eastAsia="Times New Roman" w:hAnsi="Arial" w:cs="Times New Roman"/>
      <w:color w:val="0000FF"/>
      <w:sz w:val="24"/>
      <w:szCs w:val="20"/>
      <w:lang w:val="es-ES_tradnl" w:eastAsia="es-ES"/>
    </w:rPr>
  </w:style>
  <w:style w:type="character" w:styleId="Refdecomentario">
    <w:name w:val="annotation reference"/>
    <w:basedOn w:val="Fuentedeprrafopredeter"/>
    <w:uiPriority w:val="99"/>
    <w:semiHidden/>
    <w:unhideWhenUsed/>
    <w:rsid w:val="00802B55"/>
    <w:rPr>
      <w:sz w:val="16"/>
      <w:szCs w:val="16"/>
    </w:rPr>
  </w:style>
  <w:style w:type="paragraph" w:styleId="Textocomentario">
    <w:name w:val="annotation text"/>
    <w:basedOn w:val="Normal"/>
    <w:link w:val="TextocomentarioCar"/>
    <w:uiPriority w:val="99"/>
    <w:semiHidden/>
    <w:unhideWhenUsed/>
    <w:rsid w:val="00802B5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02B55"/>
    <w:rPr>
      <w:sz w:val="20"/>
      <w:szCs w:val="20"/>
      <w:lang w:val="es-MX"/>
    </w:rPr>
  </w:style>
  <w:style w:type="paragraph" w:styleId="Asuntodelcomentario">
    <w:name w:val="annotation subject"/>
    <w:basedOn w:val="Textocomentario"/>
    <w:next w:val="Textocomentario"/>
    <w:link w:val="AsuntodelcomentarioCar"/>
    <w:uiPriority w:val="99"/>
    <w:semiHidden/>
    <w:unhideWhenUsed/>
    <w:rsid w:val="00802B55"/>
    <w:rPr>
      <w:b/>
      <w:bCs/>
    </w:rPr>
  </w:style>
  <w:style w:type="character" w:customStyle="1" w:styleId="AsuntodelcomentarioCar">
    <w:name w:val="Asunto del comentario Car"/>
    <w:basedOn w:val="TextocomentarioCar"/>
    <w:link w:val="Asuntodelcomentario"/>
    <w:uiPriority w:val="99"/>
    <w:semiHidden/>
    <w:rsid w:val="00802B55"/>
    <w:rPr>
      <w:b/>
      <w:bCs/>
      <w:sz w:val="20"/>
      <w:szCs w:val="20"/>
      <w:lang w:val="es-MX"/>
    </w:rPr>
  </w:style>
  <w:style w:type="paragraph" w:customStyle="1" w:styleId="consang">
    <w:name w:val="con sang"/>
    <w:basedOn w:val="Normal"/>
    <w:link w:val="consangCar"/>
    <w:qFormat/>
    <w:rsid w:val="004C5F05"/>
    <w:pPr>
      <w:widowControl/>
      <w:ind w:firstLine="426"/>
      <w:jc w:val="both"/>
    </w:pPr>
    <w:rPr>
      <w:rFonts w:ascii="Times New Roman" w:eastAsia="Calibri" w:hAnsi="Times New Roman" w:cs="Times New Roman"/>
      <w:sz w:val="24"/>
    </w:rPr>
  </w:style>
  <w:style w:type="character" w:customStyle="1" w:styleId="consangCar">
    <w:name w:val="con sang Car"/>
    <w:basedOn w:val="Fuentedeprrafopredeter"/>
    <w:link w:val="consang"/>
    <w:rsid w:val="004C5F05"/>
    <w:rPr>
      <w:rFonts w:ascii="Times New Roman" w:eastAsia="Calibri" w:hAnsi="Times New Roman" w:cs="Times New Roman"/>
      <w:sz w:val="24"/>
      <w:lang w:val="es-MX"/>
    </w:rPr>
  </w:style>
  <w:style w:type="paragraph" w:styleId="Textoindependiente2">
    <w:name w:val="Body Text 2"/>
    <w:basedOn w:val="Normal"/>
    <w:link w:val="Textoindependiente2Car"/>
    <w:rsid w:val="009E321A"/>
    <w:pPr>
      <w:widowControl/>
      <w:spacing w:before="240" w:after="0" w:line="240" w:lineRule="auto"/>
      <w:ind w:right="80"/>
      <w:jc w:val="both"/>
    </w:pPr>
    <w:rPr>
      <w:rFonts w:ascii="Arial" w:eastAsia="Times New Roman" w:hAnsi="Arial" w:cs="Times New Roman"/>
      <w:sz w:val="24"/>
      <w:szCs w:val="20"/>
      <w:lang w:val="es-ES_tradnl" w:eastAsia="es-ES"/>
    </w:rPr>
  </w:style>
  <w:style w:type="character" w:customStyle="1" w:styleId="Textoindependiente2Car">
    <w:name w:val="Texto independiente 2 Car"/>
    <w:basedOn w:val="Fuentedeprrafopredeter"/>
    <w:link w:val="Textoindependiente2"/>
    <w:rsid w:val="009E321A"/>
    <w:rPr>
      <w:rFonts w:ascii="Arial" w:eastAsia="Times New Roman" w:hAnsi="Arial" w:cs="Times New Roman"/>
      <w:sz w:val="24"/>
      <w:szCs w:val="20"/>
      <w:lang w:val="es-ES_tradnl" w:eastAsia="es-ES"/>
    </w:rPr>
  </w:style>
  <w:style w:type="character" w:styleId="Hipervnculo">
    <w:name w:val="Hyperlink"/>
    <w:basedOn w:val="Fuentedeprrafopredeter"/>
    <w:uiPriority w:val="99"/>
    <w:unhideWhenUsed/>
    <w:rsid w:val="00BC5BD6"/>
    <w:rPr>
      <w:color w:val="0000FF" w:themeColor="hyperlink"/>
      <w:u w:val="single"/>
    </w:rPr>
  </w:style>
  <w:style w:type="character" w:styleId="Hipervnculovisitado">
    <w:name w:val="FollowedHyperlink"/>
    <w:basedOn w:val="Fuentedeprrafopredeter"/>
    <w:uiPriority w:val="99"/>
    <w:semiHidden/>
    <w:unhideWhenUsed/>
    <w:rsid w:val="00116F48"/>
    <w:rPr>
      <w:color w:val="800080" w:themeColor="followedHyperlink"/>
      <w:u w:val="single"/>
    </w:rPr>
  </w:style>
  <w:style w:type="paragraph" w:customStyle="1" w:styleId="bullet">
    <w:name w:val="bullet"/>
    <w:basedOn w:val="Normal"/>
    <w:rsid w:val="00997F5E"/>
    <w:pPr>
      <w:widowControl/>
      <w:spacing w:before="120" w:after="0" w:line="240" w:lineRule="auto"/>
      <w:ind w:left="2790" w:right="1440" w:hanging="274"/>
    </w:pPr>
    <w:rPr>
      <w:rFonts w:ascii="Univers (W1)" w:eastAsia="Times New Roman" w:hAnsi="Univers (W1)" w:cs="Times New Roman"/>
      <w:b/>
      <w:color w:val="000080"/>
      <w:sz w:val="20"/>
      <w:szCs w:val="20"/>
      <w:lang w:val="es-ES_tradnl" w:eastAsia="es-ES"/>
    </w:rPr>
  </w:style>
  <w:style w:type="paragraph" w:customStyle="1" w:styleId="p01">
    <w:name w:val="p01"/>
    <w:basedOn w:val="Normal"/>
    <w:next w:val="p0"/>
    <w:rsid w:val="00997F5E"/>
    <w:pPr>
      <w:keepLines/>
      <w:widowControl/>
      <w:spacing w:before="240" w:after="0" w:line="240" w:lineRule="auto"/>
      <w:jc w:val="both"/>
    </w:pPr>
    <w:rPr>
      <w:rFonts w:ascii="Univers" w:eastAsia="Times New Roman" w:hAnsi="Univers" w:cs="Times New Roman"/>
      <w:color w:val="0000FF"/>
      <w:sz w:val="24"/>
      <w:szCs w:val="20"/>
      <w:lang w:val="es-ES_tradnl" w:eastAsia="es-ES"/>
    </w:rPr>
  </w:style>
  <w:style w:type="paragraph" w:customStyle="1" w:styleId="Estilo3">
    <w:name w:val="Estilo3"/>
    <w:basedOn w:val="Normal"/>
    <w:link w:val="Estilo3Car"/>
    <w:uiPriority w:val="1"/>
    <w:qFormat/>
    <w:rsid w:val="00997F5E"/>
    <w:pPr>
      <w:spacing w:before="360" w:after="0" w:line="240" w:lineRule="auto"/>
      <w:jc w:val="both"/>
    </w:pPr>
    <w:rPr>
      <w:rFonts w:ascii="Arial" w:eastAsia="Times New Roman" w:hAnsi="Arial" w:cs="Times New Roman"/>
      <w:sz w:val="24"/>
      <w:szCs w:val="24"/>
      <w:lang w:val="es-ES_tradnl" w:eastAsia="es-ES"/>
    </w:rPr>
  </w:style>
  <w:style w:type="character" w:customStyle="1" w:styleId="Estilo3Car">
    <w:name w:val="Estilo3 Car"/>
    <w:basedOn w:val="Fuentedeprrafopredeter"/>
    <w:link w:val="Estilo3"/>
    <w:uiPriority w:val="1"/>
    <w:rsid w:val="00997F5E"/>
    <w:rPr>
      <w:rFonts w:ascii="Arial" w:eastAsia="Times New Roman" w:hAnsi="Arial" w:cs="Times New Roman"/>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8896">
      <w:bodyDiv w:val="1"/>
      <w:marLeft w:val="0"/>
      <w:marRight w:val="0"/>
      <w:marTop w:val="0"/>
      <w:marBottom w:val="0"/>
      <w:divBdr>
        <w:top w:val="none" w:sz="0" w:space="0" w:color="auto"/>
        <w:left w:val="none" w:sz="0" w:space="0" w:color="auto"/>
        <w:bottom w:val="none" w:sz="0" w:space="0" w:color="auto"/>
        <w:right w:val="none" w:sz="0" w:space="0" w:color="auto"/>
      </w:divBdr>
    </w:div>
    <w:div w:id="103698736">
      <w:bodyDiv w:val="1"/>
      <w:marLeft w:val="0"/>
      <w:marRight w:val="0"/>
      <w:marTop w:val="0"/>
      <w:marBottom w:val="0"/>
      <w:divBdr>
        <w:top w:val="none" w:sz="0" w:space="0" w:color="auto"/>
        <w:left w:val="none" w:sz="0" w:space="0" w:color="auto"/>
        <w:bottom w:val="none" w:sz="0" w:space="0" w:color="auto"/>
        <w:right w:val="none" w:sz="0" w:space="0" w:color="auto"/>
      </w:divBdr>
    </w:div>
    <w:div w:id="217055902">
      <w:bodyDiv w:val="1"/>
      <w:marLeft w:val="0"/>
      <w:marRight w:val="0"/>
      <w:marTop w:val="0"/>
      <w:marBottom w:val="0"/>
      <w:divBdr>
        <w:top w:val="none" w:sz="0" w:space="0" w:color="auto"/>
        <w:left w:val="none" w:sz="0" w:space="0" w:color="auto"/>
        <w:bottom w:val="none" w:sz="0" w:space="0" w:color="auto"/>
        <w:right w:val="none" w:sz="0" w:space="0" w:color="auto"/>
      </w:divBdr>
    </w:div>
    <w:div w:id="243686065">
      <w:bodyDiv w:val="1"/>
      <w:marLeft w:val="0"/>
      <w:marRight w:val="0"/>
      <w:marTop w:val="0"/>
      <w:marBottom w:val="0"/>
      <w:divBdr>
        <w:top w:val="none" w:sz="0" w:space="0" w:color="auto"/>
        <w:left w:val="none" w:sz="0" w:space="0" w:color="auto"/>
        <w:bottom w:val="none" w:sz="0" w:space="0" w:color="auto"/>
        <w:right w:val="none" w:sz="0" w:space="0" w:color="auto"/>
      </w:divBdr>
    </w:div>
    <w:div w:id="271515720">
      <w:bodyDiv w:val="1"/>
      <w:marLeft w:val="0"/>
      <w:marRight w:val="0"/>
      <w:marTop w:val="0"/>
      <w:marBottom w:val="0"/>
      <w:divBdr>
        <w:top w:val="none" w:sz="0" w:space="0" w:color="auto"/>
        <w:left w:val="none" w:sz="0" w:space="0" w:color="auto"/>
        <w:bottom w:val="none" w:sz="0" w:space="0" w:color="auto"/>
        <w:right w:val="none" w:sz="0" w:space="0" w:color="auto"/>
      </w:divBdr>
    </w:div>
    <w:div w:id="322702586">
      <w:bodyDiv w:val="1"/>
      <w:marLeft w:val="0"/>
      <w:marRight w:val="0"/>
      <w:marTop w:val="0"/>
      <w:marBottom w:val="0"/>
      <w:divBdr>
        <w:top w:val="none" w:sz="0" w:space="0" w:color="auto"/>
        <w:left w:val="none" w:sz="0" w:space="0" w:color="auto"/>
        <w:bottom w:val="none" w:sz="0" w:space="0" w:color="auto"/>
        <w:right w:val="none" w:sz="0" w:space="0" w:color="auto"/>
      </w:divBdr>
    </w:div>
    <w:div w:id="341246893">
      <w:bodyDiv w:val="1"/>
      <w:marLeft w:val="0"/>
      <w:marRight w:val="0"/>
      <w:marTop w:val="0"/>
      <w:marBottom w:val="0"/>
      <w:divBdr>
        <w:top w:val="none" w:sz="0" w:space="0" w:color="auto"/>
        <w:left w:val="none" w:sz="0" w:space="0" w:color="auto"/>
        <w:bottom w:val="none" w:sz="0" w:space="0" w:color="auto"/>
        <w:right w:val="none" w:sz="0" w:space="0" w:color="auto"/>
      </w:divBdr>
    </w:div>
    <w:div w:id="363874115">
      <w:bodyDiv w:val="1"/>
      <w:marLeft w:val="0"/>
      <w:marRight w:val="0"/>
      <w:marTop w:val="0"/>
      <w:marBottom w:val="0"/>
      <w:divBdr>
        <w:top w:val="none" w:sz="0" w:space="0" w:color="auto"/>
        <w:left w:val="none" w:sz="0" w:space="0" w:color="auto"/>
        <w:bottom w:val="none" w:sz="0" w:space="0" w:color="auto"/>
        <w:right w:val="none" w:sz="0" w:space="0" w:color="auto"/>
      </w:divBdr>
    </w:div>
    <w:div w:id="453911380">
      <w:bodyDiv w:val="1"/>
      <w:marLeft w:val="0"/>
      <w:marRight w:val="0"/>
      <w:marTop w:val="0"/>
      <w:marBottom w:val="0"/>
      <w:divBdr>
        <w:top w:val="none" w:sz="0" w:space="0" w:color="auto"/>
        <w:left w:val="none" w:sz="0" w:space="0" w:color="auto"/>
        <w:bottom w:val="none" w:sz="0" w:space="0" w:color="auto"/>
        <w:right w:val="none" w:sz="0" w:space="0" w:color="auto"/>
      </w:divBdr>
    </w:div>
    <w:div w:id="487942964">
      <w:bodyDiv w:val="1"/>
      <w:marLeft w:val="0"/>
      <w:marRight w:val="0"/>
      <w:marTop w:val="0"/>
      <w:marBottom w:val="0"/>
      <w:divBdr>
        <w:top w:val="none" w:sz="0" w:space="0" w:color="auto"/>
        <w:left w:val="none" w:sz="0" w:space="0" w:color="auto"/>
        <w:bottom w:val="none" w:sz="0" w:space="0" w:color="auto"/>
        <w:right w:val="none" w:sz="0" w:space="0" w:color="auto"/>
      </w:divBdr>
    </w:div>
    <w:div w:id="527646923">
      <w:bodyDiv w:val="1"/>
      <w:marLeft w:val="0"/>
      <w:marRight w:val="0"/>
      <w:marTop w:val="0"/>
      <w:marBottom w:val="0"/>
      <w:divBdr>
        <w:top w:val="none" w:sz="0" w:space="0" w:color="auto"/>
        <w:left w:val="none" w:sz="0" w:space="0" w:color="auto"/>
        <w:bottom w:val="none" w:sz="0" w:space="0" w:color="auto"/>
        <w:right w:val="none" w:sz="0" w:space="0" w:color="auto"/>
      </w:divBdr>
    </w:div>
    <w:div w:id="584342484">
      <w:bodyDiv w:val="1"/>
      <w:marLeft w:val="0"/>
      <w:marRight w:val="0"/>
      <w:marTop w:val="0"/>
      <w:marBottom w:val="0"/>
      <w:divBdr>
        <w:top w:val="none" w:sz="0" w:space="0" w:color="auto"/>
        <w:left w:val="none" w:sz="0" w:space="0" w:color="auto"/>
        <w:bottom w:val="none" w:sz="0" w:space="0" w:color="auto"/>
        <w:right w:val="none" w:sz="0" w:space="0" w:color="auto"/>
      </w:divBdr>
    </w:div>
    <w:div w:id="612522078">
      <w:bodyDiv w:val="1"/>
      <w:marLeft w:val="0"/>
      <w:marRight w:val="0"/>
      <w:marTop w:val="0"/>
      <w:marBottom w:val="0"/>
      <w:divBdr>
        <w:top w:val="none" w:sz="0" w:space="0" w:color="auto"/>
        <w:left w:val="none" w:sz="0" w:space="0" w:color="auto"/>
        <w:bottom w:val="none" w:sz="0" w:space="0" w:color="auto"/>
        <w:right w:val="none" w:sz="0" w:space="0" w:color="auto"/>
      </w:divBdr>
    </w:div>
    <w:div w:id="677736691">
      <w:bodyDiv w:val="1"/>
      <w:marLeft w:val="0"/>
      <w:marRight w:val="0"/>
      <w:marTop w:val="0"/>
      <w:marBottom w:val="0"/>
      <w:divBdr>
        <w:top w:val="none" w:sz="0" w:space="0" w:color="auto"/>
        <w:left w:val="none" w:sz="0" w:space="0" w:color="auto"/>
        <w:bottom w:val="none" w:sz="0" w:space="0" w:color="auto"/>
        <w:right w:val="none" w:sz="0" w:space="0" w:color="auto"/>
      </w:divBdr>
    </w:div>
    <w:div w:id="730277774">
      <w:bodyDiv w:val="1"/>
      <w:marLeft w:val="0"/>
      <w:marRight w:val="0"/>
      <w:marTop w:val="0"/>
      <w:marBottom w:val="0"/>
      <w:divBdr>
        <w:top w:val="none" w:sz="0" w:space="0" w:color="auto"/>
        <w:left w:val="none" w:sz="0" w:space="0" w:color="auto"/>
        <w:bottom w:val="none" w:sz="0" w:space="0" w:color="auto"/>
        <w:right w:val="none" w:sz="0" w:space="0" w:color="auto"/>
      </w:divBdr>
    </w:div>
    <w:div w:id="824055246">
      <w:bodyDiv w:val="1"/>
      <w:marLeft w:val="0"/>
      <w:marRight w:val="0"/>
      <w:marTop w:val="0"/>
      <w:marBottom w:val="0"/>
      <w:divBdr>
        <w:top w:val="none" w:sz="0" w:space="0" w:color="auto"/>
        <w:left w:val="none" w:sz="0" w:space="0" w:color="auto"/>
        <w:bottom w:val="none" w:sz="0" w:space="0" w:color="auto"/>
        <w:right w:val="none" w:sz="0" w:space="0" w:color="auto"/>
      </w:divBdr>
    </w:div>
    <w:div w:id="907614755">
      <w:bodyDiv w:val="1"/>
      <w:marLeft w:val="0"/>
      <w:marRight w:val="0"/>
      <w:marTop w:val="0"/>
      <w:marBottom w:val="0"/>
      <w:divBdr>
        <w:top w:val="none" w:sz="0" w:space="0" w:color="auto"/>
        <w:left w:val="none" w:sz="0" w:space="0" w:color="auto"/>
        <w:bottom w:val="none" w:sz="0" w:space="0" w:color="auto"/>
        <w:right w:val="none" w:sz="0" w:space="0" w:color="auto"/>
      </w:divBdr>
    </w:div>
    <w:div w:id="944577409">
      <w:bodyDiv w:val="1"/>
      <w:marLeft w:val="0"/>
      <w:marRight w:val="0"/>
      <w:marTop w:val="0"/>
      <w:marBottom w:val="0"/>
      <w:divBdr>
        <w:top w:val="none" w:sz="0" w:space="0" w:color="auto"/>
        <w:left w:val="none" w:sz="0" w:space="0" w:color="auto"/>
        <w:bottom w:val="none" w:sz="0" w:space="0" w:color="auto"/>
        <w:right w:val="none" w:sz="0" w:space="0" w:color="auto"/>
      </w:divBdr>
    </w:div>
    <w:div w:id="959143909">
      <w:bodyDiv w:val="1"/>
      <w:marLeft w:val="0"/>
      <w:marRight w:val="0"/>
      <w:marTop w:val="0"/>
      <w:marBottom w:val="0"/>
      <w:divBdr>
        <w:top w:val="none" w:sz="0" w:space="0" w:color="auto"/>
        <w:left w:val="none" w:sz="0" w:space="0" w:color="auto"/>
        <w:bottom w:val="none" w:sz="0" w:space="0" w:color="auto"/>
        <w:right w:val="none" w:sz="0" w:space="0" w:color="auto"/>
      </w:divBdr>
    </w:div>
    <w:div w:id="961493927">
      <w:bodyDiv w:val="1"/>
      <w:marLeft w:val="0"/>
      <w:marRight w:val="0"/>
      <w:marTop w:val="0"/>
      <w:marBottom w:val="0"/>
      <w:divBdr>
        <w:top w:val="none" w:sz="0" w:space="0" w:color="auto"/>
        <w:left w:val="none" w:sz="0" w:space="0" w:color="auto"/>
        <w:bottom w:val="none" w:sz="0" w:space="0" w:color="auto"/>
        <w:right w:val="none" w:sz="0" w:space="0" w:color="auto"/>
      </w:divBdr>
    </w:div>
    <w:div w:id="1000036311">
      <w:bodyDiv w:val="1"/>
      <w:marLeft w:val="0"/>
      <w:marRight w:val="0"/>
      <w:marTop w:val="0"/>
      <w:marBottom w:val="0"/>
      <w:divBdr>
        <w:top w:val="none" w:sz="0" w:space="0" w:color="auto"/>
        <w:left w:val="none" w:sz="0" w:space="0" w:color="auto"/>
        <w:bottom w:val="none" w:sz="0" w:space="0" w:color="auto"/>
        <w:right w:val="none" w:sz="0" w:space="0" w:color="auto"/>
      </w:divBdr>
    </w:div>
    <w:div w:id="1035928062">
      <w:bodyDiv w:val="1"/>
      <w:marLeft w:val="0"/>
      <w:marRight w:val="0"/>
      <w:marTop w:val="0"/>
      <w:marBottom w:val="0"/>
      <w:divBdr>
        <w:top w:val="none" w:sz="0" w:space="0" w:color="auto"/>
        <w:left w:val="none" w:sz="0" w:space="0" w:color="auto"/>
        <w:bottom w:val="none" w:sz="0" w:space="0" w:color="auto"/>
        <w:right w:val="none" w:sz="0" w:space="0" w:color="auto"/>
      </w:divBdr>
    </w:div>
    <w:div w:id="1038625812">
      <w:bodyDiv w:val="1"/>
      <w:marLeft w:val="0"/>
      <w:marRight w:val="0"/>
      <w:marTop w:val="0"/>
      <w:marBottom w:val="0"/>
      <w:divBdr>
        <w:top w:val="none" w:sz="0" w:space="0" w:color="auto"/>
        <w:left w:val="none" w:sz="0" w:space="0" w:color="auto"/>
        <w:bottom w:val="none" w:sz="0" w:space="0" w:color="auto"/>
        <w:right w:val="none" w:sz="0" w:space="0" w:color="auto"/>
      </w:divBdr>
    </w:div>
    <w:div w:id="1100906065">
      <w:bodyDiv w:val="1"/>
      <w:marLeft w:val="0"/>
      <w:marRight w:val="0"/>
      <w:marTop w:val="0"/>
      <w:marBottom w:val="0"/>
      <w:divBdr>
        <w:top w:val="none" w:sz="0" w:space="0" w:color="auto"/>
        <w:left w:val="none" w:sz="0" w:space="0" w:color="auto"/>
        <w:bottom w:val="none" w:sz="0" w:space="0" w:color="auto"/>
        <w:right w:val="none" w:sz="0" w:space="0" w:color="auto"/>
      </w:divBdr>
    </w:div>
    <w:div w:id="1166477052">
      <w:bodyDiv w:val="1"/>
      <w:marLeft w:val="0"/>
      <w:marRight w:val="0"/>
      <w:marTop w:val="0"/>
      <w:marBottom w:val="0"/>
      <w:divBdr>
        <w:top w:val="none" w:sz="0" w:space="0" w:color="auto"/>
        <w:left w:val="none" w:sz="0" w:space="0" w:color="auto"/>
        <w:bottom w:val="none" w:sz="0" w:space="0" w:color="auto"/>
        <w:right w:val="none" w:sz="0" w:space="0" w:color="auto"/>
      </w:divBdr>
    </w:div>
    <w:div w:id="1172522723">
      <w:bodyDiv w:val="1"/>
      <w:marLeft w:val="0"/>
      <w:marRight w:val="0"/>
      <w:marTop w:val="0"/>
      <w:marBottom w:val="0"/>
      <w:divBdr>
        <w:top w:val="none" w:sz="0" w:space="0" w:color="auto"/>
        <w:left w:val="none" w:sz="0" w:space="0" w:color="auto"/>
        <w:bottom w:val="none" w:sz="0" w:space="0" w:color="auto"/>
        <w:right w:val="none" w:sz="0" w:space="0" w:color="auto"/>
      </w:divBdr>
    </w:div>
    <w:div w:id="1179077544">
      <w:bodyDiv w:val="1"/>
      <w:marLeft w:val="0"/>
      <w:marRight w:val="0"/>
      <w:marTop w:val="0"/>
      <w:marBottom w:val="0"/>
      <w:divBdr>
        <w:top w:val="none" w:sz="0" w:space="0" w:color="auto"/>
        <w:left w:val="none" w:sz="0" w:space="0" w:color="auto"/>
        <w:bottom w:val="none" w:sz="0" w:space="0" w:color="auto"/>
        <w:right w:val="none" w:sz="0" w:space="0" w:color="auto"/>
      </w:divBdr>
    </w:div>
    <w:div w:id="1179662379">
      <w:bodyDiv w:val="1"/>
      <w:marLeft w:val="0"/>
      <w:marRight w:val="0"/>
      <w:marTop w:val="0"/>
      <w:marBottom w:val="0"/>
      <w:divBdr>
        <w:top w:val="none" w:sz="0" w:space="0" w:color="auto"/>
        <w:left w:val="none" w:sz="0" w:space="0" w:color="auto"/>
        <w:bottom w:val="none" w:sz="0" w:space="0" w:color="auto"/>
        <w:right w:val="none" w:sz="0" w:space="0" w:color="auto"/>
      </w:divBdr>
    </w:div>
    <w:div w:id="1181315902">
      <w:bodyDiv w:val="1"/>
      <w:marLeft w:val="0"/>
      <w:marRight w:val="0"/>
      <w:marTop w:val="0"/>
      <w:marBottom w:val="0"/>
      <w:divBdr>
        <w:top w:val="none" w:sz="0" w:space="0" w:color="auto"/>
        <w:left w:val="none" w:sz="0" w:space="0" w:color="auto"/>
        <w:bottom w:val="none" w:sz="0" w:space="0" w:color="auto"/>
        <w:right w:val="none" w:sz="0" w:space="0" w:color="auto"/>
      </w:divBdr>
    </w:div>
    <w:div w:id="1185360142">
      <w:bodyDiv w:val="1"/>
      <w:marLeft w:val="0"/>
      <w:marRight w:val="0"/>
      <w:marTop w:val="0"/>
      <w:marBottom w:val="0"/>
      <w:divBdr>
        <w:top w:val="none" w:sz="0" w:space="0" w:color="auto"/>
        <w:left w:val="none" w:sz="0" w:space="0" w:color="auto"/>
        <w:bottom w:val="none" w:sz="0" w:space="0" w:color="auto"/>
        <w:right w:val="none" w:sz="0" w:space="0" w:color="auto"/>
      </w:divBdr>
    </w:div>
    <w:div w:id="1216353875">
      <w:bodyDiv w:val="1"/>
      <w:marLeft w:val="0"/>
      <w:marRight w:val="0"/>
      <w:marTop w:val="0"/>
      <w:marBottom w:val="0"/>
      <w:divBdr>
        <w:top w:val="none" w:sz="0" w:space="0" w:color="auto"/>
        <w:left w:val="none" w:sz="0" w:space="0" w:color="auto"/>
        <w:bottom w:val="none" w:sz="0" w:space="0" w:color="auto"/>
        <w:right w:val="none" w:sz="0" w:space="0" w:color="auto"/>
      </w:divBdr>
    </w:div>
    <w:div w:id="1267808171">
      <w:bodyDiv w:val="1"/>
      <w:marLeft w:val="0"/>
      <w:marRight w:val="0"/>
      <w:marTop w:val="0"/>
      <w:marBottom w:val="0"/>
      <w:divBdr>
        <w:top w:val="none" w:sz="0" w:space="0" w:color="auto"/>
        <w:left w:val="none" w:sz="0" w:space="0" w:color="auto"/>
        <w:bottom w:val="none" w:sz="0" w:space="0" w:color="auto"/>
        <w:right w:val="none" w:sz="0" w:space="0" w:color="auto"/>
      </w:divBdr>
    </w:div>
    <w:div w:id="1269583984">
      <w:bodyDiv w:val="1"/>
      <w:marLeft w:val="0"/>
      <w:marRight w:val="0"/>
      <w:marTop w:val="0"/>
      <w:marBottom w:val="0"/>
      <w:divBdr>
        <w:top w:val="none" w:sz="0" w:space="0" w:color="auto"/>
        <w:left w:val="none" w:sz="0" w:space="0" w:color="auto"/>
        <w:bottom w:val="none" w:sz="0" w:space="0" w:color="auto"/>
        <w:right w:val="none" w:sz="0" w:space="0" w:color="auto"/>
      </w:divBdr>
    </w:div>
    <w:div w:id="1334603940">
      <w:bodyDiv w:val="1"/>
      <w:marLeft w:val="0"/>
      <w:marRight w:val="0"/>
      <w:marTop w:val="0"/>
      <w:marBottom w:val="0"/>
      <w:divBdr>
        <w:top w:val="none" w:sz="0" w:space="0" w:color="auto"/>
        <w:left w:val="none" w:sz="0" w:space="0" w:color="auto"/>
        <w:bottom w:val="none" w:sz="0" w:space="0" w:color="auto"/>
        <w:right w:val="none" w:sz="0" w:space="0" w:color="auto"/>
      </w:divBdr>
    </w:div>
    <w:div w:id="1347906510">
      <w:bodyDiv w:val="1"/>
      <w:marLeft w:val="0"/>
      <w:marRight w:val="0"/>
      <w:marTop w:val="0"/>
      <w:marBottom w:val="0"/>
      <w:divBdr>
        <w:top w:val="none" w:sz="0" w:space="0" w:color="auto"/>
        <w:left w:val="none" w:sz="0" w:space="0" w:color="auto"/>
        <w:bottom w:val="none" w:sz="0" w:space="0" w:color="auto"/>
        <w:right w:val="none" w:sz="0" w:space="0" w:color="auto"/>
      </w:divBdr>
    </w:div>
    <w:div w:id="1358310441">
      <w:bodyDiv w:val="1"/>
      <w:marLeft w:val="25"/>
      <w:marRight w:val="25"/>
      <w:marTop w:val="0"/>
      <w:marBottom w:val="0"/>
      <w:divBdr>
        <w:top w:val="none" w:sz="0" w:space="0" w:color="auto"/>
        <w:left w:val="none" w:sz="0" w:space="0" w:color="auto"/>
        <w:bottom w:val="none" w:sz="0" w:space="0" w:color="auto"/>
        <w:right w:val="none" w:sz="0" w:space="0" w:color="auto"/>
      </w:divBdr>
      <w:divsChild>
        <w:div w:id="1691643750">
          <w:marLeft w:val="0"/>
          <w:marRight w:val="0"/>
          <w:marTop w:val="0"/>
          <w:marBottom w:val="0"/>
          <w:divBdr>
            <w:top w:val="none" w:sz="0" w:space="0" w:color="auto"/>
            <w:left w:val="none" w:sz="0" w:space="0" w:color="auto"/>
            <w:bottom w:val="none" w:sz="0" w:space="0" w:color="auto"/>
            <w:right w:val="none" w:sz="0" w:space="0" w:color="auto"/>
          </w:divBdr>
          <w:divsChild>
            <w:div w:id="1187257852">
              <w:marLeft w:val="0"/>
              <w:marRight w:val="0"/>
              <w:marTop w:val="0"/>
              <w:marBottom w:val="0"/>
              <w:divBdr>
                <w:top w:val="none" w:sz="0" w:space="0" w:color="auto"/>
                <w:left w:val="none" w:sz="0" w:space="0" w:color="auto"/>
                <w:bottom w:val="none" w:sz="0" w:space="0" w:color="auto"/>
                <w:right w:val="none" w:sz="0" w:space="0" w:color="auto"/>
              </w:divBdr>
              <w:divsChild>
                <w:div w:id="1319265993">
                  <w:marLeft w:val="150"/>
                  <w:marRight w:val="0"/>
                  <w:marTop w:val="0"/>
                  <w:marBottom w:val="0"/>
                  <w:divBdr>
                    <w:top w:val="none" w:sz="0" w:space="0" w:color="auto"/>
                    <w:left w:val="none" w:sz="0" w:space="0" w:color="auto"/>
                    <w:bottom w:val="none" w:sz="0" w:space="0" w:color="auto"/>
                    <w:right w:val="none" w:sz="0" w:space="0" w:color="auto"/>
                  </w:divBdr>
                  <w:divsChild>
                    <w:div w:id="213439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420346">
      <w:bodyDiv w:val="1"/>
      <w:marLeft w:val="0"/>
      <w:marRight w:val="0"/>
      <w:marTop w:val="0"/>
      <w:marBottom w:val="0"/>
      <w:divBdr>
        <w:top w:val="none" w:sz="0" w:space="0" w:color="auto"/>
        <w:left w:val="none" w:sz="0" w:space="0" w:color="auto"/>
        <w:bottom w:val="none" w:sz="0" w:space="0" w:color="auto"/>
        <w:right w:val="none" w:sz="0" w:space="0" w:color="auto"/>
      </w:divBdr>
    </w:div>
    <w:div w:id="1495415360">
      <w:bodyDiv w:val="1"/>
      <w:marLeft w:val="0"/>
      <w:marRight w:val="0"/>
      <w:marTop w:val="0"/>
      <w:marBottom w:val="0"/>
      <w:divBdr>
        <w:top w:val="none" w:sz="0" w:space="0" w:color="auto"/>
        <w:left w:val="none" w:sz="0" w:space="0" w:color="auto"/>
        <w:bottom w:val="none" w:sz="0" w:space="0" w:color="auto"/>
        <w:right w:val="none" w:sz="0" w:space="0" w:color="auto"/>
      </w:divBdr>
    </w:div>
    <w:div w:id="1586643066">
      <w:bodyDiv w:val="1"/>
      <w:marLeft w:val="0"/>
      <w:marRight w:val="0"/>
      <w:marTop w:val="0"/>
      <w:marBottom w:val="0"/>
      <w:divBdr>
        <w:top w:val="none" w:sz="0" w:space="0" w:color="auto"/>
        <w:left w:val="none" w:sz="0" w:space="0" w:color="auto"/>
        <w:bottom w:val="none" w:sz="0" w:space="0" w:color="auto"/>
        <w:right w:val="none" w:sz="0" w:space="0" w:color="auto"/>
      </w:divBdr>
    </w:div>
    <w:div w:id="1610117930">
      <w:bodyDiv w:val="1"/>
      <w:marLeft w:val="0"/>
      <w:marRight w:val="0"/>
      <w:marTop w:val="0"/>
      <w:marBottom w:val="0"/>
      <w:divBdr>
        <w:top w:val="none" w:sz="0" w:space="0" w:color="auto"/>
        <w:left w:val="none" w:sz="0" w:space="0" w:color="auto"/>
        <w:bottom w:val="none" w:sz="0" w:space="0" w:color="auto"/>
        <w:right w:val="none" w:sz="0" w:space="0" w:color="auto"/>
      </w:divBdr>
    </w:div>
    <w:div w:id="1645771641">
      <w:bodyDiv w:val="1"/>
      <w:marLeft w:val="0"/>
      <w:marRight w:val="0"/>
      <w:marTop w:val="0"/>
      <w:marBottom w:val="0"/>
      <w:divBdr>
        <w:top w:val="none" w:sz="0" w:space="0" w:color="auto"/>
        <w:left w:val="none" w:sz="0" w:space="0" w:color="auto"/>
        <w:bottom w:val="none" w:sz="0" w:space="0" w:color="auto"/>
        <w:right w:val="none" w:sz="0" w:space="0" w:color="auto"/>
      </w:divBdr>
    </w:div>
    <w:div w:id="1651010584">
      <w:bodyDiv w:val="1"/>
      <w:marLeft w:val="0"/>
      <w:marRight w:val="0"/>
      <w:marTop w:val="0"/>
      <w:marBottom w:val="0"/>
      <w:divBdr>
        <w:top w:val="none" w:sz="0" w:space="0" w:color="auto"/>
        <w:left w:val="none" w:sz="0" w:space="0" w:color="auto"/>
        <w:bottom w:val="none" w:sz="0" w:space="0" w:color="auto"/>
        <w:right w:val="none" w:sz="0" w:space="0" w:color="auto"/>
      </w:divBdr>
    </w:div>
    <w:div w:id="1712270143">
      <w:bodyDiv w:val="1"/>
      <w:marLeft w:val="0"/>
      <w:marRight w:val="0"/>
      <w:marTop w:val="0"/>
      <w:marBottom w:val="0"/>
      <w:divBdr>
        <w:top w:val="none" w:sz="0" w:space="0" w:color="auto"/>
        <w:left w:val="none" w:sz="0" w:space="0" w:color="auto"/>
        <w:bottom w:val="none" w:sz="0" w:space="0" w:color="auto"/>
        <w:right w:val="none" w:sz="0" w:space="0" w:color="auto"/>
      </w:divBdr>
    </w:div>
    <w:div w:id="1827435946">
      <w:bodyDiv w:val="1"/>
      <w:marLeft w:val="0"/>
      <w:marRight w:val="0"/>
      <w:marTop w:val="0"/>
      <w:marBottom w:val="0"/>
      <w:divBdr>
        <w:top w:val="none" w:sz="0" w:space="0" w:color="auto"/>
        <w:left w:val="none" w:sz="0" w:space="0" w:color="auto"/>
        <w:bottom w:val="none" w:sz="0" w:space="0" w:color="auto"/>
        <w:right w:val="none" w:sz="0" w:space="0" w:color="auto"/>
      </w:divBdr>
    </w:div>
    <w:div w:id="1860005348">
      <w:bodyDiv w:val="1"/>
      <w:marLeft w:val="30"/>
      <w:marRight w:val="30"/>
      <w:marTop w:val="0"/>
      <w:marBottom w:val="0"/>
      <w:divBdr>
        <w:top w:val="none" w:sz="0" w:space="0" w:color="auto"/>
        <w:left w:val="none" w:sz="0" w:space="0" w:color="auto"/>
        <w:bottom w:val="none" w:sz="0" w:space="0" w:color="auto"/>
        <w:right w:val="none" w:sz="0" w:space="0" w:color="auto"/>
      </w:divBdr>
      <w:divsChild>
        <w:div w:id="508251111">
          <w:marLeft w:val="0"/>
          <w:marRight w:val="0"/>
          <w:marTop w:val="0"/>
          <w:marBottom w:val="0"/>
          <w:divBdr>
            <w:top w:val="none" w:sz="0" w:space="0" w:color="auto"/>
            <w:left w:val="none" w:sz="0" w:space="0" w:color="auto"/>
            <w:bottom w:val="none" w:sz="0" w:space="0" w:color="auto"/>
            <w:right w:val="none" w:sz="0" w:space="0" w:color="auto"/>
          </w:divBdr>
          <w:divsChild>
            <w:div w:id="565189401">
              <w:marLeft w:val="0"/>
              <w:marRight w:val="0"/>
              <w:marTop w:val="0"/>
              <w:marBottom w:val="0"/>
              <w:divBdr>
                <w:top w:val="none" w:sz="0" w:space="0" w:color="auto"/>
                <w:left w:val="none" w:sz="0" w:space="0" w:color="auto"/>
                <w:bottom w:val="none" w:sz="0" w:space="0" w:color="auto"/>
                <w:right w:val="none" w:sz="0" w:space="0" w:color="auto"/>
              </w:divBdr>
              <w:divsChild>
                <w:div w:id="367032076">
                  <w:marLeft w:val="180"/>
                  <w:marRight w:val="0"/>
                  <w:marTop w:val="0"/>
                  <w:marBottom w:val="0"/>
                  <w:divBdr>
                    <w:top w:val="none" w:sz="0" w:space="0" w:color="auto"/>
                    <w:left w:val="none" w:sz="0" w:space="0" w:color="auto"/>
                    <w:bottom w:val="none" w:sz="0" w:space="0" w:color="auto"/>
                    <w:right w:val="none" w:sz="0" w:space="0" w:color="auto"/>
                  </w:divBdr>
                  <w:divsChild>
                    <w:div w:id="172852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477184">
      <w:bodyDiv w:val="1"/>
      <w:marLeft w:val="0"/>
      <w:marRight w:val="0"/>
      <w:marTop w:val="0"/>
      <w:marBottom w:val="0"/>
      <w:divBdr>
        <w:top w:val="none" w:sz="0" w:space="0" w:color="auto"/>
        <w:left w:val="none" w:sz="0" w:space="0" w:color="auto"/>
        <w:bottom w:val="none" w:sz="0" w:space="0" w:color="auto"/>
        <w:right w:val="none" w:sz="0" w:space="0" w:color="auto"/>
      </w:divBdr>
    </w:div>
    <w:div w:id="1924560127">
      <w:bodyDiv w:val="1"/>
      <w:marLeft w:val="0"/>
      <w:marRight w:val="0"/>
      <w:marTop w:val="0"/>
      <w:marBottom w:val="0"/>
      <w:divBdr>
        <w:top w:val="none" w:sz="0" w:space="0" w:color="auto"/>
        <w:left w:val="none" w:sz="0" w:space="0" w:color="auto"/>
        <w:bottom w:val="none" w:sz="0" w:space="0" w:color="auto"/>
        <w:right w:val="none" w:sz="0" w:space="0" w:color="auto"/>
      </w:divBdr>
    </w:div>
    <w:div w:id="1934439611">
      <w:bodyDiv w:val="1"/>
      <w:marLeft w:val="0"/>
      <w:marRight w:val="0"/>
      <w:marTop w:val="0"/>
      <w:marBottom w:val="0"/>
      <w:divBdr>
        <w:top w:val="none" w:sz="0" w:space="0" w:color="auto"/>
        <w:left w:val="none" w:sz="0" w:space="0" w:color="auto"/>
        <w:bottom w:val="none" w:sz="0" w:space="0" w:color="auto"/>
        <w:right w:val="none" w:sz="0" w:space="0" w:color="auto"/>
      </w:divBdr>
    </w:div>
    <w:div w:id="2083872074">
      <w:bodyDiv w:val="1"/>
      <w:marLeft w:val="0"/>
      <w:marRight w:val="0"/>
      <w:marTop w:val="0"/>
      <w:marBottom w:val="0"/>
      <w:divBdr>
        <w:top w:val="none" w:sz="0" w:space="0" w:color="auto"/>
        <w:left w:val="none" w:sz="0" w:space="0" w:color="auto"/>
        <w:bottom w:val="none" w:sz="0" w:space="0" w:color="auto"/>
        <w:right w:val="none" w:sz="0" w:space="0" w:color="auto"/>
      </w:divBdr>
    </w:div>
    <w:div w:id="2103337003">
      <w:bodyDiv w:val="1"/>
      <w:marLeft w:val="25"/>
      <w:marRight w:val="25"/>
      <w:marTop w:val="0"/>
      <w:marBottom w:val="0"/>
      <w:divBdr>
        <w:top w:val="none" w:sz="0" w:space="0" w:color="auto"/>
        <w:left w:val="none" w:sz="0" w:space="0" w:color="auto"/>
        <w:bottom w:val="none" w:sz="0" w:space="0" w:color="auto"/>
        <w:right w:val="none" w:sz="0" w:space="0" w:color="auto"/>
      </w:divBdr>
      <w:divsChild>
        <w:div w:id="988052719">
          <w:marLeft w:val="0"/>
          <w:marRight w:val="0"/>
          <w:marTop w:val="0"/>
          <w:marBottom w:val="0"/>
          <w:divBdr>
            <w:top w:val="none" w:sz="0" w:space="0" w:color="auto"/>
            <w:left w:val="none" w:sz="0" w:space="0" w:color="auto"/>
            <w:bottom w:val="none" w:sz="0" w:space="0" w:color="auto"/>
            <w:right w:val="none" w:sz="0" w:space="0" w:color="auto"/>
          </w:divBdr>
          <w:divsChild>
            <w:div w:id="858008053">
              <w:marLeft w:val="0"/>
              <w:marRight w:val="0"/>
              <w:marTop w:val="0"/>
              <w:marBottom w:val="0"/>
              <w:divBdr>
                <w:top w:val="none" w:sz="0" w:space="0" w:color="auto"/>
                <w:left w:val="none" w:sz="0" w:space="0" w:color="auto"/>
                <w:bottom w:val="none" w:sz="0" w:space="0" w:color="auto"/>
                <w:right w:val="none" w:sz="0" w:space="0" w:color="auto"/>
              </w:divBdr>
              <w:divsChild>
                <w:div w:id="10109728">
                  <w:marLeft w:val="150"/>
                  <w:marRight w:val="0"/>
                  <w:marTop w:val="0"/>
                  <w:marBottom w:val="0"/>
                  <w:divBdr>
                    <w:top w:val="none" w:sz="0" w:space="0" w:color="auto"/>
                    <w:left w:val="none" w:sz="0" w:space="0" w:color="auto"/>
                    <w:bottom w:val="none" w:sz="0" w:space="0" w:color="auto"/>
                    <w:right w:val="none" w:sz="0" w:space="0" w:color="auto"/>
                  </w:divBdr>
                  <w:divsChild>
                    <w:div w:id="22368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jpeg"/><Relationship Id="rId18" Type="http://schemas.openxmlformats.org/officeDocument/2006/relationships/hyperlink" Target="http://www.inegi.org.mx/" TargetMode="External"/><Relationship Id="rId26" Type="http://schemas.openxmlformats.org/officeDocument/2006/relationships/image" Target="media/image8.emf"/><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5.jpe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hyperlink" Target="https://www.inegi.org.mx/programas/si/20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eader" Target="header3.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footer" Target="footer2.xml"/><Relationship Id="rId28" Type="http://schemas.openxmlformats.org/officeDocument/2006/relationships/hyperlink" Target="https://www.inegi.org.mx/temas/si/" TargetMode="External"/><Relationship Id="rId10" Type="http://schemas.openxmlformats.org/officeDocument/2006/relationships/hyperlink" Target="https://www.facebook.com/INEGIInforma/" TargetMode="External"/><Relationship Id="rId19" Type="http://schemas.openxmlformats.org/officeDocument/2006/relationships/image" Target="media/image6.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footer" Target="footer1.xml"/><Relationship Id="rId27" Type="http://schemas.openxmlformats.org/officeDocument/2006/relationships/image" Target="media/image9.emf"/><Relationship Id="rId30"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2E22D9-5D7A-486C-BD78-8135956E9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16</Pages>
  <Words>4226</Words>
  <Characters>23248</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Comunicado de Prensa. Sistema de Cuentas por Sectores Institucionales 2002</vt:lpstr>
    </vt:vector>
  </TitlesOfParts>
  <Company>INEGI</Company>
  <LinksUpToDate>false</LinksUpToDate>
  <CharactersWithSpaces>27420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Sistema de Cuentas por Sectores Institucionales 2018</dc:title>
  <dc:creator>INEGI</dc:creator>
  <cp:keywords>Empresas no Financieras, Empresas Financieras, Gobierno General, Hogares, IPSFLSH, y el sector Resto del Mundo</cp:keywords>
  <cp:lastModifiedBy>GUILLEN MEDINA MOISES</cp:lastModifiedBy>
  <cp:revision>17</cp:revision>
  <cp:lastPrinted>2019-12-02T15:55:00Z</cp:lastPrinted>
  <dcterms:created xsi:type="dcterms:W3CDTF">2019-12-03T15:33:00Z</dcterms:created>
  <dcterms:modified xsi:type="dcterms:W3CDTF">2019-12-05T21:06:00Z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2012-11-13T00:00:00Z</vt:filetime>
  </property>
  <property fmtid="{D5CDD505-2E9C-101B-9397-08002B2CF9AE}" pid="3" name="LastSaved">
    <vt:filetime>2013-11-08T00:00:00Z</vt:filetime>
  </property>
</Properties>
</file>