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8F201" w14:textId="77777777" w:rsidR="006B7B7D" w:rsidRDefault="006B7B7D" w:rsidP="006B7B7D">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6B40A186" wp14:editId="2981927C">
                <wp:simplePos x="0" y="0"/>
                <wp:positionH relativeFrom="column">
                  <wp:posOffset>3028950</wp:posOffset>
                </wp:positionH>
                <wp:positionV relativeFrom="paragraph">
                  <wp:posOffset>635</wp:posOffset>
                </wp:positionV>
                <wp:extent cx="311277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78C1539" w14:textId="77777777" w:rsidR="00F15185" w:rsidRPr="00265B8C" w:rsidRDefault="00F15185" w:rsidP="006B7B7D">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17 de </w:t>
                            </w:r>
                            <w:proofErr w:type="spellStart"/>
                            <w:r>
                              <w:rPr>
                                <w:b/>
                                <w:color w:val="FFFFFF" w:themeColor="background1"/>
                                <w:shd w:val="clear" w:color="auto" w:fill="365F91" w:themeFill="accent1" w:themeFillShade="BF"/>
                                <w:lang w:val="pt-BR"/>
                              </w:rPr>
                              <w:t>enero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40A186"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778C1539" w14:textId="77777777" w:rsidR="00F15185" w:rsidRPr="00265B8C" w:rsidRDefault="00F15185" w:rsidP="006B7B7D">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17 de </w:t>
                      </w:r>
                      <w:proofErr w:type="spellStart"/>
                      <w:r>
                        <w:rPr>
                          <w:b/>
                          <w:color w:val="FFFFFF" w:themeColor="background1"/>
                          <w:shd w:val="clear" w:color="auto" w:fill="365F91" w:themeFill="accent1" w:themeFillShade="BF"/>
                          <w:lang w:val="pt-BR"/>
                        </w:rPr>
                        <w:t>enero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0BD8D66D" w14:textId="77777777" w:rsidR="006B7B7D" w:rsidRDefault="006B7B7D" w:rsidP="006B7B7D">
      <w:pPr>
        <w:pStyle w:val="Ttulo"/>
        <w:widowControl w:val="0"/>
        <w:contextualSpacing/>
        <w:rPr>
          <w:caps/>
          <w:snapToGrid w:val="0"/>
          <w:spacing w:val="25"/>
          <w:sz w:val="28"/>
          <w:szCs w:val="28"/>
          <w:lang w:val="es-MX"/>
        </w:rPr>
      </w:pPr>
    </w:p>
    <w:p w14:paraId="18A6C0B5" w14:textId="77777777" w:rsidR="006B7B7D" w:rsidRDefault="006B7B7D" w:rsidP="006B7B7D">
      <w:pPr>
        <w:pStyle w:val="Ttulo"/>
        <w:widowControl w:val="0"/>
        <w:spacing w:before="360"/>
        <w:contextualSpacing/>
        <w:rPr>
          <w:caps/>
          <w:snapToGrid w:val="0"/>
          <w:spacing w:val="25"/>
          <w:sz w:val="28"/>
          <w:lang w:val="es-MX"/>
        </w:rPr>
      </w:pPr>
    </w:p>
    <w:p w14:paraId="503BA091" w14:textId="77777777" w:rsidR="006B7B7D" w:rsidRPr="00095006" w:rsidRDefault="006B7B7D" w:rsidP="006B7B7D">
      <w:pPr>
        <w:pStyle w:val="Ttulo"/>
        <w:widowControl w:val="0"/>
        <w:rPr>
          <w:caps/>
          <w:snapToGrid w:val="0"/>
          <w:spacing w:val="25"/>
          <w:sz w:val="28"/>
          <w:lang w:val="es-MX"/>
        </w:rPr>
      </w:pPr>
      <w:r w:rsidRPr="00095006">
        <w:rPr>
          <w:caps/>
          <w:snapToGrid w:val="0"/>
          <w:spacing w:val="25"/>
          <w:sz w:val="28"/>
          <w:lang w:val="es-MX"/>
        </w:rPr>
        <w:t>indicadores DEL SECTOR MANUFACTURERO</w:t>
      </w:r>
    </w:p>
    <w:p w14:paraId="1A8BB917" w14:textId="77777777" w:rsidR="006B7B7D" w:rsidRPr="00205C32" w:rsidRDefault="006B7B7D" w:rsidP="00AE6AE4">
      <w:pPr>
        <w:pStyle w:val="Ttulo"/>
        <w:widowControl w:val="0"/>
        <w:rPr>
          <w:caps/>
          <w:snapToGrid w:val="0"/>
          <w:spacing w:val="25"/>
          <w:sz w:val="26"/>
          <w:szCs w:val="26"/>
          <w:lang w:val="es-MX"/>
        </w:rPr>
      </w:pPr>
      <w:r w:rsidRPr="00205C32">
        <w:rPr>
          <w:caps/>
          <w:snapToGrid w:val="0"/>
          <w:spacing w:val="25"/>
          <w:sz w:val="26"/>
          <w:szCs w:val="26"/>
          <w:lang w:val="es-MX"/>
        </w:rPr>
        <w:t xml:space="preserve">CIFRAS DURANTE </w:t>
      </w:r>
      <w:r>
        <w:rPr>
          <w:caps/>
          <w:snapToGrid w:val="0"/>
          <w:spacing w:val="25"/>
          <w:sz w:val="26"/>
          <w:szCs w:val="26"/>
          <w:lang w:val="es-MX"/>
        </w:rPr>
        <w:t>OCTUbre</w:t>
      </w:r>
      <w:r w:rsidRPr="00205C32">
        <w:rPr>
          <w:caps/>
          <w:snapToGrid w:val="0"/>
          <w:spacing w:val="25"/>
          <w:sz w:val="26"/>
          <w:szCs w:val="26"/>
          <w:lang w:val="es-MX"/>
        </w:rPr>
        <w:t xml:space="preserve"> DE 201</w:t>
      </w:r>
      <w:r>
        <w:rPr>
          <w:caps/>
          <w:snapToGrid w:val="0"/>
          <w:spacing w:val="25"/>
          <w:sz w:val="26"/>
          <w:szCs w:val="26"/>
          <w:lang w:val="es-MX"/>
        </w:rPr>
        <w:t>9</w:t>
      </w:r>
    </w:p>
    <w:p w14:paraId="7D4855BC" w14:textId="77777777" w:rsidR="006B7B7D" w:rsidRPr="00CF2EFE" w:rsidRDefault="006B7B7D" w:rsidP="006B7B7D">
      <w:pPr>
        <w:pStyle w:val="Ttulo"/>
        <w:widowControl w:val="0"/>
        <w:rPr>
          <w:i/>
          <w:caps/>
          <w:snapToGrid w:val="0"/>
          <w:spacing w:val="25"/>
          <w:szCs w:val="24"/>
          <w:lang w:val="es-MX"/>
        </w:rPr>
      </w:pPr>
      <w:r w:rsidRPr="00CF2EFE">
        <w:rPr>
          <w:i/>
          <w:snapToGrid w:val="0"/>
          <w:spacing w:val="25"/>
          <w:szCs w:val="24"/>
          <w:lang w:val="es-MX"/>
        </w:rPr>
        <w:t>(Cifras desestacionalizadas)</w:t>
      </w:r>
    </w:p>
    <w:p w14:paraId="5B0DF7D8" w14:textId="77777777" w:rsidR="006B7B7D" w:rsidRPr="008F455A" w:rsidRDefault="006B7B7D" w:rsidP="006B7B7D">
      <w:pPr>
        <w:pStyle w:val="bulnot"/>
        <w:widowControl w:val="0"/>
        <w:tabs>
          <w:tab w:val="clear" w:pos="851"/>
        </w:tabs>
        <w:spacing w:before="200"/>
        <w:ind w:left="-284" w:right="-688" w:firstLine="0"/>
        <w:rPr>
          <w:b w:val="0"/>
          <w:color w:val="auto"/>
          <w:sz w:val="24"/>
          <w:szCs w:val="24"/>
        </w:rPr>
      </w:pPr>
      <w:r w:rsidRPr="008F455A">
        <w:rPr>
          <w:b w:val="0"/>
          <w:color w:val="auto"/>
          <w:sz w:val="24"/>
          <w:szCs w:val="24"/>
        </w:rPr>
        <w:t>El Instituto Nacional de Estadística y Geografía (INEGI) informa que con base en los resultados de la Encuesta Mensual de la Industria Manufacturera (EMIM), en octubre del año en curso, el personal ocupado total del sector manufacturero registró una disminución de (</w:t>
      </w:r>
      <w:r w:rsidRPr="008F455A">
        <w:rPr>
          <w:b w:val="0"/>
          <w:color w:val="auto"/>
          <w:sz w:val="24"/>
          <w:szCs w:val="24"/>
        </w:rPr>
        <w:noBreakHyphen/>
        <w:t>)0.4% frente al mes inmediato anterior, con datos ajustados por estacionalidad</w:t>
      </w:r>
      <w:r w:rsidRPr="008F455A">
        <w:rPr>
          <w:b w:val="0"/>
          <w:color w:val="auto"/>
          <w:sz w:val="24"/>
          <w:szCs w:val="24"/>
          <w:vertAlign w:val="superscript"/>
        </w:rPr>
        <w:footnoteReference w:id="1"/>
      </w:r>
      <w:r w:rsidRPr="008F455A">
        <w:rPr>
          <w:b w:val="0"/>
          <w:color w:val="auto"/>
          <w:sz w:val="24"/>
          <w:szCs w:val="24"/>
        </w:rPr>
        <w:t>.</w:t>
      </w:r>
    </w:p>
    <w:p w14:paraId="41E9FEB2" w14:textId="77777777" w:rsidR="006B7B7D" w:rsidRDefault="006B7B7D" w:rsidP="006B7B7D">
      <w:pPr>
        <w:pStyle w:val="p0"/>
        <w:keepNext/>
        <w:spacing w:before="0"/>
        <w:ind w:hanging="11"/>
        <w:jc w:val="center"/>
        <w:rPr>
          <w:rFonts w:ascii="Arial" w:hAnsi="Arial"/>
          <w:b/>
          <w:smallCaps/>
          <w:color w:val="auto"/>
          <w:sz w:val="22"/>
          <w:szCs w:val="22"/>
        </w:rPr>
      </w:pPr>
    </w:p>
    <w:p w14:paraId="48DCDBB7" w14:textId="77777777" w:rsidR="006B7B7D" w:rsidRPr="004867D2" w:rsidRDefault="006B7B7D" w:rsidP="006B7B7D">
      <w:pPr>
        <w:pStyle w:val="p0"/>
        <w:keepNext/>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Pr>
          <w:rFonts w:ascii="Arial" w:hAnsi="Arial"/>
          <w:b/>
          <w:smallCaps/>
          <w:color w:val="auto"/>
          <w:sz w:val="22"/>
          <w:szCs w:val="22"/>
        </w:rPr>
        <w:t>total a octubre</w:t>
      </w:r>
      <w:r w:rsidRPr="004867D2">
        <w:rPr>
          <w:rFonts w:ascii="Arial" w:hAnsi="Arial"/>
          <w:b/>
          <w:smallCaps/>
          <w:color w:val="auto"/>
          <w:sz w:val="22"/>
          <w:szCs w:val="22"/>
        </w:rPr>
        <w:t xml:space="preserve"> de 201</w:t>
      </w:r>
      <w:r>
        <w:rPr>
          <w:rFonts w:ascii="Arial" w:hAnsi="Arial"/>
          <w:b/>
          <w:smallCaps/>
          <w:color w:val="auto"/>
          <w:sz w:val="22"/>
          <w:szCs w:val="22"/>
        </w:rPr>
        <w:t>9</w:t>
      </w:r>
      <w:r w:rsidRPr="004867D2">
        <w:rPr>
          <w:rFonts w:ascii="Arial" w:hAnsi="Arial"/>
          <w:b/>
          <w:smallCaps/>
          <w:color w:val="auto"/>
          <w:sz w:val="22"/>
          <w:szCs w:val="22"/>
        </w:rPr>
        <w:br/>
        <w:t>Series desestacionalizada y de tendencia-ciclo</w:t>
      </w:r>
    </w:p>
    <w:p w14:paraId="5BE5C848" w14:textId="77777777" w:rsidR="006B7B7D" w:rsidRPr="004867D2" w:rsidRDefault="006B7B7D" w:rsidP="006B7B7D">
      <w:pPr>
        <w:keepNext/>
        <w:keepLines/>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p>
    <w:p w14:paraId="194152F7" w14:textId="77777777" w:rsidR="006B7B7D" w:rsidRPr="004867D2" w:rsidRDefault="006B7B7D" w:rsidP="006B7B7D">
      <w:pPr>
        <w:keepNext/>
        <w:keepLines/>
        <w:jc w:val="center"/>
        <w:rPr>
          <w:sz w:val="18"/>
        </w:rPr>
      </w:pPr>
      <w:r>
        <w:rPr>
          <w:noProof/>
          <w:lang w:val="es-MX" w:eastAsia="es-MX"/>
        </w:rPr>
        <w:drawing>
          <wp:inline distT="0" distB="0" distL="0" distR="0" wp14:anchorId="6ADD5BD0" wp14:editId="49182051">
            <wp:extent cx="5040000" cy="2880000"/>
            <wp:effectExtent l="0" t="0" r="27305" b="1587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189B47" w14:textId="77777777" w:rsidR="006B7B7D" w:rsidRPr="004867D2" w:rsidRDefault="006B7B7D" w:rsidP="00F15185">
      <w:pPr>
        <w:pStyle w:val="p0"/>
        <w:keepLines w:val="0"/>
        <w:spacing w:before="0"/>
        <w:ind w:left="567"/>
        <w:jc w:val="left"/>
        <w:rPr>
          <w:rFonts w:ascii="Arial" w:hAnsi="Arial"/>
          <w:color w:val="auto"/>
          <w:sz w:val="16"/>
        </w:rPr>
      </w:pPr>
      <w:r w:rsidRPr="004867D2">
        <w:rPr>
          <w:rFonts w:ascii="Arial" w:hAnsi="Arial"/>
          <w:color w:val="auto"/>
          <w:sz w:val="16"/>
        </w:rPr>
        <w:t>Fuente: INEGI.</w:t>
      </w:r>
    </w:p>
    <w:p w14:paraId="1D09F2EC" w14:textId="77777777" w:rsidR="006B7B7D" w:rsidRDefault="006B7B7D" w:rsidP="006B7B7D">
      <w:pPr>
        <w:jc w:val="left"/>
      </w:pPr>
    </w:p>
    <w:p w14:paraId="21B91297" w14:textId="77777777" w:rsidR="006B7B7D" w:rsidRDefault="006B7B7D" w:rsidP="006B7B7D">
      <w:pPr>
        <w:jc w:val="left"/>
      </w:pPr>
    </w:p>
    <w:p w14:paraId="540AEFF0" w14:textId="77777777" w:rsidR="006B7B7D" w:rsidRPr="00CF2EFE" w:rsidRDefault="006B7B7D" w:rsidP="006B7B7D">
      <w:pPr>
        <w:pStyle w:val="bulnot"/>
        <w:widowControl w:val="0"/>
        <w:tabs>
          <w:tab w:val="clear" w:pos="851"/>
        </w:tabs>
        <w:spacing w:before="0"/>
        <w:ind w:left="-284" w:right="-688" w:firstLine="0"/>
        <w:rPr>
          <w:b w:val="0"/>
          <w:color w:val="auto"/>
          <w:sz w:val="24"/>
          <w:szCs w:val="24"/>
        </w:rPr>
      </w:pPr>
      <w:r w:rsidRPr="00CF2EFE">
        <w:rPr>
          <w:b w:val="0"/>
          <w:color w:val="auto"/>
          <w:sz w:val="24"/>
          <w:szCs w:val="24"/>
        </w:rPr>
        <w:t>Las horas trabajadas fueron menores en (</w:t>
      </w:r>
      <w:r w:rsidRPr="00CF2EFE">
        <w:rPr>
          <w:b w:val="0"/>
          <w:color w:val="auto"/>
          <w:sz w:val="24"/>
          <w:szCs w:val="24"/>
        </w:rPr>
        <w:noBreakHyphen/>
        <w:t>)0.1% y las remuneraciones medias reales pagadas</w:t>
      </w:r>
      <w:r w:rsidRPr="00CF2EFE">
        <w:rPr>
          <w:b w:val="0"/>
          <w:color w:val="auto"/>
          <w:sz w:val="24"/>
          <w:szCs w:val="24"/>
          <w:vertAlign w:val="superscript"/>
        </w:rPr>
        <w:footnoteReference w:id="2"/>
      </w:r>
      <w:r w:rsidRPr="00CF2EFE">
        <w:rPr>
          <w:b w:val="0"/>
          <w:color w:val="auto"/>
          <w:sz w:val="24"/>
          <w:szCs w:val="24"/>
        </w:rPr>
        <w:t xml:space="preserve">, que incluyen sueldos, salarios y prestaciones sociales no mostraron variación durante el décimo mes de 2019 </w:t>
      </w:r>
      <w:r w:rsidRPr="00CF2EFE">
        <w:rPr>
          <w:rFonts w:cs="Arial"/>
          <w:b w:val="0"/>
          <w:color w:val="auto"/>
          <w:sz w:val="24"/>
          <w:szCs w:val="24"/>
        </w:rPr>
        <w:t xml:space="preserve">con relación </w:t>
      </w:r>
      <w:r w:rsidRPr="00CF2EFE">
        <w:rPr>
          <w:b w:val="0"/>
          <w:color w:val="auto"/>
          <w:sz w:val="24"/>
          <w:szCs w:val="24"/>
        </w:rPr>
        <w:t>al mes precedente, con cifras desestacionalizadas.</w:t>
      </w:r>
    </w:p>
    <w:p w14:paraId="42A3B629" w14:textId="77777777" w:rsidR="006B7B7D" w:rsidRPr="00CF2EFE" w:rsidRDefault="006B7B7D" w:rsidP="006B7B7D">
      <w:pPr>
        <w:pStyle w:val="p0"/>
        <w:keepLines w:val="0"/>
        <w:spacing w:before="0"/>
        <w:ind w:left="784"/>
        <w:jc w:val="left"/>
        <w:rPr>
          <w:rFonts w:ascii="Arial" w:hAnsi="Arial"/>
          <w:color w:val="auto"/>
        </w:rPr>
      </w:pPr>
    </w:p>
    <w:p w14:paraId="1D9012EC" w14:textId="77777777" w:rsidR="006B7B7D" w:rsidRDefault="006B7B7D" w:rsidP="006B7B7D">
      <w:pPr>
        <w:jc w:val="left"/>
        <w:rPr>
          <w:i/>
        </w:rPr>
      </w:pPr>
      <w:r w:rsidRPr="004867D2">
        <w:rPr>
          <w:b/>
          <w:i/>
        </w:rPr>
        <w:br w:type="page"/>
      </w:r>
    </w:p>
    <w:p w14:paraId="3B329AE9" w14:textId="77777777" w:rsidR="006B7B7D" w:rsidRDefault="006B7B7D" w:rsidP="006B7B7D">
      <w:pPr>
        <w:pStyle w:val="bulnot"/>
        <w:widowControl w:val="0"/>
        <w:tabs>
          <w:tab w:val="clear" w:pos="851"/>
        </w:tabs>
        <w:spacing w:before="200"/>
        <w:ind w:left="-142" w:right="-547" w:firstLine="0"/>
        <w:rPr>
          <w:color w:val="auto"/>
        </w:rPr>
      </w:pPr>
    </w:p>
    <w:p w14:paraId="1F6DB8CF" w14:textId="77777777" w:rsidR="006B7B7D" w:rsidRDefault="006B7B7D" w:rsidP="006B7B7D">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4F57A0B6" w14:textId="77777777" w:rsidR="006B7B7D" w:rsidRPr="004867D2" w:rsidRDefault="006B7B7D" w:rsidP="006B7B7D">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Principales indicadores del sector manufacturero</w:t>
      </w:r>
      <w:r w:rsidRPr="004867D2">
        <w:rPr>
          <w:rFonts w:ascii="Arial" w:eastAsia="Times New Roman" w:hAnsi="Arial" w:cs="Arial"/>
          <w:b/>
          <w:i w:val="0"/>
          <w:iCs w:val="0"/>
          <w:smallCaps/>
          <w:snapToGrid w:val="0"/>
          <w:color w:val="auto"/>
          <w:sz w:val="22"/>
          <w:szCs w:val="22"/>
          <w:lang w:val="es-MX"/>
        </w:rPr>
        <w:br/>
        <w:t xml:space="preserve">durante </w:t>
      </w:r>
      <w:r>
        <w:rPr>
          <w:rFonts w:ascii="Arial" w:eastAsia="Times New Roman" w:hAnsi="Arial" w:cs="Arial"/>
          <w:b/>
          <w:i w:val="0"/>
          <w:iCs w:val="0"/>
          <w:smallCaps/>
          <w:snapToGrid w:val="0"/>
          <w:color w:val="auto"/>
          <w:sz w:val="22"/>
          <w:szCs w:val="22"/>
          <w:lang w:val="es-MX"/>
        </w:rPr>
        <w:t>octubre</w:t>
      </w:r>
      <w:r w:rsidRPr="004867D2">
        <w:rPr>
          <w:rFonts w:ascii="Arial" w:eastAsia="Times New Roman" w:hAnsi="Arial" w:cs="Arial"/>
          <w:b/>
          <w:i w:val="0"/>
          <w:iCs w:val="0"/>
          <w:smallCaps/>
          <w:snapToGrid w:val="0"/>
          <w:color w:val="auto"/>
          <w:sz w:val="22"/>
          <w:szCs w:val="22"/>
          <w:lang w:val="es-MX"/>
        </w:rPr>
        <w:t xml:space="preserve"> de 201</w:t>
      </w:r>
      <w:r>
        <w:rPr>
          <w:rFonts w:ascii="Arial" w:eastAsia="Times New Roman" w:hAnsi="Arial" w:cs="Arial"/>
          <w:b/>
          <w:i w:val="0"/>
          <w:iCs w:val="0"/>
          <w:smallCaps/>
          <w:snapToGrid w:val="0"/>
          <w:color w:val="auto"/>
          <w:sz w:val="22"/>
          <w:szCs w:val="22"/>
          <w:lang w:val="es-MX"/>
        </w:rPr>
        <w:t>9</w:t>
      </w:r>
    </w:p>
    <w:p w14:paraId="6FBD32D7" w14:textId="77777777" w:rsidR="006B7B7D" w:rsidRPr="004867D2" w:rsidRDefault="006B7B7D" w:rsidP="006B7B7D">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3995"/>
        <w:gridCol w:w="1681"/>
        <w:gridCol w:w="1682"/>
      </w:tblGrid>
      <w:tr w:rsidR="006B7B7D" w:rsidRPr="004867D2" w14:paraId="509DEFC5" w14:textId="77777777" w:rsidTr="00F15185">
        <w:trPr>
          <w:trHeight w:val="23"/>
          <w:jc w:val="center"/>
        </w:trPr>
        <w:tc>
          <w:tcPr>
            <w:tcW w:w="39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854624F" w14:textId="77777777" w:rsidR="006B7B7D" w:rsidRPr="004867D2" w:rsidRDefault="006B7B7D" w:rsidP="00F15185">
            <w:pPr>
              <w:pStyle w:val="bulnot"/>
              <w:widowControl w:val="0"/>
              <w:tabs>
                <w:tab w:val="clear" w:pos="851"/>
              </w:tabs>
              <w:spacing w:before="0"/>
              <w:ind w:left="444" w:right="0" w:firstLine="0"/>
              <w:jc w:val="left"/>
              <w:rPr>
                <w:rFonts w:cs="Arial"/>
                <w:b w:val="0"/>
                <w:color w:val="auto"/>
                <w:spacing w:val="0"/>
                <w:sz w:val="18"/>
                <w:szCs w:val="18"/>
              </w:rPr>
            </w:pPr>
            <w:r w:rsidRPr="004867D2">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684C4272" w14:textId="77777777" w:rsidR="006B7B7D" w:rsidRPr="004867D2" w:rsidRDefault="006B7B7D" w:rsidP="00F15185">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 xml:space="preserve">Variación </w:t>
            </w:r>
            <w:r>
              <w:rPr>
                <w:rFonts w:cs="Arial"/>
                <w:b w:val="0"/>
                <w:color w:val="auto"/>
                <w:spacing w:val="0"/>
                <w:sz w:val="18"/>
                <w:szCs w:val="18"/>
              </w:rPr>
              <w:t>porcentual</w:t>
            </w:r>
            <w:r>
              <w:rPr>
                <w:rFonts w:cs="Arial"/>
                <w:b w:val="0"/>
                <w:color w:val="auto"/>
                <w:spacing w:val="0"/>
                <w:sz w:val="18"/>
                <w:szCs w:val="18"/>
              </w:rPr>
              <w:br/>
            </w:r>
            <w:r w:rsidRPr="004867D2">
              <w:rPr>
                <w:rFonts w:cs="Arial"/>
                <w:b w:val="0"/>
                <w:color w:val="auto"/>
                <w:spacing w:val="0"/>
                <w:sz w:val="18"/>
                <w:szCs w:val="18"/>
              </w:rPr>
              <w:t>respecto al:</w:t>
            </w:r>
          </w:p>
        </w:tc>
      </w:tr>
      <w:tr w:rsidR="006B7B7D" w:rsidRPr="004867D2" w14:paraId="1B6214F2" w14:textId="77777777" w:rsidTr="00F15185">
        <w:trPr>
          <w:trHeight w:val="23"/>
          <w:jc w:val="center"/>
        </w:trPr>
        <w:tc>
          <w:tcPr>
            <w:tcW w:w="3995" w:type="dxa"/>
            <w:vMerge/>
            <w:tcBorders>
              <w:top w:val="single" w:sz="6" w:space="0" w:color="1F497D" w:themeColor="text2"/>
              <w:left w:val="single" w:sz="8" w:space="0" w:color="1F497D" w:themeColor="text2"/>
              <w:bottom w:val="single" w:sz="8" w:space="0" w:color="1F497D" w:themeColor="text2"/>
              <w:right w:val="single" w:sz="6" w:space="0" w:color="1F497D" w:themeColor="text2"/>
            </w:tcBorders>
            <w:shd w:val="clear" w:color="auto" w:fill="C6D9F1" w:themeFill="text2" w:themeFillTint="33"/>
          </w:tcPr>
          <w:p w14:paraId="56044908" w14:textId="77777777" w:rsidR="006B7B7D" w:rsidRPr="004867D2" w:rsidRDefault="006B7B7D" w:rsidP="00F15185">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7D72AA65" w14:textId="77777777" w:rsidR="006B7B7D" w:rsidRPr="004867D2" w:rsidRDefault="006B7B7D" w:rsidP="00F15185">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32FFD383" w14:textId="77777777" w:rsidR="006B7B7D" w:rsidRPr="004867D2" w:rsidRDefault="006B7B7D" w:rsidP="00F15185">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Mismo mes del año anterior</w:t>
            </w:r>
          </w:p>
        </w:tc>
      </w:tr>
      <w:tr w:rsidR="006B7B7D" w:rsidRPr="004867D2" w14:paraId="22F53E16" w14:textId="77777777" w:rsidTr="00F15185">
        <w:trPr>
          <w:trHeight w:val="227"/>
          <w:jc w:val="center"/>
        </w:trPr>
        <w:tc>
          <w:tcPr>
            <w:tcW w:w="3995"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CCA3EEA" w14:textId="77777777" w:rsidR="006B7B7D" w:rsidRPr="004867D2" w:rsidRDefault="006B7B7D" w:rsidP="00F15185">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Personal ocupado</w:t>
            </w:r>
            <w:r>
              <w:rPr>
                <w:rFonts w:cs="Arial"/>
                <w:color w:val="auto"/>
                <w:spacing w:val="0"/>
                <w:sz w:val="18"/>
                <w:szCs w:val="18"/>
              </w:rPr>
              <w:t xml:space="preserve">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15DC56ED" w14:textId="77777777" w:rsidR="006B7B7D" w:rsidRDefault="006B7B7D" w:rsidP="00F15185">
            <w:pPr>
              <w:tabs>
                <w:tab w:val="left" w:pos="412"/>
                <w:tab w:val="decimal" w:pos="815"/>
              </w:tabs>
              <w:jc w:val="left"/>
              <w:rPr>
                <w:b/>
                <w:bCs/>
                <w:color w:val="000000"/>
                <w:sz w:val="18"/>
                <w:szCs w:val="18"/>
                <w:lang w:val="es-MX" w:eastAsia="es-MX"/>
              </w:rPr>
            </w:pPr>
            <w:r>
              <w:rPr>
                <w:b/>
                <w:bCs/>
                <w:color w:val="000000"/>
                <w:sz w:val="18"/>
                <w:szCs w:val="18"/>
              </w:rPr>
              <w:tab/>
              <w:t>(-)</w:t>
            </w:r>
            <w:r>
              <w:rPr>
                <w:b/>
                <w:bCs/>
                <w:color w:val="000000"/>
                <w:sz w:val="18"/>
                <w:szCs w:val="18"/>
              </w:rPr>
              <w:tab/>
              <w:t>0.4</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40FF7340" w14:textId="77777777" w:rsidR="006B7B7D" w:rsidRDefault="006B7B7D" w:rsidP="00F15185">
            <w:pPr>
              <w:tabs>
                <w:tab w:val="left" w:pos="412"/>
                <w:tab w:val="decimal" w:pos="815"/>
              </w:tabs>
              <w:jc w:val="left"/>
              <w:rPr>
                <w:b/>
                <w:bCs/>
                <w:color w:val="000000"/>
                <w:sz w:val="18"/>
                <w:szCs w:val="18"/>
              </w:rPr>
            </w:pPr>
            <w:r>
              <w:rPr>
                <w:b/>
                <w:bCs/>
                <w:color w:val="000000"/>
                <w:sz w:val="18"/>
                <w:szCs w:val="18"/>
              </w:rPr>
              <w:tab/>
              <w:t>(-)</w:t>
            </w:r>
            <w:r>
              <w:rPr>
                <w:b/>
                <w:bCs/>
                <w:color w:val="000000"/>
                <w:sz w:val="18"/>
                <w:szCs w:val="18"/>
              </w:rPr>
              <w:tab/>
              <w:t>0.7</w:t>
            </w:r>
          </w:p>
        </w:tc>
      </w:tr>
      <w:tr w:rsidR="006B7B7D" w:rsidRPr="004867D2" w14:paraId="1CBBA7FF" w14:textId="77777777" w:rsidTr="00F15185">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5B91AF" w14:textId="77777777" w:rsidR="006B7B7D" w:rsidRPr="004867D2" w:rsidRDefault="006B7B7D" w:rsidP="00F15185">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4F0A930" w14:textId="77777777" w:rsidR="006B7B7D" w:rsidRDefault="006B7B7D" w:rsidP="00F15185">
            <w:pPr>
              <w:tabs>
                <w:tab w:val="left" w:pos="412"/>
                <w:tab w:val="decimal" w:pos="815"/>
              </w:tabs>
              <w:jc w:val="left"/>
              <w:rPr>
                <w:color w:val="000000"/>
                <w:sz w:val="18"/>
                <w:szCs w:val="18"/>
              </w:rPr>
            </w:pPr>
            <w:r>
              <w:rPr>
                <w:color w:val="000000"/>
                <w:sz w:val="18"/>
                <w:szCs w:val="18"/>
              </w:rPr>
              <w:tab/>
              <w:t>(-)</w:t>
            </w:r>
            <w:r>
              <w:rPr>
                <w:color w:val="000000"/>
                <w:sz w:val="18"/>
                <w:szCs w:val="18"/>
              </w:rPr>
              <w:tab/>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F975C45" w14:textId="77777777" w:rsidR="006B7B7D" w:rsidRDefault="006B7B7D" w:rsidP="00F15185">
            <w:pPr>
              <w:tabs>
                <w:tab w:val="left" w:pos="412"/>
                <w:tab w:val="decimal" w:pos="815"/>
              </w:tabs>
              <w:jc w:val="left"/>
              <w:rPr>
                <w:color w:val="000000"/>
                <w:sz w:val="18"/>
                <w:szCs w:val="18"/>
              </w:rPr>
            </w:pPr>
            <w:r>
              <w:rPr>
                <w:color w:val="000000"/>
                <w:sz w:val="18"/>
                <w:szCs w:val="18"/>
              </w:rPr>
              <w:tab/>
              <w:t>(-)</w:t>
            </w:r>
            <w:r>
              <w:rPr>
                <w:color w:val="000000"/>
                <w:sz w:val="18"/>
                <w:szCs w:val="18"/>
              </w:rPr>
              <w:tab/>
              <w:t>1.2</w:t>
            </w:r>
          </w:p>
        </w:tc>
      </w:tr>
      <w:tr w:rsidR="006B7B7D" w:rsidRPr="004867D2" w14:paraId="3AE992EB" w14:textId="77777777" w:rsidTr="00F15185">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628AEE3" w14:textId="77777777" w:rsidR="006B7B7D" w:rsidRPr="004867D2" w:rsidRDefault="006B7B7D" w:rsidP="00F15185">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1CA1EB8" w14:textId="77777777" w:rsidR="006B7B7D" w:rsidRDefault="006B7B7D" w:rsidP="00F15185">
            <w:pPr>
              <w:tabs>
                <w:tab w:val="left" w:pos="412"/>
                <w:tab w:val="decimal" w:pos="815"/>
              </w:tabs>
              <w:jc w:val="left"/>
              <w:rPr>
                <w:color w:val="000000"/>
                <w:sz w:val="18"/>
                <w:szCs w:val="18"/>
              </w:rPr>
            </w:pPr>
            <w:r>
              <w:rPr>
                <w:color w:val="000000"/>
                <w:sz w:val="18"/>
                <w:szCs w:val="18"/>
              </w:rPr>
              <w:tab/>
              <w:t>(-)</w:t>
            </w:r>
            <w:r>
              <w:rPr>
                <w:color w:val="000000"/>
                <w:sz w:val="18"/>
                <w:szCs w:val="18"/>
              </w:rPr>
              <w:tab/>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2095409" w14:textId="77777777" w:rsidR="006B7B7D" w:rsidRDefault="006B7B7D" w:rsidP="00F15185">
            <w:pPr>
              <w:tabs>
                <w:tab w:val="decimal" w:pos="815"/>
              </w:tabs>
              <w:jc w:val="left"/>
              <w:rPr>
                <w:color w:val="000000"/>
                <w:sz w:val="18"/>
                <w:szCs w:val="18"/>
              </w:rPr>
            </w:pPr>
            <w:r>
              <w:rPr>
                <w:color w:val="000000"/>
                <w:sz w:val="18"/>
                <w:szCs w:val="18"/>
              </w:rPr>
              <w:t>1.0</w:t>
            </w:r>
          </w:p>
        </w:tc>
      </w:tr>
      <w:tr w:rsidR="006B7B7D" w:rsidRPr="004867D2" w14:paraId="1049B5C5" w14:textId="77777777" w:rsidTr="00F15185">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DB61D50" w14:textId="77777777" w:rsidR="006B7B7D" w:rsidRPr="004867D2" w:rsidRDefault="006B7B7D" w:rsidP="00F15185">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3E8F4BAC" w14:textId="77777777" w:rsidR="006B7B7D" w:rsidRDefault="006B7B7D" w:rsidP="00F15185">
            <w:pPr>
              <w:tabs>
                <w:tab w:val="left" w:pos="412"/>
                <w:tab w:val="decimal" w:pos="815"/>
              </w:tabs>
              <w:jc w:val="left"/>
              <w:rPr>
                <w:b/>
                <w:bCs/>
                <w:color w:val="000000"/>
                <w:sz w:val="18"/>
                <w:szCs w:val="18"/>
              </w:rPr>
            </w:pPr>
            <w:r>
              <w:rPr>
                <w:b/>
                <w:bCs/>
                <w:color w:val="000000"/>
                <w:sz w:val="18"/>
                <w:szCs w:val="18"/>
              </w:rPr>
              <w:tab/>
              <w:t>(-)</w:t>
            </w:r>
            <w:r>
              <w:rPr>
                <w:b/>
                <w:bCs/>
                <w:color w:val="000000"/>
                <w:sz w:val="18"/>
                <w:szCs w:val="18"/>
              </w:rPr>
              <w:tab/>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1A56D583" w14:textId="77777777" w:rsidR="006B7B7D" w:rsidRDefault="006B7B7D" w:rsidP="00F15185">
            <w:pPr>
              <w:tabs>
                <w:tab w:val="left" w:pos="412"/>
                <w:tab w:val="decimal" w:pos="815"/>
              </w:tabs>
              <w:jc w:val="left"/>
              <w:rPr>
                <w:b/>
                <w:bCs/>
                <w:color w:val="000000"/>
                <w:sz w:val="18"/>
                <w:szCs w:val="18"/>
              </w:rPr>
            </w:pPr>
            <w:r>
              <w:rPr>
                <w:b/>
                <w:bCs/>
                <w:color w:val="000000"/>
                <w:sz w:val="18"/>
                <w:szCs w:val="18"/>
              </w:rPr>
              <w:tab/>
              <w:t>(-)</w:t>
            </w:r>
            <w:r>
              <w:rPr>
                <w:b/>
                <w:bCs/>
                <w:color w:val="000000"/>
                <w:sz w:val="18"/>
                <w:szCs w:val="18"/>
              </w:rPr>
              <w:tab/>
              <w:t>1.5</w:t>
            </w:r>
          </w:p>
        </w:tc>
      </w:tr>
      <w:tr w:rsidR="006B7B7D" w:rsidRPr="004867D2" w14:paraId="5CE24C0B" w14:textId="77777777" w:rsidTr="00F15185">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6CEFC5D" w14:textId="77777777" w:rsidR="006B7B7D" w:rsidRPr="004867D2" w:rsidRDefault="006B7B7D" w:rsidP="00F15185">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DB465A8" w14:textId="77777777" w:rsidR="006B7B7D" w:rsidRDefault="006B7B7D" w:rsidP="00F15185">
            <w:pPr>
              <w:tabs>
                <w:tab w:val="left" w:pos="412"/>
                <w:tab w:val="decimal" w:pos="815"/>
              </w:tabs>
              <w:jc w:val="left"/>
              <w:rPr>
                <w:color w:val="000000"/>
                <w:sz w:val="18"/>
                <w:szCs w:val="18"/>
              </w:rPr>
            </w:pPr>
            <w:r>
              <w:rPr>
                <w:color w:val="000000"/>
                <w:sz w:val="18"/>
                <w:szCs w:val="18"/>
              </w:rPr>
              <w:tab/>
              <w:t>(-)</w:t>
            </w:r>
            <w:r>
              <w:rPr>
                <w:color w:val="000000"/>
                <w:sz w:val="18"/>
                <w:szCs w:val="18"/>
              </w:rPr>
              <w:tab/>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CACD133" w14:textId="77777777" w:rsidR="006B7B7D" w:rsidRDefault="006B7B7D" w:rsidP="00F15185">
            <w:pPr>
              <w:tabs>
                <w:tab w:val="left" w:pos="412"/>
                <w:tab w:val="decimal" w:pos="815"/>
              </w:tabs>
              <w:jc w:val="left"/>
              <w:rPr>
                <w:color w:val="000000"/>
                <w:sz w:val="18"/>
                <w:szCs w:val="18"/>
              </w:rPr>
            </w:pPr>
            <w:r>
              <w:rPr>
                <w:color w:val="000000"/>
                <w:sz w:val="18"/>
                <w:szCs w:val="18"/>
              </w:rPr>
              <w:tab/>
              <w:t>(-)</w:t>
            </w:r>
            <w:r>
              <w:rPr>
                <w:color w:val="000000"/>
                <w:sz w:val="18"/>
                <w:szCs w:val="18"/>
              </w:rPr>
              <w:tab/>
              <w:t>1.9</w:t>
            </w:r>
          </w:p>
        </w:tc>
      </w:tr>
      <w:tr w:rsidR="006B7B7D" w:rsidRPr="004867D2" w14:paraId="26840013" w14:textId="77777777" w:rsidTr="00F15185">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8C3CE0" w14:textId="77777777" w:rsidR="006B7B7D" w:rsidRPr="004867D2" w:rsidRDefault="006B7B7D" w:rsidP="00F15185">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F085961" w14:textId="77777777" w:rsidR="006B7B7D" w:rsidRDefault="006B7B7D" w:rsidP="00F15185">
            <w:pPr>
              <w:tabs>
                <w:tab w:val="decimal" w:pos="815"/>
              </w:tabs>
              <w:jc w:val="left"/>
              <w:rPr>
                <w:sz w:val="18"/>
                <w:szCs w:val="18"/>
              </w:rPr>
            </w:pPr>
            <w:r>
              <w:rPr>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E59CFC2" w14:textId="77777777" w:rsidR="006B7B7D" w:rsidRDefault="006B7B7D" w:rsidP="00F15185">
            <w:pPr>
              <w:tabs>
                <w:tab w:val="decimal" w:pos="815"/>
              </w:tabs>
              <w:jc w:val="left"/>
              <w:rPr>
                <w:sz w:val="18"/>
                <w:szCs w:val="18"/>
              </w:rPr>
            </w:pPr>
            <w:r>
              <w:rPr>
                <w:sz w:val="18"/>
                <w:szCs w:val="18"/>
              </w:rPr>
              <w:t>0.8</w:t>
            </w:r>
          </w:p>
        </w:tc>
      </w:tr>
      <w:tr w:rsidR="006B7B7D" w:rsidRPr="004867D2" w14:paraId="196CA608" w14:textId="77777777" w:rsidTr="00F15185">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1038E07" w14:textId="77777777" w:rsidR="006B7B7D" w:rsidRPr="004867D2" w:rsidRDefault="006B7B7D" w:rsidP="00F15185">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706C7410" w14:textId="77777777" w:rsidR="006B7B7D" w:rsidRDefault="006B7B7D" w:rsidP="00F15185">
            <w:pPr>
              <w:tabs>
                <w:tab w:val="decimal" w:pos="815"/>
              </w:tabs>
              <w:jc w:val="left"/>
              <w:rPr>
                <w:b/>
                <w:bCs/>
                <w:color w:val="000000"/>
                <w:sz w:val="18"/>
                <w:szCs w:val="18"/>
              </w:rPr>
            </w:pPr>
            <w:r>
              <w:rPr>
                <w:b/>
                <w:bCs/>
                <w:color w:val="000000"/>
                <w:sz w:val="18"/>
                <w:szCs w:val="18"/>
              </w:rPr>
              <w:t>0.0</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0BAD7BA2" w14:textId="77777777" w:rsidR="006B7B7D" w:rsidRDefault="006B7B7D" w:rsidP="00F15185">
            <w:pPr>
              <w:tabs>
                <w:tab w:val="decimal" w:pos="815"/>
              </w:tabs>
              <w:jc w:val="left"/>
              <w:rPr>
                <w:b/>
                <w:bCs/>
                <w:color w:val="000000"/>
                <w:sz w:val="18"/>
                <w:szCs w:val="18"/>
              </w:rPr>
            </w:pPr>
            <w:r>
              <w:rPr>
                <w:b/>
                <w:bCs/>
                <w:color w:val="000000"/>
                <w:sz w:val="18"/>
                <w:szCs w:val="18"/>
              </w:rPr>
              <w:t>3.2</w:t>
            </w:r>
          </w:p>
        </w:tc>
      </w:tr>
      <w:tr w:rsidR="006B7B7D" w:rsidRPr="004867D2" w14:paraId="2B0933EA" w14:textId="77777777" w:rsidTr="00F15185">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82A52E0" w14:textId="77777777" w:rsidR="006B7B7D" w:rsidRPr="004867D2" w:rsidRDefault="006B7B7D" w:rsidP="00F15185">
            <w:pPr>
              <w:pStyle w:val="p0"/>
              <w:keepLines w:val="0"/>
              <w:spacing w:before="0"/>
              <w:ind w:left="170"/>
              <w:jc w:val="left"/>
              <w:rPr>
                <w:rFonts w:ascii="Arial" w:hAnsi="Arial"/>
                <w:color w:val="auto"/>
                <w:sz w:val="18"/>
                <w:szCs w:val="18"/>
              </w:rPr>
            </w:pPr>
            <w:r w:rsidRPr="004867D2">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ABA50A4" w14:textId="77777777" w:rsidR="006B7B7D" w:rsidRDefault="006B7B7D" w:rsidP="00F15185">
            <w:pPr>
              <w:tabs>
                <w:tab w:val="decimal" w:pos="815"/>
              </w:tabs>
              <w:jc w:val="left"/>
              <w:rPr>
                <w:color w:val="000000"/>
                <w:sz w:val="18"/>
                <w:szCs w:val="18"/>
              </w:rPr>
            </w:pPr>
            <w:r>
              <w:rPr>
                <w:color w:val="000000"/>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8B46165" w14:textId="77777777" w:rsidR="006B7B7D" w:rsidRDefault="006B7B7D" w:rsidP="00F15185">
            <w:pPr>
              <w:tabs>
                <w:tab w:val="decimal" w:pos="815"/>
              </w:tabs>
              <w:jc w:val="left"/>
              <w:rPr>
                <w:color w:val="000000"/>
                <w:sz w:val="18"/>
                <w:szCs w:val="18"/>
              </w:rPr>
            </w:pPr>
            <w:r>
              <w:rPr>
                <w:color w:val="000000"/>
                <w:sz w:val="18"/>
                <w:szCs w:val="18"/>
              </w:rPr>
              <w:t>4.3</w:t>
            </w:r>
          </w:p>
        </w:tc>
      </w:tr>
      <w:tr w:rsidR="006B7B7D" w:rsidRPr="004867D2" w14:paraId="3CE2E60E" w14:textId="77777777" w:rsidTr="00F15185">
        <w:trPr>
          <w:trHeight w:val="227"/>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B1951C8" w14:textId="77777777" w:rsidR="006B7B7D" w:rsidRPr="004867D2" w:rsidRDefault="006B7B7D" w:rsidP="00F15185">
            <w:pPr>
              <w:pStyle w:val="p0"/>
              <w:keepLines w:val="0"/>
              <w:spacing w:before="0"/>
              <w:ind w:left="170"/>
              <w:jc w:val="left"/>
              <w:rPr>
                <w:rFonts w:ascii="Arial" w:hAnsi="Arial"/>
                <w:color w:val="auto"/>
                <w:sz w:val="18"/>
                <w:szCs w:val="18"/>
              </w:rPr>
            </w:pPr>
            <w:r w:rsidRPr="004867D2">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5631ADB" w14:textId="77777777" w:rsidR="006B7B7D" w:rsidRDefault="006B7B7D" w:rsidP="00F15185">
            <w:pPr>
              <w:tabs>
                <w:tab w:val="decimal" w:pos="815"/>
              </w:tabs>
              <w:jc w:val="left"/>
              <w:rPr>
                <w:color w:val="000000"/>
                <w:sz w:val="18"/>
                <w:szCs w:val="18"/>
              </w:rPr>
            </w:pPr>
            <w:r>
              <w:rPr>
                <w:color w:val="000000"/>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60A1C0D" w14:textId="77777777" w:rsidR="006B7B7D" w:rsidRDefault="006B7B7D" w:rsidP="00F15185">
            <w:pPr>
              <w:tabs>
                <w:tab w:val="decimal" w:pos="815"/>
              </w:tabs>
              <w:jc w:val="left"/>
              <w:rPr>
                <w:color w:val="000000"/>
                <w:sz w:val="18"/>
                <w:szCs w:val="18"/>
              </w:rPr>
            </w:pPr>
            <w:r>
              <w:rPr>
                <w:color w:val="000000"/>
                <w:sz w:val="18"/>
                <w:szCs w:val="18"/>
              </w:rPr>
              <w:t>1.3</w:t>
            </w:r>
          </w:p>
        </w:tc>
      </w:tr>
      <w:tr w:rsidR="006B7B7D" w:rsidRPr="004867D2" w14:paraId="1C73601F" w14:textId="77777777" w:rsidTr="00F15185">
        <w:trPr>
          <w:trHeight w:val="227"/>
          <w:jc w:val="center"/>
        </w:trPr>
        <w:tc>
          <w:tcPr>
            <w:tcW w:w="39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67A07DED" w14:textId="77777777" w:rsidR="006B7B7D" w:rsidRPr="004867D2" w:rsidRDefault="006B7B7D" w:rsidP="00F15185">
            <w:pPr>
              <w:pStyle w:val="p0"/>
              <w:keepLines w:val="0"/>
              <w:spacing w:before="0"/>
              <w:ind w:left="170"/>
              <w:jc w:val="left"/>
              <w:rPr>
                <w:rFonts w:ascii="Arial" w:hAnsi="Arial"/>
                <w:color w:val="auto"/>
                <w:sz w:val="18"/>
                <w:szCs w:val="18"/>
              </w:rPr>
            </w:pPr>
            <w:r w:rsidRPr="004867D2">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130BDAF2" w14:textId="77777777" w:rsidR="006B7B7D" w:rsidRDefault="006B7B7D" w:rsidP="00F15185">
            <w:pPr>
              <w:tabs>
                <w:tab w:val="left" w:pos="412"/>
                <w:tab w:val="decimal" w:pos="815"/>
              </w:tabs>
              <w:jc w:val="left"/>
              <w:rPr>
                <w:color w:val="000000"/>
                <w:sz w:val="18"/>
                <w:szCs w:val="18"/>
              </w:rPr>
            </w:pPr>
            <w:r>
              <w:rPr>
                <w:color w:val="000000"/>
                <w:sz w:val="18"/>
                <w:szCs w:val="18"/>
              </w:rPr>
              <w:tab/>
              <w:t>(-)</w:t>
            </w:r>
            <w:r>
              <w:rPr>
                <w:color w:val="000000"/>
                <w:sz w:val="18"/>
                <w:szCs w:val="18"/>
              </w:rPr>
              <w:tab/>
              <w:t>0.1</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48DB3454" w14:textId="77777777" w:rsidR="006B7B7D" w:rsidRDefault="006B7B7D" w:rsidP="00F15185">
            <w:pPr>
              <w:tabs>
                <w:tab w:val="decimal" w:pos="815"/>
              </w:tabs>
              <w:jc w:val="left"/>
              <w:rPr>
                <w:color w:val="000000"/>
                <w:sz w:val="18"/>
                <w:szCs w:val="18"/>
              </w:rPr>
            </w:pPr>
            <w:r>
              <w:rPr>
                <w:color w:val="000000"/>
                <w:sz w:val="18"/>
                <w:szCs w:val="18"/>
              </w:rPr>
              <w:t>1.5</w:t>
            </w:r>
          </w:p>
        </w:tc>
      </w:tr>
    </w:tbl>
    <w:p w14:paraId="113B446E" w14:textId="77777777" w:rsidR="006B7B7D" w:rsidRPr="004867D2" w:rsidRDefault="006B7B7D" w:rsidP="006B7B7D">
      <w:pPr>
        <w:pStyle w:val="bulnot"/>
        <w:widowControl w:val="0"/>
        <w:tabs>
          <w:tab w:val="clear" w:pos="851"/>
        </w:tabs>
        <w:spacing w:before="0"/>
        <w:ind w:left="1560" w:right="871" w:hanging="567"/>
        <w:rPr>
          <w:rFonts w:cs="Arial"/>
          <w:b w:val="0"/>
          <w:color w:val="auto"/>
          <w:spacing w:val="0"/>
          <w:sz w:val="16"/>
          <w:szCs w:val="16"/>
        </w:rPr>
      </w:pPr>
      <w:r w:rsidRPr="004867D2">
        <w:rPr>
          <w:rFonts w:cs="Arial"/>
          <w:b w:val="0"/>
          <w:color w:val="000000" w:themeColor="text1"/>
          <w:spacing w:val="0"/>
          <w:sz w:val="16"/>
        </w:rPr>
        <w:t>Nota:</w:t>
      </w:r>
      <w:r w:rsidRPr="004867D2">
        <w:rPr>
          <w:rFonts w:cs="Arial"/>
          <w:b w:val="0"/>
          <w:color w:val="000000" w:themeColor="text1"/>
          <w:spacing w:val="0"/>
          <w:sz w:val="16"/>
        </w:rPr>
        <w:tab/>
        <w:t>La serie desestacionalizada de cada uno de los totales se calcula de manera independiente a la de sus componentes.</w:t>
      </w:r>
    </w:p>
    <w:p w14:paraId="29BCE829" w14:textId="77777777" w:rsidR="006B7B7D" w:rsidRPr="004867D2" w:rsidRDefault="006B7B7D" w:rsidP="006B7B7D">
      <w:pPr>
        <w:pStyle w:val="bulnot"/>
        <w:widowControl w:val="0"/>
        <w:tabs>
          <w:tab w:val="clear" w:pos="851"/>
        </w:tabs>
        <w:spacing w:before="0"/>
        <w:ind w:left="1560" w:right="871" w:hanging="567"/>
        <w:rPr>
          <w:rFonts w:cs="Arial"/>
          <w:b w:val="0"/>
          <w:color w:val="auto"/>
          <w:spacing w:val="0"/>
          <w:sz w:val="16"/>
          <w:szCs w:val="16"/>
        </w:rPr>
      </w:pPr>
      <w:r w:rsidRPr="004867D2">
        <w:rPr>
          <w:rFonts w:cs="Arial"/>
          <w:b w:val="0"/>
          <w:color w:val="auto"/>
          <w:spacing w:val="0"/>
          <w:sz w:val="16"/>
          <w:szCs w:val="16"/>
        </w:rPr>
        <w:t>Fuente:</w:t>
      </w:r>
      <w:r w:rsidRPr="004867D2">
        <w:rPr>
          <w:rFonts w:cs="Arial"/>
          <w:b w:val="0"/>
          <w:color w:val="auto"/>
          <w:spacing w:val="0"/>
          <w:sz w:val="16"/>
          <w:szCs w:val="16"/>
        </w:rPr>
        <w:tab/>
        <w:t>INEGI.</w:t>
      </w:r>
    </w:p>
    <w:p w14:paraId="4F232936" w14:textId="77777777" w:rsidR="006B7B7D" w:rsidRDefault="006B7B7D" w:rsidP="006B7B7D">
      <w:pPr>
        <w:pStyle w:val="bulnot"/>
        <w:widowControl w:val="0"/>
        <w:tabs>
          <w:tab w:val="clear" w:pos="851"/>
        </w:tabs>
        <w:ind w:left="1834" w:right="-688" w:hanging="841"/>
        <w:rPr>
          <w:b w:val="0"/>
          <w:color w:val="auto"/>
          <w:sz w:val="24"/>
          <w:szCs w:val="24"/>
        </w:rPr>
      </w:pPr>
    </w:p>
    <w:p w14:paraId="12F0DEED" w14:textId="77777777" w:rsidR="006B7B7D" w:rsidRPr="008F455A" w:rsidRDefault="006B7B7D" w:rsidP="006B7B7D">
      <w:pPr>
        <w:pStyle w:val="bulnot"/>
        <w:widowControl w:val="0"/>
        <w:tabs>
          <w:tab w:val="clear" w:pos="851"/>
        </w:tabs>
        <w:spacing w:before="120"/>
        <w:ind w:left="-284" w:right="-688" w:firstLine="0"/>
        <w:rPr>
          <w:b w:val="0"/>
          <w:color w:val="auto"/>
          <w:sz w:val="24"/>
          <w:szCs w:val="24"/>
        </w:rPr>
      </w:pPr>
      <w:r w:rsidRPr="008F455A">
        <w:rPr>
          <w:b w:val="0"/>
          <w:color w:val="auto"/>
          <w:sz w:val="24"/>
          <w:szCs w:val="24"/>
        </w:rPr>
        <w:t>A tasa anual</w:t>
      </w:r>
      <w:r w:rsidRPr="008F455A">
        <w:rPr>
          <w:b w:val="0"/>
          <w:color w:val="auto"/>
          <w:sz w:val="24"/>
          <w:szCs w:val="24"/>
          <w:vertAlign w:val="superscript"/>
        </w:rPr>
        <w:footnoteReference w:id="3"/>
      </w:r>
      <w:r w:rsidRPr="008F455A">
        <w:rPr>
          <w:b w:val="0"/>
          <w:color w:val="auto"/>
          <w:sz w:val="24"/>
          <w:szCs w:val="24"/>
        </w:rPr>
        <w:t>,</w:t>
      </w:r>
      <w:r w:rsidRPr="008F455A">
        <w:rPr>
          <w:rFonts w:cs="Arial"/>
          <w:b w:val="0"/>
          <w:color w:val="auto"/>
          <w:sz w:val="24"/>
          <w:szCs w:val="24"/>
        </w:rPr>
        <w:t xml:space="preserve"> el personal ocupado total descendió (</w:t>
      </w:r>
      <w:r w:rsidRPr="008F455A">
        <w:rPr>
          <w:rFonts w:cs="Arial"/>
          <w:b w:val="0"/>
          <w:color w:val="auto"/>
          <w:sz w:val="24"/>
          <w:szCs w:val="24"/>
        </w:rPr>
        <w:noBreakHyphen/>
        <w:t>)0.7% y l</w:t>
      </w:r>
      <w:r w:rsidRPr="008F455A">
        <w:rPr>
          <w:b w:val="0"/>
          <w:color w:val="auto"/>
          <w:sz w:val="24"/>
          <w:szCs w:val="24"/>
        </w:rPr>
        <w:t xml:space="preserve">as </w:t>
      </w:r>
      <w:r w:rsidRPr="008F455A">
        <w:rPr>
          <w:rFonts w:cs="Arial"/>
          <w:b w:val="0"/>
          <w:color w:val="auto"/>
          <w:sz w:val="24"/>
          <w:szCs w:val="24"/>
        </w:rPr>
        <w:t>horas trabajadas (</w:t>
      </w:r>
      <w:r w:rsidRPr="008F455A">
        <w:rPr>
          <w:rFonts w:cs="Arial"/>
          <w:b w:val="0"/>
          <w:color w:val="auto"/>
          <w:sz w:val="24"/>
          <w:szCs w:val="24"/>
        </w:rPr>
        <w:noBreakHyphen/>
        <w:t>)</w:t>
      </w:r>
      <w:r w:rsidRPr="008F455A">
        <w:rPr>
          <w:b w:val="0"/>
          <w:color w:val="auto"/>
          <w:sz w:val="24"/>
          <w:szCs w:val="24"/>
        </w:rPr>
        <w:t xml:space="preserve">1.5%, en tanto que las remuneraciones medias reales aumentaron </w:t>
      </w:r>
      <w:r w:rsidRPr="008F455A">
        <w:rPr>
          <w:rFonts w:cs="Arial"/>
          <w:b w:val="0"/>
          <w:color w:val="auto"/>
          <w:sz w:val="24"/>
          <w:szCs w:val="24"/>
        </w:rPr>
        <w:t>3.2% en octubre de este año respecto a igual mes de 2018</w:t>
      </w:r>
      <w:r w:rsidRPr="008F455A">
        <w:rPr>
          <w:b w:val="0"/>
          <w:color w:val="auto"/>
          <w:sz w:val="24"/>
          <w:szCs w:val="24"/>
        </w:rPr>
        <w:t>.</w:t>
      </w:r>
    </w:p>
    <w:p w14:paraId="3DA4E990" w14:textId="77777777" w:rsidR="006B7B7D" w:rsidRPr="00766362" w:rsidRDefault="006B7B7D" w:rsidP="006B7B7D">
      <w:pPr>
        <w:spacing w:before="240"/>
        <w:ind w:left="-284" w:right="-547"/>
        <w:jc w:val="center"/>
        <w:rPr>
          <w:color w:val="000000"/>
        </w:rPr>
      </w:pPr>
    </w:p>
    <w:p w14:paraId="7AA10D61" w14:textId="77777777" w:rsidR="006B7B7D" w:rsidRDefault="006B7B7D" w:rsidP="006B7B7D">
      <w:pPr>
        <w:spacing w:before="360"/>
        <w:ind w:left="-284" w:right="-547"/>
        <w:jc w:val="center"/>
        <w:rPr>
          <w:b/>
          <w:color w:val="000000"/>
        </w:rPr>
      </w:pPr>
      <w:r w:rsidRPr="003B1ACA">
        <w:rPr>
          <w:b/>
          <w:color w:val="000000"/>
        </w:rPr>
        <w:t>Se anexa Nota Técnica</w:t>
      </w:r>
    </w:p>
    <w:p w14:paraId="0F8B3ACD" w14:textId="77777777" w:rsidR="006B7B7D" w:rsidRDefault="006B7B7D" w:rsidP="006B7B7D">
      <w:pPr>
        <w:pStyle w:val="NormalWeb"/>
        <w:spacing w:before="0" w:beforeAutospacing="0" w:after="0" w:afterAutospacing="0"/>
        <w:ind w:left="-426" w:right="-518"/>
        <w:contextualSpacing/>
        <w:jc w:val="center"/>
        <w:rPr>
          <w:rFonts w:ascii="Arial" w:hAnsi="Arial" w:cs="Arial"/>
          <w:sz w:val="22"/>
          <w:szCs w:val="22"/>
        </w:rPr>
      </w:pPr>
    </w:p>
    <w:p w14:paraId="6B5B87FD" w14:textId="77777777" w:rsidR="006B7B7D" w:rsidRDefault="006B7B7D" w:rsidP="006B7B7D">
      <w:pPr>
        <w:pStyle w:val="NormalWeb"/>
        <w:spacing w:before="0" w:beforeAutospacing="0" w:after="0" w:afterAutospacing="0"/>
        <w:ind w:left="-426" w:right="-518"/>
        <w:contextualSpacing/>
        <w:jc w:val="center"/>
        <w:rPr>
          <w:rFonts w:ascii="Arial" w:hAnsi="Arial" w:cs="Arial"/>
          <w:sz w:val="22"/>
          <w:szCs w:val="22"/>
        </w:rPr>
      </w:pPr>
    </w:p>
    <w:p w14:paraId="317CD39F" w14:textId="77777777" w:rsidR="006B7B7D" w:rsidRDefault="006B7B7D" w:rsidP="006B7B7D">
      <w:pPr>
        <w:pStyle w:val="NormalWeb"/>
        <w:spacing w:before="0" w:beforeAutospacing="0" w:after="0" w:afterAutospacing="0"/>
        <w:ind w:left="-426" w:right="-518"/>
        <w:contextualSpacing/>
        <w:jc w:val="center"/>
        <w:rPr>
          <w:rFonts w:ascii="Arial" w:hAnsi="Arial" w:cs="Arial"/>
          <w:sz w:val="22"/>
          <w:szCs w:val="22"/>
        </w:rPr>
      </w:pPr>
    </w:p>
    <w:p w14:paraId="1CCF4505" w14:textId="77777777" w:rsidR="006B7B7D" w:rsidRDefault="006B7B7D" w:rsidP="006B7B7D">
      <w:pPr>
        <w:pStyle w:val="NormalWeb"/>
        <w:spacing w:before="0" w:beforeAutospacing="0" w:after="0" w:afterAutospacing="0"/>
        <w:ind w:left="-426" w:right="-518"/>
        <w:contextualSpacing/>
        <w:jc w:val="center"/>
        <w:rPr>
          <w:rFonts w:ascii="Arial" w:hAnsi="Arial" w:cs="Arial"/>
          <w:sz w:val="22"/>
          <w:szCs w:val="22"/>
        </w:rPr>
      </w:pPr>
    </w:p>
    <w:p w14:paraId="56978484" w14:textId="77777777" w:rsidR="006B7B7D" w:rsidRDefault="006B7B7D" w:rsidP="006B7B7D">
      <w:pPr>
        <w:pStyle w:val="NormalWeb"/>
        <w:spacing w:before="0" w:beforeAutospacing="0" w:after="0" w:afterAutospacing="0"/>
        <w:ind w:left="-426" w:right="-518"/>
        <w:contextualSpacing/>
        <w:jc w:val="center"/>
        <w:rPr>
          <w:rFonts w:ascii="Arial" w:hAnsi="Arial" w:cs="Arial"/>
          <w:sz w:val="22"/>
          <w:szCs w:val="22"/>
        </w:rPr>
      </w:pPr>
    </w:p>
    <w:p w14:paraId="0DC3A289" w14:textId="77777777" w:rsidR="006B7B7D" w:rsidRDefault="006B7B7D" w:rsidP="006B7B7D">
      <w:pPr>
        <w:pStyle w:val="NormalWeb"/>
        <w:spacing w:before="0" w:beforeAutospacing="0" w:after="0" w:afterAutospacing="0"/>
        <w:ind w:left="-426" w:right="-518"/>
        <w:contextualSpacing/>
        <w:jc w:val="center"/>
        <w:rPr>
          <w:rFonts w:ascii="Arial" w:hAnsi="Arial" w:cs="Arial"/>
          <w:sz w:val="22"/>
          <w:szCs w:val="22"/>
        </w:rPr>
      </w:pPr>
    </w:p>
    <w:p w14:paraId="253F086F" w14:textId="77777777" w:rsidR="006B7B7D" w:rsidRDefault="006B7B7D" w:rsidP="006B7B7D">
      <w:pPr>
        <w:pStyle w:val="NormalWeb"/>
        <w:spacing w:before="240" w:beforeAutospacing="0" w:after="0" w:afterAutospacing="0"/>
        <w:ind w:left="-426" w:right="-518"/>
        <w:contextualSpacing/>
        <w:jc w:val="center"/>
        <w:rPr>
          <w:rFonts w:ascii="Arial" w:hAnsi="Arial" w:cs="Arial"/>
          <w:sz w:val="22"/>
          <w:szCs w:val="22"/>
        </w:rPr>
      </w:pPr>
    </w:p>
    <w:p w14:paraId="7E3359AB" w14:textId="77777777" w:rsidR="006B7B7D" w:rsidRPr="00B7232E" w:rsidRDefault="006B7B7D" w:rsidP="006B7B7D">
      <w:pPr>
        <w:pStyle w:val="NormalWeb"/>
        <w:spacing w:before="0" w:beforeAutospacing="0" w:after="0" w:afterAutospacing="0"/>
        <w:ind w:left="-426" w:right="-518"/>
        <w:contextualSpacing/>
        <w:jc w:val="center"/>
        <w:rPr>
          <w:rFonts w:ascii="Arial" w:hAnsi="Arial" w:cs="Arial"/>
          <w:sz w:val="22"/>
          <w:szCs w:val="22"/>
        </w:rPr>
      </w:pPr>
      <w:r w:rsidRPr="00B7232E">
        <w:rPr>
          <w:rFonts w:ascii="Arial" w:hAnsi="Arial" w:cs="Arial"/>
          <w:sz w:val="22"/>
          <w:szCs w:val="22"/>
        </w:rPr>
        <w:t xml:space="preserve">Para consultas de medios y periodistas, contactar a: </w:t>
      </w:r>
      <w:hyperlink r:id="rId9" w:history="1">
        <w:r w:rsidRPr="00B7232E">
          <w:rPr>
            <w:rStyle w:val="Hipervnculo"/>
            <w:rFonts w:ascii="Arial" w:hAnsi="Arial" w:cs="Arial"/>
            <w:sz w:val="22"/>
            <w:szCs w:val="22"/>
          </w:rPr>
          <w:t>comunicacionsocial@inegi.org.mx</w:t>
        </w:r>
      </w:hyperlink>
      <w:r w:rsidRPr="00B7232E">
        <w:rPr>
          <w:rFonts w:ascii="Arial" w:hAnsi="Arial" w:cs="Arial"/>
          <w:sz w:val="22"/>
          <w:szCs w:val="22"/>
        </w:rPr>
        <w:t xml:space="preserve"> </w:t>
      </w:r>
    </w:p>
    <w:p w14:paraId="1304030A" w14:textId="77777777" w:rsidR="006B7B7D" w:rsidRPr="00B7232E" w:rsidRDefault="006B7B7D" w:rsidP="006B7B7D">
      <w:pPr>
        <w:pStyle w:val="NormalWeb"/>
        <w:spacing w:before="0" w:beforeAutospacing="0" w:after="0" w:afterAutospacing="0"/>
        <w:ind w:left="-426" w:right="-518"/>
        <w:contextualSpacing/>
        <w:jc w:val="center"/>
        <w:rPr>
          <w:rFonts w:ascii="Arial" w:hAnsi="Arial" w:cs="Arial"/>
          <w:sz w:val="22"/>
          <w:szCs w:val="22"/>
        </w:rPr>
      </w:pPr>
      <w:r w:rsidRPr="00B7232E">
        <w:rPr>
          <w:rFonts w:ascii="Arial" w:hAnsi="Arial" w:cs="Arial"/>
          <w:sz w:val="22"/>
          <w:szCs w:val="22"/>
        </w:rPr>
        <w:t xml:space="preserve">o llamar al teléfono (55) 52-78-10-00, </w:t>
      </w:r>
      <w:proofErr w:type="spellStart"/>
      <w:r w:rsidRPr="00B7232E">
        <w:rPr>
          <w:rFonts w:ascii="Arial" w:hAnsi="Arial" w:cs="Arial"/>
          <w:sz w:val="22"/>
          <w:szCs w:val="22"/>
        </w:rPr>
        <w:t>exts</w:t>
      </w:r>
      <w:proofErr w:type="spellEnd"/>
      <w:r w:rsidRPr="00B7232E">
        <w:rPr>
          <w:rFonts w:ascii="Arial" w:hAnsi="Arial" w:cs="Arial"/>
          <w:sz w:val="22"/>
          <w:szCs w:val="22"/>
        </w:rPr>
        <w:t>. 1134, 1260 y 1241.</w:t>
      </w:r>
    </w:p>
    <w:p w14:paraId="1BF54B4F" w14:textId="77777777" w:rsidR="006B7B7D" w:rsidRPr="00B7232E" w:rsidRDefault="006B7B7D" w:rsidP="006B7B7D">
      <w:pPr>
        <w:ind w:left="-426" w:right="-518"/>
        <w:contextualSpacing/>
        <w:jc w:val="center"/>
        <w:rPr>
          <w:sz w:val="22"/>
          <w:szCs w:val="22"/>
        </w:rPr>
      </w:pPr>
    </w:p>
    <w:p w14:paraId="2C56E3C7" w14:textId="77777777" w:rsidR="006B7B7D" w:rsidRPr="00B7232E" w:rsidRDefault="006B7B7D" w:rsidP="006B7B7D">
      <w:pPr>
        <w:ind w:left="-426" w:right="-518"/>
        <w:contextualSpacing/>
        <w:jc w:val="center"/>
        <w:rPr>
          <w:sz w:val="22"/>
          <w:szCs w:val="22"/>
        </w:rPr>
      </w:pPr>
      <w:r w:rsidRPr="00B7232E">
        <w:rPr>
          <w:sz w:val="22"/>
          <w:szCs w:val="22"/>
        </w:rPr>
        <w:t>Dirección de Atención a Medios / Dirección General Adjunta de Comunicación</w:t>
      </w:r>
    </w:p>
    <w:p w14:paraId="1C6D071C" w14:textId="77777777" w:rsidR="006B7B7D" w:rsidRPr="00721526" w:rsidRDefault="006B7B7D" w:rsidP="006B7B7D">
      <w:pPr>
        <w:ind w:left="-426" w:right="-518"/>
        <w:contextualSpacing/>
        <w:jc w:val="center"/>
        <w:rPr>
          <w:sz w:val="22"/>
          <w:szCs w:val="22"/>
        </w:rPr>
      </w:pPr>
    </w:p>
    <w:p w14:paraId="1DB69165" w14:textId="77777777" w:rsidR="006B7B7D" w:rsidRPr="005167F5" w:rsidRDefault="006B7B7D" w:rsidP="006B7B7D">
      <w:pPr>
        <w:ind w:left="-425" w:right="-516"/>
        <w:contextualSpacing/>
        <w:jc w:val="center"/>
        <w:rPr>
          <w:sz w:val="18"/>
          <w:szCs w:val="18"/>
        </w:rPr>
      </w:pPr>
      <w:r w:rsidRPr="008F0992">
        <w:rPr>
          <w:noProof/>
          <w:sz w:val="20"/>
          <w:lang w:val="es-MX" w:eastAsia="es-MX"/>
        </w:rPr>
        <w:drawing>
          <wp:inline distT="0" distB="0" distL="0" distR="0" wp14:anchorId="3D9C90AD" wp14:editId="3A67211A">
            <wp:extent cx="318472" cy="322419"/>
            <wp:effectExtent l="0" t="0" r="5715" b="1905"/>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216DBDA3" wp14:editId="0A10CBDE">
            <wp:extent cx="327704" cy="325467"/>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4169B939" wp14:editId="0FF394AE">
            <wp:extent cx="321276" cy="324093"/>
            <wp:effectExtent l="0" t="0" r="3175"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0E9B89F1" wp14:editId="000794E8">
            <wp:extent cx="321276" cy="326574"/>
            <wp:effectExtent l="0" t="0" r="3175"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3DE83E28" wp14:editId="11A54F04">
            <wp:extent cx="2323070" cy="319707"/>
            <wp:effectExtent l="0" t="0" r="1270" b="4445"/>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tab/>
      </w:r>
    </w:p>
    <w:p w14:paraId="7FF48975" w14:textId="77777777" w:rsidR="006B7B7D" w:rsidRPr="00157C43" w:rsidRDefault="006B7B7D" w:rsidP="006B7B7D">
      <w:pPr>
        <w:pStyle w:val="bullet"/>
        <w:tabs>
          <w:tab w:val="left" w:pos="8789"/>
        </w:tabs>
        <w:spacing w:before="0"/>
        <w:ind w:left="0" w:right="51" w:firstLine="0"/>
        <w:jc w:val="center"/>
        <w:rPr>
          <w:rFonts w:cs="Arial"/>
          <w:szCs w:val="24"/>
        </w:rPr>
        <w:sectPr w:rsidR="006B7B7D" w:rsidRPr="00157C43" w:rsidSect="00F15185">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634A4F6E" w14:textId="77777777" w:rsidR="006B7B7D" w:rsidRDefault="006B7B7D" w:rsidP="006B7B7D">
      <w:pPr>
        <w:pStyle w:val="Ttulo"/>
        <w:widowControl w:val="0"/>
        <w:tabs>
          <w:tab w:val="left" w:pos="1134"/>
        </w:tabs>
        <w:rPr>
          <w:rFonts w:cs="Arial"/>
          <w:sz w:val="28"/>
          <w:szCs w:val="28"/>
        </w:rPr>
      </w:pPr>
      <w:r w:rsidRPr="00040B9F">
        <w:rPr>
          <w:rFonts w:cs="Arial"/>
          <w:sz w:val="28"/>
          <w:szCs w:val="28"/>
        </w:rPr>
        <w:lastRenderedPageBreak/>
        <w:t>NOTA TÉCNICA</w:t>
      </w:r>
    </w:p>
    <w:p w14:paraId="34D6079A" w14:textId="77777777" w:rsidR="006B7B7D" w:rsidRPr="006B7B7D" w:rsidRDefault="006B7B7D" w:rsidP="006B7B7D">
      <w:pPr>
        <w:pStyle w:val="Ttulo"/>
        <w:widowControl w:val="0"/>
        <w:tabs>
          <w:tab w:val="left" w:pos="1134"/>
        </w:tabs>
        <w:rPr>
          <w:rFonts w:cs="Arial"/>
          <w:sz w:val="16"/>
          <w:szCs w:val="16"/>
        </w:rPr>
      </w:pPr>
    </w:p>
    <w:p w14:paraId="11EE7438" w14:textId="77777777" w:rsidR="00095006" w:rsidRPr="00095006" w:rsidRDefault="00095006" w:rsidP="00937D49">
      <w:pPr>
        <w:pStyle w:val="Ttulo"/>
        <w:widowControl w:val="0"/>
        <w:rPr>
          <w:caps/>
          <w:snapToGrid w:val="0"/>
          <w:spacing w:val="25"/>
          <w:sz w:val="28"/>
          <w:lang w:val="es-MX"/>
        </w:rPr>
      </w:pPr>
      <w:r w:rsidRPr="00095006">
        <w:rPr>
          <w:caps/>
          <w:snapToGrid w:val="0"/>
          <w:spacing w:val="25"/>
          <w:sz w:val="28"/>
          <w:lang w:val="es-MX"/>
        </w:rPr>
        <w:t>indicadores DEL SECTOR MANUFACTURERO</w:t>
      </w:r>
    </w:p>
    <w:p w14:paraId="03ED3096" w14:textId="77777777" w:rsidR="00095006" w:rsidRPr="00205C32" w:rsidRDefault="00095006" w:rsidP="006B7B7D">
      <w:pPr>
        <w:pStyle w:val="Ttulo"/>
        <w:widowControl w:val="0"/>
        <w:rPr>
          <w:caps/>
          <w:snapToGrid w:val="0"/>
          <w:spacing w:val="25"/>
          <w:sz w:val="26"/>
          <w:szCs w:val="26"/>
          <w:lang w:val="es-MX"/>
        </w:rPr>
      </w:pPr>
      <w:r w:rsidRPr="00205C32">
        <w:rPr>
          <w:caps/>
          <w:snapToGrid w:val="0"/>
          <w:spacing w:val="25"/>
          <w:sz w:val="26"/>
          <w:szCs w:val="26"/>
          <w:lang w:val="es-MX"/>
        </w:rPr>
        <w:t xml:space="preserve">CIFRAS DURANTE </w:t>
      </w:r>
      <w:r w:rsidR="000E08EE">
        <w:rPr>
          <w:caps/>
          <w:snapToGrid w:val="0"/>
          <w:spacing w:val="25"/>
          <w:sz w:val="26"/>
          <w:szCs w:val="26"/>
          <w:lang w:val="es-MX"/>
        </w:rPr>
        <w:t>OCTU</w:t>
      </w:r>
      <w:r w:rsidR="00EB24FC">
        <w:rPr>
          <w:caps/>
          <w:snapToGrid w:val="0"/>
          <w:spacing w:val="25"/>
          <w:sz w:val="26"/>
          <w:szCs w:val="26"/>
          <w:lang w:val="es-MX"/>
        </w:rPr>
        <w:t>bre</w:t>
      </w:r>
      <w:r w:rsidRPr="00205C32">
        <w:rPr>
          <w:caps/>
          <w:snapToGrid w:val="0"/>
          <w:spacing w:val="25"/>
          <w:sz w:val="26"/>
          <w:szCs w:val="26"/>
          <w:lang w:val="es-MX"/>
        </w:rPr>
        <w:t xml:space="preserve"> DE 201</w:t>
      </w:r>
      <w:r w:rsidR="00542FD7">
        <w:rPr>
          <w:caps/>
          <w:snapToGrid w:val="0"/>
          <w:spacing w:val="25"/>
          <w:sz w:val="26"/>
          <w:szCs w:val="26"/>
          <w:lang w:val="es-MX"/>
        </w:rPr>
        <w:t>9</w:t>
      </w:r>
    </w:p>
    <w:p w14:paraId="3D6D8C5C" w14:textId="77777777" w:rsidR="00095006" w:rsidRPr="006B7B7D" w:rsidRDefault="00205C32" w:rsidP="00095006">
      <w:pPr>
        <w:pStyle w:val="Ttulo"/>
        <w:widowControl w:val="0"/>
        <w:rPr>
          <w:i/>
          <w:caps/>
          <w:snapToGrid w:val="0"/>
          <w:spacing w:val="25"/>
          <w:szCs w:val="24"/>
          <w:lang w:val="es-MX"/>
        </w:rPr>
      </w:pPr>
      <w:r w:rsidRPr="006B7B7D">
        <w:rPr>
          <w:i/>
          <w:snapToGrid w:val="0"/>
          <w:spacing w:val="25"/>
          <w:szCs w:val="24"/>
          <w:lang w:val="es-MX"/>
        </w:rPr>
        <w:t>(Cifras desestacionalizadas)</w:t>
      </w:r>
    </w:p>
    <w:p w14:paraId="2EAE8329" w14:textId="77777777" w:rsidR="00095006" w:rsidRPr="004867D2" w:rsidRDefault="00095006" w:rsidP="00AA05CA">
      <w:pPr>
        <w:pStyle w:val="texto0"/>
        <w:keepLines w:val="0"/>
        <w:spacing w:before="600"/>
        <w:rPr>
          <w:rFonts w:cs="Arial"/>
          <w:smallCaps/>
          <w:color w:val="auto"/>
          <w:sz w:val="22"/>
          <w:szCs w:val="22"/>
        </w:rPr>
      </w:pPr>
      <w:r w:rsidRPr="004867D2">
        <w:rPr>
          <w:rFonts w:cs="Arial"/>
          <w:color w:val="auto"/>
        </w:rPr>
        <w:t>Con base en la Encuesta Mensual de la Industria Manufacturera (EMIM) que lleva a cabo el INEGI en e</w:t>
      </w:r>
      <w:r w:rsidR="00E51CC4">
        <w:rPr>
          <w:rFonts w:cs="Arial"/>
          <w:color w:val="auto"/>
        </w:rPr>
        <w:t>stablecimiento</w:t>
      </w:r>
      <w:r w:rsidRPr="004867D2">
        <w:rPr>
          <w:rFonts w:cs="Arial"/>
          <w:color w:val="auto"/>
        </w:rPr>
        <w:t xml:space="preserve">s del sector manufacturero en México, a </w:t>
      </w:r>
      <w:proofErr w:type="gramStart"/>
      <w:r w:rsidRPr="004867D2">
        <w:rPr>
          <w:rFonts w:cs="Arial"/>
          <w:color w:val="auto"/>
        </w:rPr>
        <w:t>continuación</w:t>
      </w:r>
      <w:proofErr w:type="gramEnd"/>
      <w:r w:rsidRPr="004867D2">
        <w:rPr>
          <w:rFonts w:cs="Arial"/>
          <w:color w:val="auto"/>
        </w:rPr>
        <w:t xml:space="preserve"> se presentan los resultados </w:t>
      </w:r>
      <w:r w:rsidR="00404490">
        <w:rPr>
          <w:rFonts w:cs="Arial"/>
          <w:color w:val="auto"/>
        </w:rPr>
        <w:t>para</w:t>
      </w:r>
      <w:r w:rsidR="00985D7A">
        <w:rPr>
          <w:rFonts w:cs="Arial"/>
          <w:color w:val="auto"/>
        </w:rPr>
        <w:t xml:space="preserve"> </w:t>
      </w:r>
      <w:r w:rsidR="000E08EE">
        <w:rPr>
          <w:rFonts w:cs="Arial"/>
          <w:color w:val="auto"/>
        </w:rPr>
        <w:t>octubre</w:t>
      </w:r>
      <w:r w:rsidR="003D23A8">
        <w:rPr>
          <w:rFonts w:cs="Arial"/>
          <w:color w:val="auto"/>
        </w:rPr>
        <w:t xml:space="preserve"> </w:t>
      </w:r>
      <w:r w:rsidR="00D04587">
        <w:rPr>
          <w:rFonts w:cs="Arial"/>
          <w:color w:val="auto"/>
        </w:rPr>
        <w:t>de</w:t>
      </w:r>
      <w:r w:rsidR="003D23A8">
        <w:rPr>
          <w:rFonts w:cs="Arial"/>
          <w:color w:val="auto"/>
        </w:rPr>
        <w:t xml:space="preserve"> 201</w:t>
      </w:r>
      <w:r w:rsidR="00542FD7">
        <w:rPr>
          <w:rFonts w:cs="Arial"/>
          <w:color w:val="auto"/>
        </w:rPr>
        <w:t>9</w:t>
      </w:r>
      <w:r w:rsidRPr="004867D2">
        <w:rPr>
          <w:rFonts w:cs="Arial"/>
          <w:color w:val="auto"/>
        </w:rPr>
        <w:t>.</w:t>
      </w:r>
    </w:p>
    <w:p w14:paraId="77EA7849" w14:textId="77777777" w:rsidR="00095006" w:rsidRPr="004867D2" w:rsidRDefault="00095006" w:rsidP="00273CDB">
      <w:pPr>
        <w:pStyle w:val="texto0"/>
        <w:keepLines w:val="0"/>
        <w:spacing w:before="600"/>
        <w:rPr>
          <w:rFonts w:cs="Arial"/>
          <w:b/>
          <w:i/>
          <w:color w:val="auto"/>
          <w:sz w:val="20"/>
        </w:rPr>
      </w:pPr>
      <w:r w:rsidRPr="004867D2">
        <w:rPr>
          <w:rFonts w:cs="Arial"/>
          <w:b/>
          <w:i/>
          <w:color w:val="auto"/>
        </w:rPr>
        <w:t>Personal ocupado</w:t>
      </w:r>
      <w:r w:rsidR="00BA2F7D">
        <w:rPr>
          <w:rFonts w:cs="Arial"/>
          <w:b/>
          <w:i/>
          <w:color w:val="auto"/>
        </w:rPr>
        <w:t xml:space="preserve"> total</w:t>
      </w:r>
    </w:p>
    <w:p w14:paraId="791571CA" w14:textId="77777777" w:rsidR="00095006" w:rsidRPr="00FB5BBC" w:rsidRDefault="004916C9" w:rsidP="00273CDB">
      <w:pPr>
        <w:pStyle w:val="texto0"/>
        <w:keepLines w:val="0"/>
        <w:spacing w:before="480"/>
        <w:rPr>
          <w:rFonts w:cs="Arial"/>
          <w:color w:val="auto"/>
        </w:rPr>
      </w:pPr>
      <w:r w:rsidRPr="00FB5BBC">
        <w:rPr>
          <w:rFonts w:cs="Arial"/>
          <w:color w:val="auto"/>
        </w:rPr>
        <w:t xml:space="preserve">El personal ocupado </w:t>
      </w:r>
      <w:r w:rsidR="00BA2F7D">
        <w:rPr>
          <w:rFonts w:cs="Arial"/>
          <w:color w:val="auto"/>
        </w:rPr>
        <w:t xml:space="preserve">total </w:t>
      </w:r>
      <w:r w:rsidRPr="00FB5BBC">
        <w:rPr>
          <w:rFonts w:cs="Arial"/>
          <w:color w:val="auto"/>
        </w:rPr>
        <w:t xml:space="preserve">en la industria manufacturera </w:t>
      </w:r>
      <w:r w:rsidR="00CD5379">
        <w:rPr>
          <w:rFonts w:cs="Arial"/>
          <w:color w:val="auto"/>
        </w:rPr>
        <w:t>mostró</w:t>
      </w:r>
      <w:r w:rsidR="006E3A5B">
        <w:rPr>
          <w:rFonts w:cs="Arial"/>
          <w:color w:val="auto"/>
        </w:rPr>
        <w:t xml:space="preserve"> </w:t>
      </w:r>
      <w:r w:rsidR="00B90E79">
        <w:rPr>
          <w:rFonts w:cs="Arial"/>
          <w:color w:val="auto"/>
        </w:rPr>
        <w:t>una caída de (</w:t>
      </w:r>
      <w:r w:rsidR="00B90E79">
        <w:rPr>
          <w:rFonts w:cs="Arial"/>
          <w:color w:val="auto"/>
        </w:rPr>
        <w:noBreakHyphen/>
        <w:t>)0.4%</w:t>
      </w:r>
      <w:r w:rsidR="00145A89" w:rsidRPr="00FB5BBC">
        <w:rPr>
          <w:rFonts w:cs="Arial"/>
          <w:color w:val="auto"/>
        </w:rPr>
        <w:t xml:space="preserve"> </w:t>
      </w:r>
      <w:r w:rsidR="00237F57">
        <w:rPr>
          <w:rFonts w:cs="Arial"/>
          <w:color w:val="auto"/>
        </w:rPr>
        <w:t>e</w:t>
      </w:r>
      <w:r w:rsidR="00D3544F">
        <w:rPr>
          <w:rFonts w:cs="Arial"/>
          <w:color w:val="auto"/>
        </w:rPr>
        <w:t>n</w:t>
      </w:r>
      <w:r w:rsidR="00237F57">
        <w:rPr>
          <w:rFonts w:cs="Arial"/>
          <w:color w:val="auto"/>
        </w:rPr>
        <w:t xml:space="preserve"> </w:t>
      </w:r>
      <w:r w:rsidR="000E08EE">
        <w:rPr>
          <w:rFonts w:cs="Arial"/>
          <w:color w:val="auto"/>
        </w:rPr>
        <w:t>octubre</w:t>
      </w:r>
      <w:r w:rsidR="00B91315">
        <w:rPr>
          <w:rFonts w:cs="Arial"/>
          <w:color w:val="auto"/>
        </w:rPr>
        <w:t xml:space="preserve"> del año en curso</w:t>
      </w:r>
      <w:r w:rsidR="002530DC">
        <w:rPr>
          <w:rFonts w:cs="Arial"/>
          <w:color w:val="auto"/>
        </w:rPr>
        <w:t xml:space="preserve"> con relación al mes precedente</w:t>
      </w:r>
      <w:r w:rsidRPr="00FB5BBC">
        <w:rPr>
          <w:rFonts w:cs="Arial"/>
          <w:color w:val="auto"/>
        </w:rPr>
        <w:t xml:space="preserve">, </w:t>
      </w:r>
      <w:r w:rsidR="0089744F" w:rsidRPr="00FB5BBC">
        <w:rPr>
          <w:rFonts w:cs="Arial"/>
          <w:color w:val="auto"/>
        </w:rPr>
        <w:t xml:space="preserve">con </w:t>
      </w:r>
      <w:r w:rsidRPr="00FB5BBC">
        <w:rPr>
          <w:rFonts w:cs="Arial"/>
          <w:color w:val="auto"/>
        </w:rPr>
        <w:t xml:space="preserve">datos ajustados por estacionalidad. Por tipo de contratación, </w:t>
      </w:r>
      <w:r w:rsidR="002F078B" w:rsidRPr="00FB5BBC">
        <w:rPr>
          <w:rFonts w:cs="Arial"/>
          <w:color w:val="auto"/>
        </w:rPr>
        <w:t xml:space="preserve">el número </w:t>
      </w:r>
      <w:r w:rsidR="00DE70F4" w:rsidRPr="00FB5BBC">
        <w:rPr>
          <w:rFonts w:cs="Arial"/>
          <w:color w:val="auto"/>
        </w:rPr>
        <w:t xml:space="preserve">de </w:t>
      </w:r>
      <w:r w:rsidR="00B90E79">
        <w:rPr>
          <w:rFonts w:cs="Arial"/>
          <w:color w:val="auto"/>
        </w:rPr>
        <w:t>obrer</w:t>
      </w:r>
      <w:r w:rsidR="00745A07">
        <w:rPr>
          <w:rFonts w:cs="Arial"/>
          <w:color w:val="auto"/>
        </w:rPr>
        <w:t xml:space="preserve">os </w:t>
      </w:r>
      <w:r w:rsidR="00B90E79">
        <w:rPr>
          <w:rFonts w:cs="Arial"/>
          <w:color w:val="auto"/>
        </w:rPr>
        <w:t>descendió</w:t>
      </w:r>
      <w:r w:rsidR="006E3A5B">
        <w:rPr>
          <w:rFonts w:cs="Arial"/>
          <w:color w:val="auto"/>
        </w:rPr>
        <w:t xml:space="preserve"> </w:t>
      </w:r>
      <w:r w:rsidR="00B90E79">
        <w:rPr>
          <w:rFonts w:cs="Arial"/>
          <w:color w:val="auto"/>
        </w:rPr>
        <w:t>(</w:t>
      </w:r>
      <w:r w:rsidR="00B90E79">
        <w:rPr>
          <w:rFonts w:cs="Arial"/>
          <w:color w:val="auto"/>
        </w:rPr>
        <w:noBreakHyphen/>
        <w:t>)</w:t>
      </w:r>
      <w:r w:rsidR="002530DC">
        <w:rPr>
          <w:rFonts w:cs="Arial"/>
          <w:color w:val="auto"/>
        </w:rPr>
        <w:t>0.</w:t>
      </w:r>
      <w:r w:rsidR="003D278A">
        <w:rPr>
          <w:rFonts w:cs="Arial"/>
          <w:color w:val="auto"/>
        </w:rPr>
        <w:t>4</w:t>
      </w:r>
      <w:r w:rsidR="006E3A5B">
        <w:rPr>
          <w:rFonts w:cs="Arial"/>
          <w:color w:val="auto"/>
        </w:rPr>
        <w:t>%</w:t>
      </w:r>
      <w:r w:rsidR="00BF739F">
        <w:rPr>
          <w:rFonts w:cs="Arial"/>
          <w:color w:val="auto"/>
        </w:rPr>
        <w:t xml:space="preserve"> </w:t>
      </w:r>
      <w:r w:rsidR="00B90E79">
        <w:rPr>
          <w:rFonts w:cs="Arial"/>
          <w:color w:val="auto"/>
        </w:rPr>
        <w:t>y</w:t>
      </w:r>
      <w:r w:rsidR="00BF739F">
        <w:rPr>
          <w:rFonts w:cs="Arial"/>
          <w:color w:val="auto"/>
        </w:rPr>
        <w:t xml:space="preserve"> el de los </w:t>
      </w:r>
      <w:r w:rsidR="00B90E79">
        <w:rPr>
          <w:rFonts w:cs="Arial"/>
          <w:color w:val="auto"/>
        </w:rPr>
        <w:t>emplead</w:t>
      </w:r>
      <w:r w:rsidR="00A62C90">
        <w:rPr>
          <w:rFonts w:cs="Arial"/>
          <w:color w:val="auto"/>
        </w:rPr>
        <w:t>o</w:t>
      </w:r>
      <w:r w:rsidR="00A62C90" w:rsidRPr="00FB5BBC">
        <w:rPr>
          <w:rFonts w:cs="Arial"/>
          <w:color w:val="auto"/>
        </w:rPr>
        <w:t>s</w:t>
      </w:r>
      <w:r w:rsidR="00A62C90">
        <w:rPr>
          <w:rFonts w:cs="Arial"/>
          <w:color w:val="auto"/>
        </w:rPr>
        <w:t xml:space="preserve"> </w:t>
      </w:r>
      <w:r w:rsidR="002530DC">
        <w:rPr>
          <w:rFonts w:cs="Arial"/>
          <w:color w:val="auto"/>
        </w:rPr>
        <w:t>(</w:t>
      </w:r>
      <w:r w:rsidR="002530DC">
        <w:rPr>
          <w:rFonts w:cs="Arial"/>
          <w:color w:val="auto"/>
        </w:rPr>
        <w:noBreakHyphen/>
        <w:t>)</w:t>
      </w:r>
      <w:r w:rsidR="00E97A15">
        <w:rPr>
          <w:rFonts w:cs="Arial"/>
          <w:color w:val="auto"/>
        </w:rPr>
        <w:t>0.</w:t>
      </w:r>
      <w:r w:rsidR="003D278A">
        <w:rPr>
          <w:rFonts w:cs="Arial"/>
          <w:color w:val="auto"/>
        </w:rPr>
        <w:t>1</w:t>
      </w:r>
      <w:r w:rsidR="00E97A15">
        <w:rPr>
          <w:rFonts w:cs="Arial"/>
          <w:color w:val="auto"/>
        </w:rPr>
        <w:t>%</w:t>
      </w:r>
      <w:r w:rsidR="0006135D" w:rsidRPr="00FB5BBC">
        <w:rPr>
          <w:rFonts w:cs="Arial"/>
          <w:color w:val="auto"/>
        </w:rPr>
        <w:t xml:space="preserve"> </w:t>
      </w:r>
      <w:r w:rsidR="00305E82" w:rsidRPr="00FB5BBC">
        <w:rPr>
          <w:rFonts w:cs="Arial"/>
          <w:color w:val="auto"/>
        </w:rPr>
        <w:t>a tasa</w:t>
      </w:r>
      <w:r w:rsidR="0006135D" w:rsidRPr="00FB5BBC">
        <w:rPr>
          <w:rFonts w:cs="Arial"/>
          <w:color w:val="auto"/>
        </w:rPr>
        <w:t xml:space="preserve"> mensual</w:t>
      </w:r>
      <w:r w:rsidR="00A943DC" w:rsidRPr="00FB5BBC">
        <w:rPr>
          <w:rFonts w:cs="Arial"/>
          <w:color w:val="auto"/>
        </w:rPr>
        <w:t>.</w:t>
      </w:r>
    </w:p>
    <w:p w14:paraId="46BB5A87" w14:textId="77777777" w:rsidR="00095006" w:rsidRPr="004867D2" w:rsidRDefault="00095006" w:rsidP="008969B9">
      <w:pPr>
        <w:pStyle w:val="p0"/>
        <w:keepNext/>
        <w:spacing w:before="480"/>
        <w:jc w:val="center"/>
        <w:rPr>
          <w:rFonts w:ascii="Arial" w:hAnsi="Arial"/>
          <w:color w:val="auto"/>
          <w:sz w:val="20"/>
          <w:szCs w:val="22"/>
        </w:rPr>
      </w:pPr>
      <w:r w:rsidRPr="004867D2">
        <w:rPr>
          <w:rFonts w:ascii="Arial" w:hAnsi="Arial"/>
          <w:color w:val="auto"/>
          <w:sz w:val="20"/>
          <w:szCs w:val="22"/>
        </w:rPr>
        <w:t>Gráfica 1</w:t>
      </w:r>
    </w:p>
    <w:p w14:paraId="1C8CC888" w14:textId="77777777" w:rsidR="00095006" w:rsidRPr="004867D2" w:rsidRDefault="00095006" w:rsidP="00095006">
      <w:pPr>
        <w:pStyle w:val="p0"/>
        <w:keepNext/>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sidR="00BA2F7D">
        <w:rPr>
          <w:rFonts w:ascii="Arial" w:hAnsi="Arial"/>
          <w:b/>
          <w:smallCaps/>
          <w:color w:val="auto"/>
          <w:sz w:val="22"/>
          <w:szCs w:val="22"/>
        </w:rPr>
        <w:t xml:space="preserve">total </w:t>
      </w:r>
      <w:r w:rsidR="00EA3A9E">
        <w:rPr>
          <w:rFonts w:ascii="Arial" w:hAnsi="Arial"/>
          <w:b/>
          <w:smallCaps/>
          <w:color w:val="auto"/>
          <w:sz w:val="22"/>
          <w:szCs w:val="22"/>
        </w:rPr>
        <w:t>a</w:t>
      </w:r>
      <w:r w:rsidR="00EB24FC">
        <w:rPr>
          <w:rFonts w:ascii="Arial" w:hAnsi="Arial"/>
          <w:b/>
          <w:smallCaps/>
          <w:color w:val="auto"/>
          <w:sz w:val="22"/>
          <w:szCs w:val="22"/>
        </w:rPr>
        <w:t xml:space="preserve"> </w:t>
      </w:r>
      <w:r w:rsidR="000E08EE">
        <w:rPr>
          <w:rFonts w:ascii="Arial" w:hAnsi="Arial"/>
          <w:b/>
          <w:smallCaps/>
          <w:color w:val="auto"/>
          <w:sz w:val="22"/>
          <w:szCs w:val="22"/>
        </w:rPr>
        <w:t>octubre</w:t>
      </w:r>
      <w:r w:rsidRPr="004867D2">
        <w:rPr>
          <w:rFonts w:ascii="Arial" w:hAnsi="Arial"/>
          <w:b/>
          <w:smallCaps/>
          <w:color w:val="auto"/>
          <w:sz w:val="22"/>
          <w:szCs w:val="22"/>
        </w:rPr>
        <w:t xml:space="preserve"> de 201</w:t>
      </w:r>
      <w:r w:rsidR="00237F57">
        <w:rPr>
          <w:rFonts w:ascii="Arial" w:hAnsi="Arial"/>
          <w:b/>
          <w:smallCaps/>
          <w:color w:val="auto"/>
          <w:sz w:val="22"/>
          <w:szCs w:val="22"/>
        </w:rPr>
        <w:t>9</w:t>
      </w:r>
      <w:r w:rsidRPr="004867D2">
        <w:rPr>
          <w:rFonts w:ascii="Arial" w:hAnsi="Arial"/>
          <w:b/>
          <w:smallCaps/>
          <w:color w:val="auto"/>
          <w:sz w:val="22"/>
          <w:szCs w:val="22"/>
        </w:rPr>
        <w:br/>
        <w:t>Series desestacionalizada y de tendencia-ciclo</w:t>
      </w:r>
    </w:p>
    <w:p w14:paraId="5FF5DAED" w14:textId="77777777" w:rsidR="00095006" w:rsidRPr="004867D2" w:rsidRDefault="00095006" w:rsidP="00095006">
      <w:pPr>
        <w:keepNext/>
        <w:keepLines/>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75DCA7E9" w14:textId="77777777" w:rsidR="00095006" w:rsidRPr="004867D2" w:rsidRDefault="003D278A" w:rsidP="00095006">
      <w:pPr>
        <w:keepNext/>
        <w:keepLines/>
        <w:jc w:val="center"/>
        <w:rPr>
          <w:sz w:val="18"/>
        </w:rPr>
      </w:pPr>
      <w:r>
        <w:rPr>
          <w:noProof/>
          <w:lang w:val="es-MX" w:eastAsia="es-MX"/>
        </w:rPr>
        <w:drawing>
          <wp:inline distT="0" distB="0" distL="0" distR="0" wp14:anchorId="0DD4FC56" wp14:editId="3EE12557">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D22927A" w14:textId="77777777" w:rsidR="00095006" w:rsidRPr="004867D2" w:rsidRDefault="00095006" w:rsidP="00AA05CA">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225A1D7A" w14:textId="77777777" w:rsidR="00205C32" w:rsidRPr="004867D2" w:rsidRDefault="00205C32">
      <w:pPr>
        <w:jc w:val="left"/>
        <w:rPr>
          <w:b/>
          <w:i/>
          <w:szCs w:val="20"/>
          <w:lang w:val="es-MX"/>
        </w:rPr>
      </w:pPr>
      <w:r w:rsidRPr="004867D2">
        <w:rPr>
          <w:b/>
          <w:i/>
        </w:rPr>
        <w:br w:type="page"/>
      </w:r>
    </w:p>
    <w:p w14:paraId="76298BE9" w14:textId="77777777" w:rsidR="00BB2EEC" w:rsidRDefault="00BB2EEC" w:rsidP="00AA05CA">
      <w:pPr>
        <w:pStyle w:val="texto0"/>
        <w:keepLines w:val="0"/>
        <w:spacing w:before="720"/>
        <w:rPr>
          <w:rFonts w:cs="Arial"/>
          <w:b/>
          <w:i/>
          <w:color w:val="auto"/>
        </w:rPr>
      </w:pPr>
    </w:p>
    <w:p w14:paraId="32E96B7F" w14:textId="77777777" w:rsidR="00095006" w:rsidRPr="004867D2" w:rsidRDefault="00095006" w:rsidP="00F76B64">
      <w:pPr>
        <w:pStyle w:val="texto0"/>
        <w:keepLines w:val="0"/>
        <w:spacing w:before="480"/>
        <w:rPr>
          <w:rFonts w:cs="Arial"/>
          <w:b/>
          <w:i/>
          <w:color w:val="auto"/>
        </w:rPr>
      </w:pPr>
      <w:r w:rsidRPr="004867D2">
        <w:rPr>
          <w:rFonts w:cs="Arial"/>
          <w:b/>
          <w:i/>
          <w:color w:val="auto"/>
        </w:rPr>
        <w:t>Horas trabajadas</w:t>
      </w:r>
    </w:p>
    <w:p w14:paraId="3FCDB8BC" w14:textId="77777777" w:rsidR="00095006" w:rsidRPr="001C753D" w:rsidRDefault="00985D7A" w:rsidP="008969B9">
      <w:pPr>
        <w:pStyle w:val="texto0"/>
        <w:keepLines w:val="0"/>
        <w:spacing w:before="600"/>
        <w:rPr>
          <w:rFonts w:cs="Arial"/>
          <w:color w:val="auto"/>
          <w:spacing w:val="6"/>
        </w:rPr>
      </w:pPr>
      <w:r>
        <w:rPr>
          <w:rFonts w:cs="Arial"/>
          <w:color w:val="auto"/>
        </w:rPr>
        <w:t>En</w:t>
      </w:r>
      <w:r w:rsidR="009B6D1E" w:rsidRPr="00EF4780">
        <w:rPr>
          <w:rFonts w:cs="Arial"/>
          <w:color w:val="auto"/>
        </w:rPr>
        <w:t xml:space="preserve"> </w:t>
      </w:r>
      <w:r w:rsidR="009A1D2E">
        <w:rPr>
          <w:rFonts w:cs="Arial"/>
          <w:color w:val="auto"/>
        </w:rPr>
        <w:t xml:space="preserve">el </w:t>
      </w:r>
      <w:r w:rsidR="000E08EE">
        <w:rPr>
          <w:rFonts w:cs="Arial"/>
          <w:color w:val="auto"/>
        </w:rPr>
        <w:t>décimo</w:t>
      </w:r>
      <w:r w:rsidR="009A1D2E">
        <w:rPr>
          <w:rFonts w:cs="Arial"/>
          <w:color w:val="auto"/>
        </w:rPr>
        <w:t xml:space="preserve"> mes </w:t>
      </w:r>
      <w:r w:rsidR="003B4CE2">
        <w:rPr>
          <w:rFonts w:cs="Arial"/>
          <w:color w:val="auto"/>
        </w:rPr>
        <w:t xml:space="preserve">de </w:t>
      </w:r>
      <w:r w:rsidR="00B91315">
        <w:rPr>
          <w:rFonts w:cs="Arial"/>
          <w:color w:val="auto"/>
        </w:rPr>
        <w:t>2019</w:t>
      </w:r>
      <w:r w:rsidR="009B6D1E" w:rsidRPr="00EF4780">
        <w:rPr>
          <w:rFonts w:cs="Arial"/>
          <w:color w:val="auto"/>
        </w:rPr>
        <w:t xml:space="preserve">, </w:t>
      </w:r>
      <w:r w:rsidR="004916C9" w:rsidRPr="00EF4780">
        <w:rPr>
          <w:rFonts w:cs="Arial"/>
          <w:color w:val="auto"/>
        </w:rPr>
        <w:t xml:space="preserve">las horas trabajadas en las industrias manufactureras </w:t>
      </w:r>
      <w:r w:rsidR="00CD5379">
        <w:rPr>
          <w:rFonts w:cs="Arial"/>
          <w:color w:val="auto"/>
        </w:rPr>
        <w:t>presenta</w:t>
      </w:r>
      <w:r w:rsidR="00C46E29">
        <w:rPr>
          <w:rFonts w:cs="Arial"/>
          <w:color w:val="auto"/>
        </w:rPr>
        <w:t xml:space="preserve">ron </w:t>
      </w:r>
      <w:r w:rsidR="00BD4890">
        <w:rPr>
          <w:rFonts w:cs="Arial"/>
          <w:color w:val="auto"/>
        </w:rPr>
        <w:t xml:space="preserve">una </w:t>
      </w:r>
      <w:r w:rsidR="00CD5379">
        <w:rPr>
          <w:rFonts w:cs="Arial"/>
          <w:color w:val="auto"/>
        </w:rPr>
        <w:t>reducc</w:t>
      </w:r>
      <w:r w:rsidR="00BD4890">
        <w:rPr>
          <w:rFonts w:cs="Arial"/>
          <w:color w:val="auto"/>
        </w:rPr>
        <w:t xml:space="preserve">ión de </w:t>
      </w:r>
      <w:r w:rsidR="00C46E29">
        <w:rPr>
          <w:rFonts w:cs="Arial"/>
          <w:color w:val="auto"/>
        </w:rPr>
        <w:t>(</w:t>
      </w:r>
      <w:r w:rsidR="00C46E29">
        <w:rPr>
          <w:rFonts w:cs="Arial"/>
          <w:color w:val="auto"/>
        </w:rPr>
        <w:noBreakHyphen/>
        <w:t>)</w:t>
      </w:r>
      <w:r w:rsidR="003D278A">
        <w:rPr>
          <w:rFonts w:cs="Arial"/>
          <w:color w:val="auto"/>
        </w:rPr>
        <w:t>0</w:t>
      </w:r>
      <w:r w:rsidR="00BD4890">
        <w:rPr>
          <w:rFonts w:cs="Arial"/>
          <w:color w:val="auto"/>
        </w:rPr>
        <w:t>.1</w:t>
      </w:r>
      <w:r w:rsidR="00C46E29">
        <w:rPr>
          <w:rFonts w:cs="Arial"/>
          <w:color w:val="auto"/>
        </w:rPr>
        <w:t>%</w:t>
      </w:r>
      <w:r w:rsidR="00A62498" w:rsidRPr="00EF4780">
        <w:rPr>
          <w:rFonts w:cs="Arial"/>
          <w:color w:val="auto"/>
        </w:rPr>
        <w:t xml:space="preserve"> </w:t>
      </w:r>
      <w:r w:rsidR="004A1E64">
        <w:rPr>
          <w:rFonts w:cs="Arial"/>
          <w:color w:val="auto"/>
        </w:rPr>
        <w:t>en comparación</w:t>
      </w:r>
      <w:r w:rsidR="00E7509A">
        <w:rPr>
          <w:rFonts w:cs="Arial"/>
          <w:color w:val="auto"/>
        </w:rPr>
        <w:t xml:space="preserve"> </w:t>
      </w:r>
      <w:r w:rsidR="008B00EA">
        <w:rPr>
          <w:rFonts w:cs="Arial"/>
          <w:color w:val="auto"/>
        </w:rPr>
        <w:t>con</w:t>
      </w:r>
      <w:r w:rsidR="00E7509A">
        <w:rPr>
          <w:rFonts w:cs="Arial"/>
          <w:color w:val="auto"/>
        </w:rPr>
        <w:t xml:space="preserve"> </w:t>
      </w:r>
      <w:r w:rsidR="00A62C90">
        <w:rPr>
          <w:rFonts w:cs="Arial"/>
          <w:color w:val="auto"/>
        </w:rPr>
        <w:t>las de</w:t>
      </w:r>
      <w:r w:rsidR="00B91315">
        <w:rPr>
          <w:rFonts w:cs="Arial"/>
          <w:color w:val="auto"/>
        </w:rPr>
        <w:t xml:space="preserve"> </w:t>
      </w:r>
      <w:r w:rsidR="003D278A">
        <w:rPr>
          <w:rFonts w:cs="Arial"/>
          <w:color w:val="auto"/>
        </w:rPr>
        <w:t>septiembre</w:t>
      </w:r>
      <w:r w:rsidR="00B91315">
        <w:rPr>
          <w:rFonts w:cs="Arial"/>
          <w:color w:val="auto"/>
        </w:rPr>
        <w:t xml:space="preserve"> pasado</w:t>
      </w:r>
      <w:r w:rsidR="003C093F" w:rsidRPr="00EF4780">
        <w:rPr>
          <w:rFonts w:cs="Arial"/>
          <w:color w:val="auto"/>
        </w:rPr>
        <w:t>,</w:t>
      </w:r>
      <w:r w:rsidR="004916C9" w:rsidRPr="00EF4780">
        <w:rPr>
          <w:rFonts w:cs="Arial"/>
          <w:color w:val="auto"/>
        </w:rPr>
        <w:t xml:space="preserve"> con </w:t>
      </w:r>
      <w:r w:rsidR="00B507E4" w:rsidRPr="00EF4780">
        <w:rPr>
          <w:rFonts w:cs="Arial"/>
          <w:color w:val="auto"/>
        </w:rPr>
        <w:t>cifras</w:t>
      </w:r>
      <w:r w:rsidR="004916C9" w:rsidRPr="00EF4780">
        <w:rPr>
          <w:rFonts w:cs="Arial"/>
          <w:color w:val="auto"/>
        </w:rPr>
        <w:t xml:space="preserve"> desestacionalizad</w:t>
      </w:r>
      <w:r w:rsidR="00B507E4" w:rsidRPr="00EF4780">
        <w:rPr>
          <w:rFonts w:cs="Arial"/>
          <w:color w:val="auto"/>
        </w:rPr>
        <w:t>a</w:t>
      </w:r>
      <w:r w:rsidR="004916C9" w:rsidRPr="00EF4780">
        <w:rPr>
          <w:rFonts w:cs="Arial"/>
          <w:color w:val="auto"/>
        </w:rPr>
        <w:t>s</w:t>
      </w:r>
      <w:r w:rsidR="006539B7" w:rsidRPr="00EF4780">
        <w:rPr>
          <w:rFonts w:cs="Arial"/>
          <w:color w:val="auto"/>
        </w:rPr>
        <w:t>:</w:t>
      </w:r>
      <w:r w:rsidR="004916C9" w:rsidRPr="00EF4780">
        <w:rPr>
          <w:rFonts w:cs="Arial"/>
          <w:color w:val="auto"/>
        </w:rPr>
        <w:t xml:space="preserve"> </w:t>
      </w:r>
      <w:r w:rsidR="00C80B4E" w:rsidRPr="00EF4780">
        <w:rPr>
          <w:rFonts w:cs="Arial"/>
          <w:color w:val="auto"/>
        </w:rPr>
        <w:t>las correspondientes</w:t>
      </w:r>
      <w:r w:rsidR="00A159A5" w:rsidRPr="00EF4780">
        <w:rPr>
          <w:rFonts w:cs="Arial"/>
          <w:color w:val="auto"/>
        </w:rPr>
        <w:t xml:space="preserve"> </w:t>
      </w:r>
      <w:r w:rsidR="00C80B4E" w:rsidRPr="00EF4780">
        <w:rPr>
          <w:rFonts w:cs="Arial"/>
          <w:color w:val="auto"/>
        </w:rPr>
        <w:t xml:space="preserve">a </w:t>
      </w:r>
      <w:r w:rsidR="00A36CCB" w:rsidRPr="00EF4780">
        <w:rPr>
          <w:rFonts w:cs="Arial"/>
          <w:color w:val="auto"/>
        </w:rPr>
        <w:t xml:space="preserve">los </w:t>
      </w:r>
      <w:r w:rsidR="00E97A15">
        <w:rPr>
          <w:rFonts w:cs="Arial"/>
          <w:color w:val="auto"/>
        </w:rPr>
        <w:t>obreros</w:t>
      </w:r>
      <w:r w:rsidR="009B6D1E" w:rsidRPr="00EF4780">
        <w:rPr>
          <w:rFonts w:cs="Arial"/>
          <w:color w:val="auto"/>
        </w:rPr>
        <w:t xml:space="preserve"> </w:t>
      </w:r>
      <w:r w:rsidR="00BD4890">
        <w:rPr>
          <w:rFonts w:cs="Arial"/>
          <w:color w:val="auto"/>
        </w:rPr>
        <w:t>disminuy</w:t>
      </w:r>
      <w:r w:rsidR="00FC70C5">
        <w:rPr>
          <w:rFonts w:cs="Arial"/>
          <w:color w:val="auto"/>
        </w:rPr>
        <w:t xml:space="preserve">eron </w:t>
      </w:r>
      <w:r w:rsidR="00C46E29">
        <w:rPr>
          <w:rFonts w:cs="Arial"/>
          <w:color w:val="auto"/>
        </w:rPr>
        <w:t>(</w:t>
      </w:r>
      <w:r w:rsidR="00C46E29">
        <w:rPr>
          <w:rFonts w:cs="Arial"/>
          <w:color w:val="auto"/>
        </w:rPr>
        <w:noBreakHyphen/>
        <w:t>)</w:t>
      </w:r>
      <w:r w:rsidR="00BD4890">
        <w:rPr>
          <w:rFonts w:cs="Arial"/>
          <w:color w:val="auto"/>
        </w:rPr>
        <w:t>0.</w:t>
      </w:r>
      <w:r w:rsidR="003D278A">
        <w:rPr>
          <w:rFonts w:cs="Arial"/>
          <w:color w:val="auto"/>
        </w:rPr>
        <w:t>2</w:t>
      </w:r>
      <w:r w:rsidR="00126950" w:rsidRPr="00EF4780">
        <w:rPr>
          <w:rFonts w:cs="Arial"/>
          <w:color w:val="auto"/>
        </w:rPr>
        <w:t>%</w:t>
      </w:r>
      <w:r w:rsidR="003D278A">
        <w:rPr>
          <w:rFonts w:cs="Arial"/>
          <w:color w:val="auto"/>
        </w:rPr>
        <w:t>, mientras que</w:t>
      </w:r>
      <w:r w:rsidR="00DE303B" w:rsidRPr="00EF4780">
        <w:rPr>
          <w:rFonts w:cs="Arial"/>
          <w:color w:val="auto"/>
        </w:rPr>
        <w:t xml:space="preserve"> </w:t>
      </w:r>
      <w:r w:rsidR="00126950" w:rsidRPr="00EF4780">
        <w:rPr>
          <w:rFonts w:cs="Arial"/>
          <w:color w:val="auto"/>
        </w:rPr>
        <w:t xml:space="preserve">las </w:t>
      </w:r>
      <w:r w:rsidR="001B3280">
        <w:rPr>
          <w:rFonts w:cs="Arial"/>
          <w:color w:val="auto"/>
        </w:rPr>
        <w:t>de</w:t>
      </w:r>
      <w:r w:rsidR="00126950" w:rsidRPr="00EF4780">
        <w:rPr>
          <w:rFonts w:cs="Arial"/>
          <w:color w:val="auto"/>
        </w:rPr>
        <w:t xml:space="preserve"> </w:t>
      </w:r>
      <w:r w:rsidR="00A36CCB" w:rsidRPr="00EF4780">
        <w:rPr>
          <w:rFonts w:cs="Arial"/>
          <w:color w:val="auto"/>
        </w:rPr>
        <w:t xml:space="preserve">los </w:t>
      </w:r>
      <w:r w:rsidR="00E97A15">
        <w:rPr>
          <w:rFonts w:cs="Arial"/>
          <w:color w:val="auto"/>
        </w:rPr>
        <w:t>empleado</w:t>
      </w:r>
      <w:r w:rsidR="009874B4" w:rsidRPr="00EF4780">
        <w:rPr>
          <w:rFonts w:cs="Arial"/>
          <w:color w:val="auto"/>
        </w:rPr>
        <w:t>s</w:t>
      </w:r>
      <w:r w:rsidR="009B6D1E" w:rsidRPr="00EF4780">
        <w:rPr>
          <w:rFonts w:cs="Arial"/>
          <w:color w:val="auto"/>
        </w:rPr>
        <w:t xml:space="preserve"> </w:t>
      </w:r>
      <w:r w:rsidR="003D278A">
        <w:rPr>
          <w:rFonts w:cs="Arial"/>
          <w:color w:val="auto"/>
        </w:rPr>
        <w:t xml:space="preserve">aumentaron </w:t>
      </w:r>
      <w:r w:rsidR="00DE303B" w:rsidRPr="00EF4780">
        <w:rPr>
          <w:rFonts w:cs="Arial"/>
          <w:color w:val="auto"/>
        </w:rPr>
        <w:t>0.</w:t>
      </w:r>
      <w:r w:rsidR="003D278A">
        <w:rPr>
          <w:rFonts w:cs="Arial"/>
          <w:color w:val="auto"/>
        </w:rPr>
        <w:t>1</w:t>
      </w:r>
      <w:r w:rsidR="00DE303B" w:rsidRPr="00EF4780">
        <w:rPr>
          <w:rFonts w:cs="Arial"/>
          <w:color w:val="auto"/>
        </w:rPr>
        <w:t>%</w:t>
      </w:r>
      <w:r w:rsidR="009874B4" w:rsidRPr="00EF4780">
        <w:rPr>
          <w:rFonts w:cs="Arial"/>
          <w:color w:val="auto"/>
        </w:rPr>
        <w:t xml:space="preserve"> </w:t>
      </w:r>
      <w:r w:rsidR="00C46E29">
        <w:rPr>
          <w:rFonts w:cs="Arial"/>
          <w:color w:val="auto"/>
        </w:rPr>
        <w:t>frente</w:t>
      </w:r>
      <w:r w:rsidR="00732B0A">
        <w:rPr>
          <w:rFonts w:cs="Arial"/>
          <w:color w:val="auto"/>
        </w:rPr>
        <w:t xml:space="preserve"> a</w:t>
      </w:r>
      <w:r w:rsidR="008A091F">
        <w:rPr>
          <w:rFonts w:cs="Arial"/>
          <w:color w:val="auto"/>
        </w:rPr>
        <w:t xml:space="preserve"> las de</w:t>
      </w:r>
      <w:r w:rsidR="00654B0E">
        <w:rPr>
          <w:rFonts w:cs="Arial"/>
          <w:color w:val="auto"/>
        </w:rPr>
        <w:t>l</w:t>
      </w:r>
      <w:r w:rsidR="009E3FD3">
        <w:rPr>
          <w:rFonts w:cs="Arial"/>
          <w:color w:val="auto"/>
        </w:rPr>
        <w:t xml:space="preserve"> mes </w:t>
      </w:r>
      <w:r w:rsidR="008B00EA">
        <w:rPr>
          <w:rFonts w:cs="Arial"/>
          <w:color w:val="auto"/>
        </w:rPr>
        <w:t>inmediato ant</w:t>
      </w:r>
      <w:r w:rsidR="008A091F">
        <w:rPr>
          <w:rFonts w:cs="Arial"/>
          <w:color w:val="auto"/>
        </w:rPr>
        <w:t>e</w:t>
      </w:r>
      <w:r w:rsidR="008B00EA">
        <w:rPr>
          <w:rFonts w:cs="Arial"/>
          <w:color w:val="auto"/>
        </w:rPr>
        <w:t>rior</w:t>
      </w:r>
      <w:r w:rsidR="000350C8" w:rsidRPr="001C753D">
        <w:rPr>
          <w:rFonts w:cs="Arial"/>
          <w:color w:val="auto"/>
          <w:spacing w:val="6"/>
        </w:rPr>
        <w:t>.</w:t>
      </w:r>
    </w:p>
    <w:p w14:paraId="5234D6B8"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2</w:t>
      </w:r>
    </w:p>
    <w:p w14:paraId="501E2330" w14:textId="77777777"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Horas trabajadas </w:t>
      </w:r>
      <w:r w:rsidR="00EA3A9E">
        <w:rPr>
          <w:rFonts w:ascii="Arial" w:hAnsi="Arial"/>
          <w:b/>
          <w:smallCaps/>
          <w:color w:val="auto"/>
          <w:sz w:val="22"/>
          <w:szCs w:val="22"/>
        </w:rPr>
        <w:t>a</w:t>
      </w:r>
      <w:r w:rsidR="00EB24FC">
        <w:rPr>
          <w:rFonts w:ascii="Arial" w:hAnsi="Arial"/>
          <w:b/>
          <w:smallCaps/>
          <w:color w:val="auto"/>
          <w:sz w:val="22"/>
          <w:szCs w:val="22"/>
        </w:rPr>
        <w:t xml:space="preserve"> </w:t>
      </w:r>
      <w:r w:rsidR="000E08EE">
        <w:rPr>
          <w:rFonts w:ascii="Arial" w:hAnsi="Arial"/>
          <w:b/>
          <w:smallCaps/>
          <w:color w:val="auto"/>
          <w:sz w:val="22"/>
          <w:szCs w:val="22"/>
        </w:rPr>
        <w:t>octubre</w:t>
      </w:r>
      <w:r w:rsidR="00CA74B8">
        <w:rPr>
          <w:rFonts w:ascii="Arial" w:hAnsi="Arial"/>
          <w:b/>
          <w:smallCaps/>
          <w:color w:val="auto"/>
          <w:sz w:val="22"/>
          <w:szCs w:val="22"/>
        </w:rPr>
        <w:t xml:space="preserve"> </w:t>
      </w:r>
      <w:r w:rsidRPr="004867D2">
        <w:rPr>
          <w:rFonts w:ascii="Arial" w:hAnsi="Arial"/>
          <w:b/>
          <w:smallCaps/>
          <w:color w:val="auto"/>
          <w:sz w:val="22"/>
          <w:szCs w:val="22"/>
        </w:rPr>
        <w:t>de 201</w:t>
      </w:r>
      <w:r w:rsidR="00237F57">
        <w:rPr>
          <w:rFonts w:ascii="Arial" w:hAnsi="Arial"/>
          <w:b/>
          <w:smallCaps/>
          <w:color w:val="auto"/>
          <w:sz w:val="22"/>
          <w:szCs w:val="22"/>
        </w:rPr>
        <w:t>9</w:t>
      </w:r>
      <w:r w:rsidRPr="004867D2">
        <w:rPr>
          <w:rFonts w:ascii="Arial" w:hAnsi="Arial"/>
          <w:b/>
          <w:smallCaps/>
          <w:color w:val="auto"/>
          <w:sz w:val="22"/>
          <w:szCs w:val="22"/>
        </w:rPr>
        <w:br/>
        <w:t>Series desestacionalizada y de tendencia-ciclo</w:t>
      </w:r>
    </w:p>
    <w:p w14:paraId="2F38DA2E" w14:textId="77777777" w:rsidR="00095006" w:rsidRPr="004867D2" w:rsidRDefault="00095006" w:rsidP="00205C32">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3316E636" w14:textId="77777777" w:rsidR="00095006" w:rsidRPr="004867D2" w:rsidRDefault="003D278A" w:rsidP="00205C32">
      <w:pPr>
        <w:widowControl w:val="0"/>
        <w:jc w:val="center"/>
        <w:rPr>
          <w:sz w:val="18"/>
        </w:rPr>
      </w:pPr>
      <w:r>
        <w:rPr>
          <w:noProof/>
          <w:lang w:val="es-MX" w:eastAsia="es-MX"/>
        </w:rPr>
        <w:drawing>
          <wp:inline distT="0" distB="0" distL="0" distR="0" wp14:anchorId="5E6259FD" wp14:editId="7E232183">
            <wp:extent cx="5040000" cy="2880000"/>
            <wp:effectExtent l="0" t="0" r="27305" b="15875"/>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08A74BF" w14:textId="77777777" w:rsidR="00095006" w:rsidRPr="004867D2" w:rsidRDefault="00095006" w:rsidP="00205C32">
      <w:pPr>
        <w:pStyle w:val="p0"/>
        <w:keepLines w:val="0"/>
        <w:spacing w:before="0"/>
        <w:ind w:left="784"/>
        <w:jc w:val="left"/>
        <w:rPr>
          <w:rFonts w:ascii="Arial" w:hAnsi="Arial"/>
          <w:i/>
          <w:color w:val="auto"/>
          <w:sz w:val="16"/>
        </w:rPr>
      </w:pPr>
      <w:r w:rsidRPr="004867D2">
        <w:rPr>
          <w:rFonts w:ascii="Arial" w:hAnsi="Arial"/>
          <w:color w:val="auto"/>
          <w:sz w:val="16"/>
        </w:rPr>
        <w:t>Fuente: INEGI.</w:t>
      </w:r>
    </w:p>
    <w:p w14:paraId="2AAD6FAC" w14:textId="77777777" w:rsidR="00205C32" w:rsidRPr="004867D2" w:rsidRDefault="00205C32">
      <w:pPr>
        <w:jc w:val="left"/>
        <w:rPr>
          <w:b/>
          <w:i/>
          <w:szCs w:val="20"/>
          <w:lang w:val="es-MX"/>
        </w:rPr>
      </w:pPr>
      <w:r w:rsidRPr="004867D2">
        <w:rPr>
          <w:b/>
          <w:i/>
        </w:rPr>
        <w:br w:type="page"/>
      </w:r>
    </w:p>
    <w:p w14:paraId="5AA1DA5F" w14:textId="77777777" w:rsidR="00B957F0" w:rsidRDefault="00B957F0" w:rsidP="00AA05CA">
      <w:pPr>
        <w:pStyle w:val="texto0"/>
        <w:keepLines w:val="0"/>
        <w:spacing w:before="720"/>
        <w:rPr>
          <w:rFonts w:cs="Arial"/>
          <w:b/>
          <w:i/>
          <w:color w:val="auto"/>
        </w:rPr>
      </w:pPr>
    </w:p>
    <w:p w14:paraId="0E4353E5" w14:textId="77777777" w:rsidR="00095006" w:rsidRPr="004867D2" w:rsidRDefault="00095006" w:rsidP="00B957F0">
      <w:pPr>
        <w:pStyle w:val="texto0"/>
        <w:keepLines w:val="0"/>
        <w:spacing w:before="480"/>
        <w:rPr>
          <w:rFonts w:cs="Arial"/>
          <w:b/>
          <w:i/>
          <w:color w:val="auto"/>
        </w:rPr>
      </w:pPr>
      <w:r w:rsidRPr="004867D2">
        <w:rPr>
          <w:rFonts w:cs="Arial"/>
          <w:b/>
          <w:i/>
          <w:color w:val="auto"/>
        </w:rPr>
        <w:t>Remuneraciones medias reales pagadas</w:t>
      </w:r>
    </w:p>
    <w:p w14:paraId="47F62273" w14:textId="77777777" w:rsidR="00095006" w:rsidRPr="00FB5BBC" w:rsidRDefault="004916C9" w:rsidP="008969B9">
      <w:pPr>
        <w:pStyle w:val="texto0"/>
        <w:keepLines w:val="0"/>
        <w:spacing w:before="600"/>
        <w:rPr>
          <w:rFonts w:cs="Arial"/>
          <w:color w:val="auto"/>
        </w:rPr>
      </w:pPr>
      <w:r w:rsidRPr="00FB5BBC">
        <w:rPr>
          <w:rFonts w:cs="Arial"/>
          <w:color w:val="auto"/>
        </w:rPr>
        <w:t xml:space="preserve">Eliminando el factor estacional, las remuneraciones medias reales pagadas en </w:t>
      </w:r>
      <w:r w:rsidR="00A62498" w:rsidRPr="00FB5BBC">
        <w:rPr>
          <w:rFonts w:cs="Arial"/>
          <w:color w:val="auto"/>
        </w:rPr>
        <w:t xml:space="preserve">el </w:t>
      </w:r>
      <w:r w:rsidR="005D4EB4" w:rsidRPr="00FB5BBC">
        <w:rPr>
          <w:rFonts w:cs="Arial"/>
          <w:color w:val="auto"/>
        </w:rPr>
        <w:t>sector</w:t>
      </w:r>
      <w:r w:rsidR="005413CB" w:rsidRPr="00FB5BBC">
        <w:rPr>
          <w:rFonts w:cs="Arial"/>
          <w:color w:val="auto"/>
        </w:rPr>
        <w:t xml:space="preserve"> </w:t>
      </w:r>
      <w:r w:rsidR="00EA3A9E" w:rsidRPr="00FB5BBC">
        <w:rPr>
          <w:rFonts w:cs="Arial"/>
          <w:color w:val="auto"/>
        </w:rPr>
        <w:t xml:space="preserve">manufacturero </w:t>
      </w:r>
      <w:r w:rsidR="00CD5379">
        <w:rPr>
          <w:rFonts w:cs="Arial"/>
          <w:color w:val="auto"/>
        </w:rPr>
        <w:t>no registraron variación</w:t>
      </w:r>
      <w:r w:rsidR="006E3A5B">
        <w:rPr>
          <w:rFonts w:cs="Arial"/>
          <w:color w:val="auto"/>
        </w:rPr>
        <w:t xml:space="preserve"> </w:t>
      </w:r>
      <w:r w:rsidR="00D10328">
        <w:rPr>
          <w:rFonts w:cs="Arial"/>
          <w:color w:val="auto"/>
        </w:rPr>
        <w:t>en</w:t>
      </w:r>
      <w:r w:rsidR="00985D7A">
        <w:rPr>
          <w:rFonts w:cs="Arial"/>
          <w:color w:val="auto"/>
        </w:rPr>
        <w:t xml:space="preserve"> </w:t>
      </w:r>
      <w:r w:rsidR="000E08EE">
        <w:rPr>
          <w:rFonts w:cs="Arial"/>
          <w:color w:val="auto"/>
        </w:rPr>
        <w:t>octubre</w:t>
      </w:r>
      <w:r w:rsidR="00F5508E">
        <w:rPr>
          <w:rFonts w:cs="Arial"/>
          <w:color w:val="auto"/>
        </w:rPr>
        <w:t xml:space="preserve"> </w:t>
      </w:r>
      <w:r w:rsidR="00732B0A">
        <w:rPr>
          <w:rFonts w:cs="Arial"/>
          <w:color w:val="auto"/>
        </w:rPr>
        <w:t>de</w:t>
      </w:r>
      <w:r w:rsidR="009A1D2E">
        <w:rPr>
          <w:rFonts w:cs="Arial"/>
          <w:color w:val="auto"/>
        </w:rPr>
        <w:t xml:space="preserve"> este</w:t>
      </w:r>
      <w:r w:rsidR="002530DC">
        <w:rPr>
          <w:rFonts w:cs="Arial"/>
          <w:color w:val="auto"/>
        </w:rPr>
        <w:t xml:space="preserve"> año</w:t>
      </w:r>
      <w:r w:rsidR="00EB24FC">
        <w:rPr>
          <w:rFonts w:cs="Arial"/>
          <w:color w:val="auto"/>
        </w:rPr>
        <w:t xml:space="preserve"> </w:t>
      </w:r>
      <w:r w:rsidR="008B00EA">
        <w:rPr>
          <w:rFonts w:cs="Arial"/>
          <w:color w:val="auto"/>
        </w:rPr>
        <w:t>respecto</w:t>
      </w:r>
      <w:r w:rsidR="00262641">
        <w:rPr>
          <w:rFonts w:cs="Arial"/>
          <w:color w:val="auto"/>
        </w:rPr>
        <w:t xml:space="preserve"> a las de</w:t>
      </w:r>
      <w:r w:rsidR="002530DC">
        <w:rPr>
          <w:rFonts w:cs="Arial"/>
          <w:color w:val="auto"/>
        </w:rPr>
        <w:t xml:space="preserve"> un</w:t>
      </w:r>
      <w:r w:rsidR="003B4CE2">
        <w:rPr>
          <w:rFonts w:cs="Arial"/>
          <w:color w:val="auto"/>
        </w:rPr>
        <w:t xml:space="preserve"> mes </w:t>
      </w:r>
      <w:r w:rsidR="002530DC">
        <w:rPr>
          <w:rFonts w:cs="Arial"/>
          <w:color w:val="auto"/>
        </w:rPr>
        <w:t>antes</w:t>
      </w:r>
      <w:r w:rsidRPr="00FB5BBC">
        <w:rPr>
          <w:rFonts w:cs="Arial"/>
          <w:color w:val="auto"/>
        </w:rPr>
        <w:t xml:space="preserve">.  De manera desagregada, </w:t>
      </w:r>
      <w:r w:rsidR="00CD5379" w:rsidRPr="00FB5BBC">
        <w:rPr>
          <w:rFonts w:cs="Arial"/>
          <w:color w:val="auto"/>
        </w:rPr>
        <w:t xml:space="preserve">los sueldos pagados a empleados </w:t>
      </w:r>
      <w:r w:rsidR="00F24BEE">
        <w:rPr>
          <w:rFonts w:cs="Arial"/>
          <w:color w:val="auto"/>
        </w:rPr>
        <w:t>crecie</w:t>
      </w:r>
      <w:r w:rsidR="00CD5379">
        <w:rPr>
          <w:rFonts w:cs="Arial"/>
          <w:color w:val="auto"/>
        </w:rPr>
        <w:t>ron 0.</w:t>
      </w:r>
      <w:r w:rsidR="00400069">
        <w:rPr>
          <w:rFonts w:cs="Arial"/>
          <w:color w:val="auto"/>
        </w:rPr>
        <w:t>2</w:t>
      </w:r>
      <w:r w:rsidR="00CD5379">
        <w:rPr>
          <w:rFonts w:cs="Arial"/>
          <w:color w:val="auto"/>
        </w:rPr>
        <w:t>%</w:t>
      </w:r>
      <w:r w:rsidR="00CD5379" w:rsidRPr="00CD5379">
        <w:rPr>
          <w:rFonts w:cs="Arial"/>
          <w:color w:val="auto"/>
        </w:rPr>
        <w:t xml:space="preserve"> </w:t>
      </w:r>
      <w:r w:rsidR="00CD5379">
        <w:rPr>
          <w:rFonts w:cs="Arial"/>
          <w:color w:val="auto"/>
        </w:rPr>
        <w:t xml:space="preserve">y </w:t>
      </w:r>
      <w:r w:rsidR="00CD5379" w:rsidRPr="00FB5BBC">
        <w:rPr>
          <w:rFonts w:cs="Arial"/>
          <w:color w:val="auto"/>
        </w:rPr>
        <w:t xml:space="preserve">los salarios pagados a obreros </w:t>
      </w:r>
      <w:r w:rsidR="00CD5379">
        <w:rPr>
          <w:rFonts w:cs="Arial"/>
          <w:color w:val="auto"/>
        </w:rPr>
        <w:t xml:space="preserve">0.1%, </w:t>
      </w:r>
      <w:r w:rsidR="00F24BEE">
        <w:rPr>
          <w:rFonts w:cs="Arial"/>
          <w:color w:val="auto"/>
        </w:rPr>
        <w:t>en tanto</w:t>
      </w:r>
      <w:r w:rsidR="00CD5379">
        <w:rPr>
          <w:rFonts w:cs="Arial"/>
          <w:color w:val="auto"/>
        </w:rPr>
        <w:t xml:space="preserve"> que </w:t>
      </w:r>
      <w:r w:rsidR="004A1E64" w:rsidRPr="00FB5BBC">
        <w:rPr>
          <w:rFonts w:cs="Arial"/>
          <w:color w:val="auto"/>
        </w:rPr>
        <w:t xml:space="preserve">las prestaciones sociales </w:t>
      </w:r>
      <w:r w:rsidR="00BD4890">
        <w:rPr>
          <w:rFonts w:cs="Arial"/>
          <w:color w:val="auto"/>
        </w:rPr>
        <w:t>retrocedie</w:t>
      </w:r>
      <w:r w:rsidR="004A1E64">
        <w:rPr>
          <w:rFonts w:cs="Arial"/>
          <w:color w:val="auto"/>
        </w:rPr>
        <w:t xml:space="preserve">ron </w:t>
      </w:r>
      <w:r w:rsidR="00BD4890">
        <w:rPr>
          <w:rFonts w:cs="Arial"/>
          <w:color w:val="auto"/>
        </w:rPr>
        <w:t>(</w:t>
      </w:r>
      <w:r w:rsidR="00BD4890">
        <w:rPr>
          <w:rFonts w:cs="Arial"/>
          <w:color w:val="auto"/>
        </w:rPr>
        <w:noBreakHyphen/>
        <w:t>)0.</w:t>
      </w:r>
      <w:r w:rsidR="00CD5379">
        <w:rPr>
          <w:rFonts w:cs="Arial"/>
          <w:color w:val="auto"/>
        </w:rPr>
        <w:t>1</w:t>
      </w:r>
      <w:r w:rsidR="00BD4890">
        <w:rPr>
          <w:rFonts w:cs="Arial"/>
          <w:color w:val="auto"/>
        </w:rPr>
        <w:t>%</w:t>
      </w:r>
      <w:r w:rsidR="004A1E64">
        <w:rPr>
          <w:rFonts w:cs="Arial"/>
          <w:color w:val="auto"/>
        </w:rPr>
        <w:t xml:space="preserve"> </w:t>
      </w:r>
      <w:r w:rsidR="00E52B7F" w:rsidRPr="00FB5BBC">
        <w:rPr>
          <w:rFonts w:cs="Arial"/>
          <w:color w:val="auto"/>
        </w:rPr>
        <w:t>a tasa</w:t>
      </w:r>
      <w:r w:rsidR="008C5011" w:rsidRPr="00FB5BBC">
        <w:rPr>
          <w:rFonts w:cs="Arial"/>
          <w:color w:val="auto"/>
        </w:rPr>
        <w:t xml:space="preserve"> </w:t>
      </w:r>
      <w:r w:rsidR="00320602" w:rsidRPr="00FB5BBC">
        <w:rPr>
          <w:rFonts w:cs="Arial"/>
          <w:color w:val="auto"/>
        </w:rPr>
        <w:t>mensua</w:t>
      </w:r>
      <w:r w:rsidR="008C5011" w:rsidRPr="00FB5BBC">
        <w:rPr>
          <w:rFonts w:cs="Arial"/>
          <w:color w:val="auto"/>
        </w:rPr>
        <w:t>l</w:t>
      </w:r>
      <w:r w:rsidR="00526B44" w:rsidRPr="00FB5BBC">
        <w:rPr>
          <w:rFonts w:cs="Arial"/>
          <w:color w:val="auto"/>
        </w:rPr>
        <w:t>.</w:t>
      </w:r>
    </w:p>
    <w:p w14:paraId="489480B3"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3</w:t>
      </w:r>
    </w:p>
    <w:p w14:paraId="041A3497" w14:textId="77777777"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Remuneraciones medias reales a</w:t>
      </w:r>
      <w:r w:rsidR="00EB24FC">
        <w:rPr>
          <w:rFonts w:ascii="Arial" w:hAnsi="Arial"/>
          <w:b/>
          <w:smallCaps/>
          <w:color w:val="auto"/>
          <w:sz w:val="22"/>
          <w:szCs w:val="22"/>
        </w:rPr>
        <w:t xml:space="preserve"> </w:t>
      </w:r>
      <w:r w:rsidR="000E08EE">
        <w:rPr>
          <w:rFonts w:ascii="Arial" w:hAnsi="Arial"/>
          <w:b/>
          <w:smallCaps/>
          <w:color w:val="auto"/>
          <w:sz w:val="22"/>
          <w:szCs w:val="22"/>
        </w:rPr>
        <w:t>octubre</w:t>
      </w:r>
      <w:r w:rsidRPr="004867D2">
        <w:rPr>
          <w:rFonts w:ascii="Arial" w:hAnsi="Arial"/>
          <w:b/>
          <w:smallCaps/>
          <w:color w:val="auto"/>
          <w:sz w:val="22"/>
          <w:szCs w:val="22"/>
        </w:rPr>
        <w:t xml:space="preserve"> de 201</w:t>
      </w:r>
      <w:r w:rsidR="00237F57">
        <w:rPr>
          <w:rFonts w:ascii="Arial" w:hAnsi="Arial"/>
          <w:b/>
          <w:smallCaps/>
          <w:color w:val="auto"/>
          <w:sz w:val="22"/>
          <w:szCs w:val="22"/>
        </w:rPr>
        <w:t>9</w:t>
      </w:r>
      <w:r w:rsidRPr="004867D2">
        <w:rPr>
          <w:rFonts w:ascii="Arial" w:hAnsi="Arial"/>
          <w:b/>
          <w:smallCaps/>
          <w:color w:val="auto"/>
          <w:sz w:val="22"/>
          <w:szCs w:val="22"/>
        </w:rPr>
        <w:br/>
        <w:t>Series desestacionalizada y de tendencia-ciclo</w:t>
      </w:r>
    </w:p>
    <w:p w14:paraId="7C6024FF" w14:textId="77777777" w:rsidR="00095006" w:rsidRPr="004867D2" w:rsidRDefault="005F4BF2" w:rsidP="00205C32">
      <w:pPr>
        <w:widowControl w:val="0"/>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r w:rsidR="0066308D" w:rsidRPr="0066308D">
        <w:rPr>
          <w:noProof/>
          <w:lang w:val="es-MX" w:eastAsia="es-MX"/>
        </w:rPr>
        <w:t xml:space="preserve"> </w:t>
      </w:r>
      <w:r w:rsidR="00CD5379">
        <w:rPr>
          <w:noProof/>
          <w:lang w:val="es-MX" w:eastAsia="es-MX"/>
        </w:rPr>
        <w:drawing>
          <wp:inline distT="0" distB="0" distL="0" distR="0" wp14:anchorId="24C9A04B" wp14:editId="661720E8">
            <wp:extent cx="5040000" cy="2880000"/>
            <wp:effectExtent l="0" t="0" r="27305" b="1587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F7847EC" w14:textId="77777777" w:rsidR="00095006" w:rsidRDefault="00095006" w:rsidP="00205C32">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146BD0D3" w14:textId="77777777" w:rsidR="00095006" w:rsidRPr="004867D2" w:rsidRDefault="00095006" w:rsidP="00AA05CA">
      <w:pPr>
        <w:pStyle w:val="texto0"/>
        <w:keepLines w:val="0"/>
        <w:pageBreakBefore/>
        <w:widowControl w:val="0"/>
        <w:spacing w:before="480"/>
        <w:rPr>
          <w:rFonts w:cs="Arial"/>
          <w:b/>
          <w:i/>
          <w:color w:val="auto"/>
        </w:rPr>
      </w:pPr>
      <w:r w:rsidRPr="004867D2">
        <w:rPr>
          <w:rFonts w:cs="Arial"/>
          <w:b/>
          <w:i/>
          <w:color w:val="auto"/>
        </w:rPr>
        <w:lastRenderedPageBreak/>
        <w:t>Cifras originales</w:t>
      </w:r>
    </w:p>
    <w:p w14:paraId="0736E8F3" w14:textId="77777777" w:rsidR="00095006" w:rsidRPr="004867D2" w:rsidRDefault="00095006" w:rsidP="004607D2">
      <w:pPr>
        <w:pStyle w:val="Ttulo4"/>
        <w:keepNext w:val="0"/>
        <w:keepLines w:val="0"/>
        <w:spacing w:before="360"/>
        <w:jc w:val="center"/>
        <w:rPr>
          <w:rFonts w:ascii="Arial" w:hAnsi="Arial" w:cs="Arial"/>
          <w:i w:val="0"/>
          <w:color w:val="auto"/>
          <w:szCs w:val="22"/>
        </w:rPr>
      </w:pPr>
      <w:r w:rsidRPr="004867D2">
        <w:rPr>
          <w:rFonts w:ascii="Arial" w:hAnsi="Arial" w:cs="Arial"/>
          <w:i w:val="0"/>
          <w:color w:val="auto"/>
          <w:sz w:val="20"/>
          <w:szCs w:val="22"/>
        </w:rPr>
        <w:t>Cuadro 2</w:t>
      </w:r>
    </w:p>
    <w:p w14:paraId="609371E4" w14:textId="77777777" w:rsidR="00095006" w:rsidRPr="004867D2" w:rsidRDefault="00095006" w:rsidP="008775BD">
      <w:pPr>
        <w:pStyle w:val="Ttulo4"/>
        <w:keepNext w:val="0"/>
        <w:keepLines w:val="0"/>
        <w:spacing w:before="0"/>
        <w:jc w:val="center"/>
        <w:rPr>
          <w:rFonts w:ascii="Arial" w:hAnsi="Arial" w:cs="Arial"/>
          <w:b/>
          <w:i w:val="0"/>
          <w:smallCaps/>
          <w:color w:val="auto"/>
          <w:sz w:val="22"/>
          <w:szCs w:val="22"/>
        </w:rPr>
      </w:pPr>
      <w:r w:rsidRPr="004867D2">
        <w:rPr>
          <w:rFonts w:ascii="Arial" w:hAnsi="Arial" w:cs="Arial"/>
          <w:b/>
          <w:i w:val="0"/>
          <w:smallCaps/>
          <w:color w:val="auto"/>
          <w:sz w:val="22"/>
          <w:szCs w:val="22"/>
        </w:rPr>
        <w:t>Principales indicadores del sector manufacturero y por subsector</w:t>
      </w:r>
      <w:r w:rsidRPr="004867D2">
        <w:rPr>
          <w:rFonts w:ascii="Arial" w:hAnsi="Arial" w:cs="Arial"/>
          <w:b/>
          <w:i w:val="0"/>
          <w:smallCaps/>
          <w:color w:val="auto"/>
          <w:sz w:val="22"/>
          <w:szCs w:val="22"/>
        </w:rPr>
        <w:br/>
        <w:t xml:space="preserve">durante </w:t>
      </w:r>
      <w:r w:rsidR="000E08EE">
        <w:rPr>
          <w:rFonts w:ascii="Arial" w:hAnsi="Arial" w:cs="Arial"/>
          <w:b/>
          <w:i w:val="0"/>
          <w:smallCaps/>
          <w:color w:val="auto"/>
          <w:sz w:val="22"/>
          <w:szCs w:val="22"/>
        </w:rPr>
        <w:t>octubre</w:t>
      </w:r>
      <w:r w:rsidR="004867D2">
        <w:rPr>
          <w:rFonts w:ascii="Arial" w:hAnsi="Arial" w:cs="Arial"/>
          <w:b/>
          <w:i w:val="0"/>
          <w:color w:val="auto"/>
          <w:position w:val="2"/>
          <w:sz w:val="22"/>
          <w:szCs w:val="22"/>
          <w:vertAlign w:val="superscript"/>
        </w:rPr>
        <w:t>p</w:t>
      </w:r>
      <w:r w:rsidRPr="004867D2">
        <w:rPr>
          <w:rFonts w:ascii="Arial" w:hAnsi="Arial" w:cs="Arial"/>
          <w:b/>
          <w:i w:val="0"/>
          <w:smallCaps/>
          <w:color w:val="auto"/>
          <w:position w:val="2"/>
          <w:sz w:val="22"/>
          <w:szCs w:val="22"/>
          <w:vertAlign w:val="superscript"/>
        </w:rPr>
        <w:t>/</w:t>
      </w:r>
      <w:r w:rsidRPr="004867D2">
        <w:rPr>
          <w:rFonts w:ascii="Arial" w:hAnsi="Arial" w:cs="Arial"/>
          <w:b/>
          <w:i w:val="0"/>
          <w:smallCaps/>
          <w:color w:val="auto"/>
          <w:sz w:val="22"/>
          <w:szCs w:val="22"/>
        </w:rPr>
        <w:t xml:space="preserve"> de 201</w:t>
      </w:r>
      <w:r w:rsidR="00237F57">
        <w:rPr>
          <w:rFonts w:ascii="Arial" w:hAnsi="Arial" w:cs="Arial"/>
          <w:b/>
          <w:i w:val="0"/>
          <w:smallCaps/>
          <w:color w:val="auto"/>
          <w:sz w:val="22"/>
          <w:szCs w:val="22"/>
        </w:rPr>
        <w:t>9</w:t>
      </w:r>
    </w:p>
    <w:p w14:paraId="138519D6" w14:textId="77777777" w:rsidR="00962AAD" w:rsidRPr="004867D2" w:rsidRDefault="00962AAD" w:rsidP="00962AAD">
      <w:pPr>
        <w:pStyle w:val="Ttulo4"/>
        <w:keepNext w:val="0"/>
        <w:keepLines w:val="0"/>
        <w:spacing w:before="0"/>
        <w:jc w:val="center"/>
        <w:rPr>
          <w:rFonts w:ascii="Arial" w:hAnsi="Arial" w:cs="Arial"/>
          <w:i w:val="0"/>
          <w:color w:val="auto"/>
          <w:sz w:val="18"/>
          <w:szCs w:val="18"/>
          <w:lang w:val="es-MX"/>
        </w:rPr>
      </w:pPr>
      <w:r w:rsidRPr="004867D2">
        <w:rPr>
          <w:rFonts w:ascii="Arial" w:hAnsi="Arial" w:cs="Arial"/>
          <w:i w:val="0"/>
          <w:color w:val="auto"/>
          <w:sz w:val="18"/>
          <w:szCs w:val="18"/>
        </w:rPr>
        <w:t>(Variación porcentual anual respecto al mismo mes del año anterior)</w:t>
      </w:r>
    </w:p>
    <w:tbl>
      <w:tblPr>
        <w:tblStyle w:val="Tablaconcuadrcula1"/>
        <w:tblW w:w="5000" w:type="pct"/>
        <w:jc w:val="center"/>
        <w:tblLayout w:type="fixed"/>
        <w:tblLook w:val="04A0" w:firstRow="1" w:lastRow="0" w:firstColumn="1" w:lastColumn="0" w:noHBand="0" w:noVBand="1"/>
      </w:tblPr>
      <w:tblGrid>
        <w:gridCol w:w="289"/>
        <w:gridCol w:w="415"/>
        <w:gridCol w:w="5512"/>
        <w:gridCol w:w="1057"/>
        <w:gridCol w:w="1057"/>
        <w:gridCol w:w="1058"/>
      </w:tblGrid>
      <w:tr w:rsidR="00C168B2" w:rsidRPr="002F45F6" w14:paraId="45D834E6" w14:textId="77777777" w:rsidTr="003537FD">
        <w:trPr>
          <w:trHeight w:val="580"/>
          <w:jc w:val="center"/>
        </w:trPr>
        <w:tc>
          <w:tcPr>
            <w:tcW w:w="6216"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vAlign w:val="center"/>
            <w:hideMark/>
          </w:tcPr>
          <w:p w14:paraId="743CF0B2" w14:textId="77777777" w:rsidR="00C168B2" w:rsidRPr="004867D2" w:rsidRDefault="00C168B2" w:rsidP="00654B0E">
            <w:pPr>
              <w:snapToGrid w:val="0"/>
              <w:spacing w:before="60" w:after="60"/>
              <w:ind w:firstLine="811"/>
              <w:jc w:val="left"/>
              <w:rPr>
                <w:sz w:val="16"/>
                <w:szCs w:val="16"/>
                <w:lang w:val="es-MX" w:eastAsia="es-MX"/>
              </w:rPr>
            </w:pPr>
            <w:r w:rsidRPr="004867D2">
              <w:rPr>
                <w:sz w:val="16"/>
                <w:szCs w:val="16"/>
                <w:lang w:val="es-MX" w:eastAsia="es-MX"/>
              </w:rPr>
              <w:t>Subsectores</w:t>
            </w:r>
          </w:p>
        </w:tc>
        <w:tc>
          <w:tcPr>
            <w:tcW w:w="105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60EAC137" w14:textId="77777777" w:rsidR="00C168B2" w:rsidRPr="004867D2" w:rsidRDefault="00C168B2" w:rsidP="00654B0E">
            <w:pPr>
              <w:tabs>
                <w:tab w:val="left" w:pos="993"/>
              </w:tabs>
              <w:snapToGrid w:val="0"/>
              <w:spacing w:before="60" w:after="60"/>
              <w:ind w:left="-130" w:right="-113"/>
              <w:jc w:val="center"/>
              <w:rPr>
                <w:sz w:val="16"/>
                <w:szCs w:val="16"/>
                <w:lang w:val="es-MX" w:eastAsia="es-MX"/>
              </w:rPr>
            </w:pPr>
            <w:r w:rsidRPr="004867D2">
              <w:rPr>
                <w:sz w:val="16"/>
                <w:szCs w:val="16"/>
                <w:lang w:val="es-MX" w:eastAsia="es-MX"/>
              </w:rPr>
              <w:t>Personal ocupado</w:t>
            </w:r>
            <w:r w:rsidRPr="004867D2">
              <w:rPr>
                <w:sz w:val="16"/>
                <w:szCs w:val="16"/>
                <w:vertAlign w:val="superscript"/>
                <w:lang w:val="es-MX" w:eastAsia="es-MX"/>
              </w:rPr>
              <w:br/>
            </w:r>
            <w:r>
              <w:rPr>
                <w:sz w:val="16"/>
                <w:szCs w:val="16"/>
                <w:lang w:val="es-MX" w:eastAsia="es-MX"/>
              </w:rPr>
              <w:t>total</w:t>
            </w:r>
          </w:p>
        </w:tc>
        <w:tc>
          <w:tcPr>
            <w:tcW w:w="105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29035231" w14:textId="77777777" w:rsidR="00C168B2" w:rsidRPr="004867D2" w:rsidRDefault="00C168B2" w:rsidP="00654B0E">
            <w:pPr>
              <w:tabs>
                <w:tab w:val="left" w:pos="993"/>
              </w:tabs>
              <w:snapToGrid w:val="0"/>
              <w:spacing w:before="60" w:after="60"/>
              <w:ind w:left="-113" w:right="-113"/>
              <w:jc w:val="center"/>
              <w:rPr>
                <w:sz w:val="16"/>
                <w:szCs w:val="16"/>
                <w:lang w:val="es-MX" w:eastAsia="es-MX"/>
              </w:rPr>
            </w:pPr>
            <w:r w:rsidRPr="004867D2">
              <w:rPr>
                <w:sz w:val="16"/>
                <w:szCs w:val="16"/>
                <w:lang w:val="es-MX" w:eastAsia="es-MX"/>
              </w:rPr>
              <w:t>Horas trabajadas</w:t>
            </w:r>
          </w:p>
        </w:tc>
        <w:tc>
          <w:tcPr>
            <w:tcW w:w="1058"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7F74FB43" w14:textId="77777777" w:rsidR="00C168B2" w:rsidRPr="004867D2" w:rsidRDefault="00C168B2" w:rsidP="00654B0E">
            <w:pPr>
              <w:snapToGrid w:val="0"/>
              <w:spacing w:before="60" w:after="60"/>
              <w:ind w:left="-113" w:right="-113"/>
              <w:jc w:val="center"/>
              <w:rPr>
                <w:sz w:val="16"/>
                <w:szCs w:val="16"/>
                <w:lang w:val="es-MX" w:eastAsia="es-MX"/>
              </w:rPr>
            </w:pPr>
            <w:r w:rsidRPr="004867D2">
              <w:rPr>
                <w:sz w:val="16"/>
                <w:szCs w:val="16"/>
                <w:lang w:val="es-MX" w:eastAsia="es-MX"/>
              </w:rPr>
              <w:t>Remunera-</w:t>
            </w:r>
            <w:proofErr w:type="spellStart"/>
            <w:r w:rsidRPr="004867D2">
              <w:rPr>
                <w:sz w:val="16"/>
                <w:szCs w:val="16"/>
                <w:lang w:val="es-MX" w:eastAsia="es-MX"/>
              </w:rPr>
              <w:t>ciones</w:t>
            </w:r>
            <w:proofErr w:type="spellEnd"/>
            <w:r w:rsidRPr="004867D2">
              <w:rPr>
                <w:sz w:val="16"/>
                <w:szCs w:val="16"/>
                <w:vertAlign w:val="superscript"/>
                <w:lang w:val="es-MX" w:eastAsia="es-MX"/>
              </w:rPr>
              <w:t xml:space="preserve"> </w:t>
            </w:r>
            <w:r w:rsidRPr="004867D2">
              <w:rPr>
                <w:sz w:val="16"/>
                <w:szCs w:val="16"/>
                <w:vertAlign w:val="superscript"/>
                <w:lang w:val="es-MX" w:eastAsia="es-MX"/>
              </w:rPr>
              <w:br/>
            </w:r>
            <w:r w:rsidRPr="004867D2">
              <w:rPr>
                <w:sz w:val="16"/>
                <w:szCs w:val="16"/>
                <w:lang w:val="es-MX" w:eastAsia="es-MX"/>
              </w:rPr>
              <w:t>medias</w:t>
            </w:r>
            <w:r w:rsidRPr="004867D2">
              <w:rPr>
                <w:sz w:val="18"/>
                <w:szCs w:val="18"/>
                <w:vertAlign w:val="superscript"/>
                <w:lang w:val="es-MX" w:eastAsia="es-MX"/>
              </w:rPr>
              <w:t>1/</w:t>
            </w:r>
          </w:p>
        </w:tc>
      </w:tr>
      <w:tr w:rsidR="000E08EE" w:rsidRPr="002F45F6" w14:paraId="4F485026" w14:textId="77777777" w:rsidTr="000E08EE">
        <w:trPr>
          <w:jc w:val="center"/>
        </w:trPr>
        <w:tc>
          <w:tcPr>
            <w:tcW w:w="289"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12722344" w14:textId="77777777" w:rsidR="000E08EE" w:rsidRPr="006908C7" w:rsidRDefault="000E08EE" w:rsidP="000E08EE">
            <w:pPr>
              <w:snapToGrid w:val="0"/>
              <w:spacing w:before="20" w:after="20"/>
              <w:ind w:left="115"/>
              <w:jc w:val="left"/>
              <w:rPr>
                <w:b/>
                <w:sz w:val="16"/>
                <w:szCs w:val="16"/>
                <w:lang w:val="es-MX" w:eastAsia="es-MX"/>
              </w:rPr>
            </w:pPr>
          </w:p>
        </w:tc>
        <w:tc>
          <w:tcPr>
            <w:tcW w:w="5927"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3FBF94A9" w14:textId="77777777" w:rsidR="000E08EE" w:rsidRPr="006908C7" w:rsidRDefault="000E08EE" w:rsidP="000E08EE">
            <w:pPr>
              <w:snapToGrid w:val="0"/>
              <w:spacing w:before="20" w:after="20"/>
              <w:ind w:left="-108"/>
              <w:jc w:val="left"/>
              <w:rPr>
                <w:b/>
                <w:sz w:val="16"/>
                <w:szCs w:val="16"/>
                <w:lang w:val="es-MX" w:eastAsia="es-MX"/>
              </w:rPr>
            </w:pPr>
            <w:r w:rsidRPr="006908C7">
              <w:rPr>
                <w:b/>
                <w:sz w:val="16"/>
                <w:szCs w:val="16"/>
                <w:lang w:val="es-MX" w:eastAsia="es-MX"/>
              </w:rPr>
              <w:t>Total</w:t>
            </w:r>
          </w:p>
        </w:tc>
        <w:tc>
          <w:tcPr>
            <w:tcW w:w="105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3B6F0A3" w14:textId="77777777" w:rsidR="000E08EE" w:rsidRPr="000E08EE" w:rsidRDefault="000E08EE" w:rsidP="000E08EE">
            <w:pPr>
              <w:tabs>
                <w:tab w:val="left" w:pos="136"/>
                <w:tab w:val="decimal" w:pos="489"/>
              </w:tabs>
              <w:jc w:val="left"/>
              <w:rPr>
                <w:b/>
                <w:bCs/>
                <w:color w:val="000000"/>
                <w:sz w:val="16"/>
                <w:szCs w:val="18"/>
                <w:lang w:val="es-MX" w:eastAsia="es-MX"/>
              </w:rPr>
            </w:pPr>
            <w:r>
              <w:rPr>
                <w:b/>
                <w:bCs/>
                <w:color w:val="000000"/>
                <w:sz w:val="16"/>
                <w:szCs w:val="18"/>
              </w:rPr>
              <w:tab/>
              <w:t>(-)</w:t>
            </w:r>
            <w:r>
              <w:rPr>
                <w:b/>
                <w:bCs/>
                <w:color w:val="000000"/>
                <w:sz w:val="16"/>
                <w:szCs w:val="18"/>
              </w:rPr>
              <w:tab/>
            </w:r>
            <w:r w:rsidRPr="000E08EE">
              <w:rPr>
                <w:b/>
                <w:bCs/>
                <w:color w:val="000000"/>
                <w:sz w:val="16"/>
                <w:szCs w:val="18"/>
              </w:rPr>
              <w:t>0.7</w:t>
            </w:r>
          </w:p>
        </w:tc>
        <w:tc>
          <w:tcPr>
            <w:tcW w:w="105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C3A5D82" w14:textId="77777777" w:rsidR="000E08EE" w:rsidRPr="000E08EE" w:rsidRDefault="000E08EE" w:rsidP="000E08EE">
            <w:pPr>
              <w:tabs>
                <w:tab w:val="left" w:pos="136"/>
                <w:tab w:val="decimal" w:pos="489"/>
              </w:tabs>
              <w:jc w:val="left"/>
              <w:rPr>
                <w:b/>
                <w:bCs/>
                <w:color w:val="000000"/>
                <w:sz w:val="16"/>
                <w:szCs w:val="18"/>
              </w:rPr>
            </w:pPr>
            <w:r>
              <w:rPr>
                <w:b/>
                <w:bCs/>
                <w:color w:val="000000"/>
                <w:sz w:val="16"/>
                <w:szCs w:val="18"/>
              </w:rPr>
              <w:tab/>
              <w:t>(-)</w:t>
            </w:r>
            <w:r>
              <w:rPr>
                <w:b/>
                <w:bCs/>
                <w:color w:val="000000"/>
                <w:sz w:val="16"/>
                <w:szCs w:val="18"/>
              </w:rPr>
              <w:tab/>
            </w:r>
            <w:r w:rsidRPr="000E08EE">
              <w:rPr>
                <w:b/>
                <w:bCs/>
                <w:color w:val="000000"/>
                <w:sz w:val="16"/>
                <w:szCs w:val="18"/>
              </w:rPr>
              <w:t>0.3</w:t>
            </w:r>
          </w:p>
        </w:tc>
        <w:tc>
          <w:tcPr>
            <w:tcW w:w="1058"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621F1DC" w14:textId="77777777" w:rsidR="000E08EE" w:rsidRPr="000E08EE" w:rsidRDefault="000E08EE" w:rsidP="000E08EE">
            <w:pPr>
              <w:tabs>
                <w:tab w:val="decimal" w:pos="489"/>
              </w:tabs>
              <w:jc w:val="left"/>
              <w:rPr>
                <w:b/>
                <w:bCs/>
                <w:color w:val="000000"/>
                <w:sz w:val="16"/>
                <w:szCs w:val="18"/>
              </w:rPr>
            </w:pPr>
            <w:r w:rsidRPr="000E08EE">
              <w:rPr>
                <w:b/>
                <w:bCs/>
                <w:color w:val="000000"/>
                <w:sz w:val="16"/>
                <w:szCs w:val="18"/>
              </w:rPr>
              <w:t>4.6</w:t>
            </w:r>
          </w:p>
        </w:tc>
      </w:tr>
      <w:tr w:rsidR="000E08EE" w:rsidRPr="002F45F6" w14:paraId="15635B3F"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2437A9BB" w14:textId="77777777" w:rsidR="000E08EE" w:rsidRPr="004867D2" w:rsidRDefault="000E08EE" w:rsidP="000E08EE">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0677424E"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 xml:space="preserve">Obreros </w:t>
            </w:r>
            <w:r w:rsidRPr="004867D2">
              <w:rPr>
                <w:sz w:val="18"/>
                <w:szCs w:val="18"/>
                <w:vertAlign w:val="superscript"/>
                <w:lang w:val="es-MX" w:eastAsia="es-MX"/>
              </w:rPr>
              <w:t>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3755DF"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1.2</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E613F1"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0.5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97ECC7" w14:textId="77777777" w:rsidR="000E08EE" w:rsidRPr="000E08EE" w:rsidRDefault="000E08EE" w:rsidP="000E08EE">
            <w:pPr>
              <w:tabs>
                <w:tab w:val="decimal" w:pos="489"/>
              </w:tabs>
              <w:jc w:val="left"/>
              <w:rPr>
                <w:color w:val="000000"/>
                <w:sz w:val="16"/>
                <w:szCs w:val="18"/>
              </w:rPr>
            </w:pPr>
            <w:r w:rsidRPr="000E08EE">
              <w:rPr>
                <w:color w:val="000000"/>
                <w:sz w:val="16"/>
                <w:szCs w:val="18"/>
              </w:rPr>
              <w:t>6.6</w:t>
            </w:r>
          </w:p>
        </w:tc>
      </w:tr>
      <w:tr w:rsidR="000E08EE" w:rsidRPr="002F45F6" w14:paraId="06DCB901"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FB04845" w14:textId="77777777" w:rsidR="000E08EE" w:rsidRPr="004867D2" w:rsidRDefault="000E08EE" w:rsidP="000E08EE">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8D14460"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 xml:space="preserve">Empleados </w:t>
            </w:r>
            <w:proofErr w:type="spellStart"/>
            <w:r w:rsidRPr="004867D2">
              <w:rPr>
                <w:sz w:val="18"/>
                <w:szCs w:val="18"/>
                <w:vertAlign w:val="superscript"/>
                <w:lang w:val="es-MX" w:eastAsia="es-MX"/>
              </w:rPr>
              <w:t>b/</w:t>
            </w:r>
            <w:proofErr w:type="spellEnd"/>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38F164" w14:textId="77777777" w:rsidR="000E08EE" w:rsidRPr="000E08EE" w:rsidRDefault="000E08EE" w:rsidP="000E08EE">
            <w:pPr>
              <w:tabs>
                <w:tab w:val="decimal" w:pos="489"/>
              </w:tabs>
              <w:jc w:val="left"/>
              <w:rPr>
                <w:color w:val="000000"/>
                <w:sz w:val="16"/>
                <w:szCs w:val="18"/>
              </w:rPr>
            </w:pPr>
            <w:r w:rsidRPr="000E08EE">
              <w:rPr>
                <w:color w:val="000000"/>
                <w:sz w:val="16"/>
                <w:szCs w:val="18"/>
              </w:rPr>
              <w:t>0.9</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6914CFD" w14:textId="77777777" w:rsidR="000E08EE" w:rsidRPr="000E08EE" w:rsidRDefault="000E08EE" w:rsidP="000E08EE">
            <w:pPr>
              <w:tabs>
                <w:tab w:val="decimal" w:pos="489"/>
              </w:tabs>
              <w:jc w:val="left"/>
              <w:rPr>
                <w:color w:val="000000"/>
                <w:sz w:val="16"/>
                <w:szCs w:val="18"/>
              </w:rPr>
            </w:pPr>
            <w:r w:rsidRPr="000E08EE">
              <w:rPr>
                <w:color w:val="000000"/>
                <w:sz w:val="16"/>
                <w:szCs w:val="18"/>
              </w:rPr>
              <w:t>1.8</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436092" w14:textId="77777777" w:rsidR="000E08EE" w:rsidRPr="000E08EE" w:rsidRDefault="000E08EE" w:rsidP="000E08EE">
            <w:pPr>
              <w:tabs>
                <w:tab w:val="decimal" w:pos="489"/>
              </w:tabs>
              <w:jc w:val="left"/>
              <w:rPr>
                <w:color w:val="000000"/>
                <w:sz w:val="16"/>
                <w:szCs w:val="18"/>
              </w:rPr>
            </w:pPr>
            <w:r w:rsidRPr="000E08EE">
              <w:rPr>
                <w:color w:val="000000"/>
                <w:sz w:val="16"/>
                <w:szCs w:val="18"/>
              </w:rPr>
              <w:t>2.1</w:t>
            </w:r>
          </w:p>
        </w:tc>
      </w:tr>
      <w:tr w:rsidR="000E08EE" w:rsidRPr="002F45F6" w14:paraId="6715F937"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5CB2077F" w14:textId="77777777" w:rsidR="000E08EE" w:rsidRPr="004867D2" w:rsidRDefault="000E08EE" w:rsidP="000E08EE">
            <w:pPr>
              <w:snapToGrid w:val="0"/>
              <w:spacing w:before="20" w:after="20"/>
              <w:ind w:left="493"/>
              <w:jc w:val="left"/>
              <w:rPr>
                <w:sz w:val="16"/>
                <w:szCs w:val="16"/>
                <w:lang w:val="es-MX" w:eastAsia="es-MX"/>
              </w:rPr>
            </w:pP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34D66C74"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Prestaciones sociales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10B6566" w14:textId="77777777" w:rsidR="000E08EE" w:rsidRPr="000E08EE" w:rsidRDefault="000E08EE" w:rsidP="000E08EE">
            <w:pPr>
              <w:tabs>
                <w:tab w:val="left" w:pos="194"/>
                <w:tab w:val="decimal" w:pos="489"/>
              </w:tabs>
              <w:jc w:val="left"/>
              <w:rPr>
                <w:color w:val="000000"/>
                <w:sz w:val="16"/>
                <w:szCs w:val="18"/>
              </w:rPr>
            </w:pPr>
            <w:r w:rsidRPr="000E08EE">
              <w:rPr>
                <w:color w:val="000000"/>
                <w:sz w:val="16"/>
                <w:szCs w:val="18"/>
              </w:rPr>
              <w:t> </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3DC9EE" w14:textId="77777777" w:rsidR="000E08EE" w:rsidRPr="000E08EE" w:rsidRDefault="000E08EE" w:rsidP="000E08EE">
            <w:pPr>
              <w:tabs>
                <w:tab w:val="left" w:pos="194"/>
                <w:tab w:val="decimal" w:pos="489"/>
              </w:tabs>
              <w:jc w:val="left"/>
              <w:rPr>
                <w:color w:val="000000"/>
                <w:sz w:val="16"/>
                <w:szCs w:val="18"/>
              </w:rPr>
            </w:pPr>
            <w:r w:rsidRPr="000E08EE">
              <w:rPr>
                <w:color w:val="000000"/>
                <w:sz w:val="16"/>
                <w:szCs w:val="18"/>
              </w:rPr>
              <w:t> </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787B10" w14:textId="77777777" w:rsidR="000E08EE" w:rsidRPr="000E08EE" w:rsidRDefault="000E08EE" w:rsidP="000E08EE">
            <w:pPr>
              <w:tabs>
                <w:tab w:val="decimal" w:pos="489"/>
              </w:tabs>
              <w:jc w:val="left"/>
              <w:rPr>
                <w:color w:val="000000"/>
                <w:sz w:val="16"/>
                <w:szCs w:val="18"/>
              </w:rPr>
            </w:pPr>
            <w:r w:rsidRPr="000E08EE">
              <w:rPr>
                <w:color w:val="000000"/>
                <w:sz w:val="16"/>
                <w:szCs w:val="18"/>
              </w:rPr>
              <w:t>1.6</w:t>
            </w:r>
          </w:p>
        </w:tc>
      </w:tr>
      <w:tr w:rsidR="000E08EE" w:rsidRPr="002F45F6" w14:paraId="6A0FDC55"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51069C1B" w14:textId="77777777" w:rsidR="000E08EE" w:rsidRPr="006908C7" w:rsidRDefault="000E08EE" w:rsidP="000E08EE">
            <w:pPr>
              <w:snapToGrid w:val="0"/>
              <w:spacing w:before="20" w:after="20"/>
              <w:ind w:left="-113" w:right="57"/>
              <w:jc w:val="right"/>
              <w:rPr>
                <w:b/>
                <w:sz w:val="16"/>
                <w:szCs w:val="16"/>
                <w:lang w:val="es-MX" w:eastAsia="es-MX"/>
              </w:rPr>
            </w:pPr>
            <w:r w:rsidRPr="006908C7">
              <w:rPr>
                <w:b/>
                <w:sz w:val="16"/>
                <w:szCs w:val="16"/>
                <w:lang w:val="es-MX" w:eastAsia="es-MX"/>
              </w:rPr>
              <w:t>31-33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059F8B95" w14:textId="77777777" w:rsidR="000E08EE" w:rsidRPr="006908C7" w:rsidRDefault="000E08EE" w:rsidP="000E08EE">
            <w:pPr>
              <w:snapToGrid w:val="0"/>
              <w:spacing w:before="20" w:after="20"/>
              <w:ind w:left="-96"/>
              <w:jc w:val="left"/>
              <w:rPr>
                <w:b/>
                <w:sz w:val="16"/>
                <w:szCs w:val="16"/>
                <w:lang w:val="es-MX" w:eastAsia="es-MX"/>
              </w:rPr>
            </w:pPr>
            <w:r w:rsidRPr="006908C7">
              <w:rPr>
                <w:b/>
                <w:sz w:val="16"/>
                <w:szCs w:val="16"/>
                <w:lang w:val="es-MX" w:eastAsia="es-MX"/>
              </w:rPr>
              <w:t>Total Industrias Manufactureras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4BA8973" w14:textId="77777777" w:rsidR="000E08EE" w:rsidRPr="000E08EE" w:rsidRDefault="000E08EE" w:rsidP="000E08EE">
            <w:pPr>
              <w:tabs>
                <w:tab w:val="left" w:pos="136"/>
                <w:tab w:val="decimal" w:pos="489"/>
              </w:tabs>
              <w:jc w:val="left"/>
              <w:rPr>
                <w:b/>
                <w:bCs/>
                <w:color w:val="000000"/>
                <w:sz w:val="16"/>
                <w:szCs w:val="18"/>
              </w:rPr>
            </w:pPr>
            <w:r>
              <w:rPr>
                <w:b/>
                <w:bCs/>
                <w:color w:val="000000"/>
                <w:sz w:val="16"/>
                <w:szCs w:val="18"/>
              </w:rPr>
              <w:tab/>
              <w:t>(-)</w:t>
            </w:r>
            <w:r>
              <w:rPr>
                <w:b/>
                <w:bCs/>
                <w:color w:val="000000"/>
                <w:sz w:val="16"/>
                <w:szCs w:val="18"/>
              </w:rPr>
              <w:tab/>
            </w:r>
            <w:r w:rsidRPr="000E08EE">
              <w:rPr>
                <w:b/>
                <w:bCs/>
                <w:color w:val="000000"/>
                <w:sz w:val="16"/>
                <w:szCs w:val="18"/>
              </w:rPr>
              <w:t>0.7</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337F512" w14:textId="77777777" w:rsidR="000E08EE" w:rsidRPr="000E08EE" w:rsidRDefault="000E08EE" w:rsidP="000E08EE">
            <w:pPr>
              <w:tabs>
                <w:tab w:val="left" w:pos="136"/>
                <w:tab w:val="decimal" w:pos="489"/>
              </w:tabs>
              <w:jc w:val="left"/>
              <w:rPr>
                <w:b/>
                <w:bCs/>
                <w:color w:val="000000"/>
                <w:sz w:val="16"/>
                <w:szCs w:val="18"/>
              </w:rPr>
            </w:pPr>
            <w:r>
              <w:rPr>
                <w:b/>
                <w:bCs/>
                <w:color w:val="000000"/>
                <w:sz w:val="16"/>
                <w:szCs w:val="18"/>
              </w:rPr>
              <w:tab/>
              <w:t>(-)</w:t>
            </w:r>
            <w:r>
              <w:rPr>
                <w:b/>
                <w:bCs/>
                <w:color w:val="000000"/>
                <w:sz w:val="16"/>
                <w:szCs w:val="18"/>
              </w:rPr>
              <w:tab/>
            </w:r>
            <w:r w:rsidRPr="000E08EE">
              <w:rPr>
                <w:b/>
                <w:bCs/>
                <w:color w:val="000000"/>
                <w:sz w:val="16"/>
                <w:szCs w:val="18"/>
              </w:rPr>
              <w:t>0.3</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4C1636B" w14:textId="77777777" w:rsidR="000E08EE" w:rsidRPr="000E08EE" w:rsidRDefault="000E08EE" w:rsidP="000E08EE">
            <w:pPr>
              <w:tabs>
                <w:tab w:val="decimal" w:pos="489"/>
              </w:tabs>
              <w:jc w:val="left"/>
              <w:rPr>
                <w:b/>
                <w:bCs/>
                <w:color w:val="000000"/>
                <w:sz w:val="16"/>
                <w:szCs w:val="18"/>
              </w:rPr>
            </w:pPr>
            <w:r w:rsidRPr="000E08EE">
              <w:rPr>
                <w:b/>
                <w:bCs/>
                <w:color w:val="000000"/>
                <w:sz w:val="16"/>
                <w:szCs w:val="18"/>
              </w:rPr>
              <w:t>4.6</w:t>
            </w:r>
          </w:p>
        </w:tc>
      </w:tr>
      <w:tr w:rsidR="000E08EE" w:rsidRPr="002F45F6" w14:paraId="5FA7706C"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D848842"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311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06C54F2"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Industria alimentaria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03A341" w14:textId="77777777" w:rsidR="000E08EE" w:rsidRPr="000E08EE" w:rsidRDefault="000E08EE" w:rsidP="000E08EE">
            <w:pPr>
              <w:tabs>
                <w:tab w:val="decimal" w:pos="489"/>
              </w:tabs>
              <w:jc w:val="left"/>
              <w:rPr>
                <w:color w:val="000000"/>
                <w:sz w:val="16"/>
                <w:szCs w:val="18"/>
              </w:rPr>
            </w:pPr>
            <w:r w:rsidRPr="000E08EE">
              <w:rPr>
                <w:color w:val="000000"/>
                <w:sz w:val="16"/>
                <w:szCs w:val="18"/>
              </w:rPr>
              <w:t>0.8</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19AB833" w14:textId="77777777" w:rsidR="000E08EE" w:rsidRPr="000E08EE" w:rsidRDefault="000E08EE" w:rsidP="000E08EE">
            <w:pPr>
              <w:tabs>
                <w:tab w:val="decimal" w:pos="489"/>
              </w:tabs>
              <w:jc w:val="left"/>
              <w:rPr>
                <w:color w:val="000000"/>
                <w:sz w:val="16"/>
                <w:szCs w:val="18"/>
              </w:rPr>
            </w:pPr>
            <w:r w:rsidRPr="000E08EE">
              <w:rPr>
                <w:color w:val="000000"/>
                <w:sz w:val="16"/>
                <w:szCs w:val="18"/>
              </w:rPr>
              <w:t>0.3</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7995039" w14:textId="77777777" w:rsidR="000E08EE" w:rsidRPr="000E08EE" w:rsidRDefault="000E08EE" w:rsidP="000E08EE">
            <w:pPr>
              <w:tabs>
                <w:tab w:val="decimal" w:pos="489"/>
              </w:tabs>
              <w:jc w:val="left"/>
              <w:rPr>
                <w:color w:val="000000"/>
                <w:sz w:val="16"/>
                <w:szCs w:val="18"/>
              </w:rPr>
            </w:pPr>
            <w:r w:rsidRPr="000E08EE">
              <w:rPr>
                <w:color w:val="000000"/>
                <w:sz w:val="16"/>
                <w:szCs w:val="18"/>
              </w:rPr>
              <w:t>4.0</w:t>
            </w:r>
          </w:p>
        </w:tc>
      </w:tr>
      <w:tr w:rsidR="000E08EE" w:rsidRPr="002F45F6" w14:paraId="3D25E16C"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590D7A5"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312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0ADAAD0"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Industria de las bebidas y del tabaco</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7EA72E" w14:textId="77777777" w:rsidR="000E08EE" w:rsidRPr="000E08EE" w:rsidRDefault="000E08EE" w:rsidP="000E08EE">
            <w:pPr>
              <w:tabs>
                <w:tab w:val="decimal" w:pos="489"/>
              </w:tabs>
              <w:jc w:val="left"/>
              <w:rPr>
                <w:color w:val="000000"/>
                <w:sz w:val="16"/>
                <w:szCs w:val="18"/>
              </w:rPr>
            </w:pPr>
            <w:r w:rsidRPr="000E08EE">
              <w:rPr>
                <w:color w:val="000000"/>
                <w:sz w:val="16"/>
                <w:szCs w:val="18"/>
              </w:rPr>
              <w:t>1.0</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2E083B4" w14:textId="77777777" w:rsidR="000E08EE" w:rsidRPr="000E08EE" w:rsidRDefault="000E08EE" w:rsidP="000E08EE">
            <w:pPr>
              <w:tabs>
                <w:tab w:val="decimal" w:pos="489"/>
              </w:tabs>
              <w:jc w:val="left"/>
              <w:rPr>
                <w:color w:val="000000"/>
                <w:sz w:val="16"/>
                <w:szCs w:val="18"/>
              </w:rPr>
            </w:pPr>
            <w:r w:rsidRPr="000E08EE">
              <w:rPr>
                <w:color w:val="000000"/>
                <w:sz w:val="16"/>
                <w:szCs w:val="18"/>
              </w:rPr>
              <w:t>1.7</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A294AC3" w14:textId="77777777" w:rsidR="000E08EE" w:rsidRPr="000E08EE" w:rsidRDefault="000E08EE" w:rsidP="000E08EE">
            <w:pPr>
              <w:tabs>
                <w:tab w:val="decimal" w:pos="489"/>
              </w:tabs>
              <w:jc w:val="left"/>
              <w:rPr>
                <w:color w:val="000000"/>
                <w:sz w:val="16"/>
                <w:szCs w:val="18"/>
              </w:rPr>
            </w:pPr>
            <w:r w:rsidRPr="000E08EE">
              <w:rPr>
                <w:color w:val="000000"/>
                <w:sz w:val="16"/>
                <w:szCs w:val="18"/>
              </w:rPr>
              <w:t>3.8</w:t>
            </w:r>
          </w:p>
        </w:tc>
      </w:tr>
      <w:tr w:rsidR="000E08EE" w:rsidRPr="002F45F6" w14:paraId="31E6658B"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145CA1E"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313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D67D198"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Fabricación de insumos textiles y acabado de textiles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E06EE4"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2.7</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70ADCEB"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3.0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6CA1723" w14:textId="77777777" w:rsidR="000E08EE" w:rsidRPr="000E08EE" w:rsidRDefault="000E08EE" w:rsidP="000E08EE">
            <w:pPr>
              <w:tabs>
                <w:tab w:val="decimal" w:pos="489"/>
              </w:tabs>
              <w:jc w:val="left"/>
              <w:rPr>
                <w:color w:val="000000"/>
                <w:sz w:val="16"/>
                <w:szCs w:val="18"/>
              </w:rPr>
            </w:pPr>
            <w:r w:rsidRPr="000E08EE">
              <w:rPr>
                <w:color w:val="000000"/>
                <w:sz w:val="16"/>
                <w:szCs w:val="18"/>
              </w:rPr>
              <w:t>2.0</w:t>
            </w:r>
          </w:p>
        </w:tc>
      </w:tr>
      <w:tr w:rsidR="000E08EE" w:rsidRPr="002F45F6" w14:paraId="186DF4A3"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ED25870"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314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697C3D1"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Fabricación de productos textiles, excepto prendas de vestir</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3FD79B" w14:textId="77777777" w:rsidR="000E08EE" w:rsidRPr="000E08EE" w:rsidRDefault="000E08EE" w:rsidP="000E08EE">
            <w:pPr>
              <w:tabs>
                <w:tab w:val="decimal" w:pos="489"/>
              </w:tabs>
              <w:jc w:val="left"/>
              <w:rPr>
                <w:color w:val="000000"/>
                <w:sz w:val="16"/>
                <w:szCs w:val="18"/>
              </w:rPr>
            </w:pPr>
            <w:r w:rsidRPr="000E08EE">
              <w:rPr>
                <w:color w:val="000000"/>
                <w:sz w:val="16"/>
                <w:szCs w:val="18"/>
              </w:rPr>
              <w:t>1.4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73F355E" w14:textId="77777777" w:rsidR="000E08EE" w:rsidRPr="000E08EE" w:rsidRDefault="000E08EE" w:rsidP="000E08EE">
            <w:pPr>
              <w:tabs>
                <w:tab w:val="decimal" w:pos="489"/>
              </w:tabs>
              <w:jc w:val="left"/>
              <w:rPr>
                <w:color w:val="000000"/>
                <w:sz w:val="16"/>
                <w:szCs w:val="18"/>
              </w:rPr>
            </w:pPr>
            <w:r w:rsidRPr="000E08EE">
              <w:rPr>
                <w:color w:val="000000"/>
                <w:sz w:val="16"/>
                <w:szCs w:val="18"/>
              </w:rPr>
              <w:t>1.4</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EEF2BBE" w14:textId="77777777" w:rsidR="000E08EE" w:rsidRPr="000E08EE" w:rsidRDefault="000E08EE" w:rsidP="000E08EE">
            <w:pPr>
              <w:tabs>
                <w:tab w:val="decimal" w:pos="489"/>
              </w:tabs>
              <w:jc w:val="left"/>
              <w:rPr>
                <w:color w:val="000000"/>
                <w:sz w:val="16"/>
                <w:szCs w:val="18"/>
              </w:rPr>
            </w:pPr>
            <w:r w:rsidRPr="000E08EE">
              <w:rPr>
                <w:color w:val="000000"/>
                <w:sz w:val="16"/>
                <w:szCs w:val="18"/>
              </w:rPr>
              <w:t>8.3</w:t>
            </w:r>
          </w:p>
        </w:tc>
      </w:tr>
      <w:tr w:rsidR="000E08EE" w:rsidRPr="002F45F6" w14:paraId="70E3FC8A"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D4ED82C"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315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4C7EA59"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Fabricación de prendas de vestir</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76346B"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5.9</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C5CFC7"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3.6</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0C0D624" w14:textId="77777777" w:rsidR="000E08EE" w:rsidRPr="000E08EE" w:rsidRDefault="000E08EE" w:rsidP="000E08EE">
            <w:pPr>
              <w:tabs>
                <w:tab w:val="decimal" w:pos="489"/>
              </w:tabs>
              <w:jc w:val="left"/>
              <w:rPr>
                <w:color w:val="000000"/>
                <w:sz w:val="16"/>
                <w:szCs w:val="18"/>
              </w:rPr>
            </w:pPr>
            <w:r w:rsidRPr="000E08EE">
              <w:rPr>
                <w:color w:val="000000"/>
                <w:sz w:val="16"/>
                <w:szCs w:val="18"/>
              </w:rPr>
              <w:t>4.2</w:t>
            </w:r>
          </w:p>
        </w:tc>
      </w:tr>
      <w:tr w:rsidR="000E08EE" w:rsidRPr="002F45F6" w14:paraId="2A787BE3"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55C35B0"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316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D848F01" w14:textId="77777777" w:rsidR="000E08EE" w:rsidRPr="004867D2" w:rsidRDefault="000E08EE" w:rsidP="000E08EE">
            <w:pPr>
              <w:snapToGrid w:val="0"/>
              <w:spacing w:before="20" w:after="20"/>
              <w:ind w:left="-94"/>
              <w:jc w:val="left"/>
              <w:rPr>
                <w:sz w:val="16"/>
                <w:szCs w:val="16"/>
                <w:lang w:val="es-MX" w:eastAsia="es-MX"/>
              </w:rPr>
            </w:pPr>
            <w:r w:rsidRPr="004867D2">
              <w:rPr>
                <w:sz w:val="16"/>
                <w:szCs w:val="16"/>
                <w:lang w:val="es-MX" w:eastAsia="es-MX"/>
              </w:rPr>
              <w:t xml:space="preserve">Curtido y acabado de cuero y piel, y fabricación de productos de cuero, </w:t>
            </w:r>
            <w:r>
              <w:rPr>
                <w:sz w:val="16"/>
                <w:szCs w:val="16"/>
                <w:lang w:val="es-MX" w:eastAsia="es-MX"/>
              </w:rPr>
              <w:br/>
            </w:r>
            <w:r w:rsidRPr="004867D2">
              <w:rPr>
                <w:sz w:val="16"/>
                <w:szCs w:val="16"/>
                <w:lang w:val="es-MX" w:eastAsia="es-MX"/>
              </w:rPr>
              <w:t>piel y materiales sucedáneos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6F1320"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2.4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3D6C8B"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1.3</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879F9FE" w14:textId="77777777" w:rsidR="000E08EE" w:rsidRPr="000E08EE" w:rsidRDefault="000E08EE" w:rsidP="000E08EE">
            <w:pPr>
              <w:tabs>
                <w:tab w:val="decimal" w:pos="489"/>
              </w:tabs>
              <w:jc w:val="left"/>
              <w:rPr>
                <w:color w:val="000000"/>
                <w:sz w:val="16"/>
                <w:szCs w:val="18"/>
              </w:rPr>
            </w:pPr>
            <w:r w:rsidRPr="000E08EE">
              <w:rPr>
                <w:color w:val="000000"/>
                <w:sz w:val="16"/>
                <w:szCs w:val="18"/>
              </w:rPr>
              <w:t>5.3</w:t>
            </w:r>
          </w:p>
        </w:tc>
      </w:tr>
      <w:tr w:rsidR="000E08EE" w:rsidRPr="002F45F6" w14:paraId="359FD77C"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B357B8B"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321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DD179A8" w14:textId="77777777" w:rsidR="000E08EE" w:rsidRPr="004867D2" w:rsidRDefault="000E08EE" w:rsidP="000E08EE">
            <w:pPr>
              <w:snapToGrid w:val="0"/>
              <w:spacing w:before="20" w:after="20"/>
              <w:ind w:left="-94"/>
              <w:jc w:val="left"/>
              <w:rPr>
                <w:sz w:val="16"/>
                <w:szCs w:val="16"/>
                <w:lang w:val="es-MX" w:eastAsia="es-MX"/>
              </w:rPr>
            </w:pPr>
            <w:r w:rsidRPr="004867D2">
              <w:rPr>
                <w:sz w:val="16"/>
                <w:szCs w:val="16"/>
                <w:lang w:val="es-MX" w:eastAsia="es-MX"/>
              </w:rPr>
              <w:t>Industria de la madera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8350D1A"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1.4</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448E03" w14:textId="77777777" w:rsidR="000E08EE" w:rsidRPr="000E08EE" w:rsidRDefault="000E08EE" w:rsidP="000E08EE">
            <w:pPr>
              <w:tabs>
                <w:tab w:val="decimal" w:pos="489"/>
              </w:tabs>
              <w:jc w:val="left"/>
              <w:rPr>
                <w:color w:val="000000"/>
                <w:sz w:val="16"/>
                <w:szCs w:val="18"/>
              </w:rPr>
            </w:pPr>
            <w:r w:rsidRPr="000E08EE">
              <w:rPr>
                <w:color w:val="000000"/>
                <w:sz w:val="16"/>
                <w:szCs w:val="18"/>
              </w:rPr>
              <w:t>2.1</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08F4B0" w14:textId="77777777" w:rsidR="000E08EE" w:rsidRPr="000E08EE" w:rsidRDefault="000E08EE" w:rsidP="000E08EE">
            <w:pPr>
              <w:tabs>
                <w:tab w:val="decimal" w:pos="489"/>
              </w:tabs>
              <w:jc w:val="left"/>
              <w:rPr>
                <w:color w:val="000000"/>
                <w:sz w:val="16"/>
                <w:szCs w:val="18"/>
              </w:rPr>
            </w:pPr>
            <w:r w:rsidRPr="000E08EE">
              <w:rPr>
                <w:color w:val="000000"/>
                <w:sz w:val="16"/>
                <w:szCs w:val="18"/>
              </w:rPr>
              <w:t>8.2</w:t>
            </w:r>
          </w:p>
        </w:tc>
      </w:tr>
      <w:tr w:rsidR="000E08EE" w:rsidRPr="002F45F6" w14:paraId="363553B5"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01A77D4"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322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273DA4E" w14:textId="77777777" w:rsidR="000E08EE" w:rsidRPr="004867D2" w:rsidRDefault="000E08EE" w:rsidP="000E08EE">
            <w:pPr>
              <w:snapToGrid w:val="0"/>
              <w:spacing w:before="20" w:after="20"/>
              <w:ind w:left="-94"/>
              <w:jc w:val="left"/>
              <w:rPr>
                <w:sz w:val="16"/>
                <w:szCs w:val="16"/>
                <w:lang w:val="es-MX" w:eastAsia="es-MX"/>
              </w:rPr>
            </w:pPr>
            <w:r w:rsidRPr="004867D2">
              <w:rPr>
                <w:sz w:val="16"/>
                <w:szCs w:val="16"/>
                <w:lang w:val="es-MX" w:eastAsia="es-MX"/>
              </w:rPr>
              <w:t>Industria del papel</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8AB774" w14:textId="77777777" w:rsidR="000E08EE" w:rsidRPr="000E08EE" w:rsidRDefault="000E08EE" w:rsidP="000E08EE">
            <w:pPr>
              <w:tabs>
                <w:tab w:val="decimal" w:pos="489"/>
              </w:tabs>
              <w:jc w:val="left"/>
              <w:rPr>
                <w:color w:val="000000"/>
                <w:sz w:val="16"/>
                <w:szCs w:val="18"/>
              </w:rPr>
            </w:pPr>
            <w:r w:rsidRPr="000E08EE">
              <w:rPr>
                <w:color w:val="000000"/>
                <w:sz w:val="16"/>
                <w:szCs w:val="18"/>
              </w:rPr>
              <w:t>0.5</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ACC42B" w14:textId="77777777" w:rsidR="000E08EE" w:rsidRPr="000E08EE" w:rsidRDefault="000E08EE" w:rsidP="000E08EE">
            <w:pPr>
              <w:tabs>
                <w:tab w:val="decimal" w:pos="489"/>
              </w:tabs>
              <w:jc w:val="left"/>
              <w:rPr>
                <w:color w:val="000000"/>
                <w:sz w:val="16"/>
                <w:szCs w:val="18"/>
              </w:rPr>
            </w:pPr>
            <w:r w:rsidRPr="000E08EE">
              <w:rPr>
                <w:color w:val="000000"/>
                <w:sz w:val="16"/>
                <w:szCs w:val="18"/>
              </w:rPr>
              <w:t>1.6</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EE7617" w14:textId="77777777" w:rsidR="000E08EE" w:rsidRPr="000E08EE" w:rsidRDefault="000E08EE" w:rsidP="000E08EE">
            <w:pPr>
              <w:tabs>
                <w:tab w:val="decimal" w:pos="489"/>
              </w:tabs>
              <w:jc w:val="left"/>
              <w:rPr>
                <w:color w:val="000000"/>
                <w:sz w:val="16"/>
                <w:szCs w:val="18"/>
              </w:rPr>
            </w:pPr>
            <w:r w:rsidRPr="000E08EE">
              <w:rPr>
                <w:color w:val="000000"/>
                <w:sz w:val="16"/>
                <w:szCs w:val="18"/>
              </w:rPr>
              <w:t>1.7</w:t>
            </w:r>
          </w:p>
        </w:tc>
      </w:tr>
      <w:tr w:rsidR="000E08EE" w:rsidRPr="002F45F6" w14:paraId="1094DF9B"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D90A44"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323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3F6B9F6E" w14:textId="77777777" w:rsidR="000E08EE" w:rsidRPr="004867D2" w:rsidRDefault="000E08EE" w:rsidP="000E08EE">
            <w:pPr>
              <w:snapToGrid w:val="0"/>
              <w:spacing w:before="20" w:after="20"/>
              <w:ind w:left="-94"/>
              <w:jc w:val="left"/>
              <w:rPr>
                <w:sz w:val="16"/>
                <w:szCs w:val="16"/>
                <w:lang w:val="es-MX" w:eastAsia="es-MX"/>
              </w:rPr>
            </w:pPr>
            <w:r w:rsidRPr="004867D2">
              <w:rPr>
                <w:sz w:val="16"/>
                <w:szCs w:val="16"/>
                <w:lang w:val="es-MX" w:eastAsia="es-MX"/>
              </w:rPr>
              <w:t>Impresión e industrias conexas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ED018CD" w14:textId="77777777" w:rsidR="000E08EE" w:rsidRPr="000E08EE" w:rsidRDefault="000E08EE" w:rsidP="000E08EE">
            <w:pPr>
              <w:tabs>
                <w:tab w:val="decimal" w:pos="489"/>
              </w:tabs>
              <w:jc w:val="left"/>
              <w:rPr>
                <w:color w:val="000000"/>
                <w:sz w:val="16"/>
                <w:szCs w:val="18"/>
              </w:rPr>
            </w:pPr>
            <w:r w:rsidRPr="000E08EE">
              <w:rPr>
                <w:color w:val="000000"/>
                <w:sz w:val="16"/>
                <w:szCs w:val="18"/>
              </w:rPr>
              <w:t>1.2</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0544225" w14:textId="77777777" w:rsidR="000E08EE" w:rsidRPr="000E08EE" w:rsidRDefault="000E08EE" w:rsidP="000E08EE">
            <w:pPr>
              <w:tabs>
                <w:tab w:val="decimal" w:pos="489"/>
              </w:tabs>
              <w:jc w:val="left"/>
              <w:rPr>
                <w:color w:val="000000"/>
                <w:sz w:val="16"/>
                <w:szCs w:val="18"/>
              </w:rPr>
            </w:pPr>
            <w:r w:rsidRPr="000E08EE">
              <w:rPr>
                <w:color w:val="000000"/>
                <w:sz w:val="16"/>
                <w:szCs w:val="18"/>
              </w:rPr>
              <w:t>3.5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B7A5ED5" w14:textId="77777777" w:rsidR="000E08EE" w:rsidRPr="000E08EE" w:rsidRDefault="000E08EE" w:rsidP="000E08EE">
            <w:pPr>
              <w:tabs>
                <w:tab w:val="decimal" w:pos="489"/>
              </w:tabs>
              <w:jc w:val="left"/>
              <w:rPr>
                <w:color w:val="000000"/>
                <w:sz w:val="16"/>
                <w:szCs w:val="18"/>
              </w:rPr>
            </w:pPr>
            <w:r w:rsidRPr="000E08EE">
              <w:rPr>
                <w:color w:val="000000"/>
                <w:sz w:val="16"/>
                <w:szCs w:val="18"/>
              </w:rPr>
              <w:t>2.4</w:t>
            </w:r>
          </w:p>
        </w:tc>
      </w:tr>
      <w:tr w:rsidR="000E08EE" w:rsidRPr="002F45F6" w14:paraId="1803343E"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530910"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324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E8F76CB" w14:textId="77777777" w:rsidR="000E08EE" w:rsidRPr="004867D2" w:rsidRDefault="000E08EE" w:rsidP="000E08EE">
            <w:pPr>
              <w:snapToGrid w:val="0"/>
              <w:spacing w:before="20" w:after="20"/>
              <w:ind w:left="-94" w:right="-155"/>
              <w:jc w:val="left"/>
              <w:rPr>
                <w:sz w:val="16"/>
                <w:szCs w:val="16"/>
                <w:lang w:val="es-MX" w:eastAsia="es-MX"/>
              </w:rPr>
            </w:pPr>
            <w:r w:rsidRPr="004867D2">
              <w:rPr>
                <w:sz w:val="16"/>
                <w:szCs w:val="16"/>
                <w:lang w:val="es-MX" w:eastAsia="es-MX"/>
              </w:rPr>
              <w:t>Fabricación de productos derivados del petróleo y del carbón</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0CD0445"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4.2</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4297939"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4.0</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1C555A"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5.5</w:t>
            </w:r>
          </w:p>
        </w:tc>
      </w:tr>
      <w:tr w:rsidR="000E08EE" w:rsidRPr="002F45F6" w14:paraId="7FE19DC5"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DF7DA22"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325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38781940"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Industria química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6D905A" w14:textId="77777777" w:rsidR="000E08EE" w:rsidRPr="000E08EE" w:rsidRDefault="000E08EE" w:rsidP="000E08EE">
            <w:pPr>
              <w:tabs>
                <w:tab w:val="decimal" w:pos="489"/>
              </w:tabs>
              <w:jc w:val="left"/>
              <w:rPr>
                <w:color w:val="000000"/>
                <w:sz w:val="16"/>
                <w:szCs w:val="18"/>
              </w:rPr>
            </w:pPr>
            <w:r w:rsidRPr="000E08EE">
              <w:rPr>
                <w:color w:val="000000"/>
                <w:sz w:val="16"/>
                <w:szCs w:val="18"/>
              </w:rPr>
              <w:t>2.2</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47C04F" w14:textId="77777777" w:rsidR="000E08EE" w:rsidRPr="000E08EE" w:rsidRDefault="000E08EE" w:rsidP="000E08EE">
            <w:pPr>
              <w:tabs>
                <w:tab w:val="decimal" w:pos="489"/>
              </w:tabs>
              <w:jc w:val="left"/>
              <w:rPr>
                <w:color w:val="000000"/>
                <w:sz w:val="16"/>
                <w:szCs w:val="18"/>
              </w:rPr>
            </w:pPr>
            <w:r w:rsidRPr="000E08EE">
              <w:rPr>
                <w:color w:val="000000"/>
                <w:sz w:val="16"/>
                <w:szCs w:val="18"/>
              </w:rPr>
              <w:t>2.9</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BA97B08"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2.9</w:t>
            </w:r>
          </w:p>
        </w:tc>
      </w:tr>
      <w:tr w:rsidR="000E08EE" w:rsidRPr="002F45F6" w14:paraId="0C79FEDB"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D6E93CB"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326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62884B9"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Industria del plástico y del hule</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B788CF7" w14:textId="77777777" w:rsidR="000E08EE" w:rsidRPr="000E08EE" w:rsidRDefault="000E08EE" w:rsidP="000E08EE">
            <w:pPr>
              <w:tabs>
                <w:tab w:val="decimal" w:pos="489"/>
              </w:tabs>
              <w:jc w:val="left"/>
              <w:rPr>
                <w:color w:val="000000"/>
                <w:sz w:val="16"/>
                <w:szCs w:val="18"/>
              </w:rPr>
            </w:pPr>
            <w:r w:rsidRPr="000E08EE">
              <w:rPr>
                <w:color w:val="000000"/>
                <w:sz w:val="16"/>
                <w:szCs w:val="18"/>
              </w:rPr>
              <w:t>1.0</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AC4BED1" w14:textId="77777777" w:rsidR="000E08EE" w:rsidRPr="000E08EE" w:rsidRDefault="000E08EE" w:rsidP="000E08EE">
            <w:pPr>
              <w:tabs>
                <w:tab w:val="decimal" w:pos="489"/>
              </w:tabs>
              <w:jc w:val="left"/>
              <w:rPr>
                <w:color w:val="000000"/>
                <w:sz w:val="16"/>
                <w:szCs w:val="18"/>
              </w:rPr>
            </w:pPr>
            <w:r w:rsidRPr="000E08EE">
              <w:rPr>
                <w:color w:val="000000"/>
                <w:sz w:val="16"/>
                <w:szCs w:val="18"/>
              </w:rPr>
              <w:t>1.9</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8D91EA9" w14:textId="77777777" w:rsidR="000E08EE" w:rsidRPr="000E08EE" w:rsidRDefault="000E08EE" w:rsidP="000E08EE">
            <w:pPr>
              <w:tabs>
                <w:tab w:val="decimal" w:pos="489"/>
              </w:tabs>
              <w:jc w:val="left"/>
              <w:rPr>
                <w:color w:val="000000"/>
                <w:sz w:val="16"/>
                <w:szCs w:val="18"/>
              </w:rPr>
            </w:pPr>
            <w:r w:rsidRPr="000E08EE">
              <w:rPr>
                <w:color w:val="000000"/>
                <w:sz w:val="16"/>
                <w:szCs w:val="18"/>
              </w:rPr>
              <w:t>5.7</w:t>
            </w:r>
          </w:p>
        </w:tc>
      </w:tr>
      <w:tr w:rsidR="000E08EE" w:rsidRPr="002F45F6" w14:paraId="1B7F7F18"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F32D9A5"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327</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CD470BA"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Fabricación de productos a base de minerales no metálicos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F5449F"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3.6</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8565252"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3.2</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A0BCFF" w14:textId="77777777" w:rsidR="000E08EE" w:rsidRPr="000E08EE" w:rsidRDefault="000E08EE" w:rsidP="000E08EE">
            <w:pPr>
              <w:tabs>
                <w:tab w:val="decimal" w:pos="489"/>
              </w:tabs>
              <w:jc w:val="left"/>
              <w:rPr>
                <w:color w:val="000000"/>
                <w:sz w:val="16"/>
                <w:szCs w:val="18"/>
              </w:rPr>
            </w:pPr>
            <w:r w:rsidRPr="000E08EE">
              <w:rPr>
                <w:color w:val="000000"/>
                <w:sz w:val="16"/>
                <w:szCs w:val="18"/>
              </w:rPr>
              <w:t>5.3</w:t>
            </w:r>
          </w:p>
        </w:tc>
      </w:tr>
      <w:tr w:rsidR="000E08EE" w:rsidRPr="002F45F6" w14:paraId="01A13A6E"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53B8A53"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331</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8363405"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Industrias metálicas básicas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76818E" w14:textId="77777777" w:rsidR="000E08EE" w:rsidRPr="000E08EE" w:rsidRDefault="000E08EE" w:rsidP="000E08EE">
            <w:pPr>
              <w:tabs>
                <w:tab w:val="decimal" w:pos="489"/>
              </w:tabs>
              <w:jc w:val="left"/>
              <w:rPr>
                <w:color w:val="000000"/>
                <w:sz w:val="16"/>
                <w:szCs w:val="18"/>
              </w:rPr>
            </w:pPr>
            <w:r w:rsidRPr="000E08EE">
              <w:rPr>
                <w:color w:val="000000"/>
                <w:sz w:val="16"/>
                <w:szCs w:val="18"/>
              </w:rPr>
              <w:t>1.1</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54E0FB" w14:textId="77777777" w:rsidR="000E08EE" w:rsidRPr="000E08EE" w:rsidRDefault="000E08EE" w:rsidP="000E08EE">
            <w:pPr>
              <w:tabs>
                <w:tab w:val="decimal" w:pos="489"/>
              </w:tabs>
              <w:jc w:val="left"/>
              <w:rPr>
                <w:color w:val="000000"/>
                <w:sz w:val="16"/>
                <w:szCs w:val="18"/>
              </w:rPr>
            </w:pPr>
            <w:r w:rsidRPr="000E08EE">
              <w:rPr>
                <w:color w:val="000000"/>
                <w:sz w:val="16"/>
                <w:szCs w:val="18"/>
              </w:rPr>
              <w:t>1.4</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E47C018" w14:textId="77777777" w:rsidR="000E08EE" w:rsidRPr="000E08EE" w:rsidRDefault="000E08EE" w:rsidP="000E08EE">
            <w:pPr>
              <w:tabs>
                <w:tab w:val="decimal" w:pos="489"/>
              </w:tabs>
              <w:jc w:val="left"/>
              <w:rPr>
                <w:color w:val="000000"/>
                <w:sz w:val="16"/>
                <w:szCs w:val="18"/>
              </w:rPr>
            </w:pPr>
            <w:r w:rsidRPr="000E08EE">
              <w:rPr>
                <w:color w:val="000000"/>
                <w:sz w:val="16"/>
                <w:szCs w:val="18"/>
              </w:rPr>
              <w:t>1.9</w:t>
            </w:r>
          </w:p>
        </w:tc>
      </w:tr>
      <w:tr w:rsidR="000E08EE" w:rsidRPr="002F45F6" w14:paraId="72D8447F"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14B3C0B"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332</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E4B40AC"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Fabricación de productos metálicos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FCE130"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3.0</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B57B061"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4.5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1626B8" w14:textId="77777777" w:rsidR="000E08EE" w:rsidRPr="000E08EE" w:rsidRDefault="000E08EE" w:rsidP="000E08EE">
            <w:pPr>
              <w:tabs>
                <w:tab w:val="decimal" w:pos="489"/>
              </w:tabs>
              <w:jc w:val="left"/>
              <w:rPr>
                <w:color w:val="000000"/>
                <w:sz w:val="16"/>
                <w:szCs w:val="18"/>
              </w:rPr>
            </w:pPr>
            <w:r w:rsidRPr="000E08EE">
              <w:rPr>
                <w:color w:val="000000"/>
                <w:sz w:val="16"/>
                <w:szCs w:val="18"/>
              </w:rPr>
              <w:t>10.2</w:t>
            </w:r>
          </w:p>
        </w:tc>
      </w:tr>
      <w:tr w:rsidR="000E08EE" w:rsidRPr="002F45F6" w14:paraId="09156F25"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C8AC4D"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333</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6870307"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Fabricación de maquinaria y equipo</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48C0387"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1.8</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A701FAB"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0.4</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A7BC3DA" w14:textId="77777777" w:rsidR="000E08EE" w:rsidRPr="000E08EE" w:rsidRDefault="000E08EE" w:rsidP="000E08EE">
            <w:pPr>
              <w:tabs>
                <w:tab w:val="decimal" w:pos="489"/>
              </w:tabs>
              <w:jc w:val="left"/>
              <w:rPr>
                <w:color w:val="000000"/>
                <w:sz w:val="16"/>
                <w:szCs w:val="18"/>
              </w:rPr>
            </w:pPr>
            <w:r w:rsidRPr="000E08EE">
              <w:rPr>
                <w:color w:val="000000"/>
                <w:sz w:val="16"/>
                <w:szCs w:val="18"/>
              </w:rPr>
              <w:t>4.6</w:t>
            </w:r>
          </w:p>
        </w:tc>
      </w:tr>
      <w:tr w:rsidR="000E08EE" w:rsidRPr="002F45F6" w14:paraId="6E4F2666"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65595F7"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334</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66EF0F" w14:textId="77777777" w:rsidR="000E08EE" w:rsidRPr="004867D2" w:rsidRDefault="000E08EE" w:rsidP="000E08EE">
            <w:pPr>
              <w:snapToGrid w:val="0"/>
              <w:spacing w:before="20" w:after="20"/>
              <w:ind w:left="-96" w:right="-70"/>
              <w:jc w:val="left"/>
              <w:rPr>
                <w:sz w:val="16"/>
                <w:szCs w:val="16"/>
                <w:lang w:val="es-MX" w:eastAsia="es-MX"/>
              </w:rPr>
            </w:pPr>
            <w:r w:rsidRPr="004867D2">
              <w:rPr>
                <w:sz w:val="16"/>
                <w:szCs w:val="16"/>
                <w:lang w:val="es-MX" w:eastAsia="es-MX"/>
              </w:rPr>
              <w:t>Fabricación de equipo de computación, comunicación, medición y de otros equipos, componentes y accesorios electrónicos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3EDF37B"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0.2</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AA29838" w14:textId="77777777" w:rsidR="000E08EE" w:rsidRPr="000E08EE" w:rsidRDefault="000E08EE" w:rsidP="000E08EE">
            <w:pPr>
              <w:tabs>
                <w:tab w:val="decimal" w:pos="489"/>
              </w:tabs>
              <w:jc w:val="left"/>
              <w:rPr>
                <w:color w:val="000000"/>
                <w:sz w:val="16"/>
                <w:szCs w:val="18"/>
              </w:rPr>
            </w:pPr>
            <w:r w:rsidRPr="000E08EE">
              <w:rPr>
                <w:color w:val="000000"/>
                <w:sz w:val="16"/>
                <w:szCs w:val="18"/>
              </w:rPr>
              <w:t>1.3</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B64A59" w14:textId="77777777" w:rsidR="000E08EE" w:rsidRPr="000E08EE" w:rsidRDefault="000E08EE" w:rsidP="000E08EE">
            <w:pPr>
              <w:tabs>
                <w:tab w:val="decimal" w:pos="489"/>
              </w:tabs>
              <w:jc w:val="left"/>
              <w:rPr>
                <w:color w:val="000000"/>
                <w:sz w:val="16"/>
                <w:szCs w:val="18"/>
              </w:rPr>
            </w:pPr>
            <w:r w:rsidRPr="000E08EE">
              <w:rPr>
                <w:color w:val="000000"/>
                <w:sz w:val="16"/>
                <w:szCs w:val="18"/>
              </w:rPr>
              <w:t>7.6</w:t>
            </w:r>
          </w:p>
        </w:tc>
      </w:tr>
      <w:tr w:rsidR="000E08EE" w:rsidRPr="002F45F6" w14:paraId="045A8887"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8110BC"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335</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B6BFBE7"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 xml:space="preserve">Fabricación de accesorios, aparatos eléctricos y equipo de generación </w:t>
            </w:r>
            <w:r>
              <w:rPr>
                <w:sz w:val="16"/>
                <w:szCs w:val="16"/>
                <w:lang w:val="es-MX" w:eastAsia="es-MX"/>
              </w:rPr>
              <w:br/>
            </w:r>
            <w:r w:rsidRPr="004867D2">
              <w:rPr>
                <w:sz w:val="16"/>
                <w:szCs w:val="16"/>
                <w:lang w:val="es-MX" w:eastAsia="es-MX"/>
              </w:rPr>
              <w:t>de energía eléctrica</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AB8D48"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1.7</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857DE1E"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1.9</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F1125E" w14:textId="77777777" w:rsidR="000E08EE" w:rsidRPr="000E08EE" w:rsidRDefault="000E08EE" w:rsidP="000E08EE">
            <w:pPr>
              <w:tabs>
                <w:tab w:val="decimal" w:pos="489"/>
              </w:tabs>
              <w:jc w:val="left"/>
              <w:rPr>
                <w:color w:val="000000"/>
                <w:sz w:val="16"/>
                <w:szCs w:val="18"/>
              </w:rPr>
            </w:pPr>
            <w:r w:rsidRPr="000E08EE">
              <w:rPr>
                <w:color w:val="000000"/>
                <w:sz w:val="16"/>
                <w:szCs w:val="18"/>
              </w:rPr>
              <w:t>8.2</w:t>
            </w:r>
          </w:p>
        </w:tc>
      </w:tr>
      <w:tr w:rsidR="000E08EE" w:rsidRPr="002F45F6" w14:paraId="5DF136EB"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034577F"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336</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30D5C4F"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Fabricación de equipo de transporte</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9B0CE2"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1.2</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49E6D6"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2.3</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B296414" w14:textId="77777777" w:rsidR="000E08EE" w:rsidRPr="000E08EE" w:rsidRDefault="000E08EE" w:rsidP="000E08EE">
            <w:pPr>
              <w:tabs>
                <w:tab w:val="decimal" w:pos="489"/>
              </w:tabs>
              <w:jc w:val="left"/>
              <w:rPr>
                <w:color w:val="000000"/>
                <w:sz w:val="16"/>
                <w:szCs w:val="18"/>
              </w:rPr>
            </w:pPr>
            <w:r w:rsidRPr="000E08EE">
              <w:rPr>
                <w:color w:val="000000"/>
                <w:sz w:val="16"/>
                <w:szCs w:val="18"/>
              </w:rPr>
              <w:t>3.8</w:t>
            </w:r>
          </w:p>
        </w:tc>
      </w:tr>
      <w:tr w:rsidR="000E08EE" w:rsidRPr="002F45F6" w14:paraId="3BABB431" w14:textId="77777777" w:rsidTr="000E08EE">
        <w:trPr>
          <w:jc w:val="center"/>
        </w:trPr>
        <w:tc>
          <w:tcPr>
            <w:tcW w:w="704"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9D4C58B"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337</w:t>
            </w:r>
          </w:p>
        </w:tc>
        <w:tc>
          <w:tcPr>
            <w:tcW w:w="5512"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2AB15C0"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Fabricación de muebles, colchones y persianas</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86E3FB1" w14:textId="77777777" w:rsidR="000E08EE" w:rsidRPr="000E08EE" w:rsidRDefault="000E08EE" w:rsidP="000E08EE">
            <w:pPr>
              <w:tabs>
                <w:tab w:val="left" w:pos="136"/>
                <w:tab w:val="decimal" w:pos="489"/>
              </w:tabs>
              <w:jc w:val="left"/>
              <w:rPr>
                <w:color w:val="000000"/>
                <w:sz w:val="16"/>
                <w:szCs w:val="18"/>
              </w:rPr>
            </w:pPr>
            <w:r>
              <w:rPr>
                <w:color w:val="000000"/>
                <w:sz w:val="16"/>
                <w:szCs w:val="18"/>
              </w:rPr>
              <w:tab/>
              <w:t>(-)</w:t>
            </w:r>
            <w:r>
              <w:rPr>
                <w:color w:val="000000"/>
                <w:sz w:val="16"/>
                <w:szCs w:val="18"/>
              </w:rPr>
              <w:tab/>
            </w:r>
            <w:r w:rsidRPr="000E08EE">
              <w:rPr>
                <w:color w:val="000000"/>
                <w:sz w:val="16"/>
                <w:szCs w:val="18"/>
              </w:rPr>
              <w:t>1.8</w:t>
            </w:r>
          </w:p>
        </w:tc>
        <w:tc>
          <w:tcPr>
            <w:tcW w:w="105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88E3413" w14:textId="77777777" w:rsidR="000E08EE" w:rsidRPr="000E08EE" w:rsidRDefault="000E08EE" w:rsidP="000E08EE">
            <w:pPr>
              <w:tabs>
                <w:tab w:val="decimal" w:pos="489"/>
              </w:tabs>
              <w:jc w:val="left"/>
              <w:rPr>
                <w:color w:val="000000"/>
                <w:sz w:val="16"/>
                <w:szCs w:val="18"/>
              </w:rPr>
            </w:pPr>
            <w:r w:rsidRPr="000E08EE">
              <w:rPr>
                <w:color w:val="000000"/>
                <w:sz w:val="16"/>
                <w:szCs w:val="18"/>
              </w:rPr>
              <w:t>0.5</w:t>
            </w:r>
          </w:p>
        </w:tc>
        <w:tc>
          <w:tcPr>
            <w:tcW w:w="1058"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70C7C0" w14:textId="77777777" w:rsidR="000E08EE" w:rsidRPr="000E08EE" w:rsidRDefault="000E08EE" w:rsidP="000E08EE">
            <w:pPr>
              <w:tabs>
                <w:tab w:val="decimal" w:pos="489"/>
              </w:tabs>
              <w:jc w:val="left"/>
              <w:rPr>
                <w:color w:val="000000"/>
                <w:sz w:val="16"/>
                <w:szCs w:val="18"/>
              </w:rPr>
            </w:pPr>
            <w:r w:rsidRPr="000E08EE">
              <w:rPr>
                <w:color w:val="000000"/>
                <w:sz w:val="16"/>
                <w:szCs w:val="18"/>
              </w:rPr>
              <w:t>6.3</w:t>
            </w:r>
          </w:p>
        </w:tc>
      </w:tr>
      <w:tr w:rsidR="000E08EE" w:rsidRPr="002F45F6" w14:paraId="48B3F723" w14:textId="77777777" w:rsidTr="000E08EE">
        <w:trPr>
          <w:jc w:val="center"/>
        </w:trPr>
        <w:tc>
          <w:tcPr>
            <w:tcW w:w="704"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452C926C" w14:textId="77777777" w:rsidR="000E08EE" w:rsidRPr="004867D2" w:rsidRDefault="000E08EE" w:rsidP="000E08EE">
            <w:pPr>
              <w:snapToGrid w:val="0"/>
              <w:spacing w:before="20" w:after="20"/>
              <w:ind w:left="-113" w:right="57"/>
              <w:jc w:val="right"/>
              <w:rPr>
                <w:sz w:val="16"/>
                <w:szCs w:val="16"/>
                <w:lang w:val="es-MX" w:eastAsia="es-MX"/>
              </w:rPr>
            </w:pPr>
            <w:r w:rsidRPr="004867D2">
              <w:rPr>
                <w:sz w:val="16"/>
                <w:szCs w:val="16"/>
                <w:lang w:val="es-MX" w:eastAsia="es-MX"/>
              </w:rPr>
              <w:t>339</w:t>
            </w:r>
          </w:p>
        </w:tc>
        <w:tc>
          <w:tcPr>
            <w:tcW w:w="5512"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59FA02D0" w14:textId="77777777" w:rsidR="000E08EE" w:rsidRPr="004867D2" w:rsidRDefault="000E08EE" w:rsidP="000E08EE">
            <w:pPr>
              <w:snapToGrid w:val="0"/>
              <w:spacing w:before="20" w:after="20"/>
              <w:ind w:left="-96"/>
              <w:jc w:val="left"/>
              <w:rPr>
                <w:sz w:val="16"/>
                <w:szCs w:val="16"/>
                <w:lang w:val="es-MX" w:eastAsia="es-MX"/>
              </w:rPr>
            </w:pPr>
            <w:r w:rsidRPr="004867D2">
              <w:rPr>
                <w:sz w:val="16"/>
                <w:szCs w:val="16"/>
                <w:lang w:val="es-MX" w:eastAsia="es-MX"/>
              </w:rPr>
              <w:t>Otras industrias manufactureras</w:t>
            </w:r>
          </w:p>
        </w:tc>
        <w:tc>
          <w:tcPr>
            <w:tcW w:w="105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674ACDA3" w14:textId="77777777" w:rsidR="000E08EE" w:rsidRPr="000E08EE" w:rsidRDefault="000E08EE" w:rsidP="000E08EE">
            <w:pPr>
              <w:tabs>
                <w:tab w:val="decimal" w:pos="489"/>
              </w:tabs>
              <w:jc w:val="left"/>
              <w:rPr>
                <w:color w:val="000000"/>
                <w:sz w:val="16"/>
                <w:szCs w:val="18"/>
              </w:rPr>
            </w:pPr>
            <w:r w:rsidRPr="000E08EE">
              <w:rPr>
                <w:color w:val="000000"/>
                <w:sz w:val="16"/>
                <w:szCs w:val="18"/>
              </w:rPr>
              <w:t>1.5</w:t>
            </w:r>
          </w:p>
        </w:tc>
        <w:tc>
          <w:tcPr>
            <w:tcW w:w="105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BBFCB85" w14:textId="77777777" w:rsidR="000E08EE" w:rsidRPr="000E08EE" w:rsidRDefault="000E08EE" w:rsidP="000E08EE">
            <w:pPr>
              <w:tabs>
                <w:tab w:val="decimal" w:pos="489"/>
              </w:tabs>
              <w:jc w:val="left"/>
              <w:rPr>
                <w:color w:val="000000"/>
                <w:sz w:val="16"/>
                <w:szCs w:val="18"/>
              </w:rPr>
            </w:pPr>
            <w:r w:rsidRPr="000E08EE">
              <w:rPr>
                <w:color w:val="000000"/>
                <w:sz w:val="16"/>
                <w:szCs w:val="18"/>
              </w:rPr>
              <w:t>5.3</w:t>
            </w:r>
          </w:p>
        </w:tc>
        <w:tc>
          <w:tcPr>
            <w:tcW w:w="1058"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7EF76F9" w14:textId="77777777" w:rsidR="000E08EE" w:rsidRPr="000E08EE" w:rsidRDefault="000E08EE" w:rsidP="000E08EE">
            <w:pPr>
              <w:tabs>
                <w:tab w:val="decimal" w:pos="489"/>
              </w:tabs>
              <w:jc w:val="left"/>
              <w:rPr>
                <w:color w:val="000000"/>
                <w:sz w:val="16"/>
                <w:szCs w:val="18"/>
              </w:rPr>
            </w:pPr>
            <w:r w:rsidRPr="000E08EE">
              <w:rPr>
                <w:color w:val="000000"/>
                <w:sz w:val="16"/>
                <w:szCs w:val="18"/>
              </w:rPr>
              <w:t>11.7</w:t>
            </w:r>
          </w:p>
        </w:tc>
      </w:tr>
    </w:tbl>
    <w:p w14:paraId="3B1CDAE6" w14:textId="77777777" w:rsidR="00095006" w:rsidRPr="004867D2" w:rsidRDefault="00095006" w:rsidP="003537FD">
      <w:pPr>
        <w:pStyle w:val="p0"/>
        <w:keepLines w:val="0"/>
        <w:spacing w:before="0"/>
        <w:ind w:left="364" w:right="55" w:hanging="210"/>
        <w:rPr>
          <w:rFonts w:ascii="Arial" w:hAnsi="Arial"/>
          <w:color w:val="auto"/>
          <w:sz w:val="16"/>
          <w:szCs w:val="16"/>
        </w:rPr>
      </w:pPr>
      <w:r w:rsidRPr="004867D2">
        <w:rPr>
          <w:rFonts w:ascii="Arial" w:hAnsi="Arial"/>
          <w:color w:val="auto"/>
          <w:position w:val="-2"/>
          <w:sz w:val="18"/>
          <w:szCs w:val="18"/>
          <w:vertAlign w:val="superscript"/>
        </w:rPr>
        <w:t>1/</w:t>
      </w:r>
      <w:r w:rsidRPr="004867D2">
        <w:rPr>
          <w:rFonts w:ascii="Arial" w:hAnsi="Arial"/>
          <w:color w:val="auto"/>
          <w:position w:val="-2"/>
          <w:sz w:val="16"/>
          <w:szCs w:val="16"/>
        </w:rPr>
        <w:tab/>
      </w:r>
      <w:r w:rsidRPr="004867D2">
        <w:rPr>
          <w:rFonts w:ascii="Arial" w:hAnsi="Arial"/>
          <w:color w:val="auto"/>
          <w:sz w:val="16"/>
          <w:szCs w:val="16"/>
        </w:rPr>
        <w:t>Resultan de dividir la masa de remuneraciones reales entre el empleo.</w:t>
      </w:r>
    </w:p>
    <w:p w14:paraId="5D067395" w14:textId="77777777" w:rsidR="00095006" w:rsidRPr="004867D2" w:rsidRDefault="00095006" w:rsidP="003537FD">
      <w:pPr>
        <w:pStyle w:val="p0"/>
        <w:keepLines w:val="0"/>
        <w:spacing w:before="0"/>
        <w:ind w:left="363" w:right="57" w:hanging="210"/>
        <w:rPr>
          <w:rFonts w:ascii="Arial" w:hAnsi="Arial"/>
          <w:color w:val="auto"/>
          <w:position w:val="-2"/>
          <w:sz w:val="16"/>
          <w:szCs w:val="16"/>
        </w:rPr>
      </w:pPr>
      <w:r w:rsidRPr="004867D2">
        <w:rPr>
          <w:rFonts w:ascii="Arial" w:hAnsi="Arial"/>
          <w:color w:val="auto"/>
          <w:position w:val="-2"/>
          <w:sz w:val="18"/>
          <w:szCs w:val="18"/>
          <w:vertAlign w:val="superscript"/>
        </w:rPr>
        <w:t>a/</w:t>
      </w:r>
      <w:r w:rsidRPr="004867D2">
        <w:rPr>
          <w:rFonts w:ascii="Arial" w:hAnsi="Arial"/>
          <w:color w:val="auto"/>
          <w:position w:val="-2"/>
          <w:sz w:val="16"/>
          <w:szCs w:val="16"/>
        </w:rPr>
        <w:tab/>
        <w:t>Para las Remuneraciones medias, se refiere a salarios pagados a obreros.</w:t>
      </w:r>
    </w:p>
    <w:p w14:paraId="5B8D06A6" w14:textId="77777777" w:rsidR="00095006" w:rsidRPr="004867D2" w:rsidRDefault="00095006" w:rsidP="003537FD">
      <w:pPr>
        <w:pStyle w:val="p0"/>
        <w:keepLines w:val="0"/>
        <w:spacing w:before="0"/>
        <w:ind w:left="364" w:right="55" w:hanging="210"/>
        <w:rPr>
          <w:rFonts w:ascii="Arial" w:hAnsi="Arial"/>
          <w:color w:val="auto"/>
          <w:position w:val="-2"/>
          <w:sz w:val="16"/>
          <w:szCs w:val="16"/>
        </w:rPr>
      </w:pPr>
      <w:proofErr w:type="spellStart"/>
      <w:r w:rsidRPr="004867D2">
        <w:rPr>
          <w:rFonts w:ascii="Arial" w:hAnsi="Arial"/>
          <w:color w:val="auto"/>
          <w:position w:val="-2"/>
          <w:sz w:val="18"/>
          <w:szCs w:val="18"/>
          <w:vertAlign w:val="superscript"/>
        </w:rPr>
        <w:t>b/</w:t>
      </w:r>
      <w:proofErr w:type="spellEnd"/>
      <w:r w:rsidRPr="004867D2">
        <w:rPr>
          <w:rFonts w:ascii="Arial" w:hAnsi="Arial"/>
          <w:color w:val="auto"/>
          <w:position w:val="-2"/>
          <w:sz w:val="16"/>
          <w:szCs w:val="16"/>
        </w:rPr>
        <w:tab/>
        <w:t>Para las Remuneraciones medias, se refiere a sueldos pagados a empleados.</w:t>
      </w:r>
    </w:p>
    <w:p w14:paraId="4C45013F" w14:textId="77777777" w:rsidR="00095006" w:rsidRPr="004867D2" w:rsidRDefault="004867D2" w:rsidP="003537FD">
      <w:pPr>
        <w:pStyle w:val="p0"/>
        <w:keepLines w:val="0"/>
        <w:spacing w:before="0"/>
        <w:ind w:left="364" w:right="55" w:hanging="210"/>
        <w:rPr>
          <w:rFonts w:ascii="Arial" w:hAnsi="Arial"/>
          <w:color w:val="auto"/>
          <w:position w:val="-2"/>
          <w:sz w:val="18"/>
          <w:szCs w:val="18"/>
          <w:vertAlign w:val="superscript"/>
        </w:rPr>
      </w:pPr>
      <w:r>
        <w:rPr>
          <w:rFonts w:ascii="Arial" w:hAnsi="Arial"/>
          <w:color w:val="auto"/>
          <w:position w:val="-2"/>
          <w:sz w:val="18"/>
          <w:szCs w:val="18"/>
          <w:vertAlign w:val="superscript"/>
        </w:rPr>
        <w:t>p</w:t>
      </w:r>
      <w:r w:rsidR="00095006" w:rsidRPr="004867D2">
        <w:rPr>
          <w:rFonts w:ascii="Arial" w:hAnsi="Arial"/>
          <w:color w:val="auto"/>
          <w:position w:val="-2"/>
          <w:sz w:val="18"/>
          <w:szCs w:val="18"/>
          <w:vertAlign w:val="superscript"/>
        </w:rPr>
        <w:t>/</w:t>
      </w:r>
      <w:r w:rsidR="00095006" w:rsidRPr="004867D2">
        <w:rPr>
          <w:rFonts w:ascii="Arial" w:hAnsi="Arial"/>
          <w:color w:val="auto"/>
          <w:position w:val="-2"/>
          <w:sz w:val="16"/>
          <w:szCs w:val="16"/>
        </w:rPr>
        <w:tab/>
        <w:t>Cifras preliminares.</w:t>
      </w:r>
    </w:p>
    <w:p w14:paraId="0E4D99CB" w14:textId="77777777" w:rsidR="009E7BB5" w:rsidRDefault="00095006" w:rsidP="003537FD">
      <w:pPr>
        <w:pStyle w:val="p0"/>
        <w:keepLines w:val="0"/>
        <w:tabs>
          <w:tab w:val="left" w:pos="851"/>
        </w:tabs>
        <w:spacing w:before="0"/>
        <w:ind w:left="364" w:right="55" w:hanging="210"/>
        <w:rPr>
          <w:rFonts w:ascii="Arial" w:hAnsi="Arial"/>
          <w:color w:val="auto"/>
          <w:sz w:val="16"/>
          <w:szCs w:val="16"/>
        </w:rPr>
      </w:pPr>
      <w:r w:rsidRPr="004867D2">
        <w:rPr>
          <w:rFonts w:ascii="Arial" w:hAnsi="Arial"/>
          <w:color w:val="auto"/>
          <w:sz w:val="16"/>
          <w:szCs w:val="16"/>
        </w:rPr>
        <w:t>Fuente:</w:t>
      </w:r>
      <w:r w:rsidRPr="004867D2">
        <w:rPr>
          <w:rFonts w:ascii="Arial" w:hAnsi="Arial"/>
          <w:color w:val="auto"/>
          <w:sz w:val="16"/>
          <w:szCs w:val="16"/>
        </w:rPr>
        <w:tab/>
        <w:t>INEGI.</w:t>
      </w:r>
    </w:p>
    <w:p w14:paraId="5211B44C" w14:textId="77777777" w:rsidR="009E7BB5" w:rsidRDefault="009E7BB5">
      <w:pPr>
        <w:jc w:val="left"/>
        <w:rPr>
          <w:snapToGrid w:val="0"/>
          <w:sz w:val="16"/>
          <w:szCs w:val="16"/>
        </w:rPr>
      </w:pPr>
      <w:r>
        <w:rPr>
          <w:sz w:val="16"/>
          <w:szCs w:val="16"/>
        </w:rPr>
        <w:br w:type="page"/>
      </w:r>
    </w:p>
    <w:p w14:paraId="0C3EA041" w14:textId="77777777" w:rsidR="00C168B2" w:rsidRPr="00C168B2" w:rsidRDefault="00C168B2" w:rsidP="00C168B2">
      <w:pPr>
        <w:pStyle w:val="Ttulo4"/>
        <w:keepNext w:val="0"/>
        <w:keepLines w:val="0"/>
        <w:spacing w:before="360"/>
        <w:jc w:val="center"/>
        <w:rPr>
          <w:rFonts w:ascii="Arial" w:hAnsi="Arial" w:cs="Arial"/>
          <w:i w:val="0"/>
          <w:color w:val="auto"/>
          <w:szCs w:val="22"/>
        </w:rPr>
      </w:pPr>
      <w:r w:rsidRPr="00C168B2">
        <w:rPr>
          <w:rFonts w:ascii="Arial" w:hAnsi="Arial" w:cs="Arial"/>
          <w:i w:val="0"/>
          <w:color w:val="auto"/>
          <w:sz w:val="20"/>
          <w:szCs w:val="22"/>
        </w:rPr>
        <w:lastRenderedPageBreak/>
        <w:t>Cuadro 3</w:t>
      </w:r>
    </w:p>
    <w:p w14:paraId="59968C84" w14:textId="77777777" w:rsidR="00C168B2" w:rsidRPr="00C168B2" w:rsidRDefault="00C168B2" w:rsidP="00C168B2">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Comportamiento de la c</w:t>
      </w:r>
      <w:r w:rsidRPr="00C168B2">
        <w:rPr>
          <w:rFonts w:ascii="Arial" w:hAnsi="Arial" w:cs="Arial"/>
          <w:b/>
          <w:i w:val="0"/>
          <w:smallCaps/>
          <w:color w:val="auto"/>
          <w:sz w:val="22"/>
          <w:szCs w:val="22"/>
        </w:rPr>
        <w:t>apacidad de planta utilizada</w:t>
      </w:r>
      <w:r w:rsidRPr="00C168B2">
        <w:rPr>
          <w:rFonts w:ascii="Arial" w:hAnsi="Arial" w:cs="Arial"/>
          <w:b/>
          <w:i w:val="0"/>
          <w:smallCaps/>
          <w:color w:val="auto"/>
          <w:sz w:val="22"/>
          <w:szCs w:val="22"/>
          <w:vertAlign w:val="superscript"/>
        </w:rPr>
        <w:t>1/</w:t>
      </w:r>
      <w:r w:rsidRPr="00C168B2">
        <w:rPr>
          <w:rFonts w:ascii="Arial" w:hAnsi="Arial" w:cs="Arial"/>
          <w:b/>
          <w:i w:val="0"/>
          <w:smallCaps/>
          <w:color w:val="auto"/>
          <w:sz w:val="22"/>
          <w:szCs w:val="22"/>
        </w:rPr>
        <w:t xml:space="preserve"> </w:t>
      </w:r>
      <w:r w:rsidR="00F87B34">
        <w:rPr>
          <w:rFonts w:ascii="Arial" w:hAnsi="Arial" w:cs="Arial"/>
          <w:b/>
          <w:i w:val="0"/>
          <w:smallCaps/>
          <w:color w:val="auto"/>
          <w:sz w:val="22"/>
          <w:szCs w:val="22"/>
        </w:rPr>
        <w:br/>
      </w:r>
      <w:r w:rsidRPr="00C168B2">
        <w:rPr>
          <w:rFonts w:ascii="Arial" w:hAnsi="Arial" w:cs="Arial"/>
          <w:b/>
          <w:i w:val="0"/>
          <w:smallCaps/>
          <w:color w:val="auto"/>
          <w:sz w:val="22"/>
          <w:szCs w:val="22"/>
        </w:rPr>
        <w:t>del sector manufacturero y por subsector</w:t>
      </w:r>
    </w:p>
    <w:tbl>
      <w:tblPr>
        <w:tblStyle w:val="Tablaconcuadrcula1"/>
        <w:tblW w:w="4514"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4"/>
        <w:gridCol w:w="5359"/>
        <w:gridCol w:w="812"/>
        <w:gridCol w:w="764"/>
        <w:gridCol w:w="835"/>
      </w:tblGrid>
      <w:tr w:rsidR="005B2B72" w:rsidRPr="00C168B2" w14:paraId="14913A02" w14:textId="77777777" w:rsidTr="005B2B72">
        <w:trPr>
          <w:trHeight w:val="249"/>
          <w:jc w:val="center"/>
        </w:trPr>
        <w:tc>
          <w:tcPr>
            <w:tcW w:w="6063"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F9998EA" w14:textId="77777777" w:rsidR="005B2B72" w:rsidRPr="00C168B2" w:rsidRDefault="005B2B72" w:rsidP="006C2A99">
            <w:pPr>
              <w:snapToGrid w:val="0"/>
              <w:spacing w:before="60" w:after="60"/>
              <w:ind w:firstLine="812"/>
              <w:jc w:val="left"/>
              <w:rPr>
                <w:sz w:val="16"/>
                <w:szCs w:val="16"/>
                <w:lang w:val="es-MX" w:eastAsia="es-MX"/>
              </w:rPr>
            </w:pPr>
            <w:r w:rsidRPr="00C168B2">
              <w:rPr>
                <w:sz w:val="16"/>
                <w:szCs w:val="16"/>
                <w:lang w:val="es-MX" w:eastAsia="es-MX"/>
              </w:rPr>
              <w:t>Subsectores</w:t>
            </w:r>
          </w:p>
        </w:tc>
        <w:tc>
          <w:tcPr>
            <w:tcW w:w="157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28C379A" w14:textId="77777777" w:rsidR="005B2B72" w:rsidRPr="00C168B2" w:rsidRDefault="000E08EE" w:rsidP="009D44C6">
            <w:pPr>
              <w:tabs>
                <w:tab w:val="left" w:pos="993"/>
              </w:tabs>
              <w:snapToGrid w:val="0"/>
              <w:spacing w:before="60" w:after="60"/>
              <w:ind w:left="-113" w:right="-113"/>
              <w:jc w:val="center"/>
              <w:rPr>
                <w:sz w:val="16"/>
                <w:szCs w:val="16"/>
                <w:lang w:val="es-MX" w:eastAsia="es-MX"/>
              </w:rPr>
            </w:pPr>
            <w:r>
              <w:rPr>
                <w:sz w:val="16"/>
                <w:szCs w:val="16"/>
                <w:lang w:val="es-MX" w:eastAsia="es-MX"/>
              </w:rPr>
              <w:t>Octubre</w:t>
            </w:r>
          </w:p>
        </w:tc>
        <w:tc>
          <w:tcPr>
            <w:tcW w:w="835" w:type="dxa"/>
            <w:vMerge w:val="restart"/>
            <w:tcBorders>
              <w:top w:val="single" w:sz="8" w:space="0" w:color="1F497D" w:themeColor="text2"/>
              <w:left w:val="single" w:sz="6" w:space="0" w:color="1F497D" w:themeColor="text2"/>
            </w:tcBorders>
            <w:shd w:val="clear" w:color="auto" w:fill="C6D9F1" w:themeFill="text2" w:themeFillTint="33"/>
            <w:vAlign w:val="center"/>
          </w:tcPr>
          <w:p w14:paraId="183DECAF" w14:textId="77777777" w:rsidR="005B2B72" w:rsidRPr="00C168B2" w:rsidRDefault="005B2B72" w:rsidP="006C2A99">
            <w:pPr>
              <w:snapToGrid w:val="0"/>
              <w:spacing w:before="60" w:after="60"/>
              <w:ind w:left="-113" w:right="-113"/>
              <w:jc w:val="center"/>
              <w:rPr>
                <w:sz w:val="16"/>
                <w:szCs w:val="16"/>
                <w:lang w:val="es-MX" w:eastAsia="es-MX"/>
              </w:rPr>
            </w:pPr>
            <w:r w:rsidRPr="00C168B2">
              <w:rPr>
                <w:sz w:val="16"/>
                <w:szCs w:val="16"/>
                <w:lang w:val="es-MX" w:eastAsia="es-MX"/>
              </w:rPr>
              <w:t xml:space="preserve">Diferencia </w:t>
            </w:r>
          </w:p>
          <w:p w14:paraId="1AADB1F8" w14:textId="77777777" w:rsidR="005B2B72" w:rsidRPr="00C168B2" w:rsidRDefault="005B2B72" w:rsidP="006C2A99">
            <w:pPr>
              <w:snapToGrid w:val="0"/>
              <w:spacing w:before="60" w:after="60"/>
              <w:jc w:val="center"/>
              <w:rPr>
                <w:sz w:val="16"/>
                <w:szCs w:val="16"/>
                <w:lang w:val="es-MX" w:eastAsia="es-MX"/>
              </w:rPr>
            </w:pPr>
            <w:r>
              <w:rPr>
                <w:sz w:val="16"/>
                <w:szCs w:val="16"/>
                <w:lang w:val="es-MX" w:eastAsia="es-MX"/>
              </w:rPr>
              <w:t>a</w:t>
            </w:r>
            <w:r w:rsidRPr="00C168B2">
              <w:rPr>
                <w:sz w:val="16"/>
                <w:szCs w:val="16"/>
                <w:lang w:val="es-MX" w:eastAsia="es-MX"/>
              </w:rPr>
              <w:t>nual</w:t>
            </w:r>
          </w:p>
        </w:tc>
      </w:tr>
      <w:tr w:rsidR="004F7332" w:rsidRPr="00C168B2" w14:paraId="468983E6" w14:textId="77777777" w:rsidTr="00FA407B">
        <w:trPr>
          <w:trHeight w:val="267"/>
          <w:jc w:val="center"/>
        </w:trPr>
        <w:tc>
          <w:tcPr>
            <w:tcW w:w="6063" w:type="dxa"/>
            <w:gridSpan w:val="2"/>
            <w:vMerge/>
            <w:tcBorders>
              <w:top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226B1A12" w14:textId="77777777" w:rsidR="004F7332" w:rsidRPr="00C168B2" w:rsidRDefault="004F7332" w:rsidP="006C2A99">
            <w:pPr>
              <w:snapToGrid w:val="0"/>
              <w:spacing w:before="60" w:after="60"/>
              <w:ind w:firstLine="812"/>
              <w:jc w:val="left"/>
              <w:rPr>
                <w:sz w:val="16"/>
                <w:szCs w:val="16"/>
                <w:lang w:val="es-MX" w:eastAsia="es-MX"/>
              </w:rPr>
            </w:pPr>
          </w:p>
        </w:tc>
        <w:tc>
          <w:tcPr>
            <w:tcW w:w="812"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1D3F8FD" w14:textId="77777777" w:rsidR="004F7332" w:rsidRPr="00C168B2" w:rsidRDefault="005B2B72" w:rsidP="006C2A99">
            <w:pPr>
              <w:tabs>
                <w:tab w:val="left" w:pos="993"/>
              </w:tabs>
              <w:snapToGrid w:val="0"/>
              <w:spacing w:before="60" w:after="60"/>
              <w:jc w:val="center"/>
              <w:rPr>
                <w:sz w:val="16"/>
                <w:szCs w:val="16"/>
                <w:lang w:val="es-MX" w:eastAsia="es-MX"/>
              </w:rPr>
            </w:pPr>
            <w:r w:rsidRPr="00C168B2">
              <w:rPr>
                <w:sz w:val="16"/>
                <w:szCs w:val="16"/>
                <w:lang w:val="es-MX" w:eastAsia="es-MX"/>
              </w:rPr>
              <w:t>2018</w:t>
            </w:r>
          </w:p>
        </w:tc>
        <w:tc>
          <w:tcPr>
            <w:tcW w:w="7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3C03AA39" w14:textId="77777777" w:rsidR="004F7332" w:rsidRPr="00C168B2" w:rsidRDefault="005B2B72" w:rsidP="00FA407B">
            <w:pPr>
              <w:snapToGrid w:val="0"/>
              <w:spacing w:before="60" w:after="60"/>
              <w:jc w:val="right"/>
              <w:rPr>
                <w:sz w:val="16"/>
                <w:szCs w:val="16"/>
                <w:lang w:val="es-MX" w:eastAsia="es-MX"/>
              </w:rPr>
            </w:pPr>
            <w:r w:rsidRPr="00C168B2">
              <w:rPr>
                <w:sz w:val="16"/>
                <w:szCs w:val="16"/>
                <w:lang w:val="es-MX" w:eastAsia="es-MX"/>
              </w:rPr>
              <w:t>2019</w:t>
            </w:r>
            <w:r w:rsidR="008B00EA" w:rsidRPr="00FA407B">
              <w:rPr>
                <w:sz w:val="16"/>
                <w:szCs w:val="16"/>
                <w:vertAlign w:val="superscript"/>
                <w:lang w:eastAsia="es-MX"/>
              </w:rPr>
              <w:t>p/</w:t>
            </w:r>
          </w:p>
        </w:tc>
        <w:tc>
          <w:tcPr>
            <w:tcW w:w="835" w:type="dxa"/>
            <w:vMerge/>
            <w:tcBorders>
              <w:left w:val="single" w:sz="6" w:space="0" w:color="1F497D" w:themeColor="text2"/>
              <w:bottom w:val="single" w:sz="6" w:space="0" w:color="1F497D" w:themeColor="text2"/>
            </w:tcBorders>
            <w:shd w:val="clear" w:color="auto" w:fill="C6D9F1" w:themeFill="text2" w:themeFillTint="33"/>
            <w:vAlign w:val="center"/>
          </w:tcPr>
          <w:p w14:paraId="73A61BE8" w14:textId="77777777" w:rsidR="004F7332" w:rsidRPr="00C168B2" w:rsidRDefault="004F7332" w:rsidP="006C2A99">
            <w:pPr>
              <w:snapToGrid w:val="0"/>
              <w:spacing w:before="60" w:after="60"/>
              <w:jc w:val="center"/>
              <w:rPr>
                <w:sz w:val="16"/>
                <w:szCs w:val="16"/>
                <w:lang w:val="es-MX" w:eastAsia="es-MX"/>
              </w:rPr>
            </w:pPr>
          </w:p>
        </w:tc>
      </w:tr>
      <w:tr w:rsidR="000E08EE" w:rsidRPr="00C168B2" w14:paraId="0E0D5236" w14:textId="77777777" w:rsidTr="000E08EE">
        <w:trPr>
          <w:jc w:val="center"/>
        </w:trPr>
        <w:tc>
          <w:tcPr>
            <w:tcW w:w="704" w:type="dxa"/>
            <w:tcBorders>
              <w:top w:val="single" w:sz="6" w:space="0" w:color="1F497D" w:themeColor="text2"/>
              <w:bottom w:val="single" w:sz="4" w:space="0" w:color="C6D9F1"/>
            </w:tcBorders>
            <w:shd w:val="clear" w:color="auto" w:fill="DBE5F1" w:themeFill="accent1" w:themeFillTint="33"/>
            <w:vAlign w:val="center"/>
            <w:hideMark/>
          </w:tcPr>
          <w:p w14:paraId="2495E8B2" w14:textId="77777777" w:rsidR="000E08EE" w:rsidRPr="00C168B2" w:rsidRDefault="000E08EE" w:rsidP="000E08EE">
            <w:pPr>
              <w:snapToGrid w:val="0"/>
              <w:spacing w:before="20" w:after="20"/>
              <w:ind w:left="-57" w:right="57"/>
              <w:jc w:val="right"/>
              <w:rPr>
                <w:b/>
                <w:sz w:val="16"/>
                <w:szCs w:val="16"/>
                <w:lang w:val="es-MX" w:eastAsia="es-MX"/>
              </w:rPr>
            </w:pPr>
            <w:r w:rsidRPr="00C168B2">
              <w:rPr>
                <w:b/>
                <w:sz w:val="16"/>
                <w:szCs w:val="16"/>
                <w:lang w:val="es-MX" w:eastAsia="es-MX"/>
              </w:rPr>
              <w:t>31-33</w:t>
            </w:r>
          </w:p>
        </w:tc>
        <w:tc>
          <w:tcPr>
            <w:tcW w:w="5359"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hideMark/>
          </w:tcPr>
          <w:p w14:paraId="260CBBD9" w14:textId="77777777" w:rsidR="000E08EE" w:rsidRPr="00C168B2" w:rsidRDefault="000E08EE" w:rsidP="000E08EE">
            <w:pPr>
              <w:snapToGrid w:val="0"/>
              <w:spacing w:before="20" w:after="20"/>
              <w:ind w:left="-96"/>
              <w:jc w:val="left"/>
              <w:rPr>
                <w:b/>
                <w:sz w:val="16"/>
                <w:szCs w:val="16"/>
                <w:lang w:val="es-MX" w:eastAsia="es-MX"/>
              </w:rPr>
            </w:pPr>
            <w:r w:rsidRPr="00C168B2">
              <w:rPr>
                <w:b/>
                <w:sz w:val="16"/>
                <w:szCs w:val="16"/>
                <w:lang w:val="es-MX" w:eastAsia="es-MX"/>
              </w:rPr>
              <w:t>Total Industrias Manufactureras</w:t>
            </w:r>
          </w:p>
        </w:tc>
        <w:tc>
          <w:tcPr>
            <w:tcW w:w="812" w:type="dxa"/>
            <w:tcBorders>
              <w:top w:val="single" w:sz="6" w:space="0" w:color="1F497D" w:themeColor="text2"/>
              <w:left w:val="single" w:sz="6" w:space="0" w:color="1F497D" w:themeColor="text2"/>
              <w:bottom w:val="single" w:sz="4" w:space="0" w:color="C6D9F1"/>
            </w:tcBorders>
            <w:shd w:val="clear" w:color="auto" w:fill="DBE5F1" w:themeFill="accent1" w:themeFillTint="33"/>
            <w:vAlign w:val="center"/>
          </w:tcPr>
          <w:p w14:paraId="518F3CBD" w14:textId="77777777" w:rsidR="000E08EE" w:rsidRPr="000E08EE" w:rsidRDefault="000E08EE" w:rsidP="000E08EE">
            <w:pPr>
              <w:tabs>
                <w:tab w:val="decimal" w:pos="359"/>
              </w:tabs>
              <w:jc w:val="left"/>
              <w:rPr>
                <w:b/>
                <w:bCs/>
                <w:color w:val="000000"/>
                <w:sz w:val="16"/>
                <w:szCs w:val="16"/>
                <w:lang w:val="es-MX" w:eastAsia="es-MX"/>
              </w:rPr>
            </w:pPr>
            <w:r w:rsidRPr="000E08EE">
              <w:rPr>
                <w:b/>
                <w:bCs/>
                <w:color w:val="000000"/>
                <w:sz w:val="16"/>
                <w:szCs w:val="16"/>
              </w:rPr>
              <w:t>82.2</w:t>
            </w:r>
          </w:p>
        </w:tc>
        <w:tc>
          <w:tcPr>
            <w:tcW w:w="764"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tcPr>
          <w:p w14:paraId="7F19EE61" w14:textId="77777777" w:rsidR="000E08EE" w:rsidRPr="000E08EE" w:rsidRDefault="000E08EE" w:rsidP="000E08EE">
            <w:pPr>
              <w:tabs>
                <w:tab w:val="decimal" w:pos="359"/>
              </w:tabs>
              <w:jc w:val="left"/>
              <w:rPr>
                <w:b/>
                <w:bCs/>
                <w:color w:val="000000"/>
                <w:sz w:val="16"/>
                <w:szCs w:val="16"/>
              </w:rPr>
            </w:pPr>
            <w:r w:rsidRPr="000E08EE">
              <w:rPr>
                <w:b/>
                <w:bCs/>
                <w:color w:val="000000"/>
                <w:sz w:val="16"/>
                <w:szCs w:val="16"/>
              </w:rPr>
              <w:t>81.1</w:t>
            </w:r>
          </w:p>
        </w:tc>
        <w:tc>
          <w:tcPr>
            <w:tcW w:w="835" w:type="dxa"/>
            <w:tcBorders>
              <w:top w:val="single" w:sz="6" w:space="0" w:color="1F497D" w:themeColor="text2"/>
              <w:bottom w:val="single" w:sz="4" w:space="0" w:color="C6D9F1"/>
            </w:tcBorders>
            <w:shd w:val="clear" w:color="auto" w:fill="DBE5F1" w:themeFill="accent1" w:themeFillTint="33"/>
            <w:vAlign w:val="center"/>
          </w:tcPr>
          <w:p w14:paraId="20DB09A2" w14:textId="77777777" w:rsidR="000E08EE" w:rsidRPr="000E08EE" w:rsidRDefault="000E08EE" w:rsidP="000E08EE">
            <w:pPr>
              <w:tabs>
                <w:tab w:val="left" w:pos="39"/>
                <w:tab w:val="decimal" w:pos="361"/>
              </w:tabs>
              <w:jc w:val="left"/>
              <w:rPr>
                <w:b/>
                <w:bCs/>
                <w:color w:val="000000"/>
                <w:sz w:val="16"/>
                <w:szCs w:val="16"/>
              </w:rPr>
            </w:pPr>
            <w:r>
              <w:rPr>
                <w:b/>
                <w:bCs/>
                <w:color w:val="000000"/>
                <w:sz w:val="16"/>
                <w:szCs w:val="16"/>
              </w:rPr>
              <w:tab/>
              <w:t>(-)</w:t>
            </w:r>
            <w:r>
              <w:rPr>
                <w:b/>
                <w:bCs/>
                <w:color w:val="000000"/>
                <w:sz w:val="16"/>
                <w:szCs w:val="16"/>
              </w:rPr>
              <w:tab/>
            </w:r>
            <w:r w:rsidRPr="000E08EE">
              <w:rPr>
                <w:b/>
                <w:bCs/>
                <w:color w:val="000000"/>
                <w:sz w:val="16"/>
                <w:szCs w:val="16"/>
              </w:rPr>
              <w:t>1.1</w:t>
            </w:r>
          </w:p>
        </w:tc>
      </w:tr>
      <w:tr w:rsidR="000E08EE" w:rsidRPr="00C168B2" w14:paraId="4DA39E5F" w14:textId="77777777" w:rsidTr="000E08EE">
        <w:trPr>
          <w:jc w:val="center"/>
        </w:trPr>
        <w:tc>
          <w:tcPr>
            <w:tcW w:w="704" w:type="dxa"/>
            <w:tcBorders>
              <w:top w:val="single" w:sz="4" w:space="0" w:color="C6D9F1"/>
              <w:bottom w:val="single" w:sz="4" w:space="0" w:color="C6D9F1"/>
            </w:tcBorders>
            <w:vAlign w:val="center"/>
            <w:hideMark/>
          </w:tcPr>
          <w:p w14:paraId="3017AA99"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311</w:t>
            </w:r>
          </w:p>
        </w:tc>
        <w:tc>
          <w:tcPr>
            <w:tcW w:w="5359" w:type="dxa"/>
            <w:tcBorders>
              <w:top w:val="single" w:sz="4" w:space="0" w:color="C6D9F1"/>
              <w:bottom w:val="single" w:sz="4" w:space="0" w:color="C6D9F1"/>
              <w:right w:val="single" w:sz="6" w:space="0" w:color="1F497D" w:themeColor="text2"/>
            </w:tcBorders>
            <w:vAlign w:val="center"/>
            <w:hideMark/>
          </w:tcPr>
          <w:p w14:paraId="16F88647" w14:textId="77777777" w:rsidR="000E08EE" w:rsidRPr="00C168B2" w:rsidRDefault="000E08EE" w:rsidP="000E08EE">
            <w:pPr>
              <w:snapToGrid w:val="0"/>
              <w:spacing w:before="20" w:after="20"/>
              <w:ind w:left="-96"/>
              <w:jc w:val="left"/>
              <w:rPr>
                <w:sz w:val="16"/>
                <w:szCs w:val="16"/>
                <w:lang w:val="es-MX" w:eastAsia="es-MX"/>
              </w:rPr>
            </w:pPr>
            <w:r w:rsidRPr="00C168B2">
              <w:rPr>
                <w:sz w:val="16"/>
                <w:szCs w:val="16"/>
                <w:lang w:val="es-MX" w:eastAsia="es-MX"/>
              </w:rPr>
              <w:t>Industria alimentaria</w:t>
            </w:r>
          </w:p>
        </w:tc>
        <w:tc>
          <w:tcPr>
            <w:tcW w:w="812" w:type="dxa"/>
            <w:tcBorders>
              <w:top w:val="single" w:sz="4" w:space="0" w:color="C6D9F1"/>
              <w:left w:val="single" w:sz="6" w:space="0" w:color="1F497D" w:themeColor="text2"/>
              <w:bottom w:val="single" w:sz="4" w:space="0" w:color="C6D9F1"/>
            </w:tcBorders>
            <w:vAlign w:val="center"/>
          </w:tcPr>
          <w:p w14:paraId="57440B56" w14:textId="77777777" w:rsidR="000E08EE" w:rsidRPr="000E08EE" w:rsidRDefault="000E08EE" w:rsidP="000E08EE">
            <w:pPr>
              <w:tabs>
                <w:tab w:val="decimal" w:pos="359"/>
              </w:tabs>
              <w:jc w:val="left"/>
              <w:rPr>
                <w:color w:val="000000"/>
                <w:sz w:val="16"/>
                <w:szCs w:val="16"/>
              </w:rPr>
            </w:pPr>
            <w:r w:rsidRPr="000E08EE">
              <w:rPr>
                <w:color w:val="000000"/>
                <w:sz w:val="16"/>
                <w:szCs w:val="16"/>
              </w:rPr>
              <w:t>78.7</w:t>
            </w:r>
          </w:p>
        </w:tc>
        <w:tc>
          <w:tcPr>
            <w:tcW w:w="764" w:type="dxa"/>
            <w:tcBorders>
              <w:top w:val="single" w:sz="4" w:space="0" w:color="C6D9F1"/>
              <w:bottom w:val="single" w:sz="4" w:space="0" w:color="C6D9F1"/>
              <w:right w:val="single" w:sz="6" w:space="0" w:color="1F497D" w:themeColor="text2"/>
            </w:tcBorders>
            <w:vAlign w:val="center"/>
          </w:tcPr>
          <w:p w14:paraId="6873CF43" w14:textId="77777777" w:rsidR="000E08EE" w:rsidRPr="000E08EE" w:rsidRDefault="000E08EE" w:rsidP="000E08EE">
            <w:pPr>
              <w:tabs>
                <w:tab w:val="decimal" w:pos="359"/>
              </w:tabs>
              <w:jc w:val="left"/>
              <w:rPr>
                <w:color w:val="000000"/>
                <w:sz w:val="16"/>
                <w:szCs w:val="16"/>
              </w:rPr>
            </w:pPr>
            <w:r w:rsidRPr="000E08EE">
              <w:rPr>
                <w:color w:val="000000"/>
                <w:sz w:val="16"/>
                <w:szCs w:val="16"/>
              </w:rPr>
              <w:t>79.3</w:t>
            </w:r>
          </w:p>
        </w:tc>
        <w:tc>
          <w:tcPr>
            <w:tcW w:w="835" w:type="dxa"/>
            <w:tcBorders>
              <w:top w:val="single" w:sz="4" w:space="0" w:color="C6D9F1"/>
              <w:bottom w:val="single" w:sz="4" w:space="0" w:color="C6D9F1"/>
            </w:tcBorders>
            <w:vAlign w:val="center"/>
          </w:tcPr>
          <w:p w14:paraId="3DE32232" w14:textId="77777777" w:rsidR="000E08EE" w:rsidRPr="000E08EE" w:rsidRDefault="000E08EE" w:rsidP="000E08EE">
            <w:pPr>
              <w:tabs>
                <w:tab w:val="decimal" w:pos="361"/>
              </w:tabs>
              <w:jc w:val="left"/>
              <w:rPr>
                <w:color w:val="000000"/>
                <w:sz w:val="16"/>
                <w:szCs w:val="16"/>
              </w:rPr>
            </w:pPr>
            <w:r w:rsidRPr="000E08EE">
              <w:rPr>
                <w:color w:val="000000"/>
                <w:sz w:val="16"/>
                <w:szCs w:val="16"/>
              </w:rPr>
              <w:t>0.6</w:t>
            </w:r>
          </w:p>
        </w:tc>
      </w:tr>
      <w:tr w:rsidR="000E08EE" w:rsidRPr="00C168B2" w14:paraId="10B891E1" w14:textId="77777777" w:rsidTr="000E08EE">
        <w:trPr>
          <w:jc w:val="center"/>
        </w:trPr>
        <w:tc>
          <w:tcPr>
            <w:tcW w:w="704" w:type="dxa"/>
            <w:tcBorders>
              <w:top w:val="single" w:sz="4" w:space="0" w:color="C6D9F1"/>
              <w:bottom w:val="single" w:sz="4" w:space="0" w:color="C6D9F1"/>
            </w:tcBorders>
            <w:vAlign w:val="center"/>
            <w:hideMark/>
          </w:tcPr>
          <w:p w14:paraId="18FF83EC"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312</w:t>
            </w:r>
          </w:p>
        </w:tc>
        <w:tc>
          <w:tcPr>
            <w:tcW w:w="5359" w:type="dxa"/>
            <w:tcBorders>
              <w:top w:val="single" w:sz="4" w:space="0" w:color="C6D9F1"/>
              <w:bottom w:val="single" w:sz="4" w:space="0" w:color="C6D9F1"/>
              <w:right w:val="single" w:sz="6" w:space="0" w:color="1F497D" w:themeColor="text2"/>
            </w:tcBorders>
            <w:vAlign w:val="center"/>
            <w:hideMark/>
          </w:tcPr>
          <w:p w14:paraId="1D74AD4F" w14:textId="77777777" w:rsidR="000E08EE" w:rsidRPr="00C168B2" w:rsidRDefault="000E08EE" w:rsidP="000E08EE">
            <w:pPr>
              <w:snapToGrid w:val="0"/>
              <w:spacing w:before="20" w:after="20"/>
              <w:ind w:left="-96"/>
              <w:jc w:val="left"/>
              <w:rPr>
                <w:sz w:val="16"/>
                <w:szCs w:val="16"/>
                <w:lang w:val="es-MX" w:eastAsia="es-MX"/>
              </w:rPr>
            </w:pPr>
            <w:r w:rsidRPr="00C168B2">
              <w:rPr>
                <w:sz w:val="16"/>
                <w:szCs w:val="16"/>
                <w:lang w:val="es-MX" w:eastAsia="es-MX"/>
              </w:rPr>
              <w:t>Industria de las bebidas y del tabaco</w:t>
            </w:r>
          </w:p>
        </w:tc>
        <w:tc>
          <w:tcPr>
            <w:tcW w:w="812" w:type="dxa"/>
            <w:tcBorders>
              <w:top w:val="single" w:sz="4" w:space="0" w:color="C6D9F1"/>
              <w:left w:val="single" w:sz="6" w:space="0" w:color="1F497D" w:themeColor="text2"/>
              <w:bottom w:val="single" w:sz="4" w:space="0" w:color="C6D9F1"/>
            </w:tcBorders>
            <w:vAlign w:val="center"/>
          </w:tcPr>
          <w:p w14:paraId="2029687F" w14:textId="77777777" w:rsidR="000E08EE" w:rsidRPr="000E08EE" w:rsidRDefault="000E08EE" w:rsidP="000E08EE">
            <w:pPr>
              <w:tabs>
                <w:tab w:val="decimal" w:pos="359"/>
              </w:tabs>
              <w:jc w:val="left"/>
              <w:rPr>
                <w:color w:val="000000"/>
                <w:sz w:val="16"/>
                <w:szCs w:val="16"/>
              </w:rPr>
            </w:pPr>
            <w:r w:rsidRPr="000E08EE">
              <w:rPr>
                <w:color w:val="000000"/>
                <w:sz w:val="16"/>
                <w:szCs w:val="16"/>
              </w:rPr>
              <w:t>77.7</w:t>
            </w:r>
          </w:p>
        </w:tc>
        <w:tc>
          <w:tcPr>
            <w:tcW w:w="764" w:type="dxa"/>
            <w:tcBorders>
              <w:top w:val="single" w:sz="4" w:space="0" w:color="C6D9F1"/>
              <w:bottom w:val="single" w:sz="4" w:space="0" w:color="C6D9F1"/>
              <w:right w:val="single" w:sz="6" w:space="0" w:color="1F497D" w:themeColor="text2"/>
            </w:tcBorders>
            <w:vAlign w:val="center"/>
          </w:tcPr>
          <w:p w14:paraId="6F9A9DD6" w14:textId="77777777" w:rsidR="000E08EE" w:rsidRPr="000E08EE" w:rsidRDefault="000E08EE" w:rsidP="000E08EE">
            <w:pPr>
              <w:tabs>
                <w:tab w:val="decimal" w:pos="359"/>
              </w:tabs>
              <w:jc w:val="left"/>
              <w:rPr>
                <w:color w:val="000000"/>
                <w:sz w:val="16"/>
                <w:szCs w:val="16"/>
              </w:rPr>
            </w:pPr>
            <w:r w:rsidRPr="000E08EE">
              <w:rPr>
                <w:color w:val="000000"/>
                <w:sz w:val="16"/>
                <w:szCs w:val="16"/>
              </w:rPr>
              <w:t>79.7</w:t>
            </w:r>
          </w:p>
        </w:tc>
        <w:tc>
          <w:tcPr>
            <w:tcW w:w="835" w:type="dxa"/>
            <w:tcBorders>
              <w:top w:val="single" w:sz="4" w:space="0" w:color="C6D9F1"/>
              <w:bottom w:val="single" w:sz="4" w:space="0" w:color="C6D9F1"/>
            </w:tcBorders>
            <w:vAlign w:val="center"/>
          </w:tcPr>
          <w:p w14:paraId="19A60272" w14:textId="77777777" w:rsidR="000E08EE" w:rsidRPr="000E08EE" w:rsidRDefault="000E08EE" w:rsidP="000E08EE">
            <w:pPr>
              <w:tabs>
                <w:tab w:val="decimal" w:pos="361"/>
              </w:tabs>
              <w:jc w:val="left"/>
              <w:rPr>
                <w:color w:val="000000"/>
                <w:sz w:val="16"/>
                <w:szCs w:val="16"/>
              </w:rPr>
            </w:pPr>
            <w:r w:rsidRPr="000E08EE">
              <w:rPr>
                <w:color w:val="000000"/>
                <w:sz w:val="16"/>
                <w:szCs w:val="16"/>
              </w:rPr>
              <w:t>2.0</w:t>
            </w:r>
          </w:p>
        </w:tc>
      </w:tr>
      <w:tr w:rsidR="000E08EE" w:rsidRPr="00C168B2" w14:paraId="10DE0F47" w14:textId="77777777" w:rsidTr="000E08EE">
        <w:trPr>
          <w:jc w:val="center"/>
        </w:trPr>
        <w:tc>
          <w:tcPr>
            <w:tcW w:w="704" w:type="dxa"/>
            <w:tcBorders>
              <w:top w:val="single" w:sz="4" w:space="0" w:color="C6D9F1"/>
              <w:bottom w:val="single" w:sz="4" w:space="0" w:color="C6D9F1"/>
            </w:tcBorders>
            <w:vAlign w:val="center"/>
            <w:hideMark/>
          </w:tcPr>
          <w:p w14:paraId="13C11CA3"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313</w:t>
            </w:r>
          </w:p>
        </w:tc>
        <w:tc>
          <w:tcPr>
            <w:tcW w:w="5359" w:type="dxa"/>
            <w:tcBorders>
              <w:top w:val="single" w:sz="4" w:space="0" w:color="C6D9F1"/>
              <w:bottom w:val="single" w:sz="4" w:space="0" w:color="C6D9F1"/>
              <w:right w:val="single" w:sz="6" w:space="0" w:color="1F497D" w:themeColor="text2"/>
            </w:tcBorders>
            <w:vAlign w:val="center"/>
            <w:hideMark/>
          </w:tcPr>
          <w:p w14:paraId="72746005" w14:textId="77777777" w:rsidR="000E08EE" w:rsidRPr="00C168B2" w:rsidRDefault="000E08EE" w:rsidP="000E08EE">
            <w:pPr>
              <w:snapToGrid w:val="0"/>
              <w:spacing w:before="20" w:after="20"/>
              <w:ind w:left="-96"/>
              <w:jc w:val="left"/>
              <w:rPr>
                <w:sz w:val="16"/>
                <w:szCs w:val="16"/>
                <w:lang w:val="es-MX" w:eastAsia="es-MX"/>
              </w:rPr>
            </w:pPr>
            <w:r w:rsidRPr="00C168B2">
              <w:rPr>
                <w:sz w:val="16"/>
                <w:szCs w:val="16"/>
                <w:lang w:val="es-MX" w:eastAsia="es-MX"/>
              </w:rPr>
              <w:t>Fabricación de insumos textiles y acabado de textiles</w:t>
            </w:r>
          </w:p>
        </w:tc>
        <w:tc>
          <w:tcPr>
            <w:tcW w:w="812" w:type="dxa"/>
            <w:tcBorders>
              <w:top w:val="single" w:sz="4" w:space="0" w:color="C6D9F1"/>
              <w:left w:val="single" w:sz="6" w:space="0" w:color="1F497D" w:themeColor="text2"/>
              <w:bottom w:val="single" w:sz="4" w:space="0" w:color="C6D9F1"/>
            </w:tcBorders>
            <w:vAlign w:val="center"/>
          </w:tcPr>
          <w:p w14:paraId="7594929B" w14:textId="77777777" w:rsidR="000E08EE" w:rsidRPr="000E08EE" w:rsidRDefault="000E08EE" w:rsidP="000E08EE">
            <w:pPr>
              <w:tabs>
                <w:tab w:val="decimal" w:pos="359"/>
              </w:tabs>
              <w:jc w:val="left"/>
              <w:rPr>
                <w:color w:val="000000"/>
                <w:sz w:val="16"/>
                <w:szCs w:val="16"/>
              </w:rPr>
            </w:pPr>
            <w:r w:rsidRPr="000E08EE">
              <w:rPr>
                <w:color w:val="000000"/>
                <w:sz w:val="16"/>
                <w:szCs w:val="16"/>
              </w:rPr>
              <w:t>82.4</w:t>
            </w:r>
          </w:p>
        </w:tc>
        <w:tc>
          <w:tcPr>
            <w:tcW w:w="764" w:type="dxa"/>
            <w:tcBorders>
              <w:top w:val="single" w:sz="4" w:space="0" w:color="C6D9F1"/>
              <w:bottom w:val="single" w:sz="4" w:space="0" w:color="C6D9F1"/>
              <w:right w:val="single" w:sz="6" w:space="0" w:color="1F497D" w:themeColor="text2"/>
            </w:tcBorders>
            <w:vAlign w:val="center"/>
          </w:tcPr>
          <w:p w14:paraId="5FC928A3" w14:textId="77777777" w:rsidR="000E08EE" w:rsidRPr="000E08EE" w:rsidRDefault="000E08EE" w:rsidP="000E08EE">
            <w:pPr>
              <w:tabs>
                <w:tab w:val="decimal" w:pos="359"/>
              </w:tabs>
              <w:jc w:val="left"/>
              <w:rPr>
                <w:color w:val="000000"/>
                <w:sz w:val="16"/>
                <w:szCs w:val="16"/>
              </w:rPr>
            </w:pPr>
            <w:r w:rsidRPr="000E08EE">
              <w:rPr>
                <w:color w:val="000000"/>
                <w:sz w:val="16"/>
                <w:szCs w:val="16"/>
              </w:rPr>
              <w:t>79.9</w:t>
            </w:r>
          </w:p>
        </w:tc>
        <w:tc>
          <w:tcPr>
            <w:tcW w:w="835" w:type="dxa"/>
            <w:tcBorders>
              <w:top w:val="single" w:sz="4" w:space="0" w:color="C6D9F1"/>
              <w:bottom w:val="single" w:sz="4" w:space="0" w:color="C6D9F1"/>
            </w:tcBorders>
            <w:vAlign w:val="center"/>
          </w:tcPr>
          <w:p w14:paraId="4328D772" w14:textId="77777777" w:rsidR="000E08EE" w:rsidRPr="000E08EE" w:rsidRDefault="000E08EE" w:rsidP="000E08EE">
            <w:pPr>
              <w:tabs>
                <w:tab w:val="left" w:pos="39"/>
                <w:tab w:val="decimal" w:pos="361"/>
              </w:tabs>
              <w:jc w:val="left"/>
              <w:rPr>
                <w:color w:val="000000"/>
                <w:sz w:val="16"/>
                <w:szCs w:val="16"/>
              </w:rPr>
            </w:pPr>
            <w:r>
              <w:rPr>
                <w:color w:val="000000"/>
                <w:sz w:val="16"/>
                <w:szCs w:val="16"/>
              </w:rPr>
              <w:tab/>
              <w:t>(-)</w:t>
            </w:r>
            <w:r>
              <w:rPr>
                <w:color w:val="000000"/>
                <w:sz w:val="16"/>
                <w:szCs w:val="16"/>
              </w:rPr>
              <w:tab/>
            </w:r>
            <w:r w:rsidRPr="000E08EE">
              <w:rPr>
                <w:color w:val="000000"/>
                <w:sz w:val="16"/>
                <w:szCs w:val="16"/>
              </w:rPr>
              <w:t>2.5</w:t>
            </w:r>
          </w:p>
        </w:tc>
      </w:tr>
      <w:tr w:rsidR="000E08EE" w:rsidRPr="00C168B2" w14:paraId="100FE2C3" w14:textId="77777777" w:rsidTr="000E08EE">
        <w:trPr>
          <w:jc w:val="center"/>
        </w:trPr>
        <w:tc>
          <w:tcPr>
            <w:tcW w:w="704" w:type="dxa"/>
            <w:tcBorders>
              <w:top w:val="single" w:sz="4" w:space="0" w:color="C6D9F1"/>
              <w:bottom w:val="single" w:sz="4" w:space="0" w:color="C6D9F1"/>
            </w:tcBorders>
            <w:vAlign w:val="center"/>
            <w:hideMark/>
          </w:tcPr>
          <w:p w14:paraId="31FCC89F"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314</w:t>
            </w:r>
          </w:p>
        </w:tc>
        <w:tc>
          <w:tcPr>
            <w:tcW w:w="5359" w:type="dxa"/>
            <w:tcBorders>
              <w:top w:val="single" w:sz="4" w:space="0" w:color="C6D9F1"/>
              <w:bottom w:val="single" w:sz="4" w:space="0" w:color="C6D9F1"/>
              <w:right w:val="single" w:sz="6" w:space="0" w:color="1F497D" w:themeColor="text2"/>
            </w:tcBorders>
            <w:vAlign w:val="center"/>
            <w:hideMark/>
          </w:tcPr>
          <w:p w14:paraId="49A94D95" w14:textId="77777777" w:rsidR="000E08EE" w:rsidRPr="00C168B2" w:rsidRDefault="000E08EE" w:rsidP="000E08EE">
            <w:pPr>
              <w:snapToGrid w:val="0"/>
              <w:spacing w:before="20" w:after="20"/>
              <w:ind w:left="-96"/>
              <w:jc w:val="left"/>
              <w:rPr>
                <w:sz w:val="16"/>
                <w:szCs w:val="16"/>
                <w:lang w:val="es-MX" w:eastAsia="es-MX"/>
              </w:rPr>
            </w:pPr>
            <w:r w:rsidRPr="00C168B2">
              <w:rPr>
                <w:sz w:val="16"/>
                <w:szCs w:val="16"/>
                <w:lang w:val="es-MX" w:eastAsia="es-MX"/>
              </w:rPr>
              <w:t>Fabricación de productos textiles, excepto prendas de vestir</w:t>
            </w:r>
          </w:p>
        </w:tc>
        <w:tc>
          <w:tcPr>
            <w:tcW w:w="812" w:type="dxa"/>
            <w:tcBorders>
              <w:top w:val="single" w:sz="4" w:space="0" w:color="C6D9F1"/>
              <w:left w:val="single" w:sz="6" w:space="0" w:color="1F497D" w:themeColor="text2"/>
              <w:bottom w:val="single" w:sz="4" w:space="0" w:color="C6D9F1"/>
            </w:tcBorders>
            <w:vAlign w:val="center"/>
          </w:tcPr>
          <w:p w14:paraId="7F123474" w14:textId="77777777" w:rsidR="000E08EE" w:rsidRPr="000E08EE" w:rsidRDefault="000E08EE" w:rsidP="000E08EE">
            <w:pPr>
              <w:tabs>
                <w:tab w:val="decimal" w:pos="359"/>
              </w:tabs>
              <w:jc w:val="left"/>
              <w:rPr>
                <w:color w:val="000000"/>
                <w:sz w:val="16"/>
                <w:szCs w:val="16"/>
              </w:rPr>
            </w:pPr>
            <w:r w:rsidRPr="000E08EE">
              <w:rPr>
                <w:color w:val="000000"/>
                <w:sz w:val="16"/>
                <w:szCs w:val="16"/>
              </w:rPr>
              <w:t>81.8</w:t>
            </w:r>
          </w:p>
        </w:tc>
        <w:tc>
          <w:tcPr>
            <w:tcW w:w="764" w:type="dxa"/>
            <w:tcBorders>
              <w:top w:val="single" w:sz="4" w:space="0" w:color="C6D9F1"/>
              <w:bottom w:val="single" w:sz="4" w:space="0" w:color="C6D9F1"/>
              <w:right w:val="single" w:sz="6" w:space="0" w:color="1F497D" w:themeColor="text2"/>
            </w:tcBorders>
            <w:vAlign w:val="center"/>
          </w:tcPr>
          <w:p w14:paraId="7873327C" w14:textId="77777777" w:rsidR="000E08EE" w:rsidRPr="000E08EE" w:rsidRDefault="000E08EE" w:rsidP="000E08EE">
            <w:pPr>
              <w:tabs>
                <w:tab w:val="decimal" w:pos="359"/>
              </w:tabs>
              <w:jc w:val="left"/>
              <w:rPr>
                <w:color w:val="000000"/>
                <w:sz w:val="16"/>
                <w:szCs w:val="16"/>
              </w:rPr>
            </w:pPr>
            <w:r w:rsidRPr="000E08EE">
              <w:rPr>
                <w:color w:val="000000"/>
                <w:sz w:val="16"/>
                <w:szCs w:val="16"/>
              </w:rPr>
              <w:t>80.1</w:t>
            </w:r>
          </w:p>
        </w:tc>
        <w:tc>
          <w:tcPr>
            <w:tcW w:w="835" w:type="dxa"/>
            <w:tcBorders>
              <w:top w:val="single" w:sz="4" w:space="0" w:color="C6D9F1"/>
              <w:bottom w:val="single" w:sz="4" w:space="0" w:color="C6D9F1"/>
            </w:tcBorders>
            <w:vAlign w:val="center"/>
          </w:tcPr>
          <w:p w14:paraId="7664B20F" w14:textId="77777777" w:rsidR="000E08EE" w:rsidRPr="000E08EE" w:rsidRDefault="000E08EE" w:rsidP="000E08EE">
            <w:pPr>
              <w:tabs>
                <w:tab w:val="left" w:pos="39"/>
                <w:tab w:val="decimal" w:pos="361"/>
              </w:tabs>
              <w:jc w:val="left"/>
              <w:rPr>
                <w:color w:val="000000"/>
                <w:sz w:val="16"/>
                <w:szCs w:val="16"/>
              </w:rPr>
            </w:pPr>
            <w:r>
              <w:rPr>
                <w:color w:val="000000"/>
                <w:sz w:val="16"/>
                <w:szCs w:val="16"/>
              </w:rPr>
              <w:tab/>
              <w:t>(-)</w:t>
            </w:r>
            <w:r>
              <w:rPr>
                <w:color w:val="000000"/>
                <w:sz w:val="16"/>
                <w:szCs w:val="16"/>
              </w:rPr>
              <w:tab/>
            </w:r>
            <w:r w:rsidRPr="000E08EE">
              <w:rPr>
                <w:color w:val="000000"/>
                <w:sz w:val="16"/>
                <w:szCs w:val="16"/>
              </w:rPr>
              <w:t>1.7</w:t>
            </w:r>
          </w:p>
        </w:tc>
      </w:tr>
      <w:tr w:rsidR="000E08EE" w:rsidRPr="00C168B2" w14:paraId="2FECBE54" w14:textId="77777777" w:rsidTr="000E08EE">
        <w:trPr>
          <w:jc w:val="center"/>
        </w:trPr>
        <w:tc>
          <w:tcPr>
            <w:tcW w:w="704" w:type="dxa"/>
            <w:tcBorders>
              <w:top w:val="single" w:sz="4" w:space="0" w:color="C6D9F1"/>
              <w:bottom w:val="single" w:sz="4" w:space="0" w:color="C6D9F1"/>
            </w:tcBorders>
            <w:vAlign w:val="center"/>
            <w:hideMark/>
          </w:tcPr>
          <w:p w14:paraId="4C7B0950"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315</w:t>
            </w:r>
          </w:p>
        </w:tc>
        <w:tc>
          <w:tcPr>
            <w:tcW w:w="5359" w:type="dxa"/>
            <w:tcBorders>
              <w:top w:val="single" w:sz="4" w:space="0" w:color="C6D9F1"/>
              <w:bottom w:val="single" w:sz="4" w:space="0" w:color="C6D9F1"/>
              <w:right w:val="single" w:sz="6" w:space="0" w:color="1F497D" w:themeColor="text2"/>
            </w:tcBorders>
            <w:vAlign w:val="center"/>
            <w:hideMark/>
          </w:tcPr>
          <w:p w14:paraId="27211DED" w14:textId="77777777" w:rsidR="000E08EE" w:rsidRPr="00C168B2" w:rsidRDefault="000E08EE" w:rsidP="000E08EE">
            <w:pPr>
              <w:snapToGrid w:val="0"/>
              <w:spacing w:before="20" w:after="20"/>
              <w:ind w:left="-96"/>
              <w:jc w:val="left"/>
              <w:rPr>
                <w:sz w:val="16"/>
                <w:szCs w:val="16"/>
                <w:lang w:val="es-MX" w:eastAsia="es-MX"/>
              </w:rPr>
            </w:pPr>
            <w:r w:rsidRPr="00C168B2">
              <w:rPr>
                <w:sz w:val="16"/>
                <w:szCs w:val="16"/>
                <w:lang w:val="es-MX" w:eastAsia="es-MX"/>
              </w:rPr>
              <w:t>Fabricación de prendas de vestir</w:t>
            </w:r>
          </w:p>
        </w:tc>
        <w:tc>
          <w:tcPr>
            <w:tcW w:w="812" w:type="dxa"/>
            <w:tcBorders>
              <w:top w:val="single" w:sz="4" w:space="0" w:color="C6D9F1"/>
              <w:left w:val="single" w:sz="6" w:space="0" w:color="1F497D" w:themeColor="text2"/>
              <w:bottom w:val="single" w:sz="4" w:space="0" w:color="C6D9F1"/>
            </w:tcBorders>
            <w:vAlign w:val="center"/>
          </w:tcPr>
          <w:p w14:paraId="3C85DB19" w14:textId="77777777" w:rsidR="000E08EE" w:rsidRPr="000E08EE" w:rsidRDefault="000E08EE" w:rsidP="000E08EE">
            <w:pPr>
              <w:tabs>
                <w:tab w:val="decimal" w:pos="359"/>
              </w:tabs>
              <w:jc w:val="left"/>
              <w:rPr>
                <w:color w:val="000000"/>
                <w:sz w:val="16"/>
                <w:szCs w:val="16"/>
              </w:rPr>
            </w:pPr>
            <w:r w:rsidRPr="000E08EE">
              <w:rPr>
                <w:color w:val="000000"/>
                <w:sz w:val="16"/>
                <w:szCs w:val="16"/>
              </w:rPr>
              <w:t>83.5</w:t>
            </w:r>
          </w:p>
        </w:tc>
        <w:tc>
          <w:tcPr>
            <w:tcW w:w="764" w:type="dxa"/>
            <w:tcBorders>
              <w:top w:val="single" w:sz="4" w:space="0" w:color="C6D9F1"/>
              <w:bottom w:val="single" w:sz="4" w:space="0" w:color="C6D9F1"/>
              <w:right w:val="single" w:sz="6" w:space="0" w:color="1F497D" w:themeColor="text2"/>
            </w:tcBorders>
            <w:vAlign w:val="center"/>
          </w:tcPr>
          <w:p w14:paraId="76332B4A" w14:textId="77777777" w:rsidR="000E08EE" w:rsidRPr="000E08EE" w:rsidRDefault="000E08EE" w:rsidP="000E08EE">
            <w:pPr>
              <w:tabs>
                <w:tab w:val="decimal" w:pos="359"/>
              </w:tabs>
              <w:jc w:val="left"/>
              <w:rPr>
                <w:color w:val="000000"/>
                <w:sz w:val="16"/>
                <w:szCs w:val="16"/>
              </w:rPr>
            </w:pPr>
            <w:r w:rsidRPr="000E08EE">
              <w:rPr>
                <w:color w:val="000000"/>
                <w:sz w:val="16"/>
                <w:szCs w:val="16"/>
              </w:rPr>
              <w:t>82.5</w:t>
            </w:r>
          </w:p>
        </w:tc>
        <w:tc>
          <w:tcPr>
            <w:tcW w:w="835" w:type="dxa"/>
            <w:tcBorders>
              <w:top w:val="single" w:sz="4" w:space="0" w:color="C6D9F1"/>
              <w:bottom w:val="single" w:sz="4" w:space="0" w:color="C6D9F1"/>
            </w:tcBorders>
            <w:vAlign w:val="center"/>
          </w:tcPr>
          <w:p w14:paraId="2410B497" w14:textId="77777777" w:rsidR="000E08EE" w:rsidRPr="000E08EE" w:rsidRDefault="000E08EE" w:rsidP="000E08EE">
            <w:pPr>
              <w:tabs>
                <w:tab w:val="left" w:pos="39"/>
                <w:tab w:val="decimal" w:pos="361"/>
              </w:tabs>
              <w:jc w:val="left"/>
              <w:rPr>
                <w:color w:val="000000"/>
                <w:sz w:val="16"/>
                <w:szCs w:val="16"/>
              </w:rPr>
            </w:pPr>
            <w:r>
              <w:rPr>
                <w:color w:val="000000"/>
                <w:sz w:val="16"/>
                <w:szCs w:val="16"/>
              </w:rPr>
              <w:tab/>
              <w:t>(-)</w:t>
            </w:r>
            <w:r>
              <w:rPr>
                <w:color w:val="000000"/>
                <w:sz w:val="16"/>
                <w:szCs w:val="16"/>
              </w:rPr>
              <w:tab/>
            </w:r>
            <w:r w:rsidRPr="000E08EE">
              <w:rPr>
                <w:color w:val="000000"/>
                <w:sz w:val="16"/>
                <w:szCs w:val="16"/>
              </w:rPr>
              <w:t>1.0</w:t>
            </w:r>
          </w:p>
        </w:tc>
      </w:tr>
      <w:tr w:rsidR="000E08EE" w:rsidRPr="00C168B2" w14:paraId="265B24E8" w14:textId="77777777" w:rsidTr="000E08EE">
        <w:trPr>
          <w:jc w:val="center"/>
        </w:trPr>
        <w:tc>
          <w:tcPr>
            <w:tcW w:w="704" w:type="dxa"/>
            <w:tcBorders>
              <w:top w:val="single" w:sz="4" w:space="0" w:color="C6D9F1"/>
              <w:bottom w:val="single" w:sz="4" w:space="0" w:color="C6D9F1"/>
            </w:tcBorders>
            <w:vAlign w:val="center"/>
            <w:hideMark/>
          </w:tcPr>
          <w:p w14:paraId="284E5C35"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316</w:t>
            </w:r>
          </w:p>
        </w:tc>
        <w:tc>
          <w:tcPr>
            <w:tcW w:w="5359" w:type="dxa"/>
            <w:tcBorders>
              <w:top w:val="single" w:sz="4" w:space="0" w:color="C6D9F1"/>
              <w:bottom w:val="single" w:sz="4" w:space="0" w:color="C6D9F1"/>
              <w:right w:val="single" w:sz="6" w:space="0" w:color="1F497D" w:themeColor="text2"/>
            </w:tcBorders>
            <w:vAlign w:val="center"/>
            <w:hideMark/>
          </w:tcPr>
          <w:p w14:paraId="61341FDD" w14:textId="77777777" w:rsidR="000E08EE" w:rsidRPr="00C168B2" w:rsidRDefault="000E08EE" w:rsidP="000E08EE">
            <w:pPr>
              <w:snapToGrid w:val="0"/>
              <w:spacing w:before="20" w:after="20"/>
              <w:ind w:left="-94"/>
              <w:jc w:val="left"/>
              <w:rPr>
                <w:sz w:val="16"/>
                <w:szCs w:val="16"/>
                <w:lang w:val="es-MX" w:eastAsia="es-MX"/>
              </w:rPr>
            </w:pPr>
            <w:r w:rsidRPr="00C168B2">
              <w:rPr>
                <w:sz w:val="16"/>
                <w:szCs w:val="16"/>
                <w:lang w:val="es-MX" w:eastAsia="es-MX"/>
              </w:rPr>
              <w:t>Curtido y acabado de cuero y piel, y fabricación de productos de cuero, piel y materiales sucedáneos</w:t>
            </w:r>
          </w:p>
        </w:tc>
        <w:tc>
          <w:tcPr>
            <w:tcW w:w="812" w:type="dxa"/>
            <w:tcBorders>
              <w:top w:val="single" w:sz="4" w:space="0" w:color="C6D9F1"/>
              <w:left w:val="single" w:sz="6" w:space="0" w:color="1F497D" w:themeColor="text2"/>
              <w:bottom w:val="single" w:sz="4" w:space="0" w:color="C6D9F1"/>
            </w:tcBorders>
            <w:vAlign w:val="center"/>
          </w:tcPr>
          <w:p w14:paraId="27B74D7C" w14:textId="77777777" w:rsidR="000E08EE" w:rsidRPr="000E08EE" w:rsidRDefault="000E08EE" w:rsidP="000E08EE">
            <w:pPr>
              <w:tabs>
                <w:tab w:val="decimal" w:pos="359"/>
              </w:tabs>
              <w:jc w:val="left"/>
              <w:rPr>
                <w:color w:val="000000"/>
                <w:sz w:val="16"/>
                <w:szCs w:val="16"/>
              </w:rPr>
            </w:pPr>
            <w:r w:rsidRPr="000E08EE">
              <w:rPr>
                <w:color w:val="000000"/>
                <w:sz w:val="16"/>
                <w:szCs w:val="16"/>
              </w:rPr>
              <w:t>84.8</w:t>
            </w:r>
          </w:p>
        </w:tc>
        <w:tc>
          <w:tcPr>
            <w:tcW w:w="764" w:type="dxa"/>
            <w:tcBorders>
              <w:top w:val="single" w:sz="4" w:space="0" w:color="C6D9F1"/>
              <w:bottom w:val="single" w:sz="4" w:space="0" w:color="C6D9F1"/>
              <w:right w:val="single" w:sz="6" w:space="0" w:color="1F497D" w:themeColor="text2"/>
            </w:tcBorders>
            <w:vAlign w:val="center"/>
          </w:tcPr>
          <w:p w14:paraId="3E244C9D" w14:textId="77777777" w:rsidR="000E08EE" w:rsidRPr="000E08EE" w:rsidRDefault="000E08EE" w:rsidP="000E08EE">
            <w:pPr>
              <w:tabs>
                <w:tab w:val="decimal" w:pos="359"/>
              </w:tabs>
              <w:jc w:val="left"/>
              <w:rPr>
                <w:color w:val="000000"/>
                <w:sz w:val="16"/>
                <w:szCs w:val="16"/>
              </w:rPr>
            </w:pPr>
            <w:r w:rsidRPr="000E08EE">
              <w:rPr>
                <w:color w:val="000000"/>
                <w:sz w:val="16"/>
                <w:szCs w:val="16"/>
              </w:rPr>
              <w:t>82.5</w:t>
            </w:r>
          </w:p>
        </w:tc>
        <w:tc>
          <w:tcPr>
            <w:tcW w:w="835" w:type="dxa"/>
            <w:tcBorders>
              <w:top w:val="single" w:sz="4" w:space="0" w:color="C6D9F1"/>
              <w:bottom w:val="single" w:sz="4" w:space="0" w:color="C6D9F1"/>
            </w:tcBorders>
            <w:vAlign w:val="center"/>
          </w:tcPr>
          <w:p w14:paraId="119BF037" w14:textId="77777777" w:rsidR="000E08EE" w:rsidRPr="000E08EE" w:rsidRDefault="000E08EE" w:rsidP="000E08EE">
            <w:pPr>
              <w:tabs>
                <w:tab w:val="left" w:pos="39"/>
                <w:tab w:val="decimal" w:pos="361"/>
              </w:tabs>
              <w:jc w:val="left"/>
              <w:rPr>
                <w:color w:val="000000"/>
                <w:sz w:val="16"/>
                <w:szCs w:val="16"/>
              </w:rPr>
            </w:pPr>
            <w:r>
              <w:rPr>
                <w:color w:val="000000"/>
                <w:sz w:val="16"/>
                <w:szCs w:val="16"/>
              </w:rPr>
              <w:tab/>
              <w:t>(-)</w:t>
            </w:r>
            <w:r>
              <w:rPr>
                <w:color w:val="000000"/>
                <w:sz w:val="16"/>
                <w:szCs w:val="16"/>
              </w:rPr>
              <w:tab/>
            </w:r>
            <w:r w:rsidRPr="000E08EE">
              <w:rPr>
                <w:color w:val="000000"/>
                <w:sz w:val="16"/>
                <w:szCs w:val="16"/>
              </w:rPr>
              <w:t>2.3</w:t>
            </w:r>
          </w:p>
        </w:tc>
      </w:tr>
      <w:tr w:rsidR="000E08EE" w:rsidRPr="00C168B2" w14:paraId="316EC3A6" w14:textId="77777777" w:rsidTr="000E08EE">
        <w:trPr>
          <w:jc w:val="center"/>
        </w:trPr>
        <w:tc>
          <w:tcPr>
            <w:tcW w:w="704" w:type="dxa"/>
            <w:tcBorders>
              <w:top w:val="single" w:sz="4" w:space="0" w:color="C6D9F1"/>
              <w:bottom w:val="single" w:sz="4" w:space="0" w:color="C6D9F1"/>
            </w:tcBorders>
            <w:vAlign w:val="center"/>
            <w:hideMark/>
          </w:tcPr>
          <w:p w14:paraId="11A3913B"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321</w:t>
            </w:r>
          </w:p>
        </w:tc>
        <w:tc>
          <w:tcPr>
            <w:tcW w:w="5359" w:type="dxa"/>
            <w:tcBorders>
              <w:top w:val="single" w:sz="4" w:space="0" w:color="C6D9F1"/>
              <w:bottom w:val="single" w:sz="4" w:space="0" w:color="C6D9F1"/>
              <w:right w:val="single" w:sz="6" w:space="0" w:color="1F497D" w:themeColor="text2"/>
            </w:tcBorders>
            <w:vAlign w:val="center"/>
            <w:hideMark/>
          </w:tcPr>
          <w:p w14:paraId="4B0739B5" w14:textId="77777777" w:rsidR="000E08EE" w:rsidRPr="00C168B2" w:rsidRDefault="000E08EE" w:rsidP="000E08EE">
            <w:pPr>
              <w:snapToGrid w:val="0"/>
              <w:spacing w:before="20" w:after="20"/>
              <w:ind w:left="-94"/>
              <w:jc w:val="left"/>
              <w:rPr>
                <w:sz w:val="16"/>
                <w:szCs w:val="16"/>
                <w:lang w:val="es-MX" w:eastAsia="es-MX"/>
              </w:rPr>
            </w:pPr>
            <w:r w:rsidRPr="00C168B2">
              <w:rPr>
                <w:sz w:val="16"/>
                <w:szCs w:val="16"/>
                <w:lang w:val="es-MX" w:eastAsia="es-MX"/>
              </w:rPr>
              <w:t>Industria de la madera</w:t>
            </w:r>
          </w:p>
        </w:tc>
        <w:tc>
          <w:tcPr>
            <w:tcW w:w="812" w:type="dxa"/>
            <w:tcBorders>
              <w:top w:val="single" w:sz="4" w:space="0" w:color="C6D9F1"/>
              <w:left w:val="single" w:sz="6" w:space="0" w:color="1F497D" w:themeColor="text2"/>
              <w:bottom w:val="single" w:sz="4" w:space="0" w:color="C6D9F1"/>
            </w:tcBorders>
            <w:vAlign w:val="center"/>
          </w:tcPr>
          <w:p w14:paraId="6F3DB436" w14:textId="77777777" w:rsidR="000E08EE" w:rsidRPr="000E08EE" w:rsidRDefault="000E08EE" w:rsidP="000E08EE">
            <w:pPr>
              <w:tabs>
                <w:tab w:val="decimal" w:pos="359"/>
              </w:tabs>
              <w:jc w:val="left"/>
              <w:rPr>
                <w:color w:val="000000"/>
                <w:sz w:val="16"/>
                <w:szCs w:val="16"/>
              </w:rPr>
            </w:pPr>
            <w:r w:rsidRPr="000E08EE">
              <w:rPr>
                <w:color w:val="000000"/>
                <w:sz w:val="16"/>
                <w:szCs w:val="16"/>
              </w:rPr>
              <w:t>80.1</w:t>
            </w:r>
          </w:p>
        </w:tc>
        <w:tc>
          <w:tcPr>
            <w:tcW w:w="764" w:type="dxa"/>
            <w:tcBorders>
              <w:top w:val="single" w:sz="4" w:space="0" w:color="C6D9F1"/>
              <w:bottom w:val="single" w:sz="4" w:space="0" w:color="C6D9F1"/>
              <w:right w:val="single" w:sz="6" w:space="0" w:color="1F497D" w:themeColor="text2"/>
            </w:tcBorders>
            <w:vAlign w:val="center"/>
          </w:tcPr>
          <w:p w14:paraId="2D376531" w14:textId="77777777" w:rsidR="000E08EE" w:rsidRPr="000E08EE" w:rsidRDefault="000E08EE" w:rsidP="000E08EE">
            <w:pPr>
              <w:tabs>
                <w:tab w:val="decimal" w:pos="359"/>
              </w:tabs>
              <w:jc w:val="left"/>
              <w:rPr>
                <w:color w:val="000000"/>
                <w:sz w:val="16"/>
                <w:szCs w:val="16"/>
              </w:rPr>
            </w:pPr>
            <w:r w:rsidRPr="000E08EE">
              <w:rPr>
                <w:color w:val="000000"/>
                <w:sz w:val="16"/>
                <w:szCs w:val="16"/>
              </w:rPr>
              <w:t>77.6</w:t>
            </w:r>
          </w:p>
        </w:tc>
        <w:tc>
          <w:tcPr>
            <w:tcW w:w="835" w:type="dxa"/>
            <w:tcBorders>
              <w:top w:val="single" w:sz="4" w:space="0" w:color="C6D9F1"/>
              <w:bottom w:val="single" w:sz="4" w:space="0" w:color="C6D9F1"/>
            </w:tcBorders>
            <w:vAlign w:val="center"/>
          </w:tcPr>
          <w:p w14:paraId="4131E018" w14:textId="77777777" w:rsidR="000E08EE" w:rsidRPr="000E08EE" w:rsidRDefault="000E08EE" w:rsidP="000E08EE">
            <w:pPr>
              <w:tabs>
                <w:tab w:val="left" w:pos="39"/>
                <w:tab w:val="decimal" w:pos="361"/>
              </w:tabs>
              <w:jc w:val="left"/>
              <w:rPr>
                <w:color w:val="000000"/>
                <w:sz w:val="16"/>
                <w:szCs w:val="16"/>
              </w:rPr>
            </w:pPr>
            <w:r>
              <w:rPr>
                <w:color w:val="000000"/>
                <w:sz w:val="16"/>
                <w:szCs w:val="16"/>
              </w:rPr>
              <w:tab/>
              <w:t>(-)</w:t>
            </w:r>
            <w:r>
              <w:rPr>
                <w:color w:val="000000"/>
                <w:sz w:val="16"/>
                <w:szCs w:val="16"/>
              </w:rPr>
              <w:tab/>
            </w:r>
            <w:r w:rsidRPr="000E08EE">
              <w:rPr>
                <w:color w:val="000000"/>
                <w:sz w:val="16"/>
                <w:szCs w:val="16"/>
              </w:rPr>
              <w:t>2.5</w:t>
            </w:r>
          </w:p>
        </w:tc>
      </w:tr>
      <w:tr w:rsidR="000E08EE" w:rsidRPr="00C168B2" w14:paraId="551BE7CD" w14:textId="77777777" w:rsidTr="000E08EE">
        <w:trPr>
          <w:jc w:val="center"/>
        </w:trPr>
        <w:tc>
          <w:tcPr>
            <w:tcW w:w="704" w:type="dxa"/>
            <w:tcBorders>
              <w:top w:val="single" w:sz="4" w:space="0" w:color="C6D9F1"/>
              <w:bottom w:val="single" w:sz="4" w:space="0" w:color="C6D9F1"/>
            </w:tcBorders>
            <w:vAlign w:val="center"/>
            <w:hideMark/>
          </w:tcPr>
          <w:p w14:paraId="0154835C"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322</w:t>
            </w:r>
          </w:p>
        </w:tc>
        <w:tc>
          <w:tcPr>
            <w:tcW w:w="5359" w:type="dxa"/>
            <w:tcBorders>
              <w:top w:val="single" w:sz="4" w:space="0" w:color="C6D9F1"/>
              <w:bottom w:val="single" w:sz="4" w:space="0" w:color="C6D9F1"/>
              <w:right w:val="single" w:sz="6" w:space="0" w:color="1F497D" w:themeColor="text2"/>
            </w:tcBorders>
            <w:vAlign w:val="center"/>
            <w:hideMark/>
          </w:tcPr>
          <w:p w14:paraId="224021E9" w14:textId="77777777" w:rsidR="000E08EE" w:rsidRPr="00C168B2" w:rsidRDefault="000E08EE" w:rsidP="000E08EE">
            <w:pPr>
              <w:snapToGrid w:val="0"/>
              <w:spacing w:before="20" w:after="20"/>
              <w:ind w:left="-94"/>
              <w:jc w:val="left"/>
              <w:rPr>
                <w:sz w:val="16"/>
                <w:szCs w:val="16"/>
                <w:lang w:val="es-MX" w:eastAsia="es-MX"/>
              </w:rPr>
            </w:pPr>
            <w:r w:rsidRPr="00C168B2">
              <w:rPr>
                <w:sz w:val="16"/>
                <w:szCs w:val="16"/>
                <w:lang w:val="es-MX" w:eastAsia="es-MX"/>
              </w:rPr>
              <w:t>Industria del papel</w:t>
            </w:r>
          </w:p>
        </w:tc>
        <w:tc>
          <w:tcPr>
            <w:tcW w:w="812" w:type="dxa"/>
            <w:tcBorders>
              <w:top w:val="single" w:sz="4" w:space="0" w:color="C6D9F1"/>
              <w:left w:val="single" w:sz="6" w:space="0" w:color="1F497D" w:themeColor="text2"/>
              <w:bottom w:val="single" w:sz="4" w:space="0" w:color="C6D9F1"/>
            </w:tcBorders>
            <w:vAlign w:val="center"/>
          </w:tcPr>
          <w:p w14:paraId="1161B80C" w14:textId="77777777" w:rsidR="000E08EE" w:rsidRPr="000E08EE" w:rsidRDefault="000E08EE" w:rsidP="000E08EE">
            <w:pPr>
              <w:tabs>
                <w:tab w:val="decimal" w:pos="359"/>
              </w:tabs>
              <w:jc w:val="left"/>
              <w:rPr>
                <w:color w:val="000000"/>
                <w:sz w:val="16"/>
                <w:szCs w:val="16"/>
              </w:rPr>
            </w:pPr>
            <w:r w:rsidRPr="000E08EE">
              <w:rPr>
                <w:color w:val="000000"/>
                <w:sz w:val="16"/>
                <w:szCs w:val="16"/>
              </w:rPr>
              <w:t>89.1</w:t>
            </w:r>
          </w:p>
        </w:tc>
        <w:tc>
          <w:tcPr>
            <w:tcW w:w="764" w:type="dxa"/>
            <w:tcBorders>
              <w:top w:val="single" w:sz="4" w:space="0" w:color="C6D9F1"/>
              <w:bottom w:val="single" w:sz="4" w:space="0" w:color="C6D9F1"/>
              <w:right w:val="single" w:sz="6" w:space="0" w:color="1F497D" w:themeColor="text2"/>
            </w:tcBorders>
            <w:vAlign w:val="center"/>
          </w:tcPr>
          <w:p w14:paraId="6CDE5F83" w14:textId="77777777" w:rsidR="000E08EE" w:rsidRPr="000E08EE" w:rsidRDefault="000E08EE" w:rsidP="000E08EE">
            <w:pPr>
              <w:tabs>
                <w:tab w:val="decimal" w:pos="359"/>
              </w:tabs>
              <w:jc w:val="left"/>
              <w:rPr>
                <w:color w:val="000000"/>
                <w:sz w:val="16"/>
                <w:szCs w:val="16"/>
              </w:rPr>
            </w:pPr>
            <w:r w:rsidRPr="000E08EE">
              <w:rPr>
                <w:color w:val="000000"/>
                <w:sz w:val="16"/>
                <w:szCs w:val="16"/>
              </w:rPr>
              <w:t>85.8</w:t>
            </w:r>
          </w:p>
        </w:tc>
        <w:tc>
          <w:tcPr>
            <w:tcW w:w="835" w:type="dxa"/>
            <w:tcBorders>
              <w:top w:val="single" w:sz="4" w:space="0" w:color="C6D9F1"/>
              <w:bottom w:val="single" w:sz="4" w:space="0" w:color="C6D9F1"/>
            </w:tcBorders>
            <w:vAlign w:val="center"/>
          </w:tcPr>
          <w:p w14:paraId="2A032129" w14:textId="77777777" w:rsidR="000E08EE" w:rsidRPr="000E08EE" w:rsidRDefault="000E08EE" w:rsidP="000E08EE">
            <w:pPr>
              <w:tabs>
                <w:tab w:val="left" w:pos="39"/>
                <w:tab w:val="decimal" w:pos="361"/>
              </w:tabs>
              <w:jc w:val="left"/>
              <w:rPr>
                <w:color w:val="000000"/>
                <w:sz w:val="16"/>
                <w:szCs w:val="16"/>
              </w:rPr>
            </w:pPr>
            <w:r>
              <w:rPr>
                <w:color w:val="000000"/>
                <w:sz w:val="16"/>
                <w:szCs w:val="16"/>
              </w:rPr>
              <w:tab/>
              <w:t>(-)</w:t>
            </w:r>
            <w:r>
              <w:rPr>
                <w:color w:val="000000"/>
                <w:sz w:val="16"/>
                <w:szCs w:val="16"/>
              </w:rPr>
              <w:tab/>
            </w:r>
            <w:r w:rsidRPr="000E08EE">
              <w:rPr>
                <w:color w:val="000000"/>
                <w:sz w:val="16"/>
                <w:szCs w:val="16"/>
              </w:rPr>
              <w:t>3.3</w:t>
            </w:r>
          </w:p>
        </w:tc>
      </w:tr>
      <w:tr w:rsidR="000E08EE" w:rsidRPr="00C168B2" w14:paraId="6D33B484" w14:textId="77777777" w:rsidTr="000E08EE">
        <w:trPr>
          <w:jc w:val="center"/>
        </w:trPr>
        <w:tc>
          <w:tcPr>
            <w:tcW w:w="704" w:type="dxa"/>
            <w:tcBorders>
              <w:top w:val="single" w:sz="4" w:space="0" w:color="C6D9F1"/>
              <w:bottom w:val="single" w:sz="4" w:space="0" w:color="C6D9F1"/>
            </w:tcBorders>
            <w:vAlign w:val="center"/>
            <w:hideMark/>
          </w:tcPr>
          <w:p w14:paraId="2A988F5F"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323</w:t>
            </w:r>
          </w:p>
        </w:tc>
        <w:tc>
          <w:tcPr>
            <w:tcW w:w="5359" w:type="dxa"/>
            <w:tcBorders>
              <w:top w:val="single" w:sz="4" w:space="0" w:color="C6D9F1"/>
              <w:bottom w:val="single" w:sz="4" w:space="0" w:color="C6D9F1"/>
              <w:right w:val="single" w:sz="6" w:space="0" w:color="1F497D" w:themeColor="text2"/>
            </w:tcBorders>
            <w:vAlign w:val="center"/>
            <w:hideMark/>
          </w:tcPr>
          <w:p w14:paraId="39C0F891" w14:textId="77777777" w:rsidR="000E08EE" w:rsidRPr="00C168B2" w:rsidRDefault="000E08EE" w:rsidP="000E08EE">
            <w:pPr>
              <w:snapToGrid w:val="0"/>
              <w:spacing w:before="20" w:after="20"/>
              <w:ind w:left="-94"/>
              <w:jc w:val="left"/>
              <w:rPr>
                <w:sz w:val="16"/>
                <w:szCs w:val="16"/>
                <w:lang w:val="es-MX" w:eastAsia="es-MX"/>
              </w:rPr>
            </w:pPr>
            <w:r w:rsidRPr="00C168B2">
              <w:rPr>
                <w:sz w:val="16"/>
                <w:szCs w:val="16"/>
                <w:lang w:val="es-MX" w:eastAsia="es-MX"/>
              </w:rPr>
              <w:t>Impresión e industrias conexas</w:t>
            </w:r>
          </w:p>
        </w:tc>
        <w:tc>
          <w:tcPr>
            <w:tcW w:w="812" w:type="dxa"/>
            <w:tcBorders>
              <w:top w:val="single" w:sz="4" w:space="0" w:color="C6D9F1"/>
              <w:left w:val="single" w:sz="6" w:space="0" w:color="1F497D" w:themeColor="text2"/>
              <w:bottom w:val="single" w:sz="4" w:space="0" w:color="C6D9F1"/>
            </w:tcBorders>
            <w:vAlign w:val="center"/>
          </w:tcPr>
          <w:p w14:paraId="3B0CB056" w14:textId="77777777" w:rsidR="000E08EE" w:rsidRPr="000E08EE" w:rsidRDefault="000E08EE" w:rsidP="000E08EE">
            <w:pPr>
              <w:tabs>
                <w:tab w:val="decimal" w:pos="359"/>
              </w:tabs>
              <w:jc w:val="left"/>
              <w:rPr>
                <w:color w:val="000000"/>
                <w:sz w:val="16"/>
                <w:szCs w:val="16"/>
              </w:rPr>
            </w:pPr>
            <w:r w:rsidRPr="000E08EE">
              <w:rPr>
                <w:color w:val="000000"/>
                <w:sz w:val="16"/>
                <w:szCs w:val="16"/>
              </w:rPr>
              <w:t>83.0</w:t>
            </w:r>
          </w:p>
        </w:tc>
        <w:tc>
          <w:tcPr>
            <w:tcW w:w="764" w:type="dxa"/>
            <w:tcBorders>
              <w:top w:val="single" w:sz="4" w:space="0" w:color="C6D9F1"/>
              <w:bottom w:val="single" w:sz="4" w:space="0" w:color="C6D9F1"/>
              <w:right w:val="single" w:sz="6" w:space="0" w:color="1F497D" w:themeColor="text2"/>
            </w:tcBorders>
            <w:vAlign w:val="center"/>
          </w:tcPr>
          <w:p w14:paraId="70D5AF07" w14:textId="77777777" w:rsidR="000E08EE" w:rsidRPr="000E08EE" w:rsidRDefault="000E08EE" w:rsidP="000E08EE">
            <w:pPr>
              <w:tabs>
                <w:tab w:val="decimal" w:pos="359"/>
              </w:tabs>
              <w:jc w:val="left"/>
              <w:rPr>
                <w:color w:val="000000"/>
                <w:sz w:val="16"/>
                <w:szCs w:val="16"/>
              </w:rPr>
            </w:pPr>
            <w:r w:rsidRPr="000E08EE">
              <w:rPr>
                <w:color w:val="000000"/>
                <w:sz w:val="16"/>
                <w:szCs w:val="16"/>
              </w:rPr>
              <w:t>80.3</w:t>
            </w:r>
          </w:p>
        </w:tc>
        <w:tc>
          <w:tcPr>
            <w:tcW w:w="835" w:type="dxa"/>
            <w:tcBorders>
              <w:top w:val="single" w:sz="4" w:space="0" w:color="C6D9F1"/>
              <w:bottom w:val="single" w:sz="4" w:space="0" w:color="C6D9F1"/>
            </w:tcBorders>
            <w:vAlign w:val="center"/>
          </w:tcPr>
          <w:p w14:paraId="50A88CF0" w14:textId="77777777" w:rsidR="000E08EE" w:rsidRPr="000E08EE" w:rsidRDefault="000E08EE" w:rsidP="000E08EE">
            <w:pPr>
              <w:tabs>
                <w:tab w:val="left" w:pos="39"/>
                <w:tab w:val="decimal" w:pos="361"/>
              </w:tabs>
              <w:jc w:val="left"/>
              <w:rPr>
                <w:color w:val="000000"/>
                <w:sz w:val="16"/>
                <w:szCs w:val="16"/>
              </w:rPr>
            </w:pPr>
            <w:r>
              <w:rPr>
                <w:color w:val="000000"/>
                <w:sz w:val="16"/>
                <w:szCs w:val="16"/>
              </w:rPr>
              <w:tab/>
              <w:t>(-)</w:t>
            </w:r>
            <w:r>
              <w:rPr>
                <w:color w:val="000000"/>
                <w:sz w:val="16"/>
                <w:szCs w:val="16"/>
              </w:rPr>
              <w:tab/>
            </w:r>
            <w:r w:rsidRPr="000E08EE">
              <w:rPr>
                <w:color w:val="000000"/>
                <w:sz w:val="16"/>
                <w:szCs w:val="16"/>
              </w:rPr>
              <w:t>2.7</w:t>
            </w:r>
          </w:p>
        </w:tc>
      </w:tr>
      <w:tr w:rsidR="000E08EE" w:rsidRPr="00C168B2" w14:paraId="6FC0AC50" w14:textId="77777777" w:rsidTr="000E08EE">
        <w:trPr>
          <w:jc w:val="center"/>
        </w:trPr>
        <w:tc>
          <w:tcPr>
            <w:tcW w:w="704" w:type="dxa"/>
            <w:tcBorders>
              <w:top w:val="single" w:sz="4" w:space="0" w:color="C6D9F1"/>
              <w:bottom w:val="single" w:sz="4" w:space="0" w:color="C6D9F1"/>
            </w:tcBorders>
            <w:vAlign w:val="center"/>
            <w:hideMark/>
          </w:tcPr>
          <w:p w14:paraId="73A12A48"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324</w:t>
            </w:r>
          </w:p>
        </w:tc>
        <w:tc>
          <w:tcPr>
            <w:tcW w:w="5359" w:type="dxa"/>
            <w:tcBorders>
              <w:top w:val="single" w:sz="4" w:space="0" w:color="C6D9F1"/>
              <w:bottom w:val="single" w:sz="4" w:space="0" w:color="C6D9F1"/>
              <w:right w:val="single" w:sz="6" w:space="0" w:color="1F497D" w:themeColor="text2"/>
            </w:tcBorders>
            <w:vAlign w:val="center"/>
            <w:hideMark/>
          </w:tcPr>
          <w:p w14:paraId="08DFEF97" w14:textId="77777777" w:rsidR="000E08EE" w:rsidRPr="00C168B2" w:rsidRDefault="000E08EE" w:rsidP="000E08EE">
            <w:pPr>
              <w:snapToGrid w:val="0"/>
              <w:spacing w:before="20" w:after="20"/>
              <w:ind w:left="-94" w:right="-155"/>
              <w:jc w:val="left"/>
              <w:rPr>
                <w:sz w:val="16"/>
                <w:szCs w:val="16"/>
                <w:lang w:val="es-MX" w:eastAsia="es-MX"/>
              </w:rPr>
            </w:pPr>
            <w:r w:rsidRPr="00C168B2">
              <w:rPr>
                <w:sz w:val="16"/>
                <w:szCs w:val="16"/>
                <w:lang w:val="es-MX" w:eastAsia="es-MX"/>
              </w:rPr>
              <w:t>Fabricación de productos derivados del petróleo y del carbón</w:t>
            </w:r>
          </w:p>
        </w:tc>
        <w:tc>
          <w:tcPr>
            <w:tcW w:w="812" w:type="dxa"/>
            <w:tcBorders>
              <w:top w:val="single" w:sz="4" w:space="0" w:color="C6D9F1"/>
              <w:left w:val="single" w:sz="6" w:space="0" w:color="1F497D" w:themeColor="text2"/>
              <w:bottom w:val="single" w:sz="4" w:space="0" w:color="C6D9F1"/>
            </w:tcBorders>
            <w:vAlign w:val="center"/>
          </w:tcPr>
          <w:p w14:paraId="11F728D5" w14:textId="77777777" w:rsidR="000E08EE" w:rsidRPr="000E08EE" w:rsidRDefault="000E08EE" w:rsidP="000E08EE">
            <w:pPr>
              <w:tabs>
                <w:tab w:val="decimal" w:pos="359"/>
              </w:tabs>
              <w:jc w:val="left"/>
              <w:rPr>
                <w:color w:val="000000"/>
                <w:sz w:val="16"/>
                <w:szCs w:val="16"/>
              </w:rPr>
            </w:pPr>
            <w:r w:rsidRPr="000E08EE">
              <w:rPr>
                <w:color w:val="000000"/>
                <w:sz w:val="16"/>
                <w:szCs w:val="16"/>
              </w:rPr>
              <w:t>43.2</w:t>
            </w:r>
          </w:p>
        </w:tc>
        <w:tc>
          <w:tcPr>
            <w:tcW w:w="764" w:type="dxa"/>
            <w:tcBorders>
              <w:top w:val="single" w:sz="4" w:space="0" w:color="C6D9F1"/>
              <w:bottom w:val="single" w:sz="4" w:space="0" w:color="C6D9F1"/>
              <w:right w:val="single" w:sz="6" w:space="0" w:color="1F497D" w:themeColor="text2"/>
            </w:tcBorders>
            <w:vAlign w:val="center"/>
          </w:tcPr>
          <w:p w14:paraId="51E636F7" w14:textId="77777777" w:rsidR="000E08EE" w:rsidRPr="000E08EE" w:rsidRDefault="000E08EE" w:rsidP="000E08EE">
            <w:pPr>
              <w:tabs>
                <w:tab w:val="decimal" w:pos="359"/>
              </w:tabs>
              <w:jc w:val="left"/>
              <w:rPr>
                <w:color w:val="000000"/>
                <w:sz w:val="16"/>
                <w:szCs w:val="16"/>
              </w:rPr>
            </w:pPr>
            <w:r w:rsidRPr="000E08EE">
              <w:rPr>
                <w:color w:val="000000"/>
                <w:sz w:val="16"/>
                <w:szCs w:val="16"/>
              </w:rPr>
              <w:t>44.5</w:t>
            </w:r>
          </w:p>
        </w:tc>
        <w:tc>
          <w:tcPr>
            <w:tcW w:w="835" w:type="dxa"/>
            <w:tcBorders>
              <w:top w:val="single" w:sz="4" w:space="0" w:color="C6D9F1"/>
              <w:bottom w:val="single" w:sz="4" w:space="0" w:color="C6D9F1"/>
            </w:tcBorders>
            <w:vAlign w:val="center"/>
          </w:tcPr>
          <w:p w14:paraId="07D7756E" w14:textId="77777777" w:rsidR="000E08EE" w:rsidRPr="000E08EE" w:rsidRDefault="000E08EE" w:rsidP="000E08EE">
            <w:pPr>
              <w:tabs>
                <w:tab w:val="decimal" w:pos="361"/>
              </w:tabs>
              <w:jc w:val="left"/>
              <w:rPr>
                <w:color w:val="000000"/>
                <w:sz w:val="16"/>
                <w:szCs w:val="16"/>
              </w:rPr>
            </w:pPr>
            <w:r w:rsidRPr="000E08EE">
              <w:rPr>
                <w:color w:val="000000"/>
                <w:sz w:val="16"/>
                <w:szCs w:val="16"/>
              </w:rPr>
              <w:t>1.3</w:t>
            </w:r>
          </w:p>
        </w:tc>
      </w:tr>
      <w:tr w:rsidR="000E08EE" w:rsidRPr="00C168B2" w14:paraId="00E7A5D8" w14:textId="77777777" w:rsidTr="000E08EE">
        <w:trPr>
          <w:jc w:val="center"/>
        </w:trPr>
        <w:tc>
          <w:tcPr>
            <w:tcW w:w="704" w:type="dxa"/>
            <w:tcBorders>
              <w:top w:val="single" w:sz="4" w:space="0" w:color="C6D9F1"/>
              <w:bottom w:val="single" w:sz="4" w:space="0" w:color="C6D9F1"/>
            </w:tcBorders>
            <w:vAlign w:val="center"/>
            <w:hideMark/>
          </w:tcPr>
          <w:p w14:paraId="4D9F7179"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325</w:t>
            </w:r>
          </w:p>
        </w:tc>
        <w:tc>
          <w:tcPr>
            <w:tcW w:w="5359" w:type="dxa"/>
            <w:tcBorders>
              <w:top w:val="single" w:sz="4" w:space="0" w:color="C6D9F1"/>
              <w:bottom w:val="single" w:sz="4" w:space="0" w:color="C6D9F1"/>
              <w:right w:val="single" w:sz="6" w:space="0" w:color="1F497D" w:themeColor="text2"/>
            </w:tcBorders>
            <w:vAlign w:val="center"/>
            <w:hideMark/>
          </w:tcPr>
          <w:p w14:paraId="78D104E6" w14:textId="77777777" w:rsidR="000E08EE" w:rsidRPr="00C168B2" w:rsidRDefault="000E08EE" w:rsidP="000E08EE">
            <w:pPr>
              <w:snapToGrid w:val="0"/>
              <w:spacing w:before="20" w:after="20"/>
              <w:ind w:left="-96"/>
              <w:jc w:val="left"/>
              <w:rPr>
                <w:sz w:val="16"/>
                <w:szCs w:val="16"/>
                <w:lang w:val="es-MX" w:eastAsia="es-MX"/>
              </w:rPr>
            </w:pPr>
            <w:r w:rsidRPr="00C168B2">
              <w:rPr>
                <w:sz w:val="16"/>
                <w:szCs w:val="16"/>
                <w:lang w:val="es-MX" w:eastAsia="es-MX"/>
              </w:rPr>
              <w:t>Industria química</w:t>
            </w:r>
          </w:p>
        </w:tc>
        <w:tc>
          <w:tcPr>
            <w:tcW w:w="812" w:type="dxa"/>
            <w:tcBorders>
              <w:top w:val="single" w:sz="4" w:space="0" w:color="C6D9F1"/>
              <w:left w:val="single" w:sz="6" w:space="0" w:color="1F497D" w:themeColor="text2"/>
              <w:bottom w:val="single" w:sz="4" w:space="0" w:color="C6D9F1"/>
            </w:tcBorders>
            <w:vAlign w:val="center"/>
          </w:tcPr>
          <w:p w14:paraId="05B5D283" w14:textId="77777777" w:rsidR="000E08EE" w:rsidRPr="000E08EE" w:rsidRDefault="000E08EE" w:rsidP="000E08EE">
            <w:pPr>
              <w:tabs>
                <w:tab w:val="decimal" w:pos="359"/>
              </w:tabs>
              <w:jc w:val="left"/>
              <w:rPr>
                <w:color w:val="000000"/>
                <w:sz w:val="16"/>
                <w:szCs w:val="16"/>
              </w:rPr>
            </w:pPr>
            <w:r w:rsidRPr="000E08EE">
              <w:rPr>
                <w:color w:val="000000"/>
                <w:sz w:val="16"/>
                <w:szCs w:val="16"/>
              </w:rPr>
              <w:t>73.0</w:t>
            </w:r>
          </w:p>
        </w:tc>
        <w:tc>
          <w:tcPr>
            <w:tcW w:w="764" w:type="dxa"/>
            <w:tcBorders>
              <w:top w:val="single" w:sz="4" w:space="0" w:color="C6D9F1"/>
              <w:bottom w:val="single" w:sz="4" w:space="0" w:color="C6D9F1"/>
              <w:right w:val="single" w:sz="6" w:space="0" w:color="1F497D" w:themeColor="text2"/>
            </w:tcBorders>
            <w:vAlign w:val="center"/>
          </w:tcPr>
          <w:p w14:paraId="2B598EE2" w14:textId="77777777" w:rsidR="000E08EE" w:rsidRPr="000E08EE" w:rsidRDefault="000E08EE" w:rsidP="000E08EE">
            <w:pPr>
              <w:tabs>
                <w:tab w:val="decimal" w:pos="359"/>
              </w:tabs>
              <w:jc w:val="left"/>
              <w:rPr>
                <w:color w:val="000000"/>
                <w:sz w:val="16"/>
                <w:szCs w:val="16"/>
              </w:rPr>
            </w:pPr>
            <w:r w:rsidRPr="000E08EE">
              <w:rPr>
                <w:color w:val="000000"/>
                <w:sz w:val="16"/>
                <w:szCs w:val="16"/>
              </w:rPr>
              <w:t>73.2</w:t>
            </w:r>
          </w:p>
        </w:tc>
        <w:tc>
          <w:tcPr>
            <w:tcW w:w="835" w:type="dxa"/>
            <w:tcBorders>
              <w:top w:val="single" w:sz="4" w:space="0" w:color="C6D9F1"/>
              <w:bottom w:val="single" w:sz="4" w:space="0" w:color="C6D9F1"/>
            </w:tcBorders>
            <w:vAlign w:val="center"/>
          </w:tcPr>
          <w:p w14:paraId="25CB3CC9" w14:textId="77777777" w:rsidR="000E08EE" w:rsidRPr="000E08EE" w:rsidRDefault="000E08EE" w:rsidP="000E08EE">
            <w:pPr>
              <w:tabs>
                <w:tab w:val="decimal" w:pos="361"/>
              </w:tabs>
              <w:jc w:val="left"/>
              <w:rPr>
                <w:color w:val="000000"/>
                <w:sz w:val="16"/>
                <w:szCs w:val="16"/>
              </w:rPr>
            </w:pPr>
            <w:r w:rsidRPr="000E08EE">
              <w:rPr>
                <w:color w:val="000000"/>
                <w:sz w:val="16"/>
                <w:szCs w:val="16"/>
              </w:rPr>
              <w:t>0.2</w:t>
            </w:r>
          </w:p>
        </w:tc>
      </w:tr>
      <w:tr w:rsidR="000E08EE" w:rsidRPr="00C168B2" w14:paraId="04079AB4" w14:textId="77777777" w:rsidTr="000E08EE">
        <w:trPr>
          <w:jc w:val="center"/>
        </w:trPr>
        <w:tc>
          <w:tcPr>
            <w:tcW w:w="704" w:type="dxa"/>
            <w:tcBorders>
              <w:top w:val="single" w:sz="4" w:space="0" w:color="C6D9F1"/>
              <w:bottom w:val="single" w:sz="4" w:space="0" w:color="C6D9F1"/>
            </w:tcBorders>
            <w:vAlign w:val="center"/>
            <w:hideMark/>
          </w:tcPr>
          <w:p w14:paraId="51D1F322"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326</w:t>
            </w:r>
          </w:p>
        </w:tc>
        <w:tc>
          <w:tcPr>
            <w:tcW w:w="5359" w:type="dxa"/>
            <w:tcBorders>
              <w:top w:val="single" w:sz="4" w:space="0" w:color="C6D9F1"/>
              <w:bottom w:val="single" w:sz="4" w:space="0" w:color="C6D9F1"/>
              <w:right w:val="single" w:sz="6" w:space="0" w:color="1F497D" w:themeColor="text2"/>
            </w:tcBorders>
            <w:vAlign w:val="center"/>
            <w:hideMark/>
          </w:tcPr>
          <w:p w14:paraId="7E694ADF" w14:textId="77777777" w:rsidR="000E08EE" w:rsidRPr="00C168B2" w:rsidRDefault="000E08EE" w:rsidP="000E08EE">
            <w:pPr>
              <w:snapToGrid w:val="0"/>
              <w:spacing w:before="20" w:after="20"/>
              <w:ind w:left="-96"/>
              <w:jc w:val="left"/>
              <w:rPr>
                <w:sz w:val="16"/>
                <w:szCs w:val="16"/>
                <w:lang w:val="es-MX" w:eastAsia="es-MX"/>
              </w:rPr>
            </w:pPr>
            <w:r w:rsidRPr="00C168B2">
              <w:rPr>
                <w:sz w:val="16"/>
                <w:szCs w:val="16"/>
                <w:lang w:val="es-MX" w:eastAsia="es-MX"/>
              </w:rPr>
              <w:t>Industria del plástico y del hule</w:t>
            </w:r>
          </w:p>
        </w:tc>
        <w:tc>
          <w:tcPr>
            <w:tcW w:w="812" w:type="dxa"/>
            <w:tcBorders>
              <w:top w:val="single" w:sz="4" w:space="0" w:color="C6D9F1"/>
              <w:left w:val="single" w:sz="6" w:space="0" w:color="1F497D" w:themeColor="text2"/>
              <w:bottom w:val="single" w:sz="4" w:space="0" w:color="C6D9F1"/>
            </w:tcBorders>
            <w:vAlign w:val="center"/>
          </w:tcPr>
          <w:p w14:paraId="286A4B6B" w14:textId="77777777" w:rsidR="000E08EE" w:rsidRPr="000E08EE" w:rsidRDefault="000E08EE" w:rsidP="000E08EE">
            <w:pPr>
              <w:tabs>
                <w:tab w:val="decimal" w:pos="359"/>
              </w:tabs>
              <w:jc w:val="left"/>
              <w:rPr>
                <w:color w:val="000000"/>
                <w:sz w:val="16"/>
                <w:szCs w:val="16"/>
              </w:rPr>
            </w:pPr>
            <w:r w:rsidRPr="000E08EE">
              <w:rPr>
                <w:color w:val="000000"/>
                <w:sz w:val="16"/>
                <w:szCs w:val="16"/>
              </w:rPr>
              <w:t>86.3</w:t>
            </w:r>
          </w:p>
        </w:tc>
        <w:tc>
          <w:tcPr>
            <w:tcW w:w="764" w:type="dxa"/>
            <w:tcBorders>
              <w:top w:val="single" w:sz="4" w:space="0" w:color="C6D9F1"/>
              <w:bottom w:val="single" w:sz="4" w:space="0" w:color="C6D9F1"/>
              <w:right w:val="single" w:sz="6" w:space="0" w:color="1F497D" w:themeColor="text2"/>
            </w:tcBorders>
            <w:vAlign w:val="center"/>
          </w:tcPr>
          <w:p w14:paraId="10DC0BD6" w14:textId="77777777" w:rsidR="000E08EE" w:rsidRPr="000E08EE" w:rsidRDefault="000E08EE" w:rsidP="000E08EE">
            <w:pPr>
              <w:tabs>
                <w:tab w:val="decimal" w:pos="359"/>
              </w:tabs>
              <w:jc w:val="left"/>
              <w:rPr>
                <w:color w:val="000000"/>
                <w:sz w:val="16"/>
                <w:szCs w:val="16"/>
              </w:rPr>
            </w:pPr>
            <w:r w:rsidRPr="000E08EE">
              <w:rPr>
                <w:color w:val="000000"/>
                <w:sz w:val="16"/>
                <w:szCs w:val="16"/>
              </w:rPr>
              <w:t>83.1</w:t>
            </w:r>
          </w:p>
        </w:tc>
        <w:tc>
          <w:tcPr>
            <w:tcW w:w="835" w:type="dxa"/>
            <w:tcBorders>
              <w:top w:val="single" w:sz="4" w:space="0" w:color="C6D9F1"/>
              <w:bottom w:val="single" w:sz="4" w:space="0" w:color="C6D9F1"/>
            </w:tcBorders>
            <w:vAlign w:val="center"/>
          </w:tcPr>
          <w:p w14:paraId="64BEBA8D" w14:textId="77777777" w:rsidR="000E08EE" w:rsidRPr="000E08EE" w:rsidRDefault="000E08EE" w:rsidP="000E08EE">
            <w:pPr>
              <w:tabs>
                <w:tab w:val="left" w:pos="39"/>
                <w:tab w:val="decimal" w:pos="361"/>
              </w:tabs>
              <w:jc w:val="left"/>
              <w:rPr>
                <w:color w:val="000000"/>
                <w:sz w:val="16"/>
                <w:szCs w:val="16"/>
              </w:rPr>
            </w:pPr>
            <w:r>
              <w:rPr>
                <w:color w:val="000000"/>
                <w:sz w:val="16"/>
                <w:szCs w:val="16"/>
              </w:rPr>
              <w:tab/>
              <w:t>(-)</w:t>
            </w:r>
            <w:r>
              <w:rPr>
                <w:color w:val="000000"/>
                <w:sz w:val="16"/>
                <w:szCs w:val="16"/>
              </w:rPr>
              <w:tab/>
            </w:r>
            <w:r w:rsidRPr="000E08EE">
              <w:rPr>
                <w:color w:val="000000"/>
                <w:sz w:val="16"/>
                <w:szCs w:val="16"/>
              </w:rPr>
              <w:t>3.2</w:t>
            </w:r>
          </w:p>
        </w:tc>
      </w:tr>
      <w:tr w:rsidR="000E08EE" w:rsidRPr="00C168B2" w14:paraId="3D3D6AEB" w14:textId="77777777" w:rsidTr="000E08EE">
        <w:trPr>
          <w:jc w:val="center"/>
        </w:trPr>
        <w:tc>
          <w:tcPr>
            <w:tcW w:w="704" w:type="dxa"/>
            <w:tcBorders>
              <w:top w:val="single" w:sz="4" w:space="0" w:color="C6D9F1"/>
              <w:bottom w:val="single" w:sz="4" w:space="0" w:color="C6D9F1"/>
            </w:tcBorders>
            <w:vAlign w:val="center"/>
            <w:hideMark/>
          </w:tcPr>
          <w:p w14:paraId="32C698F3"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327</w:t>
            </w:r>
          </w:p>
        </w:tc>
        <w:tc>
          <w:tcPr>
            <w:tcW w:w="5359" w:type="dxa"/>
            <w:tcBorders>
              <w:top w:val="single" w:sz="4" w:space="0" w:color="C6D9F1"/>
              <w:bottom w:val="single" w:sz="4" w:space="0" w:color="C6D9F1"/>
              <w:right w:val="single" w:sz="6" w:space="0" w:color="1F497D" w:themeColor="text2"/>
            </w:tcBorders>
            <w:vAlign w:val="center"/>
            <w:hideMark/>
          </w:tcPr>
          <w:p w14:paraId="07E6668A" w14:textId="77777777" w:rsidR="000E08EE" w:rsidRPr="00C168B2" w:rsidRDefault="000E08EE" w:rsidP="000E08EE">
            <w:pPr>
              <w:snapToGrid w:val="0"/>
              <w:spacing w:before="20" w:after="20"/>
              <w:ind w:left="-96"/>
              <w:jc w:val="left"/>
              <w:rPr>
                <w:sz w:val="16"/>
                <w:szCs w:val="16"/>
                <w:lang w:val="es-MX" w:eastAsia="es-MX"/>
              </w:rPr>
            </w:pPr>
            <w:r w:rsidRPr="00C168B2">
              <w:rPr>
                <w:sz w:val="16"/>
                <w:szCs w:val="16"/>
                <w:lang w:val="es-MX" w:eastAsia="es-MX"/>
              </w:rPr>
              <w:t>Fabricación de productos a base de minerales no metálicos</w:t>
            </w:r>
          </w:p>
        </w:tc>
        <w:tc>
          <w:tcPr>
            <w:tcW w:w="812" w:type="dxa"/>
            <w:tcBorders>
              <w:top w:val="single" w:sz="4" w:space="0" w:color="C6D9F1"/>
              <w:left w:val="single" w:sz="6" w:space="0" w:color="1F497D" w:themeColor="text2"/>
              <w:bottom w:val="single" w:sz="4" w:space="0" w:color="C6D9F1"/>
            </w:tcBorders>
            <w:vAlign w:val="center"/>
          </w:tcPr>
          <w:p w14:paraId="2CF881D1" w14:textId="77777777" w:rsidR="000E08EE" w:rsidRPr="000E08EE" w:rsidRDefault="000E08EE" w:rsidP="000E08EE">
            <w:pPr>
              <w:tabs>
                <w:tab w:val="decimal" w:pos="359"/>
              </w:tabs>
              <w:jc w:val="left"/>
              <w:rPr>
                <w:color w:val="000000"/>
                <w:sz w:val="16"/>
                <w:szCs w:val="16"/>
              </w:rPr>
            </w:pPr>
            <w:r w:rsidRPr="000E08EE">
              <w:rPr>
                <w:color w:val="000000"/>
                <w:sz w:val="16"/>
                <w:szCs w:val="16"/>
              </w:rPr>
              <w:t>86.3</w:t>
            </w:r>
          </w:p>
        </w:tc>
        <w:tc>
          <w:tcPr>
            <w:tcW w:w="764" w:type="dxa"/>
            <w:tcBorders>
              <w:top w:val="single" w:sz="4" w:space="0" w:color="C6D9F1"/>
              <w:bottom w:val="single" w:sz="4" w:space="0" w:color="C6D9F1"/>
              <w:right w:val="single" w:sz="6" w:space="0" w:color="1F497D" w:themeColor="text2"/>
            </w:tcBorders>
            <w:vAlign w:val="center"/>
          </w:tcPr>
          <w:p w14:paraId="549905EB" w14:textId="77777777" w:rsidR="000E08EE" w:rsidRPr="000E08EE" w:rsidRDefault="000E08EE" w:rsidP="000E08EE">
            <w:pPr>
              <w:tabs>
                <w:tab w:val="decimal" w:pos="359"/>
              </w:tabs>
              <w:jc w:val="left"/>
              <w:rPr>
                <w:color w:val="000000"/>
                <w:sz w:val="16"/>
                <w:szCs w:val="16"/>
              </w:rPr>
            </w:pPr>
            <w:r w:rsidRPr="000E08EE">
              <w:rPr>
                <w:color w:val="000000"/>
                <w:sz w:val="16"/>
                <w:szCs w:val="16"/>
              </w:rPr>
              <w:t>86.7</w:t>
            </w:r>
          </w:p>
        </w:tc>
        <w:tc>
          <w:tcPr>
            <w:tcW w:w="835" w:type="dxa"/>
            <w:tcBorders>
              <w:top w:val="single" w:sz="4" w:space="0" w:color="C6D9F1"/>
              <w:bottom w:val="single" w:sz="4" w:space="0" w:color="C6D9F1"/>
            </w:tcBorders>
            <w:vAlign w:val="center"/>
          </w:tcPr>
          <w:p w14:paraId="0D84DDCB" w14:textId="77777777" w:rsidR="000E08EE" w:rsidRPr="000E08EE" w:rsidRDefault="000E08EE" w:rsidP="000E08EE">
            <w:pPr>
              <w:tabs>
                <w:tab w:val="decimal" w:pos="361"/>
              </w:tabs>
              <w:jc w:val="left"/>
              <w:rPr>
                <w:color w:val="000000"/>
                <w:sz w:val="16"/>
                <w:szCs w:val="16"/>
              </w:rPr>
            </w:pPr>
            <w:r w:rsidRPr="000E08EE">
              <w:rPr>
                <w:color w:val="000000"/>
                <w:sz w:val="16"/>
                <w:szCs w:val="16"/>
              </w:rPr>
              <w:t>0.4</w:t>
            </w:r>
          </w:p>
        </w:tc>
      </w:tr>
      <w:tr w:rsidR="000E08EE" w:rsidRPr="00C168B2" w14:paraId="6F54DB93" w14:textId="77777777" w:rsidTr="000E08EE">
        <w:trPr>
          <w:jc w:val="center"/>
        </w:trPr>
        <w:tc>
          <w:tcPr>
            <w:tcW w:w="704" w:type="dxa"/>
            <w:tcBorders>
              <w:top w:val="single" w:sz="4" w:space="0" w:color="C6D9F1"/>
              <w:bottom w:val="single" w:sz="4" w:space="0" w:color="C6D9F1"/>
            </w:tcBorders>
            <w:vAlign w:val="center"/>
            <w:hideMark/>
          </w:tcPr>
          <w:p w14:paraId="783B9FB8"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331</w:t>
            </w:r>
          </w:p>
        </w:tc>
        <w:tc>
          <w:tcPr>
            <w:tcW w:w="5359" w:type="dxa"/>
            <w:tcBorders>
              <w:top w:val="single" w:sz="4" w:space="0" w:color="C6D9F1"/>
              <w:bottom w:val="single" w:sz="4" w:space="0" w:color="C6D9F1"/>
              <w:right w:val="single" w:sz="6" w:space="0" w:color="1F497D" w:themeColor="text2"/>
            </w:tcBorders>
            <w:vAlign w:val="center"/>
            <w:hideMark/>
          </w:tcPr>
          <w:p w14:paraId="226B5AB2" w14:textId="77777777" w:rsidR="000E08EE" w:rsidRPr="00C168B2" w:rsidRDefault="000E08EE" w:rsidP="000E08EE">
            <w:pPr>
              <w:snapToGrid w:val="0"/>
              <w:spacing w:before="20" w:after="20"/>
              <w:ind w:left="-96"/>
              <w:jc w:val="left"/>
              <w:rPr>
                <w:sz w:val="16"/>
                <w:szCs w:val="16"/>
                <w:lang w:val="es-MX" w:eastAsia="es-MX"/>
              </w:rPr>
            </w:pPr>
            <w:r w:rsidRPr="00C168B2">
              <w:rPr>
                <w:sz w:val="16"/>
                <w:szCs w:val="16"/>
                <w:lang w:val="es-MX" w:eastAsia="es-MX"/>
              </w:rPr>
              <w:t>Industrias metálicas básicas</w:t>
            </w:r>
          </w:p>
        </w:tc>
        <w:tc>
          <w:tcPr>
            <w:tcW w:w="812" w:type="dxa"/>
            <w:tcBorders>
              <w:top w:val="single" w:sz="4" w:space="0" w:color="C6D9F1"/>
              <w:left w:val="single" w:sz="6" w:space="0" w:color="1F497D" w:themeColor="text2"/>
              <w:bottom w:val="single" w:sz="4" w:space="0" w:color="C6D9F1"/>
            </w:tcBorders>
            <w:vAlign w:val="center"/>
          </w:tcPr>
          <w:p w14:paraId="0B831417" w14:textId="77777777" w:rsidR="000E08EE" w:rsidRPr="000E08EE" w:rsidRDefault="000E08EE" w:rsidP="000E08EE">
            <w:pPr>
              <w:tabs>
                <w:tab w:val="decimal" w:pos="359"/>
              </w:tabs>
              <w:jc w:val="left"/>
              <w:rPr>
                <w:color w:val="000000"/>
                <w:sz w:val="16"/>
                <w:szCs w:val="16"/>
              </w:rPr>
            </w:pPr>
            <w:r w:rsidRPr="000E08EE">
              <w:rPr>
                <w:color w:val="000000"/>
                <w:sz w:val="16"/>
                <w:szCs w:val="16"/>
              </w:rPr>
              <w:t>81.0</w:t>
            </w:r>
          </w:p>
        </w:tc>
        <w:tc>
          <w:tcPr>
            <w:tcW w:w="764" w:type="dxa"/>
            <w:tcBorders>
              <w:top w:val="single" w:sz="4" w:space="0" w:color="C6D9F1"/>
              <w:bottom w:val="single" w:sz="4" w:space="0" w:color="C6D9F1"/>
              <w:right w:val="single" w:sz="6" w:space="0" w:color="1F497D" w:themeColor="text2"/>
            </w:tcBorders>
            <w:vAlign w:val="center"/>
          </w:tcPr>
          <w:p w14:paraId="3EA67D63" w14:textId="77777777" w:rsidR="000E08EE" w:rsidRPr="000E08EE" w:rsidRDefault="000E08EE" w:rsidP="000E08EE">
            <w:pPr>
              <w:tabs>
                <w:tab w:val="decimal" w:pos="359"/>
              </w:tabs>
              <w:jc w:val="left"/>
              <w:rPr>
                <w:color w:val="000000"/>
                <w:sz w:val="16"/>
                <w:szCs w:val="16"/>
              </w:rPr>
            </w:pPr>
            <w:r w:rsidRPr="000E08EE">
              <w:rPr>
                <w:color w:val="000000"/>
                <w:sz w:val="16"/>
                <w:szCs w:val="16"/>
              </w:rPr>
              <w:t>79.8</w:t>
            </w:r>
          </w:p>
        </w:tc>
        <w:tc>
          <w:tcPr>
            <w:tcW w:w="835" w:type="dxa"/>
            <w:tcBorders>
              <w:top w:val="single" w:sz="4" w:space="0" w:color="C6D9F1"/>
              <w:bottom w:val="single" w:sz="4" w:space="0" w:color="C6D9F1"/>
            </w:tcBorders>
            <w:vAlign w:val="center"/>
          </w:tcPr>
          <w:p w14:paraId="1425204D" w14:textId="77777777" w:rsidR="000E08EE" w:rsidRPr="000E08EE" w:rsidRDefault="000E08EE" w:rsidP="000E08EE">
            <w:pPr>
              <w:tabs>
                <w:tab w:val="left" w:pos="39"/>
                <w:tab w:val="decimal" w:pos="361"/>
              </w:tabs>
              <w:jc w:val="left"/>
              <w:rPr>
                <w:color w:val="000000"/>
                <w:sz w:val="16"/>
                <w:szCs w:val="16"/>
              </w:rPr>
            </w:pPr>
            <w:r>
              <w:rPr>
                <w:color w:val="000000"/>
                <w:sz w:val="16"/>
                <w:szCs w:val="16"/>
              </w:rPr>
              <w:tab/>
              <w:t>(-)</w:t>
            </w:r>
            <w:r>
              <w:rPr>
                <w:color w:val="000000"/>
                <w:sz w:val="16"/>
                <w:szCs w:val="16"/>
              </w:rPr>
              <w:tab/>
            </w:r>
            <w:r w:rsidRPr="000E08EE">
              <w:rPr>
                <w:color w:val="000000"/>
                <w:sz w:val="16"/>
                <w:szCs w:val="16"/>
              </w:rPr>
              <w:t>1.2</w:t>
            </w:r>
          </w:p>
        </w:tc>
      </w:tr>
      <w:tr w:rsidR="000E08EE" w:rsidRPr="00C168B2" w14:paraId="31632BFC" w14:textId="77777777" w:rsidTr="000E08EE">
        <w:trPr>
          <w:jc w:val="center"/>
        </w:trPr>
        <w:tc>
          <w:tcPr>
            <w:tcW w:w="704" w:type="dxa"/>
            <w:tcBorders>
              <w:top w:val="single" w:sz="4" w:space="0" w:color="C6D9F1"/>
              <w:bottom w:val="single" w:sz="4" w:space="0" w:color="C6D9F1"/>
            </w:tcBorders>
            <w:vAlign w:val="center"/>
            <w:hideMark/>
          </w:tcPr>
          <w:p w14:paraId="257879AF"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332</w:t>
            </w:r>
          </w:p>
        </w:tc>
        <w:tc>
          <w:tcPr>
            <w:tcW w:w="5359" w:type="dxa"/>
            <w:tcBorders>
              <w:top w:val="single" w:sz="4" w:space="0" w:color="C6D9F1"/>
              <w:bottom w:val="single" w:sz="4" w:space="0" w:color="C6D9F1"/>
              <w:right w:val="single" w:sz="6" w:space="0" w:color="1F497D" w:themeColor="text2"/>
            </w:tcBorders>
            <w:vAlign w:val="center"/>
            <w:hideMark/>
          </w:tcPr>
          <w:p w14:paraId="19E0FBFA" w14:textId="77777777" w:rsidR="000E08EE" w:rsidRPr="00C168B2" w:rsidRDefault="000E08EE" w:rsidP="000E08EE">
            <w:pPr>
              <w:snapToGrid w:val="0"/>
              <w:spacing w:before="20" w:after="20"/>
              <w:ind w:left="-96"/>
              <w:jc w:val="left"/>
              <w:rPr>
                <w:sz w:val="16"/>
                <w:szCs w:val="16"/>
                <w:lang w:val="es-MX" w:eastAsia="es-MX"/>
              </w:rPr>
            </w:pPr>
            <w:r w:rsidRPr="00C168B2">
              <w:rPr>
                <w:sz w:val="16"/>
                <w:szCs w:val="16"/>
                <w:lang w:val="es-MX" w:eastAsia="es-MX"/>
              </w:rPr>
              <w:t>Fabricación de productos metálicos</w:t>
            </w:r>
          </w:p>
        </w:tc>
        <w:tc>
          <w:tcPr>
            <w:tcW w:w="812" w:type="dxa"/>
            <w:tcBorders>
              <w:top w:val="single" w:sz="4" w:space="0" w:color="C6D9F1"/>
              <w:left w:val="single" w:sz="6" w:space="0" w:color="1F497D" w:themeColor="text2"/>
              <w:bottom w:val="single" w:sz="4" w:space="0" w:color="C6D9F1"/>
            </w:tcBorders>
            <w:vAlign w:val="center"/>
          </w:tcPr>
          <w:p w14:paraId="672F71A5" w14:textId="77777777" w:rsidR="000E08EE" w:rsidRPr="000E08EE" w:rsidRDefault="000E08EE" w:rsidP="000E08EE">
            <w:pPr>
              <w:tabs>
                <w:tab w:val="decimal" w:pos="359"/>
              </w:tabs>
              <w:jc w:val="left"/>
              <w:rPr>
                <w:color w:val="000000"/>
                <w:sz w:val="16"/>
                <w:szCs w:val="16"/>
              </w:rPr>
            </w:pPr>
            <w:r w:rsidRPr="000E08EE">
              <w:rPr>
                <w:color w:val="000000"/>
                <w:sz w:val="16"/>
                <w:szCs w:val="16"/>
              </w:rPr>
              <w:t>74.0</w:t>
            </w:r>
          </w:p>
        </w:tc>
        <w:tc>
          <w:tcPr>
            <w:tcW w:w="764" w:type="dxa"/>
            <w:tcBorders>
              <w:top w:val="single" w:sz="4" w:space="0" w:color="C6D9F1"/>
              <w:bottom w:val="single" w:sz="4" w:space="0" w:color="C6D9F1"/>
              <w:right w:val="single" w:sz="6" w:space="0" w:color="1F497D" w:themeColor="text2"/>
            </w:tcBorders>
            <w:vAlign w:val="center"/>
          </w:tcPr>
          <w:p w14:paraId="2227C041" w14:textId="77777777" w:rsidR="000E08EE" w:rsidRPr="000E08EE" w:rsidRDefault="000E08EE" w:rsidP="000E08EE">
            <w:pPr>
              <w:tabs>
                <w:tab w:val="decimal" w:pos="359"/>
              </w:tabs>
              <w:jc w:val="left"/>
              <w:rPr>
                <w:color w:val="000000"/>
                <w:sz w:val="16"/>
                <w:szCs w:val="16"/>
              </w:rPr>
            </w:pPr>
            <w:r w:rsidRPr="000E08EE">
              <w:rPr>
                <w:color w:val="000000"/>
                <w:sz w:val="16"/>
                <w:szCs w:val="16"/>
              </w:rPr>
              <w:t>75.8</w:t>
            </w:r>
          </w:p>
        </w:tc>
        <w:tc>
          <w:tcPr>
            <w:tcW w:w="835" w:type="dxa"/>
            <w:tcBorders>
              <w:top w:val="single" w:sz="4" w:space="0" w:color="C6D9F1"/>
              <w:bottom w:val="single" w:sz="4" w:space="0" w:color="C6D9F1"/>
            </w:tcBorders>
            <w:vAlign w:val="center"/>
          </w:tcPr>
          <w:p w14:paraId="6A073402" w14:textId="77777777" w:rsidR="000E08EE" w:rsidRPr="000E08EE" w:rsidRDefault="000E08EE" w:rsidP="000E08EE">
            <w:pPr>
              <w:tabs>
                <w:tab w:val="decimal" w:pos="361"/>
              </w:tabs>
              <w:jc w:val="left"/>
              <w:rPr>
                <w:color w:val="000000"/>
                <w:sz w:val="16"/>
                <w:szCs w:val="16"/>
              </w:rPr>
            </w:pPr>
            <w:r w:rsidRPr="000E08EE">
              <w:rPr>
                <w:color w:val="000000"/>
                <w:sz w:val="16"/>
                <w:szCs w:val="16"/>
              </w:rPr>
              <w:t>1.8</w:t>
            </w:r>
          </w:p>
        </w:tc>
      </w:tr>
      <w:tr w:rsidR="000E08EE" w:rsidRPr="00C168B2" w14:paraId="6E938529" w14:textId="77777777" w:rsidTr="000E08EE">
        <w:trPr>
          <w:jc w:val="center"/>
        </w:trPr>
        <w:tc>
          <w:tcPr>
            <w:tcW w:w="704" w:type="dxa"/>
            <w:tcBorders>
              <w:top w:val="single" w:sz="4" w:space="0" w:color="C6D9F1"/>
              <w:bottom w:val="single" w:sz="4" w:space="0" w:color="C6D9F1"/>
            </w:tcBorders>
            <w:vAlign w:val="center"/>
            <w:hideMark/>
          </w:tcPr>
          <w:p w14:paraId="449B34AB"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333</w:t>
            </w:r>
          </w:p>
        </w:tc>
        <w:tc>
          <w:tcPr>
            <w:tcW w:w="5359" w:type="dxa"/>
            <w:tcBorders>
              <w:top w:val="single" w:sz="4" w:space="0" w:color="C6D9F1"/>
              <w:bottom w:val="single" w:sz="4" w:space="0" w:color="C6D9F1"/>
              <w:right w:val="single" w:sz="6" w:space="0" w:color="1F497D" w:themeColor="text2"/>
            </w:tcBorders>
            <w:vAlign w:val="center"/>
            <w:hideMark/>
          </w:tcPr>
          <w:p w14:paraId="114060F6" w14:textId="77777777" w:rsidR="000E08EE" w:rsidRPr="00C168B2" w:rsidRDefault="000E08EE" w:rsidP="000E08EE">
            <w:pPr>
              <w:snapToGrid w:val="0"/>
              <w:spacing w:before="20" w:after="20"/>
              <w:ind w:left="-96"/>
              <w:jc w:val="left"/>
              <w:rPr>
                <w:sz w:val="16"/>
                <w:szCs w:val="16"/>
                <w:lang w:val="es-MX" w:eastAsia="es-MX"/>
              </w:rPr>
            </w:pPr>
            <w:r w:rsidRPr="00C168B2">
              <w:rPr>
                <w:sz w:val="16"/>
                <w:szCs w:val="16"/>
                <w:lang w:val="es-MX" w:eastAsia="es-MX"/>
              </w:rPr>
              <w:t>Fabricación de maquinaria y equipo</w:t>
            </w:r>
          </w:p>
        </w:tc>
        <w:tc>
          <w:tcPr>
            <w:tcW w:w="812" w:type="dxa"/>
            <w:tcBorders>
              <w:top w:val="single" w:sz="4" w:space="0" w:color="C6D9F1"/>
              <w:left w:val="single" w:sz="6" w:space="0" w:color="1F497D" w:themeColor="text2"/>
              <w:bottom w:val="single" w:sz="4" w:space="0" w:color="C6D9F1"/>
            </w:tcBorders>
            <w:vAlign w:val="center"/>
          </w:tcPr>
          <w:p w14:paraId="6DD472DD" w14:textId="77777777" w:rsidR="000E08EE" w:rsidRPr="000E08EE" w:rsidRDefault="000E08EE" w:rsidP="000E08EE">
            <w:pPr>
              <w:tabs>
                <w:tab w:val="decimal" w:pos="359"/>
              </w:tabs>
              <w:jc w:val="left"/>
              <w:rPr>
                <w:color w:val="000000"/>
                <w:sz w:val="16"/>
                <w:szCs w:val="16"/>
              </w:rPr>
            </w:pPr>
            <w:r w:rsidRPr="000E08EE">
              <w:rPr>
                <w:color w:val="000000"/>
                <w:sz w:val="16"/>
                <w:szCs w:val="16"/>
              </w:rPr>
              <w:t>82.9</w:t>
            </w:r>
          </w:p>
        </w:tc>
        <w:tc>
          <w:tcPr>
            <w:tcW w:w="764" w:type="dxa"/>
            <w:tcBorders>
              <w:top w:val="single" w:sz="4" w:space="0" w:color="C6D9F1"/>
              <w:bottom w:val="single" w:sz="4" w:space="0" w:color="C6D9F1"/>
              <w:right w:val="single" w:sz="6" w:space="0" w:color="1F497D" w:themeColor="text2"/>
            </w:tcBorders>
            <w:vAlign w:val="center"/>
          </w:tcPr>
          <w:p w14:paraId="0A477CA7" w14:textId="77777777" w:rsidR="000E08EE" w:rsidRPr="000E08EE" w:rsidRDefault="000E08EE" w:rsidP="000E08EE">
            <w:pPr>
              <w:tabs>
                <w:tab w:val="decimal" w:pos="359"/>
              </w:tabs>
              <w:jc w:val="left"/>
              <w:rPr>
                <w:color w:val="000000"/>
                <w:sz w:val="16"/>
                <w:szCs w:val="16"/>
              </w:rPr>
            </w:pPr>
            <w:r w:rsidRPr="000E08EE">
              <w:rPr>
                <w:color w:val="000000"/>
                <w:sz w:val="16"/>
                <w:szCs w:val="16"/>
              </w:rPr>
              <w:t>78.5</w:t>
            </w:r>
          </w:p>
        </w:tc>
        <w:tc>
          <w:tcPr>
            <w:tcW w:w="835" w:type="dxa"/>
            <w:tcBorders>
              <w:top w:val="single" w:sz="4" w:space="0" w:color="C6D9F1"/>
              <w:bottom w:val="single" w:sz="4" w:space="0" w:color="C6D9F1"/>
            </w:tcBorders>
            <w:vAlign w:val="center"/>
          </w:tcPr>
          <w:p w14:paraId="7385C996" w14:textId="77777777" w:rsidR="000E08EE" w:rsidRPr="000E08EE" w:rsidRDefault="000E08EE" w:rsidP="000E08EE">
            <w:pPr>
              <w:tabs>
                <w:tab w:val="left" w:pos="39"/>
                <w:tab w:val="decimal" w:pos="361"/>
              </w:tabs>
              <w:jc w:val="left"/>
              <w:rPr>
                <w:color w:val="000000"/>
                <w:sz w:val="16"/>
                <w:szCs w:val="16"/>
              </w:rPr>
            </w:pPr>
            <w:r>
              <w:rPr>
                <w:color w:val="000000"/>
                <w:sz w:val="16"/>
                <w:szCs w:val="16"/>
              </w:rPr>
              <w:tab/>
              <w:t>(-)</w:t>
            </w:r>
            <w:r>
              <w:rPr>
                <w:color w:val="000000"/>
                <w:sz w:val="16"/>
                <w:szCs w:val="16"/>
              </w:rPr>
              <w:tab/>
            </w:r>
            <w:r w:rsidRPr="000E08EE">
              <w:rPr>
                <w:color w:val="000000"/>
                <w:sz w:val="16"/>
                <w:szCs w:val="16"/>
              </w:rPr>
              <w:t>4.4</w:t>
            </w:r>
          </w:p>
        </w:tc>
      </w:tr>
      <w:tr w:rsidR="000E08EE" w:rsidRPr="00C168B2" w14:paraId="1F00C346" w14:textId="77777777" w:rsidTr="000E08EE">
        <w:trPr>
          <w:jc w:val="center"/>
        </w:trPr>
        <w:tc>
          <w:tcPr>
            <w:tcW w:w="704" w:type="dxa"/>
            <w:tcBorders>
              <w:top w:val="single" w:sz="4" w:space="0" w:color="C6D9F1"/>
              <w:bottom w:val="single" w:sz="4" w:space="0" w:color="C6D9F1"/>
            </w:tcBorders>
            <w:vAlign w:val="center"/>
            <w:hideMark/>
          </w:tcPr>
          <w:p w14:paraId="2C6877E6"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334</w:t>
            </w:r>
          </w:p>
        </w:tc>
        <w:tc>
          <w:tcPr>
            <w:tcW w:w="5359" w:type="dxa"/>
            <w:tcBorders>
              <w:top w:val="single" w:sz="4" w:space="0" w:color="C6D9F1"/>
              <w:bottom w:val="single" w:sz="4" w:space="0" w:color="C6D9F1"/>
              <w:right w:val="single" w:sz="6" w:space="0" w:color="1F497D" w:themeColor="text2"/>
            </w:tcBorders>
            <w:vAlign w:val="center"/>
            <w:hideMark/>
          </w:tcPr>
          <w:p w14:paraId="3ECC6BBA" w14:textId="77777777" w:rsidR="000E08EE" w:rsidRPr="00C168B2" w:rsidRDefault="000E08EE" w:rsidP="000E08EE">
            <w:pPr>
              <w:snapToGrid w:val="0"/>
              <w:spacing w:before="20" w:after="20"/>
              <w:ind w:left="-96" w:right="-70"/>
              <w:jc w:val="left"/>
              <w:rPr>
                <w:sz w:val="16"/>
                <w:szCs w:val="16"/>
                <w:lang w:val="es-MX" w:eastAsia="es-MX"/>
              </w:rPr>
            </w:pPr>
            <w:r w:rsidRPr="00C168B2">
              <w:rPr>
                <w:sz w:val="16"/>
                <w:szCs w:val="16"/>
                <w:lang w:val="es-MX" w:eastAsia="es-MX"/>
              </w:rPr>
              <w:t>Fabricación de equipo de computación, comunicación, medición y de otros equipos, componentes y accesorios electrónicos</w:t>
            </w:r>
          </w:p>
        </w:tc>
        <w:tc>
          <w:tcPr>
            <w:tcW w:w="812" w:type="dxa"/>
            <w:tcBorders>
              <w:top w:val="single" w:sz="4" w:space="0" w:color="C6D9F1"/>
              <w:left w:val="single" w:sz="6" w:space="0" w:color="1F497D" w:themeColor="text2"/>
              <w:bottom w:val="single" w:sz="4" w:space="0" w:color="C6D9F1"/>
            </w:tcBorders>
            <w:vAlign w:val="center"/>
          </w:tcPr>
          <w:p w14:paraId="434D88C0" w14:textId="77777777" w:rsidR="000E08EE" w:rsidRPr="000E08EE" w:rsidRDefault="000E08EE" w:rsidP="000E08EE">
            <w:pPr>
              <w:tabs>
                <w:tab w:val="decimal" w:pos="359"/>
              </w:tabs>
              <w:jc w:val="left"/>
              <w:rPr>
                <w:color w:val="000000"/>
                <w:sz w:val="16"/>
                <w:szCs w:val="16"/>
              </w:rPr>
            </w:pPr>
            <w:r w:rsidRPr="000E08EE">
              <w:rPr>
                <w:color w:val="000000"/>
                <w:sz w:val="16"/>
                <w:szCs w:val="16"/>
              </w:rPr>
              <w:t>83.1</w:t>
            </w:r>
          </w:p>
        </w:tc>
        <w:tc>
          <w:tcPr>
            <w:tcW w:w="764" w:type="dxa"/>
            <w:tcBorders>
              <w:top w:val="single" w:sz="4" w:space="0" w:color="C6D9F1"/>
              <w:bottom w:val="single" w:sz="4" w:space="0" w:color="C6D9F1"/>
              <w:right w:val="single" w:sz="6" w:space="0" w:color="1F497D" w:themeColor="text2"/>
            </w:tcBorders>
            <w:vAlign w:val="center"/>
          </w:tcPr>
          <w:p w14:paraId="108400D9" w14:textId="77777777" w:rsidR="000E08EE" w:rsidRPr="000E08EE" w:rsidRDefault="000E08EE" w:rsidP="000E08EE">
            <w:pPr>
              <w:tabs>
                <w:tab w:val="decimal" w:pos="359"/>
              </w:tabs>
              <w:jc w:val="left"/>
              <w:rPr>
                <w:color w:val="000000"/>
                <w:sz w:val="16"/>
                <w:szCs w:val="16"/>
              </w:rPr>
            </w:pPr>
            <w:r w:rsidRPr="000E08EE">
              <w:rPr>
                <w:color w:val="000000"/>
                <w:sz w:val="16"/>
                <w:szCs w:val="16"/>
              </w:rPr>
              <w:t>84.3</w:t>
            </w:r>
          </w:p>
        </w:tc>
        <w:tc>
          <w:tcPr>
            <w:tcW w:w="835" w:type="dxa"/>
            <w:tcBorders>
              <w:top w:val="single" w:sz="4" w:space="0" w:color="C6D9F1"/>
              <w:bottom w:val="single" w:sz="4" w:space="0" w:color="C6D9F1"/>
            </w:tcBorders>
            <w:vAlign w:val="center"/>
          </w:tcPr>
          <w:p w14:paraId="3321492B" w14:textId="77777777" w:rsidR="000E08EE" w:rsidRPr="000E08EE" w:rsidRDefault="000E08EE" w:rsidP="000E08EE">
            <w:pPr>
              <w:tabs>
                <w:tab w:val="decimal" w:pos="361"/>
              </w:tabs>
              <w:jc w:val="left"/>
              <w:rPr>
                <w:color w:val="000000"/>
                <w:sz w:val="16"/>
                <w:szCs w:val="16"/>
              </w:rPr>
            </w:pPr>
            <w:r w:rsidRPr="000E08EE">
              <w:rPr>
                <w:color w:val="000000"/>
                <w:sz w:val="16"/>
                <w:szCs w:val="16"/>
              </w:rPr>
              <w:t>1.2</w:t>
            </w:r>
          </w:p>
        </w:tc>
      </w:tr>
      <w:tr w:rsidR="000E08EE" w:rsidRPr="00C168B2" w14:paraId="169D78CA" w14:textId="77777777" w:rsidTr="000E08EE">
        <w:trPr>
          <w:jc w:val="center"/>
        </w:trPr>
        <w:tc>
          <w:tcPr>
            <w:tcW w:w="704" w:type="dxa"/>
            <w:tcBorders>
              <w:top w:val="single" w:sz="4" w:space="0" w:color="C6D9F1"/>
              <w:bottom w:val="single" w:sz="4" w:space="0" w:color="C6D9F1"/>
            </w:tcBorders>
            <w:vAlign w:val="center"/>
            <w:hideMark/>
          </w:tcPr>
          <w:p w14:paraId="7B50274C"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335</w:t>
            </w:r>
          </w:p>
        </w:tc>
        <w:tc>
          <w:tcPr>
            <w:tcW w:w="5359" w:type="dxa"/>
            <w:tcBorders>
              <w:top w:val="single" w:sz="4" w:space="0" w:color="C6D9F1"/>
              <w:bottom w:val="single" w:sz="4" w:space="0" w:color="C6D9F1"/>
              <w:right w:val="single" w:sz="6" w:space="0" w:color="1F497D" w:themeColor="text2"/>
            </w:tcBorders>
            <w:vAlign w:val="center"/>
            <w:hideMark/>
          </w:tcPr>
          <w:p w14:paraId="4D008AC4" w14:textId="77777777" w:rsidR="000E08EE" w:rsidRPr="00C168B2" w:rsidRDefault="000E08EE" w:rsidP="000E08EE">
            <w:pPr>
              <w:snapToGrid w:val="0"/>
              <w:spacing w:before="20" w:after="20"/>
              <w:ind w:left="-96"/>
              <w:jc w:val="left"/>
              <w:rPr>
                <w:sz w:val="16"/>
                <w:szCs w:val="16"/>
                <w:lang w:val="es-MX" w:eastAsia="es-MX"/>
              </w:rPr>
            </w:pPr>
            <w:r w:rsidRPr="00C168B2">
              <w:rPr>
                <w:sz w:val="16"/>
                <w:szCs w:val="16"/>
                <w:lang w:val="es-MX" w:eastAsia="es-MX"/>
              </w:rPr>
              <w:t>Fabricación de accesorios, aparatos eléctricos y equipo de generación de energía eléctrica</w:t>
            </w:r>
          </w:p>
        </w:tc>
        <w:tc>
          <w:tcPr>
            <w:tcW w:w="812" w:type="dxa"/>
            <w:tcBorders>
              <w:top w:val="single" w:sz="4" w:space="0" w:color="C6D9F1"/>
              <w:left w:val="single" w:sz="6" w:space="0" w:color="1F497D" w:themeColor="text2"/>
              <w:bottom w:val="single" w:sz="4" w:space="0" w:color="C6D9F1"/>
            </w:tcBorders>
            <w:vAlign w:val="center"/>
          </w:tcPr>
          <w:p w14:paraId="28D85A4B" w14:textId="77777777" w:rsidR="000E08EE" w:rsidRPr="000E08EE" w:rsidRDefault="000E08EE" w:rsidP="000E08EE">
            <w:pPr>
              <w:tabs>
                <w:tab w:val="decimal" w:pos="359"/>
              </w:tabs>
              <w:jc w:val="left"/>
              <w:rPr>
                <w:color w:val="000000"/>
                <w:sz w:val="16"/>
                <w:szCs w:val="16"/>
              </w:rPr>
            </w:pPr>
            <w:r w:rsidRPr="000E08EE">
              <w:rPr>
                <w:color w:val="000000"/>
                <w:sz w:val="16"/>
                <w:szCs w:val="16"/>
              </w:rPr>
              <w:t>85.7</w:t>
            </w:r>
          </w:p>
        </w:tc>
        <w:tc>
          <w:tcPr>
            <w:tcW w:w="764" w:type="dxa"/>
            <w:tcBorders>
              <w:top w:val="single" w:sz="4" w:space="0" w:color="C6D9F1"/>
              <w:bottom w:val="single" w:sz="4" w:space="0" w:color="C6D9F1"/>
              <w:right w:val="single" w:sz="6" w:space="0" w:color="1F497D" w:themeColor="text2"/>
            </w:tcBorders>
            <w:vAlign w:val="center"/>
          </w:tcPr>
          <w:p w14:paraId="0F0CC7F7" w14:textId="77777777" w:rsidR="000E08EE" w:rsidRPr="000E08EE" w:rsidRDefault="000E08EE" w:rsidP="000E08EE">
            <w:pPr>
              <w:tabs>
                <w:tab w:val="decimal" w:pos="359"/>
              </w:tabs>
              <w:jc w:val="left"/>
              <w:rPr>
                <w:color w:val="000000"/>
                <w:sz w:val="16"/>
                <w:szCs w:val="16"/>
              </w:rPr>
            </w:pPr>
            <w:r w:rsidRPr="000E08EE">
              <w:rPr>
                <w:color w:val="000000"/>
                <w:sz w:val="16"/>
                <w:szCs w:val="16"/>
              </w:rPr>
              <w:t>86.0</w:t>
            </w:r>
          </w:p>
        </w:tc>
        <w:tc>
          <w:tcPr>
            <w:tcW w:w="835" w:type="dxa"/>
            <w:tcBorders>
              <w:top w:val="single" w:sz="4" w:space="0" w:color="C6D9F1"/>
              <w:bottom w:val="single" w:sz="4" w:space="0" w:color="C6D9F1"/>
            </w:tcBorders>
            <w:vAlign w:val="center"/>
          </w:tcPr>
          <w:p w14:paraId="7860049A" w14:textId="77777777" w:rsidR="000E08EE" w:rsidRPr="000E08EE" w:rsidRDefault="000E08EE" w:rsidP="000E08EE">
            <w:pPr>
              <w:tabs>
                <w:tab w:val="decimal" w:pos="361"/>
              </w:tabs>
              <w:jc w:val="left"/>
              <w:rPr>
                <w:color w:val="000000"/>
                <w:sz w:val="16"/>
                <w:szCs w:val="16"/>
              </w:rPr>
            </w:pPr>
            <w:r w:rsidRPr="000E08EE">
              <w:rPr>
                <w:color w:val="000000"/>
                <w:sz w:val="16"/>
                <w:szCs w:val="16"/>
              </w:rPr>
              <w:t>0.3</w:t>
            </w:r>
          </w:p>
        </w:tc>
      </w:tr>
      <w:tr w:rsidR="000E08EE" w:rsidRPr="00C168B2" w14:paraId="64C0DA1B" w14:textId="77777777" w:rsidTr="000E08EE">
        <w:trPr>
          <w:jc w:val="center"/>
        </w:trPr>
        <w:tc>
          <w:tcPr>
            <w:tcW w:w="704" w:type="dxa"/>
            <w:tcBorders>
              <w:top w:val="single" w:sz="4" w:space="0" w:color="C6D9F1"/>
              <w:bottom w:val="single" w:sz="4" w:space="0" w:color="C6D9F1"/>
            </w:tcBorders>
            <w:vAlign w:val="center"/>
            <w:hideMark/>
          </w:tcPr>
          <w:p w14:paraId="322FA624"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336</w:t>
            </w:r>
          </w:p>
        </w:tc>
        <w:tc>
          <w:tcPr>
            <w:tcW w:w="5359" w:type="dxa"/>
            <w:tcBorders>
              <w:top w:val="single" w:sz="4" w:space="0" w:color="C6D9F1"/>
              <w:bottom w:val="single" w:sz="4" w:space="0" w:color="C6D9F1"/>
              <w:right w:val="single" w:sz="6" w:space="0" w:color="1F497D" w:themeColor="text2"/>
            </w:tcBorders>
            <w:vAlign w:val="center"/>
            <w:hideMark/>
          </w:tcPr>
          <w:p w14:paraId="690574DD" w14:textId="77777777" w:rsidR="000E08EE" w:rsidRPr="00C168B2" w:rsidRDefault="000E08EE" w:rsidP="000E08EE">
            <w:pPr>
              <w:snapToGrid w:val="0"/>
              <w:spacing w:before="20" w:after="20"/>
              <w:ind w:left="-96"/>
              <w:jc w:val="left"/>
              <w:rPr>
                <w:sz w:val="16"/>
                <w:szCs w:val="16"/>
                <w:lang w:val="es-MX" w:eastAsia="es-MX"/>
              </w:rPr>
            </w:pPr>
            <w:r w:rsidRPr="00C168B2">
              <w:rPr>
                <w:sz w:val="16"/>
                <w:szCs w:val="16"/>
                <w:lang w:val="es-MX" w:eastAsia="es-MX"/>
              </w:rPr>
              <w:t>Fabricación de equipo de transporte</w:t>
            </w:r>
          </w:p>
        </w:tc>
        <w:tc>
          <w:tcPr>
            <w:tcW w:w="812" w:type="dxa"/>
            <w:tcBorders>
              <w:top w:val="single" w:sz="4" w:space="0" w:color="C6D9F1"/>
              <w:left w:val="single" w:sz="6" w:space="0" w:color="1F497D" w:themeColor="text2"/>
              <w:bottom w:val="single" w:sz="4" w:space="0" w:color="C6D9F1"/>
            </w:tcBorders>
            <w:vAlign w:val="center"/>
          </w:tcPr>
          <w:p w14:paraId="11612E8F" w14:textId="77777777" w:rsidR="000E08EE" w:rsidRPr="000E08EE" w:rsidRDefault="000E08EE" w:rsidP="000E08EE">
            <w:pPr>
              <w:tabs>
                <w:tab w:val="decimal" w:pos="359"/>
              </w:tabs>
              <w:jc w:val="left"/>
              <w:rPr>
                <w:color w:val="000000"/>
                <w:sz w:val="16"/>
                <w:szCs w:val="16"/>
              </w:rPr>
            </w:pPr>
            <w:r w:rsidRPr="000E08EE">
              <w:rPr>
                <w:color w:val="000000"/>
                <w:sz w:val="16"/>
                <w:szCs w:val="16"/>
              </w:rPr>
              <w:t>88.2</w:t>
            </w:r>
          </w:p>
        </w:tc>
        <w:tc>
          <w:tcPr>
            <w:tcW w:w="764" w:type="dxa"/>
            <w:tcBorders>
              <w:top w:val="single" w:sz="4" w:space="0" w:color="C6D9F1"/>
              <w:bottom w:val="single" w:sz="4" w:space="0" w:color="C6D9F1"/>
              <w:right w:val="single" w:sz="6" w:space="0" w:color="1F497D" w:themeColor="text2"/>
            </w:tcBorders>
            <w:vAlign w:val="center"/>
          </w:tcPr>
          <w:p w14:paraId="5843E97B" w14:textId="77777777" w:rsidR="000E08EE" w:rsidRPr="000E08EE" w:rsidRDefault="000E08EE" w:rsidP="000E08EE">
            <w:pPr>
              <w:tabs>
                <w:tab w:val="decimal" w:pos="359"/>
              </w:tabs>
              <w:jc w:val="left"/>
              <w:rPr>
                <w:color w:val="000000"/>
                <w:sz w:val="16"/>
                <w:szCs w:val="16"/>
              </w:rPr>
            </w:pPr>
            <w:r w:rsidRPr="000E08EE">
              <w:rPr>
                <w:color w:val="000000"/>
                <w:sz w:val="16"/>
                <w:szCs w:val="16"/>
              </w:rPr>
              <w:t>85.1</w:t>
            </w:r>
          </w:p>
        </w:tc>
        <w:tc>
          <w:tcPr>
            <w:tcW w:w="835" w:type="dxa"/>
            <w:tcBorders>
              <w:top w:val="single" w:sz="4" w:space="0" w:color="C6D9F1"/>
              <w:bottom w:val="single" w:sz="4" w:space="0" w:color="C6D9F1"/>
            </w:tcBorders>
            <w:vAlign w:val="center"/>
          </w:tcPr>
          <w:p w14:paraId="4061031A" w14:textId="77777777" w:rsidR="000E08EE" w:rsidRPr="000E08EE" w:rsidRDefault="000E08EE" w:rsidP="000E08EE">
            <w:pPr>
              <w:tabs>
                <w:tab w:val="left" w:pos="39"/>
                <w:tab w:val="decimal" w:pos="361"/>
              </w:tabs>
              <w:jc w:val="left"/>
              <w:rPr>
                <w:color w:val="000000"/>
                <w:sz w:val="16"/>
                <w:szCs w:val="16"/>
              </w:rPr>
            </w:pPr>
            <w:r>
              <w:rPr>
                <w:color w:val="000000"/>
                <w:sz w:val="16"/>
                <w:szCs w:val="16"/>
              </w:rPr>
              <w:tab/>
              <w:t>(-)</w:t>
            </w:r>
            <w:r>
              <w:rPr>
                <w:color w:val="000000"/>
                <w:sz w:val="16"/>
                <w:szCs w:val="16"/>
              </w:rPr>
              <w:tab/>
            </w:r>
            <w:r w:rsidRPr="000E08EE">
              <w:rPr>
                <w:color w:val="000000"/>
                <w:sz w:val="16"/>
                <w:szCs w:val="16"/>
              </w:rPr>
              <w:t>3.1</w:t>
            </w:r>
          </w:p>
        </w:tc>
      </w:tr>
      <w:tr w:rsidR="000E08EE" w:rsidRPr="00C168B2" w14:paraId="35D28D41" w14:textId="77777777" w:rsidTr="000E08EE">
        <w:trPr>
          <w:jc w:val="center"/>
        </w:trPr>
        <w:tc>
          <w:tcPr>
            <w:tcW w:w="704" w:type="dxa"/>
            <w:tcBorders>
              <w:top w:val="single" w:sz="4" w:space="0" w:color="C6D9F1"/>
              <w:bottom w:val="single" w:sz="4" w:space="0" w:color="C6D9F1"/>
            </w:tcBorders>
            <w:vAlign w:val="center"/>
            <w:hideMark/>
          </w:tcPr>
          <w:p w14:paraId="557C1998"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337</w:t>
            </w:r>
          </w:p>
        </w:tc>
        <w:tc>
          <w:tcPr>
            <w:tcW w:w="5359" w:type="dxa"/>
            <w:tcBorders>
              <w:top w:val="single" w:sz="4" w:space="0" w:color="C6D9F1"/>
              <w:bottom w:val="single" w:sz="4" w:space="0" w:color="C6D9F1"/>
              <w:right w:val="single" w:sz="6" w:space="0" w:color="1F497D" w:themeColor="text2"/>
            </w:tcBorders>
            <w:vAlign w:val="center"/>
            <w:hideMark/>
          </w:tcPr>
          <w:p w14:paraId="14EEC99E" w14:textId="77777777" w:rsidR="000E08EE" w:rsidRPr="00C168B2" w:rsidRDefault="000E08EE" w:rsidP="000E08EE">
            <w:pPr>
              <w:snapToGrid w:val="0"/>
              <w:spacing w:before="20" w:after="20"/>
              <w:ind w:left="-96"/>
              <w:jc w:val="left"/>
              <w:rPr>
                <w:sz w:val="16"/>
                <w:szCs w:val="16"/>
                <w:lang w:val="es-MX" w:eastAsia="es-MX"/>
              </w:rPr>
            </w:pPr>
            <w:r w:rsidRPr="00C168B2">
              <w:rPr>
                <w:sz w:val="16"/>
                <w:szCs w:val="16"/>
                <w:lang w:val="es-MX" w:eastAsia="es-MX"/>
              </w:rPr>
              <w:t>Fabricación de muebles, colchones y persianas</w:t>
            </w:r>
          </w:p>
        </w:tc>
        <w:tc>
          <w:tcPr>
            <w:tcW w:w="812" w:type="dxa"/>
            <w:tcBorders>
              <w:top w:val="single" w:sz="4" w:space="0" w:color="C6D9F1"/>
              <w:left w:val="single" w:sz="6" w:space="0" w:color="1F497D" w:themeColor="text2"/>
              <w:bottom w:val="single" w:sz="4" w:space="0" w:color="C6D9F1"/>
            </w:tcBorders>
            <w:vAlign w:val="center"/>
          </w:tcPr>
          <w:p w14:paraId="27B96D5E" w14:textId="77777777" w:rsidR="000E08EE" w:rsidRPr="000E08EE" w:rsidRDefault="000E08EE" w:rsidP="000E08EE">
            <w:pPr>
              <w:tabs>
                <w:tab w:val="decimal" w:pos="359"/>
              </w:tabs>
              <w:jc w:val="left"/>
              <w:rPr>
                <w:color w:val="000000"/>
                <w:sz w:val="16"/>
                <w:szCs w:val="16"/>
              </w:rPr>
            </w:pPr>
            <w:r w:rsidRPr="000E08EE">
              <w:rPr>
                <w:color w:val="000000"/>
                <w:sz w:val="16"/>
                <w:szCs w:val="16"/>
              </w:rPr>
              <w:t>87.0</w:t>
            </w:r>
          </w:p>
        </w:tc>
        <w:tc>
          <w:tcPr>
            <w:tcW w:w="764" w:type="dxa"/>
            <w:tcBorders>
              <w:top w:val="single" w:sz="4" w:space="0" w:color="C6D9F1"/>
              <w:bottom w:val="single" w:sz="4" w:space="0" w:color="C6D9F1"/>
              <w:right w:val="single" w:sz="6" w:space="0" w:color="1F497D" w:themeColor="text2"/>
            </w:tcBorders>
            <w:vAlign w:val="center"/>
          </w:tcPr>
          <w:p w14:paraId="0FA5871E" w14:textId="77777777" w:rsidR="000E08EE" w:rsidRPr="000E08EE" w:rsidRDefault="000E08EE" w:rsidP="000E08EE">
            <w:pPr>
              <w:tabs>
                <w:tab w:val="decimal" w:pos="359"/>
              </w:tabs>
              <w:jc w:val="left"/>
              <w:rPr>
                <w:color w:val="000000"/>
                <w:sz w:val="16"/>
                <w:szCs w:val="16"/>
              </w:rPr>
            </w:pPr>
            <w:r w:rsidRPr="000E08EE">
              <w:rPr>
                <w:color w:val="000000"/>
                <w:sz w:val="16"/>
                <w:szCs w:val="16"/>
              </w:rPr>
              <w:t>87.3</w:t>
            </w:r>
          </w:p>
        </w:tc>
        <w:tc>
          <w:tcPr>
            <w:tcW w:w="835" w:type="dxa"/>
            <w:tcBorders>
              <w:top w:val="single" w:sz="4" w:space="0" w:color="C6D9F1"/>
              <w:bottom w:val="single" w:sz="4" w:space="0" w:color="C6D9F1"/>
            </w:tcBorders>
            <w:vAlign w:val="center"/>
          </w:tcPr>
          <w:p w14:paraId="5C3D46D0" w14:textId="77777777" w:rsidR="000E08EE" w:rsidRPr="000E08EE" w:rsidRDefault="000E08EE" w:rsidP="000E08EE">
            <w:pPr>
              <w:tabs>
                <w:tab w:val="decimal" w:pos="361"/>
              </w:tabs>
              <w:jc w:val="left"/>
              <w:rPr>
                <w:color w:val="000000"/>
                <w:sz w:val="16"/>
                <w:szCs w:val="16"/>
              </w:rPr>
            </w:pPr>
            <w:r w:rsidRPr="000E08EE">
              <w:rPr>
                <w:color w:val="000000"/>
                <w:sz w:val="16"/>
                <w:szCs w:val="16"/>
              </w:rPr>
              <w:t>0.3</w:t>
            </w:r>
          </w:p>
        </w:tc>
      </w:tr>
      <w:tr w:rsidR="000E08EE" w:rsidRPr="00C168B2" w14:paraId="529DF2AA" w14:textId="77777777" w:rsidTr="000E08EE">
        <w:trPr>
          <w:jc w:val="center"/>
        </w:trPr>
        <w:tc>
          <w:tcPr>
            <w:tcW w:w="704" w:type="dxa"/>
            <w:tcBorders>
              <w:top w:val="single" w:sz="4" w:space="0" w:color="C6D9F1"/>
              <w:bottom w:val="single" w:sz="8" w:space="0" w:color="1F497D" w:themeColor="text2"/>
            </w:tcBorders>
            <w:vAlign w:val="center"/>
            <w:hideMark/>
          </w:tcPr>
          <w:p w14:paraId="6981BB78" w14:textId="77777777" w:rsidR="000E08EE" w:rsidRPr="00C168B2" w:rsidRDefault="000E08EE" w:rsidP="000E08EE">
            <w:pPr>
              <w:snapToGrid w:val="0"/>
              <w:spacing w:before="20" w:after="20"/>
              <w:ind w:left="-57" w:right="57"/>
              <w:jc w:val="right"/>
              <w:rPr>
                <w:sz w:val="16"/>
                <w:szCs w:val="16"/>
                <w:lang w:val="es-MX" w:eastAsia="es-MX"/>
              </w:rPr>
            </w:pPr>
            <w:r w:rsidRPr="00C168B2">
              <w:rPr>
                <w:sz w:val="16"/>
                <w:szCs w:val="16"/>
                <w:lang w:val="es-MX" w:eastAsia="es-MX"/>
              </w:rPr>
              <w:t>339</w:t>
            </w:r>
          </w:p>
        </w:tc>
        <w:tc>
          <w:tcPr>
            <w:tcW w:w="5359" w:type="dxa"/>
            <w:tcBorders>
              <w:top w:val="single" w:sz="4" w:space="0" w:color="C6D9F1"/>
              <w:bottom w:val="single" w:sz="8" w:space="0" w:color="1F497D" w:themeColor="text2"/>
              <w:right w:val="single" w:sz="6" w:space="0" w:color="1F497D" w:themeColor="text2"/>
            </w:tcBorders>
            <w:vAlign w:val="center"/>
            <w:hideMark/>
          </w:tcPr>
          <w:p w14:paraId="3101E806" w14:textId="77777777" w:rsidR="000E08EE" w:rsidRPr="00C168B2" w:rsidRDefault="000E08EE" w:rsidP="000E08EE">
            <w:pPr>
              <w:snapToGrid w:val="0"/>
              <w:spacing w:before="20" w:after="20"/>
              <w:ind w:left="-96"/>
              <w:jc w:val="left"/>
              <w:rPr>
                <w:sz w:val="16"/>
                <w:szCs w:val="16"/>
                <w:lang w:val="es-MX" w:eastAsia="es-MX"/>
              </w:rPr>
            </w:pPr>
            <w:r w:rsidRPr="00C168B2">
              <w:rPr>
                <w:sz w:val="16"/>
                <w:szCs w:val="16"/>
                <w:lang w:val="es-MX" w:eastAsia="es-MX"/>
              </w:rPr>
              <w:t>Otras industrias manufactureras</w:t>
            </w:r>
          </w:p>
        </w:tc>
        <w:tc>
          <w:tcPr>
            <w:tcW w:w="812" w:type="dxa"/>
            <w:tcBorders>
              <w:top w:val="single" w:sz="4" w:space="0" w:color="C6D9F1"/>
              <w:left w:val="single" w:sz="6" w:space="0" w:color="1F497D" w:themeColor="text2"/>
              <w:bottom w:val="single" w:sz="8" w:space="0" w:color="1F497D" w:themeColor="text2"/>
            </w:tcBorders>
            <w:vAlign w:val="center"/>
          </w:tcPr>
          <w:p w14:paraId="312F0A91" w14:textId="77777777" w:rsidR="000E08EE" w:rsidRPr="000E08EE" w:rsidRDefault="000E08EE" w:rsidP="000E08EE">
            <w:pPr>
              <w:tabs>
                <w:tab w:val="decimal" w:pos="359"/>
              </w:tabs>
              <w:jc w:val="left"/>
              <w:rPr>
                <w:color w:val="000000"/>
                <w:sz w:val="16"/>
                <w:szCs w:val="16"/>
              </w:rPr>
            </w:pPr>
            <w:r w:rsidRPr="000E08EE">
              <w:rPr>
                <w:color w:val="000000"/>
                <w:sz w:val="16"/>
                <w:szCs w:val="16"/>
              </w:rPr>
              <w:t>84.0</w:t>
            </w:r>
          </w:p>
        </w:tc>
        <w:tc>
          <w:tcPr>
            <w:tcW w:w="764" w:type="dxa"/>
            <w:tcBorders>
              <w:top w:val="single" w:sz="4" w:space="0" w:color="C6D9F1"/>
              <w:bottom w:val="single" w:sz="8" w:space="0" w:color="1F497D" w:themeColor="text2"/>
              <w:right w:val="single" w:sz="6" w:space="0" w:color="1F497D" w:themeColor="text2"/>
            </w:tcBorders>
            <w:vAlign w:val="center"/>
          </w:tcPr>
          <w:p w14:paraId="74B53517" w14:textId="77777777" w:rsidR="000E08EE" w:rsidRPr="000E08EE" w:rsidRDefault="000E08EE" w:rsidP="000E08EE">
            <w:pPr>
              <w:tabs>
                <w:tab w:val="decimal" w:pos="359"/>
              </w:tabs>
              <w:jc w:val="left"/>
              <w:rPr>
                <w:color w:val="000000"/>
                <w:sz w:val="16"/>
                <w:szCs w:val="16"/>
              </w:rPr>
            </w:pPr>
            <w:r w:rsidRPr="000E08EE">
              <w:rPr>
                <w:color w:val="000000"/>
                <w:sz w:val="16"/>
                <w:szCs w:val="16"/>
              </w:rPr>
              <w:t>85.3</w:t>
            </w:r>
          </w:p>
        </w:tc>
        <w:tc>
          <w:tcPr>
            <w:tcW w:w="835" w:type="dxa"/>
            <w:tcBorders>
              <w:top w:val="single" w:sz="4" w:space="0" w:color="C6D9F1"/>
              <w:bottom w:val="single" w:sz="8" w:space="0" w:color="1F497D" w:themeColor="text2"/>
            </w:tcBorders>
            <w:vAlign w:val="center"/>
          </w:tcPr>
          <w:p w14:paraId="66C29A15" w14:textId="77777777" w:rsidR="000E08EE" w:rsidRPr="000E08EE" w:rsidRDefault="000E08EE" w:rsidP="000E08EE">
            <w:pPr>
              <w:tabs>
                <w:tab w:val="decimal" w:pos="361"/>
              </w:tabs>
              <w:jc w:val="left"/>
              <w:rPr>
                <w:color w:val="000000"/>
                <w:sz w:val="16"/>
                <w:szCs w:val="16"/>
              </w:rPr>
            </w:pPr>
            <w:r w:rsidRPr="000E08EE">
              <w:rPr>
                <w:color w:val="000000"/>
                <w:sz w:val="16"/>
                <w:szCs w:val="16"/>
              </w:rPr>
              <w:t>1.3</w:t>
            </w:r>
          </w:p>
        </w:tc>
      </w:tr>
    </w:tbl>
    <w:p w14:paraId="10735833" w14:textId="77777777" w:rsidR="003537FD" w:rsidRDefault="00C168B2" w:rsidP="00DA71DC">
      <w:pPr>
        <w:pStyle w:val="p0"/>
        <w:spacing w:before="20"/>
        <w:ind w:left="567" w:right="475" w:hanging="141"/>
        <w:rPr>
          <w:rFonts w:ascii="Arial" w:hAnsi="Arial"/>
          <w:color w:val="auto"/>
          <w:position w:val="-2"/>
          <w:sz w:val="16"/>
          <w:szCs w:val="16"/>
        </w:rPr>
      </w:pPr>
      <w:r w:rsidRPr="00C168B2">
        <w:rPr>
          <w:rFonts w:ascii="Arial" w:hAnsi="Arial"/>
          <w:color w:val="auto"/>
          <w:sz w:val="18"/>
          <w:szCs w:val="16"/>
          <w:vertAlign w:val="superscript"/>
        </w:rPr>
        <w:t>1/</w:t>
      </w:r>
      <w:r w:rsidRPr="00C168B2">
        <w:rPr>
          <w:rFonts w:ascii="Arial" w:hAnsi="Arial"/>
          <w:color w:val="auto"/>
          <w:sz w:val="16"/>
          <w:szCs w:val="16"/>
        </w:rPr>
        <w:tab/>
      </w:r>
      <w:r w:rsidRPr="00C168B2">
        <w:rPr>
          <w:rFonts w:ascii="Arial" w:hAnsi="Arial"/>
          <w:color w:val="auto"/>
          <w:position w:val="-2"/>
          <w:sz w:val="16"/>
          <w:szCs w:val="16"/>
        </w:rPr>
        <w:t xml:space="preserve">Porcentaje que indica la relación entre el volumen de la producción obtenida por las unidades económicas y el volumen de producción que potencialmente podría generarse en un periodo determinado; lo anterior de acuerdo con las condiciones de infraestructura, equipamiento, procedimientos técnicos y de organización, así como recursos humanos y materiales, que éstas utilizan. </w:t>
      </w:r>
    </w:p>
    <w:p w14:paraId="340B5A58" w14:textId="77777777" w:rsidR="003537FD" w:rsidRPr="003537FD" w:rsidRDefault="003537FD" w:rsidP="007B1731">
      <w:pPr>
        <w:pStyle w:val="p0"/>
        <w:spacing w:before="20"/>
        <w:ind w:left="567" w:right="475"/>
        <w:rPr>
          <w:rFonts w:ascii="Arial" w:hAnsi="Arial"/>
          <w:color w:val="auto"/>
          <w:position w:val="-2"/>
          <w:sz w:val="16"/>
          <w:szCs w:val="16"/>
        </w:rPr>
      </w:pPr>
      <w:r w:rsidRPr="003537FD">
        <w:rPr>
          <w:rFonts w:ascii="Arial" w:hAnsi="Arial"/>
          <w:color w:val="auto"/>
          <w:position w:val="-2"/>
          <w:sz w:val="16"/>
          <w:szCs w:val="16"/>
        </w:rPr>
        <w:t>El procedimiento se efectúa a nivel de clase de actividad. Para la obtención de los siguientes niveles de agregación (rama, subsector y sector) se aplica el mismo procedimiento ponderando las clases de actividad, ramas y subsectores que conforman los agregados respectivos en función del valor de producción.</w:t>
      </w:r>
    </w:p>
    <w:p w14:paraId="3295B630" w14:textId="77777777" w:rsidR="00C168B2" w:rsidRPr="00C168B2" w:rsidRDefault="003537FD" w:rsidP="007B1731">
      <w:pPr>
        <w:pStyle w:val="p0"/>
        <w:spacing w:before="20"/>
        <w:ind w:left="567" w:right="475"/>
        <w:rPr>
          <w:rFonts w:ascii="Arial" w:hAnsi="Arial"/>
          <w:color w:val="auto"/>
          <w:position w:val="-2"/>
          <w:sz w:val="18"/>
          <w:szCs w:val="18"/>
          <w:vertAlign w:val="superscript"/>
        </w:rPr>
      </w:pPr>
      <w:r w:rsidRPr="003537FD">
        <w:rPr>
          <w:rFonts w:ascii="Arial" w:hAnsi="Arial"/>
          <w:color w:val="auto"/>
          <w:position w:val="-2"/>
          <w:sz w:val="16"/>
          <w:szCs w:val="16"/>
        </w:rPr>
        <w:t>Este indicador se expresa en porcentaje, en virtud de que se obtiene como tal, mediante una pregunta del cuestionario de la EMIM. Es por ello que el resultado tiende a 100.0%, señalando con ello la capacidad de planta efectivamente utilizada en el mes de referencia. Derivado de ello, por diferencia se obtiene el porcentaje referente a la capacidad ociosa.</w:t>
      </w:r>
    </w:p>
    <w:p w14:paraId="347B2F92" w14:textId="77777777" w:rsidR="00C168B2" w:rsidRPr="00C168B2" w:rsidRDefault="00C168B2" w:rsidP="00DA71DC">
      <w:pPr>
        <w:pStyle w:val="p0"/>
        <w:keepLines w:val="0"/>
        <w:spacing w:before="20" w:line="200" w:lineRule="exact"/>
        <w:ind w:left="567" w:right="475" w:hanging="141"/>
        <w:rPr>
          <w:rFonts w:ascii="Arial" w:hAnsi="Arial"/>
          <w:color w:val="auto"/>
          <w:position w:val="-2"/>
          <w:sz w:val="18"/>
          <w:szCs w:val="18"/>
          <w:vertAlign w:val="superscript"/>
        </w:rPr>
      </w:pPr>
      <w:r w:rsidRPr="00C168B2">
        <w:rPr>
          <w:rFonts w:ascii="Arial" w:hAnsi="Arial"/>
          <w:color w:val="auto"/>
          <w:position w:val="-2"/>
          <w:sz w:val="18"/>
          <w:szCs w:val="18"/>
          <w:vertAlign w:val="superscript"/>
        </w:rPr>
        <w:t>p/</w:t>
      </w:r>
      <w:r w:rsidRPr="00C168B2">
        <w:rPr>
          <w:rFonts w:ascii="Arial" w:hAnsi="Arial"/>
          <w:color w:val="auto"/>
          <w:position w:val="-2"/>
          <w:sz w:val="16"/>
          <w:szCs w:val="16"/>
        </w:rPr>
        <w:tab/>
        <w:t>Cifras preliminares.</w:t>
      </w:r>
    </w:p>
    <w:p w14:paraId="74DCCF99" w14:textId="77777777" w:rsidR="00C168B2" w:rsidRDefault="007B1731" w:rsidP="007D63DD">
      <w:pPr>
        <w:pStyle w:val="p0"/>
        <w:keepLines w:val="0"/>
        <w:tabs>
          <w:tab w:val="left" w:pos="851"/>
        </w:tabs>
        <w:spacing w:before="0" w:line="200" w:lineRule="exact"/>
        <w:ind w:left="448" w:right="203" w:hanging="252"/>
        <w:rPr>
          <w:rFonts w:ascii="Arial" w:hAnsi="Arial"/>
          <w:color w:val="auto"/>
          <w:sz w:val="16"/>
          <w:szCs w:val="16"/>
        </w:rPr>
      </w:pPr>
      <w:r>
        <w:rPr>
          <w:rFonts w:ascii="Arial" w:hAnsi="Arial"/>
          <w:color w:val="auto"/>
          <w:sz w:val="16"/>
          <w:szCs w:val="16"/>
        </w:rPr>
        <w:t xml:space="preserve">    </w:t>
      </w:r>
      <w:r w:rsidR="00DA71DC">
        <w:rPr>
          <w:rFonts w:ascii="Arial" w:hAnsi="Arial"/>
          <w:color w:val="auto"/>
          <w:sz w:val="16"/>
          <w:szCs w:val="16"/>
        </w:rPr>
        <w:t xml:space="preserve"> </w:t>
      </w:r>
      <w:r w:rsidR="00C168B2" w:rsidRPr="00C168B2">
        <w:rPr>
          <w:rFonts w:ascii="Arial" w:hAnsi="Arial"/>
          <w:color w:val="auto"/>
          <w:sz w:val="16"/>
          <w:szCs w:val="16"/>
        </w:rPr>
        <w:t>Fuente:</w:t>
      </w:r>
      <w:r w:rsidR="00DA71DC">
        <w:rPr>
          <w:rFonts w:ascii="Arial" w:hAnsi="Arial"/>
          <w:color w:val="auto"/>
          <w:sz w:val="16"/>
          <w:szCs w:val="16"/>
        </w:rPr>
        <w:t xml:space="preserve"> </w:t>
      </w:r>
      <w:r w:rsidR="00C168B2" w:rsidRPr="00C168B2">
        <w:rPr>
          <w:rFonts w:ascii="Arial" w:hAnsi="Arial"/>
          <w:color w:val="auto"/>
          <w:sz w:val="16"/>
          <w:szCs w:val="16"/>
        </w:rPr>
        <w:t>INEGI.</w:t>
      </w:r>
    </w:p>
    <w:p w14:paraId="56151F6F" w14:textId="77777777" w:rsidR="003537FD" w:rsidRDefault="003537FD">
      <w:pPr>
        <w:jc w:val="left"/>
        <w:rPr>
          <w:b/>
          <w:i/>
          <w:snapToGrid w:val="0"/>
        </w:rPr>
      </w:pPr>
      <w:r>
        <w:rPr>
          <w:b/>
          <w:i/>
        </w:rPr>
        <w:br w:type="page"/>
      </w:r>
    </w:p>
    <w:p w14:paraId="0363D319" w14:textId="77777777" w:rsidR="00095006" w:rsidRPr="004867D2" w:rsidRDefault="00095006" w:rsidP="003537FD">
      <w:pPr>
        <w:pStyle w:val="p0"/>
        <w:keepLines w:val="0"/>
        <w:spacing w:before="480"/>
        <w:jc w:val="left"/>
        <w:rPr>
          <w:rFonts w:ascii="Arial" w:hAnsi="Arial"/>
          <w:b/>
          <w:i/>
          <w:color w:val="auto"/>
        </w:rPr>
      </w:pPr>
      <w:r w:rsidRPr="004867D2">
        <w:rPr>
          <w:rFonts w:ascii="Arial" w:hAnsi="Arial"/>
          <w:b/>
          <w:i/>
          <w:color w:val="auto"/>
        </w:rPr>
        <w:lastRenderedPageBreak/>
        <w:t>Nota metodológica</w:t>
      </w:r>
    </w:p>
    <w:p w14:paraId="27A61D88" w14:textId="77777777" w:rsidR="00DA7BD3" w:rsidRPr="00DA7BD3" w:rsidRDefault="00DA7BD3" w:rsidP="006B2FDE">
      <w:pPr>
        <w:pStyle w:val="p0"/>
        <w:keepLines w:val="0"/>
        <w:widowControl/>
        <w:rPr>
          <w:color w:val="auto"/>
        </w:rPr>
      </w:pPr>
      <w:r w:rsidRPr="006B2FDE">
        <w:rPr>
          <w:rFonts w:ascii="Arial" w:hAnsi="Arial"/>
          <w:snapToGrid/>
          <w:color w:val="auto"/>
        </w:rPr>
        <w:t>La</w:t>
      </w:r>
      <w:r w:rsidRPr="00DA7BD3">
        <w:rPr>
          <w:color w:val="auto"/>
        </w:rPr>
        <w:t xml:space="preserve"> Encuesta Mensual de la Industria Manufacturera (EMIM) tiene una cobertura de 239 clases de actividad. Los índices tienen como año base de referencia 2013=100.</w:t>
      </w:r>
    </w:p>
    <w:p w14:paraId="2AC7ADC5" w14:textId="77777777" w:rsidR="00DA7BD3" w:rsidRPr="00DA7BD3" w:rsidRDefault="00DA7BD3" w:rsidP="006B2FDE">
      <w:pPr>
        <w:pStyle w:val="p0"/>
        <w:keepLines w:val="0"/>
        <w:widowControl/>
        <w:rPr>
          <w:color w:val="auto"/>
          <w:lang w:val="es-MX"/>
        </w:rPr>
      </w:pPr>
      <w:r w:rsidRPr="00DA7BD3">
        <w:rPr>
          <w:color w:val="auto"/>
          <w:lang w:val="es-MX"/>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p>
    <w:p w14:paraId="49621D5B" w14:textId="77777777" w:rsidR="00DA7BD3" w:rsidRPr="00DA7BD3" w:rsidRDefault="00DA7BD3" w:rsidP="006B2FDE">
      <w:pPr>
        <w:pStyle w:val="p0"/>
        <w:keepLines w:val="0"/>
        <w:widowControl/>
        <w:rPr>
          <w:color w:val="auto"/>
        </w:rPr>
      </w:pPr>
      <w:r w:rsidRPr="00DA7BD3">
        <w:rPr>
          <w:color w:val="auto"/>
        </w:rPr>
        <w:t>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540D0E24" w14:textId="77777777" w:rsidR="00095006" w:rsidRPr="004867D2" w:rsidRDefault="00DA7BD3" w:rsidP="00DA7BD3">
      <w:pPr>
        <w:pStyle w:val="p0"/>
        <w:keepLines w:val="0"/>
        <w:widowControl/>
        <w:rPr>
          <w:rFonts w:ascii="Arial" w:hAnsi="Arial"/>
          <w:color w:val="auto"/>
        </w:rPr>
      </w:pPr>
      <w:r w:rsidRPr="00DA7BD3">
        <w:rPr>
          <w:rFonts w:ascii="Arial" w:hAnsi="Arial"/>
          <w:snapToGrid/>
          <w:color w:val="auto"/>
        </w:rPr>
        <w:t xml:space="preserve">En este sentido, la desestacionalización o ajuste estacional de series económicas consiste en remover estas influencias </w:t>
      </w:r>
      <w:proofErr w:type="spellStart"/>
      <w:r w:rsidRPr="00DA7BD3">
        <w:rPr>
          <w:rFonts w:ascii="Arial" w:hAnsi="Arial"/>
          <w:snapToGrid/>
          <w:color w:val="auto"/>
        </w:rPr>
        <w:t>intra-anuales</w:t>
      </w:r>
      <w:proofErr w:type="spellEnd"/>
      <w:r w:rsidRPr="00DA7BD3">
        <w:rPr>
          <w:rFonts w:ascii="Arial" w:hAnsi="Arial"/>
          <w:snapToGrid/>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w:t>
      </w:r>
      <w:r w:rsidR="00095006" w:rsidRPr="004867D2">
        <w:rPr>
          <w:rFonts w:ascii="Arial" w:hAnsi="Arial"/>
          <w:color w:val="auto"/>
        </w:rPr>
        <w:t xml:space="preserve">. </w:t>
      </w:r>
    </w:p>
    <w:p w14:paraId="13E44C01" w14:textId="77777777" w:rsidR="00BB4D99" w:rsidRPr="00DF01D9" w:rsidRDefault="00582021" w:rsidP="009D4857">
      <w:pPr>
        <w:widowControl w:val="0"/>
        <w:spacing w:before="240"/>
        <w:rPr>
          <w:spacing w:val="-6"/>
        </w:rPr>
      </w:pPr>
      <w:r w:rsidRPr="00DF01D9">
        <w:rPr>
          <w:spacing w:val="-6"/>
          <w:szCs w:val="20"/>
        </w:rPr>
        <w:t>Las series originales se ajustan estacionalmente mediante el paquete estadístico X</w:t>
      </w:r>
      <w:r w:rsidRPr="00DF01D9">
        <w:rPr>
          <w:spacing w:val="-6"/>
          <w:szCs w:val="20"/>
        </w:rPr>
        <w:noBreakHyphen/>
        <w:t>13ARIMA</w:t>
      </w:r>
      <w:r w:rsidRPr="00DF01D9">
        <w:rPr>
          <w:spacing w:val="-6"/>
          <w:szCs w:val="20"/>
        </w:rPr>
        <w:noBreakHyphen/>
        <w:t>SEATS. Para conocer la metodología se sugiere consultar la siguiente liga</w:t>
      </w:r>
      <w:r w:rsidR="00095006" w:rsidRPr="00DF01D9">
        <w:rPr>
          <w:spacing w:val="-6"/>
        </w:rPr>
        <w:t>:</w:t>
      </w:r>
    </w:p>
    <w:p w14:paraId="38447C6F" w14:textId="77777777" w:rsidR="00DA7BD3" w:rsidRPr="00814785" w:rsidRDefault="00A035AC" w:rsidP="00DA7BD3">
      <w:pPr>
        <w:spacing w:before="120"/>
        <w:rPr>
          <w:rFonts w:ascii="Calibri" w:hAnsi="Calibri"/>
          <w:color w:val="1F497D"/>
          <w:sz w:val="20"/>
          <w:lang w:eastAsia="en-US"/>
        </w:rPr>
      </w:pPr>
      <w:hyperlink r:id="rId29" w:history="1">
        <w:r w:rsidR="00DA7BD3" w:rsidRPr="006A0222">
          <w:rPr>
            <w:rStyle w:val="Hipervnculo"/>
            <w:sz w:val="22"/>
            <w:lang w:eastAsia="en-US"/>
          </w:rPr>
          <w:t>http://www.inegi.org.mx/app/biblioteca/ficha.html?upc=702825099060</w:t>
        </w:r>
      </w:hyperlink>
    </w:p>
    <w:p w14:paraId="36667F66" w14:textId="77777777" w:rsidR="00095006" w:rsidRPr="004867D2" w:rsidRDefault="00DA7BD3" w:rsidP="00BB4D99">
      <w:pPr>
        <w:spacing w:before="240"/>
      </w:pPr>
      <w:r w:rsidRPr="004867D2">
        <w:t>Asimismo, las especificaciones de los modelos utilizados para realizar el ajuste estacional están disponibles en el Banco de Información Económica, seleccionando el icono de información</w:t>
      </w:r>
      <w:r>
        <w:t xml:space="preserve"> </w:t>
      </w:r>
      <w:r w:rsidRPr="004867D2">
        <w:rPr>
          <w:noProof/>
          <w:lang w:val="es-MX" w:eastAsia="es-MX"/>
        </w:rPr>
        <w:drawing>
          <wp:inline distT="0" distB="0" distL="0" distR="0" wp14:anchorId="20563EF2" wp14:editId="27B99B83">
            <wp:extent cx="151130" cy="151130"/>
            <wp:effectExtent l="0" t="0" r="1270" b="1270"/>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30">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4867D2">
        <w:t>correspondiente a las “series desestacionalizadas y de tendencia-ciclo” de los Indicadores del Sector Manufacturero</w:t>
      </w:r>
      <w:r w:rsidR="00095006" w:rsidRPr="004867D2">
        <w:t>.</w:t>
      </w:r>
      <w:r w:rsidR="00095006" w:rsidRPr="004867D2">
        <w:rPr>
          <w:color w:val="FFFFFF" w:themeColor="background1"/>
        </w:rPr>
        <w:t xml:space="preserve"> </w:t>
      </w:r>
    </w:p>
    <w:p w14:paraId="15323410" w14:textId="77777777" w:rsidR="00DA7BD3" w:rsidRPr="00DA7BD3" w:rsidRDefault="00DA7BD3" w:rsidP="00467EDB">
      <w:pPr>
        <w:keepLines/>
        <w:spacing w:before="240"/>
      </w:pPr>
      <w:r w:rsidRPr="00DA7BD3">
        <w:lastRenderedPageBreak/>
        <w:t xml:space="preserve">La EMIM aplica la Norma Técnica del Proceso de Producción de Información Estadística y Geográfica, que proporciona un marco normativo regulatorio de la producción de información estadística en México. También retoma los principios </w:t>
      </w:r>
      <w:r w:rsidRPr="00DA7BD3">
        <w:rPr>
          <w:lang w:val="es-MX"/>
        </w:rPr>
        <w:t>conceptuales</w:t>
      </w:r>
      <w:r w:rsidRPr="00DA7BD3">
        <w:t xml:space="preserve"> y metodológicos de la 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420412A5" w14:textId="77777777" w:rsidR="00095006" w:rsidRPr="004867D2" w:rsidRDefault="00DA7BD3" w:rsidP="00DA7BD3">
      <w:pPr>
        <w:spacing w:before="240"/>
      </w:pPr>
      <w:r w:rsidRPr="00DA7BD3">
        <w:t>La unidad de observación de la encuesta es el establecimiento manufacturero, el cual se define como la unidad económica que, en una ubicación única, delimitada por construcciones e instalaciones fijas, combina recursos bajo un sólo propietario o control para desarrollar por cuenta propia o ajena (maquila) actividades de ensamble, procesamiento y transformación total</w:t>
      </w:r>
      <w:r>
        <w:t xml:space="preserve"> </w:t>
      </w:r>
      <w:r w:rsidRPr="00DA7BD3">
        <w:t>o parcial de materias primas que derivan en la producción de bienes y servicios afines, comprendidos principalmente en una sola clase de actividad económica</w:t>
      </w:r>
      <w:r w:rsidR="00095006" w:rsidRPr="004867D2">
        <w:t>.</w:t>
      </w:r>
    </w:p>
    <w:p w14:paraId="314C0CB3" w14:textId="77777777" w:rsidR="00DA7BD3" w:rsidRPr="00DA7BD3" w:rsidRDefault="00DA7BD3" w:rsidP="00DA7BD3">
      <w:pPr>
        <w:spacing w:before="240"/>
      </w:pPr>
      <w:r w:rsidRPr="00DA7BD3">
        <w:t xml:space="preserve">En la EMIM se incluyen establecimientos productores de bienes, así como los que disponen del Programa de la Industria Manufacturera, Maquiladora y de Servicios de Exportación (IMMEX). </w:t>
      </w:r>
    </w:p>
    <w:p w14:paraId="4D8FF0D0" w14:textId="77777777" w:rsidR="00DA7BD3" w:rsidRPr="00DA7BD3" w:rsidRDefault="00DA7BD3" w:rsidP="00DA7BD3">
      <w:pPr>
        <w:spacing w:before="240"/>
      </w:pPr>
      <w:r w:rsidRPr="00DA7BD3">
        <w:t>La cobertura de la encuesta permite obtener estimaciones a nivel nacional, por clase de actividad, rama, subsector y sector del SCIAN 2013.</w:t>
      </w:r>
    </w:p>
    <w:p w14:paraId="261647D6" w14:textId="77777777" w:rsidR="00DA7BD3" w:rsidRPr="00DA7BD3" w:rsidRDefault="00DA7BD3" w:rsidP="00DA7BD3">
      <w:pPr>
        <w:spacing w:before="240"/>
      </w:pPr>
      <w:r w:rsidRPr="00DA7BD3">
        <w:t xml:space="preserve">De </w:t>
      </w:r>
      <w:r w:rsidR="00BA2F7D">
        <w:t xml:space="preserve">las </w:t>
      </w:r>
      <w:r w:rsidRPr="00DA7BD3">
        <w:t>239 clases de actividad económica que considera la encuesta, 235 tienen un diseño no probabilístico y las cuatro clases restantes un diseño probabilístico.</w:t>
      </w:r>
    </w:p>
    <w:p w14:paraId="3FCEA247" w14:textId="77777777" w:rsidR="00DA7BD3" w:rsidRPr="00DA7BD3" w:rsidRDefault="00DA7BD3" w:rsidP="00DA7BD3">
      <w:pPr>
        <w:spacing w:before="240"/>
      </w:pPr>
      <w:r w:rsidRPr="00DA7BD3">
        <w:t>Los establecimientos de las clases con diseño no probabilístico se seleccionaron de acuerdo a su mayor contribución en la variable de ingresos totales. El tamaño de muestra se obtuvo al acumular tantas unidades económicas hasta alcanzar la cobertura establecida.</w:t>
      </w:r>
    </w:p>
    <w:p w14:paraId="753446D8" w14:textId="77777777" w:rsidR="00DA7BD3" w:rsidRPr="00DA7BD3" w:rsidRDefault="00DA7BD3" w:rsidP="00DA7BD3">
      <w:pPr>
        <w:spacing w:before="240"/>
      </w:pPr>
      <w:r w:rsidRPr="00DA7BD3">
        <w:t>Los establecimientos de las clases con diseño probabilístico se seleccionaron aleatoriamente y de manera independiente, tomando como variables de selección el total de personal ocupado y los ingresos totales.</w:t>
      </w:r>
    </w:p>
    <w:p w14:paraId="718ED07D" w14:textId="77777777" w:rsidR="00DA7BD3" w:rsidRPr="00DA7BD3" w:rsidRDefault="00DA7BD3" w:rsidP="00DA7BD3">
      <w:pPr>
        <w:spacing w:before="240"/>
      </w:pPr>
      <w:r w:rsidRPr="00DA7BD3">
        <w:t>En estas clases el tamaño de muestra se obtuvo de manera independiente a través de la expresión para estimar un total, con un nivel de confianza del 95%, un error relativo del 10% y una tasa de no respuesta esperada del 15 por ciento. Considerando al estrato 1 con certeza.</w:t>
      </w:r>
    </w:p>
    <w:p w14:paraId="0EE14DB7" w14:textId="77777777" w:rsidR="00DA7BD3" w:rsidRPr="00DA7BD3" w:rsidRDefault="00DA7BD3" w:rsidP="00DA7BD3">
      <w:pPr>
        <w:spacing w:before="240"/>
      </w:pPr>
      <w:r w:rsidRPr="00DA7BD3">
        <w:t>El marco de muestreo está integrado por 426,511 establecimientos y se conformó por los resultados definitivos de los Censos Económicos 2014 (datos 2013), actualizados por el Registro Estadístico de Negocios de México.</w:t>
      </w:r>
    </w:p>
    <w:p w14:paraId="746F1428" w14:textId="77777777" w:rsidR="00DA7BD3" w:rsidRPr="00DA7BD3" w:rsidRDefault="00DA7BD3" w:rsidP="00DA7BD3">
      <w:pPr>
        <w:spacing w:before="240"/>
      </w:pPr>
      <w:r w:rsidRPr="00DA7BD3">
        <w:lastRenderedPageBreak/>
        <w:t>El tamaño de muestra total es de 10,447 establecimientos, incluidos los de certeza. Del total de la muestra</w:t>
      </w:r>
      <w:r w:rsidR="00BA2F7D">
        <w:t>,</w:t>
      </w:r>
      <w:r w:rsidRPr="00DA7BD3">
        <w:t xml:space="preserve"> 10,080 establecimientos pertenecen a las clases no probabilísticas, mientras que 367 establecimientos a las clases probabilísticas.</w:t>
      </w:r>
    </w:p>
    <w:p w14:paraId="646548F3" w14:textId="77777777" w:rsidR="00DA7BD3" w:rsidRPr="00DA7BD3" w:rsidRDefault="00DA7BD3" w:rsidP="00DA7BD3">
      <w:pPr>
        <w:spacing w:before="240"/>
      </w:pPr>
      <w:r w:rsidRPr="00DA7BD3">
        <w:t xml:space="preserve">Las claves utilizadas para identificar a las clases de actividad económica corresponden al Sistema de Clasificación Industrial de América del Norte (SCIAN) 2013. </w:t>
      </w:r>
    </w:p>
    <w:p w14:paraId="1CAC8D63" w14:textId="77777777" w:rsidR="00DA7BD3" w:rsidRPr="00DA7BD3" w:rsidRDefault="00DA7BD3" w:rsidP="00DA7BD3">
      <w:pPr>
        <w:spacing w:before="240"/>
      </w:pPr>
      <w:r w:rsidRPr="00DA7BD3">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DA7BD3">
        <w:t>submaquila</w:t>
      </w:r>
      <w:proofErr w:type="spellEnd"/>
      <w:r w:rsidRPr="00DA7BD3">
        <w:t xml:space="preserve"> y </w:t>
      </w:r>
      <w:proofErr w:type="spellStart"/>
      <w:r w:rsidRPr="00DA7BD3">
        <w:t>remanufactura</w:t>
      </w:r>
      <w:proofErr w:type="spellEnd"/>
      <w:r w:rsidRPr="00DA7BD3">
        <w:t>, días trabajados, valor de producción de los productos elaborados y valor de ventas de los productos elaborados.</w:t>
      </w:r>
    </w:p>
    <w:p w14:paraId="22B8D327" w14:textId="77777777" w:rsidR="00095006" w:rsidRDefault="00DA7BD3" w:rsidP="00DA7BD3">
      <w:pPr>
        <w:spacing w:before="240"/>
      </w:pPr>
      <w:r w:rsidRPr="00DA7BD3">
        <w:t>Se utilizan tres modalidades para la captación de la información: cuestionario impreso (en papel), cuestionario electr</w:t>
      </w:r>
      <w:r w:rsidR="008A091F">
        <w:t>ónico para su captación en los dispositivos de cómputo m</w:t>
      </w:r>
      <w:r w:rsidRPr="00DA7BD3">
        <w:t>óvil y c</w:t>
      </w:r>
      <w:r w:rsidR="008A091F">
        <w:t>uestionario electrónico en el s</w:t>
      </w:r>
      <w:r w:rsidRPr="00DA7BD3">
        <w:t>itio del INEGI para la captación de información a través de internet</w:t>
      </w:r>
      <w:r w:rsidR="00095006" w:rsidRPr="004867D2">
        <w:t>.</w:t>
      </w:r>
      <w:r w:rsidR="00297F87">
        <w:t xml:space="preserve"> </w:t>
      </w:r>
    </w:p>
    <w:p w14:paraId="27893DE3" w14:textId="77777777" w:rsidR="00DA7BD3" w:rsidRPr="00FC70C5" w:rsidRDefault="00DA7BD3" w:rsidP="006B2FDE">
      <w:pPr>
        <w:spacing w:before="240"/>
        <w:ind w:right="-34"/>
        <w:rPr>
          <w:rStyle w:val="Hipervnculo"/>
          <w:sz w:val="22"/>
        </w:rPr>
      </w:pPr>
      <w:r>
        <w:rPr>
          <w:rFonts w:eastAsiaTheme="minorHAnsi"/>
          <w:lang w:eastAsia="en-US"/>
        </w:rPr>
        <w:t>Con el objetivo de brindar mayores elementos que permitan determinar la precisión de los datos generados por la Encuesta Mensual de la Industria Manufacturera, el INEGI publica en su página los Indicadores de Precisión Estadística, los cuales son una medida relativa a la exactitud de los datos divulgados. Para conocer más al respecto, se sugiere consultar la siguiente liga</w:t>
      </w:r>
      <w:r w:rsidR="00CD3B0A" w:rsidRPr="00FC70C5">
        <w:t>:</w:t>
      </w:r>
      <w:r w:rsidR="006B2FDE" w:rsidRPr="00FC70C5">
        <w:t xml:space="preserve"> </w:t>
      </w:r>
      <w:hyperlink r:id="rId31" w:history="1">
        <w:r w:rsidR="00BF4CCF" w:rsidRPr="00FC70C5">
          <w:rPr>
            <w:rStyle w:val="Hipervnculo"/>
            <w:sz w:val="22"/>
          </w:rPr>
          <w:t>https://www.inegi.org.mx/programas/emim/2013/</w:t>
        </w:r>
      </w:hyperlink>
    </w:p>
    <w:p w14:paraId="5717E237" w14:textId="77777777" w:rsidR="00095006" w:rsidRPr="00FC70C5" w:rsidRDefault="00095006" w:rsidP="00DA7BD3">
      <w:pPr>
        <w:spacing w:before="240"/>
        <w:ind w:right="-34"/>
      </w:pPr>
      <w:r w:rsidRPr="00FC70C5">
        <w:t xml:space="preserve">La información contenida en este </w:t>
      </w:r>
      <w:r w:rsidR="001E7B4A" w:rsidRPr="00FC70C5">
        <w:t>documento</w:t>
      </w:r>
      <w:r w:rsidRPr="00FC70C5">
        <w:t xml:space="preserve"> es generada por el INEGI mediante la Encuesta Mensual de la Industria Manufacturera y se da a conocer en la fecha establecida en el </w:t>
      </w:r>
      <w:r w:rsidR="00783F98" w:rsidRPr="00FC70C5">
        <w:rPr>
          <w:snapToGrid w:val="0"/>
        </w:rPr>
        <w:t>Calendario de difusión de información estadística y geográfica y de Interés Nacional</w:t>
      </w:r>
      <w:r w:rsidRPr="00FC70C5">
        <w:t>.</w:t>
      </w:r>
    </w:p>
    <w:p w14:paraId="4A4E2D06" w14:textId="77777777" w:rsidR="00096FE0" w:rsidRPr="00FC70C5" w:rsidRDefault="00DA7BD3" w:rsidP="00DA7BD3">
      <w:pPr>
        <w:spacing w:before="240"/>
        <w:ind w:right="-34"/>
      </w:pPr>
      <w:r w:rsidRPr="00FC70C5">
        <w:t>Todos</w:t>
      </w:r>
      <w:r w:rsidRPr="00FC70C5">
        <w:rPr>
          <w:rFonts w:eastAsiaTheme="minorHAnsi"/>
          <w:lang w:eastAsia="en-US"/>
        </w:rPr>
        <w:t xml:space="preserve"> los resultados</w:t>
      </w:r>
      <w:r w:rsidRPr="00FC70C5">
        <w:t xml:space="preserve"> pueden ser consultados en la página del INEGI en Internet en las siguientes secciones</w:t>
      </w:r>
      <w:r w:rsidR="00095006" w:rsidRPr="00FC70C5">
        <w:t>:</w:t>
      </w:r>
    </w:p>
    <w:p w14:paraId="34221F3D" w14:textId="77777777" w:rsidR="00DA7BD3" w:rsidRPr="00FC70C5" w:rsidRDefault="00DA7BD3" w:rsidP="006B2FDE">
      <w:pPr>
        <w:pStyle w:val="Default"/>
        <w:widowControl w:val="0"/>
        <w:spacing w:before="240"/>
        <w:rPr>
          <w:color w:val="0000FF"/>
          <w:sz w:val="22"/>
          <w:szCs w:val="22"/>
          <w:u w:val="single"/>
        </w:rPr>
      </w:pPr>
      <w:r w:rsidRPr="00FC70C5">
        <w:rPr>
          <w:color w:val="auto"/>
        </w:rPr>
        <w:t xml:space="preserve">Tema: </w:t>
      </w:r>
      <w:hyperlink r:id="rId32" w:history="1">
        <w:r w:rsidRPr="00FC70C5">
          <w:rPr>
            <w:rStyle w:val="Hipervnculo"/>
            <w:sz w:val="22"/>
            <w:szCs w:val="22"/>
          </w:rPr>
          <w:t>https://www.inegi.org.mx/temas/manufacturas/</w:t>
        </w:r>
      </w:hyperlink>
    </w:p>
    <w:p w14:paraId="1C153BC2" w14:textId="77777777" w:rsidR="00DA7BD3" w:rsidRPr="00FC70C5" w:rsidRDefault="00DA7BD3" w:rsidP="00DA7BD3">
      <w:pPr>
        <w:pStyle w:val="Default"/>
        <w:widowControl w:val="0"/>
        <w:rPr>
          <w:color w:val="0000FF"/>
          <w:sz w:val="22"/>
          <w:szCs w:val="22"/>
          <w:u w:val="single"/>
        </w:rPr>
      </w:pPr>
      <w:r w:rsidRPr="00FC70C5">
        <w:rPr>
          <w:color w:val="auto"/>
        </w:rPr>
        <w:t xml:space="preserve">Programa: </w:t>
      </w:r>
      <w:hyperlink r:id="rId33" w:history="1">
        <w:r w:rsidR="00BF4CCF" w:rsidRPr="00FC70C5">
          <w:rPr>
            <w:rStyle w:val="Hipervnculo"/>
            <w:sz w:val="22"/>
            <w:szCs w:val="22"/>
          </w:rPr>
          <w:t>https://www.inegi.org.mx/programas/emim/2013/</w:t>
        </w:r>
      </w:hyperlink>
    </w:p>
    <w:p w14:paraId="75A237B9" w14:textId="77777777" w:rsidR="00DA7BD3" w:rsidRPr="00DA7BD3" w:rsidRDefault="00DA7BD3" w:rsidP="00DA7BD3">
      <w:pPr>
        <w:pStyle w:val="Default"/>
        <w:widowControl w:val="0"/>
        <w:rPr>
          <w:rStyle w:val="Hipervnculo"/>
          <w:sz w:val="22"/>
          <w:szCs w:val="22"/>
        </w:rPr>
      </w:pPr>
      <w:r w:rsidRPr="00FC70C5">
        <w:rPr>
          <w:color w:val="auto"/>
        </w:rPr>
        <w:t xml:space="preserve">Banco de Información Económica: </w:t>
      </w:r>
      <w:hyperlink r:id="rId34" w:history="1">
        <w:r w:rsidRPr="00FC70C5">
          <w:rPr>
            <w:rStyle w:val="Hipervnculo"/>
            <w:sz w:val="22"/>
            <w:szCs w:val="22"/>
          </w:rPr>
          <w:t>http://www.inegi.org.mx/sistemas/bie/</w:t>
        </w:r>
      </w:hyperlink>
    </w:p>
    <w:sectPr w:rsidR="00DA7BD3" w:rsidRPr="00DA7BD3" w:rsidSect="00917422">
      <w:headerReference w:type="default" r:id="rId35"/>
      <w:footerReference w:type="default" r:id="rId36"/>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78AF9" w14:textId="77777777" w:rsidR="00C5259D" w:rsidRDefault="00C5259D">
      <w:r>
        <w:separator/>
      </w:r>
    </w:p>
  </w:endnote>
  <w:endnote w:type="continuationSeparator" w:id="0">
    <w:p w14:paraId="6E76DDB2" w14:textId="77777777" w:rsidR="00C5259D" w:rsidRDefault="00C5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E121" w14:textId="77777777" w:rsidR="00A035AC" w:rsidRDefault="00A035A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F68A" w14:textId="77777777" w:rsidR="00F15185" w:rsidRPr="00155A97" w:rsidRDefault="00F15185" w:rsidP="00F15185">
    <w:pPr>
      <w:pStyle w:val="Piedepgina"/>
      <w:contextualSpacing/>
      <w:jc w:val="center"/>
      <w:rPr>
        <w:color w:val="002060"/>
        <w:sz w:val="18"/>
        <w:szCs w:val="18"/>
      </w:rPr>
    </w:pPr>
    <w:r w:rsidRPr="00155A97">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C623" w14:textId="77777777" w:rsidR="00A035AC" w:rsidRDefault="00A035A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F0FC" w14:textId="77777777" w:rsidR="00F15185" w:rsidRDefault="00F15185"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C304" w14:textId="77777777" w:rsidR="00C5259D" w:rsidRDefault="00C5259D">
      <w:r>
        <w:separator/>
      </w:r>
    </w:p>
  </w:footnote>
  <w:footnote w:type="continuationSeparator" w:id="0">
    <w:p w14:paraId="3E04C011" w14:textId="77777777" w:rsidR="00C5259D" w:rsidRDefault="00C5259D">
      <w:r>
        <w:continuationSeparator/>
      </w:r>
    </w:p>
  </w:footnote>
  <w:footnote w:id="1">
    <w:p w14:paraId="05E3C30E" w14:textId="77777777" w:rsidR="00F15185" w:rsidRPr="00BF4A44" w:rsidRDefault="00F15185" w:rsidP="00014B07">
      <w:pPr>
        <w:pStyle w:val="Textonotapie"/>
        <w:ind w:left="196" w:right="-405" w:hanging="196"/>
      </w:pPr>
      <w:r w:rsidRPr="00BF4A44">
        <w:rPr>
          <w:rStyle w:val="Refdenotaalpie"/>
          <w:sz w:val="18"/>
          <w:szCs w:val="18"/>
        </w:rPr>
        <w:footnoteRef/>
      </w:r>
      <w:r w:rsidRPr="00BF4A44">
        <w:tab/>
      </w:r>
      <w:r w:rsidRPr="00BF4A44">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0DBEB074" w14:textId="77777777" w:rsidR="00F15185" w:rsidRDefault="00F15185" w:rsidP="00014B07">
      <w:pPr>
        <w:pStyle w:val="Textonotapie"/>
        <w:ind w:left="196" w:right="-405" w:hanging="196"/>
        <w:rPr>
          <w:sz w:val="16"/>
          <w:szCs w:val="16"/>
        </w:rPr>
      </w:pPr>
      <w:r w:rsidRPr="00BF4A44">
        <w:rPr>
          <w:rStyle w:val="Refdenotaalpie"/>
          <w:sz w:val="18"/>
          <w:szCs w:val="18"/>
        </w:rPr>
        <w:footnoteRef/>
      </w:r>
      <w:r w:rsidRPr="00BF4A44">
        <w:tab/>
      </w:r>
      <w:r w:rsidRPr="00BD0991">
        <w:rPr>
          <w:sz w:val="16"/>
          <w:szCs w:val="16"/>
        </w:rPr>
        <w:t>Las cifras de remuneraciones son deflactadas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w:t>
      </w:r>
      <w:r w:rsidRPr="00BF4A44">
        <w:rPr>
          <w:sz w:val="16"/>
          <w:szCs w:val="16"/>
        </w:rPr>
        <w:t>.</w:t>
      </w:r>
    </w:p>
    <w:p w14:paraId="678406BD" w14:textId="77777777" w:rsidR="00F15185" w:rsidRPr="00BF4A44" w:rsidRDefault="00F15185" w:rsidP="00014B07">
      <w:pPr>
        <w:pStyle w:val="Textonotapie"/>
        <w:ind w:left="196" w:right="-405" w:hanging="196"/>
      </w:pPr>
    </w:p>
  </w:footnote>
  <w:footnote w:id="3">
    <w:p w14:paraId="4F036E21" w14:textId="77777777" w:rsidR="00F15185" w:rsidRDefault="00F15185" w:rsidP="006B7B7D">
      <w:pPr>
        <w:pStyle w:val="Textonotapie"/>
        <w:ind w:left="196" w:hanging="196"/>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51A4D04A" w14:textId="77777777" w:rsidR="00F15185" w:rsidRPr="00BF4A44" w:rsidRDefault="00F15185" w:rsidP="006B7B7D">
      <w:pPr>
        <w:pStyle w:val="Textonotapie"/>
        <w:ind w:left="196" w:hanging="196"/>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1A11A" w14:textId="77777777" w:rsidR="00A035AC" w:rsidRDefault="00A035A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705B2" w14:textId="0C7AB9F3" w:rsidR="00F15185" w:rsidRPr="00265B8C" w:rsidRDefault="00F15185" w:rsidP="00A035AC">
    <w:pPr>
      <w:pStyle w:val="Encabezado"/>
      <w:framePr w:w="5416" w:hSpace="141" w:wrap="auto" w:vAnchor="text" w:hAnchor="page" w:x="5683" w:y="42"/>
      <w:ind w:left="567" w:hanging="11"/>
      <w:jc w:val="right"/>
      <w:rPr>
        <w:b/>
        <w:color w:val="002060"/>
      </w:rPr>
    </w:pPr>
    <w:bookmarkStart w:id="0" w:name="_GoBack"/>
    <w:r w:rsidRPr="00265B8C">
      <w:rPr>
        <w:b/>
        <w:color w:val="002060"/>
      </w:rPr>
      <w:t xml:space="preserve">COMUNICADO DE PRENSA NÚM. </w:t>
    </w:r>
    <w:r w:rsidR="00A035AC">
      <w:rPr>
        <w:b/>
        <w:color w:val="002060"/>
      </w:rPr>
      <w:t>701</w:t>
    </w:r>
    <w:r w:rsidRPr="00265B8C">
      <w:rPr>
        <w:b/>
        <w:color w:val="002060"/>
      </w:rPr>
      <w:t>/1</w:t>
    </w:r>
    <w:r>
      <w:rPr>
        <w:b/>
        <w:color w:val="002060"/>
      </w:rPr>
      <w:t>9</w:t>
    </w:r>
  </w:p>
  <w:p w14:paraId="37C24931" w14:textId="77777777" w:rsidR="00F15185" w:rsidRPr="00265B8C" w:rsidRDefault="00F15185" w:rsidP="00A035AC">
    <w:pPr>
      <w:pStyle w:val="Encabezado"/>
      <w:framePr w:w="5416" w:hSpace="141" w:wrap="auto" w:vAnchor="text" w:hAnchor="page" w:x="5683" w:y="42"/>
      <w:ind w:left="567" w:hanging="11"/>
      <w:jc w:val="right"/>
      <w:rPr>
        <w:b/>
        <w:color w:val="002060"/>
        <w:lang w:val="pt-BR"/>
      </w:rPr>
    </w:pPr>
    <w:r>
      <w:rPr>
        <w:b/>
        <w:color w:val="002060"/>
        <w:lang w:val="pt-BR"/>
      </w:rPr>
      <w:t xml:space="preserve">18 </w:t>
    </w:r>
    <w:r w:rsidRPr="00265B8C">
      <w:rPr>
        <w:b/>
        <w:color w:val="002060"/>
        <w:lang w:val="pt-BR"/>
      </w:rPr>
      <w:t>DE</w:t>
    </w:r>
    <w:r>
      <w:rPr>
        <w:b/>
        <w:color w:val="002060"/>
        <w:lang w:val="pt-BR"/>
      </w:rPr>
      <w:t xml:space="preserve"> DICIEMBRE </w:t>
    </w:r>
    <w:r w:rsidRPr="00265B8C">
      <w:rPr>
        <w:b/>
        <w:color w:val="002060"/>
        <w:lang w:val="pt-BR"/>
      </w:rPr>
      <w:t>DE 201</w:t>
    </w:r>
    <w:r>
      <w:rPr>
        <w:b/>
        <w:color w:val="002060"/>
        <w:lang w:val="pt-BR"/>
      </w:rPr>
      <w:t>9</w:t>
    </w:r>
  </w:p>
  <w:p w14:paraId="337EBA3D" w14:textId="77777777" w:rsidR="00F15185" w:rsidRPr="00265B8C" w:rsidRDefault="00F15185" w:rsidP="00A035AC">
    <w:pPr>
      <w:pStyle w:val="Encabezado"/>
      <w:framePr w:w="5416" w:hSpace="141" w:wrap="auto" w:vAnchor="text" w:hAnchor="page" w:x="5683"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0"/>
  <w:p w14:paraId="1FBB7D0B" w14:textId="77777777" w:rsidR="00F15185" w:rsidRDefault="00F15185" w:rsidP="00F15185">
    <w:pPr>
      <w:pStyle w:val="Encabezado"/>
      <w:ind w:left="-993"/>
    </w:pPr>
    <w:r>
      <w:rPr>
        <w:noProof/>
      </w:rPr>
      <w:drawing>
        <wp:inline distT="0" distB="0" distL="0" distR="0" wp14:anchorId="5A888F56" wp14:editId="43EFC177">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41581" w14:textId="77777777" w:rsidR="00A035AC" w:rsidRDefault="00A035A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00657" w14:textId="77777777" w:rsidR="00F15185" w:rsidRDefault="00F15185" w:rsidP="006B7B7D">
    <w:pPr>
      <w:pStyle w:val="Encabezado"/>
      <w:jc w:val="center"/>
    </w:pPr>
    <w:r>
      <w:rPr>
        <w:noProof/>
        <w:lang w:val="es-MX" w:eastAsia="es-MX"/>
      </w:rPr>
      <w:drawing>
        <wp:inline distT="0" distB="0" distL="0" distR="0" wp14:anchorId="5FDDC94C" wp14:editId="5A8044FF">
          <wp:extent cx="928370" cy="964565"/>
          <wp:effectExtent l="0" t="0" r="5080" b="6985"/>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6B5A"/>
    <w:rsid w:val="000078B1"/>
    <w:rsid w:val="00007A1A"/>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B07"/>
    <w:rsid w:val="00014FBD"/>
    <w:rsid w:val="00015302"/>
    <w:rsid w:val="00016590"/>
    <w:rsid w:val="00016B4E"/>
    <w:rsid w:val="00016D3A"/>
    <w:rsid w:val="0001718D"/>
    <w:rsid w:val="000176AC"/>
    <w:rsid w:val="00017BE1"/>
    <w:rsid w:val="00020129"/>
    <w:rsid w:val="00021432"/>
    <w:rsid w:val="00021492"/>
    <w:rsid w:val="000216A3"/>
    <w:rsid w:val="000228C4"/>
    <w:rsid w:val="00022CA3"/>
    <w:rsid w:val="000260CF"/>
    <w:rsid w:val="000260EE"/>
    <w:rsid w:val="00026B3C"/>
    <w:rsid w:val="00026B52"/>
    <w:rsid w:val="00027EBB"/>
    <w:rsid w:val="00030480"/>
    <w:rsid w:val="0003065F"/>
    <w:rsid w:val="00030D10"/>
    <w:rsid w:val="00030FE7"/>
    <w:rsid w:val="00031231"/>
    <w:rsid w:val="000314D3"/>
    <w:rsid w:val="00031515"/>
    <w:rsid w:val="00031BCF"/>
    <w:rsid w:val="00032B16"/>
    <w:rsid w:val="00033603"/>
    <w:rsid w:val="00033A14"/>
    <w:rsid w:val="0003447A"/>
    <w:rsid w:val="00034BC3"/>
    <w:rsid w:val="000350C8"/>
    <w:rsid w:val="000353F3"/>
    <w:rsid w:val="00035600"/>
    <w:rsid w:val="00035B2D"/>
    <w:rsid w:val="00035DA7"/>
    <w:rsid w:val="00036D72"/>
    <w:rsid w:val="00037089"/>
    <w:rsid w:val="0003711F"/>
    <w:rsid w:val="00037177"/>
    <w:rsid w:val="00037CC4"/>
    <w:rsid w:val="0004066E"/>
    <w:rsid w:val="00040F75"/>
    <w:rsid w:val="00041FF7"/>
    <w:rsid w:val="0004225C"/>
    <w:rsid w:val="00043535"/>
    <w:rsid w:val="00043B32"/>
    <w:rsid w:val="00043E2B"/>
    <w:rsid w:val="00044296"/>
    <w:rsid w:val="00044699"/>
    <w:rsid w:val="000446D6"/>
    <w:rsid w:val="00044700"/>
    <w:rsid w:val="00044C5E"/>
    <w:rsid w:val="0004596A"/>
    <w:rsid w:val="00045AF1"/>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EB7"/>
    <w:rsid w:val="00054A4F"/>
    <w:rsid w:val="00055047"/>
    <w:rsid w:val="00055B54"/>
    <w:rsid w:val="0005631C"/>
    <w:rsid w:val="00056F51"/>
    <w:rsid w:val="000573F5"/>
    <w:rsid w:val="00057F37"/>
    <w:rsid w:val="000602B0"/>
    <w:rsid w:val="0006056C"/>
    <w:rsid w:val="0006135D"/>
    <w:rsid w:val="0006228A"/>
    <w:rsid w:val="00063614"/>
    <w:rsid w:val="00063838"/>
    <w:rsid w:val="0006433F"/>
    <w:rsid w:val="000646BA"/>
    <w:rsid w:val="00064774"/>
    <w:rsid w:val="00064BBC"/>
    <w:rsid w:val="00064E9D"/>
    <w:rsid w:val="00064FDB"/>
    <w:rsid w:val="00065106"/>
    <w:rsid w:val="000651F1"/>
    <w:rsid w:val="00065708"/>
    <w:rsid w:val="00065A07"/>
    <w:rsid w:val="00065BC1"/>
    <w:rsid w:val="00066638"/>
    <w:rsid w:val="00066EA7"/>
    <w:rsid w:val="00067AC6"/>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690"/>
    <w:rsid w:val="00077C46"/>
    <w:rsid w:val="0008027F"/>
    <w:rsid w:val="0008084D"/>
    <w:rsid w:val="000814ED"/>
    <w:rsid w:val="000816D0"/>
    <w:rsid w:val="0008175A"/>
    <w:rsid w:val="0008195B"/>
    <w:rsid w:val="000823F0"/>
    <w:rsid w:val="000826F7"/>
    <w:rsid w:val="00082F11"/>
    <w:rsid w:val="0008325D"/>
    <w:rsid w:val="000834DD"/>
    <w:rsid w:val="000839BB"/>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5006"/>
    <w:rsid w:val="000950E7"/>
    <w:rsid w:val="00095360"/>
    <w:rsid w:val="000955AA"/>
    <w:rsid w:val="000957BC"/>
    <w:rsid w:val="00096737"/>
    <w:rsid w:val="00096FE0"/>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6FB8"/>
    <w:rsid w:val="000A707A"/>
    <w:rsid w:val="000A78BA"/>
    <w:rsid w:val="000B0710"/>
    <w:rsid w:val="000B1C11"/>
    <w:rsid w:val="000B1D13"/>
    <w:rsid w:val="000B29B8"/>
    <w:rsid w:val="000B2A27"/>
    <w:rsid w:val="000B3CDD"/>
    <w:rsid w:val="000B4A6A"/>
    <w:rsid w:val="000B50FB"/>
    <w:rsid w:val="000B515D"/>
    <w:rsid w:val="000B5A74"/>
    <w:rsid w:val="000B5FA3"/>
    <w:rsid w:val="000B6AF6"/>
    <w:rsid w:val="000B6BA2"/>
    <w:rsid w:val="000C1051"/>
    <w:rsid w:val="000C1F04"/>
    <w:rsid w:val="000C2892"/>
    <w:rsid w:val="000C2B3C"/>
    <w:rsid w:val="000C2F82"/>
    <w:rsid w:val="000C30D7"/>
    <w:rsid w:val="000C3105"/>
    <w:rsid w:val="000C34DD"/>
    <w:rsid w:val="000C37BC"/>
    <w:rsid w:val="000C482F"/>
    <w:rsid w:val="000C4992"/>
    <w:rsid w:val="000C5299"/>
    <w:rsid w:val="000C5468"/>
    <w:rsid w:val="000C55CC"/>
    <w:rsid w:val="000C5852"/>
    <w:rsid w:val="000C5D0E"/>
    <w:rsid w:val="000C6A4A"/>
    <w:rsid w:val="000C6AFD"/>
    <w:rsid w:val="000C6FEA"/>
    <w:rsid w:val="000D06FA"/>
    <w:rsid w:val="000D0DDA"/>
    <w:rsid w:val="000D0ED5"/>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B3"/>
    <w:rsid w:val="000E2970"/>
    <w:rsid w:val="000E3CC1"/>
    <w:rsid w:val="000E4A5F"/>
    <w:rsid w:val="000E5331"/>
    <w:rsid w:val="000E5526"/>
    <w:rsid w:val="000E563F"/>
    <w:rsid w:val="000E5D6B"/>
    <w:rsid w:val="000E5FE0"/>
    <w:rsid w:val="000E6D5D"/>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DD1"/>
    <w:rsid w:val="00105234"/>
    <w:rsid w:val="00105CC1"/>
    <w:rsid w:val="00105E2B"/>
    <w:rsid w:val="0010619C"/>
    <w:rsid w:val="0010664D"/>
    <w:rsid w:val="00106C81"/>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B56"/>
    <w:rsid w:val="00114B96"/>
    <w:rsid w:val="00114E47"/>
    <w:rsid w:val="00115A20"/>
    <w:rsid w:val="00115AAA"/>
    <w:rsid w:val="00116647"/>
    <w:rsid w:val="00116F84"/>
    <w:rsid w:val="00117904"/>
    <w:rsid w:val="00117D7A"/>
    <w:rsid w:val="00120112"/>
    <w:rsid w:val="001209DB"/>
    <w:rsid w:val="00120EA1"/>
    <w:rsid w:val="0012181E"/>
    <w:rsid w:val="00122048"/>
    <w:rsid w:val="001228A0"/>
    <w:rsid w:val="00123EFF"/>
    <w:rsid w:val="0012410F"/>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13EB"/>
    <w:rsid w:val="0013222E"/>
    <w:rsid w:val="00132EF4"/>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B7E"/>
    <w:rsid w:val="00143D3A"/>
    <w:rsid w:val="00145A89"/>
    <w:rsid w:val="00145F65"/>
    <w:rsid w:val="001460E0"/>
    <w:rsid w:val="00146902"/>
    <w:rsid w:val="00146DFA"/>
    <w:rsid w:val="0014709F"/>
    <w:rsid w:val="001478AD"/>
    <w:rsid w:val="0015018D"/>
    <w:rsid w:val="00150228"/>
    <w:rsid w:val="001502C3"/>
    <w:rsid w:val="001504E8"/>
    <w:rsid w:val="00150536"/>
    <w:rsid w:val="001511B4"/>
    <w:rsid w:val="001533B2"/>
    <w:rsid w:val="001534CA"/>
    <w:rsid w:val="0015369A"/>
    <w:rsid w:val="0015386A"/>
    <w:rsid w:val="001540F9"/>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8DA"/>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90180"/>
    <w:rsid w:val="00190A43"/>
    <w:rsid w:val="00190D0B"/>
    <w:rsid w:val="001912FB"/>
    <w:rsid w:val="00191608"/>
    <w:rsid w:val="00191664"/>
    <w:rsid w:val="00192065"/>
    <w:rsid w:val="001941AA"/>
    <w:rsid w:val="00194F73"/>
    <w:rsid w:val="00194F7F"/>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60E2"/>
    <w:rsid w:val="001A69F0"/>
    <w:rsid w:val="001A79AA"/>
    <w:rsid w:val="001A7F95"/>
    <w:rsid w:val="001B07B0"/>
    <w:rsid w:val="001B0992"/>
    <w:rsid w:val="001B0AC4"/>
    <w:rsid w:val="001B1120"/>
    <w:rsid w:val="001B15E2"/>
    <w:rsid w:val="001B163A"/>
    <w:rsid w:val="001B253D"/>
    <w:rsid w:val="001B277C"/>
    <w:rsid w:val="001B2C6A"/>
    <w:rsid w:val="001B2F19"/>
    <w:rsid w:val="001B3280"/>
    <w:rsid w:val="001B356F"/>
    <w:rsid w:val="001B35ED"/>
    <w:rsid w:val="001B369D"/>
    <w:rsid w:val="001B450E"/>
    <w:rsid w:val="001B46DB"/>
    <w:rsid w:val="001B4F75"/>
    <w:rsid w:val="001B5DDB"/>
    <w:rsid w:val="001B62D3"/>
    <w:rsid w:val="001B74F4"/>
    <w:rsid w:val="001B75DC"/>
    <w:rsid w:val="001C0136"/>
    <w:rsid w:val="001C0A6E"/>
    <w:rsid w:val="001C0AD1"/>
    <w:rsid w:val="001C0BCC"/>
    <w:rsid w:val="001C0D9E"/>
    <w:rsid w:val="001C117D"/>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4479"/>
    <w:rsid w:val="001E490C"/>
    <w:rsid w:val="001E4C68"/>
    <w:rsid w:val="001E50FD"/>
    <w:rsid w:val="001E5310"/>
    <w:rsid w:val="001E59DC"/>
    <w:rsid w:val="001E5DD7"/>
    <w:rsid w:val="001E5EEE"/>
    <w:rsid w:val="001E7358"/>
    <w:rsid w:val="001E7B4A"/>
    <w:rsid w:val="001E7C72"/>
    <w:rsid w:val="001E7EDD"/>
    <w:rsid w:val="001F02CD"/>
    <w:rsid w:val="001F0B7F"/>
    <w:rsid w:val="001F0CD0"/>
    <w:rsid w:val="001F0F71"/>
    <w:rsid w:val="001F19D1"/>
    <w:rsid w:val="001F1B69"/>
    <w:rsid w:val="001F1D9A"/>
    <w:rsid w:val="001F210B"/>
    <w:rsid w:val="001F2740"/>
    <w:rsid w:val="001F2C3A"/>
    <w:rsid w:val="001F3142"/>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11D5"/>
    <w:rsid w:val="00201C2D"/>
    <w:rsid w:val="002022A4"/>
    <w:rsid w:val="00203244"/>
    <w:rsid w:val="00203367"/>
    <w:rsid w:val="002037E9"/>
    <w:rsid w:val="002040C1"/>
    <w:rsid w:val="00204438"/>
    <w:rsid w:val="00204A44"/>
    <w:rsid w:val="00205C32"/>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4EBE"/>
    <w:rsid w:val="0021575B"/>
    <w:rsid w:val="00215783"/>
    <w:rsid w:val="0021669B"/>
    <w:rsid w:val="00216876"/>
    <w:rsid w:val="00217051"/>
    <w:rsid w:val="0022018A"/>
    <w:rsid w:val="00220ADA"/>
    <w:rsid w:val="00220B7B"/>
    <w:rsid w:val="0022180E"/>
    <w:rsid w:val="002220BA"/>
    <w:rsid w:val="00222324"/>
    <w:rsid w:val="002227B3"/>
    <w:rsid w:val="00222CE3"/>
    <w:rsid w:val="002235D7"/>
    <w:rsid w:val="002239C4"/>
    <w:rsid w:val="00224617"/>
    <w:rsid w:val="00225119"/>
    <w:rsid w:val="00225591"/>
    <w:rsid w:val="00225690"/>
    <w:rsid w:val="0022574F"/>
    <w:rsid w:val="0022593A"/>
    <w:rsid w:val="00225B52"/>
    <w:rsid w:val="00225CE3"/>
    <w:rsid w:val="002260D7"/>
    <w:rsid w:val="00226B17"/>
    <w:rsid w:val="0022712B"/>
    <w:rsid w:val="002276A4"/>
    <w:rsid w:val="00227843"/>
    <w:rsid w:val="00227A99"/>
    <w:rsid w:val="00227C8B"/>
    <w:rsid w:val="0023069D"/>
    <w:rsid w:val="00230A44"/>
    <w:rsid w:val="00230A52"/>
    <w:rsid w:val="00230FA5"/>
    <w:rsid w:val="00231131"/>
    <w:rsid w:val="0023170E"/>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872"/>
    <w:rsid w:val="00236890"/>
    <w:rsid w:val="002368C0"/>
    <w:rsid w:val="00236CC2"/>
    <w:rsid w:val="00236CDE"/>
    <w:rsid w:val="0023763A"/>
    <w:rsid w:val="00237D7D"/>
    <w:rsid w:val="00237F57"/>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0DC"/>
    <w:rsid w:val="0025394F"/>
    <w:rsid w:val="00253958"/>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CDB"/>
    <w:rsid w:val="00273E7A"/>
    <w:rsid w:val="00274372"/>
    <w:rsid w:val="00274606"/>
    <w:rsid w:val="0027475A"/>
    <w:rsid w:val="00275F56"/>
    <w:rsid w:val="002765B7"/>
    <w:rsid w:val="00276EAA"/>
    <w:rsid w:val="00277713"/>
    <w:rsid w:val="00277DBC"/>
    <w:rsid w:val="00277F64"/>
    <w:rsid w:val="00280550"/>
    <w:rsid w:val="00281063"/>
    <w:rsid w:val="00281676"/>
    <w:rsid w:val="00281E32"/>
    <w:rsid w:val="00282479"/>
    <w:rsid w:val="00282531"/>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6242"/>
    <w:rsid w:val="00296CE6"/>
    <w:rsid w:val="002973DF"/>
    <w:rsid w:val="00297D6A"/>
    <w:rsid w:val="00297F87"/>
    <w:rsid w:val="002A0190"/>
    <w:rsid w:val="002A0983"/>
    <w:rsid w:val="002A0BF5"/>
    <w:rsid w:val="002A1128"/>
    <w:rsid w:val="002A158C"/>
    <w:rsid w:val="002A1A8C"/>
    <w:rsid w:val="002A24EB"/>
    <w:rsid w:val="002A2C5E"/>
    <w:rsid w:val="002A2D66"/>
    <w:rsid w:val="002A428E"/>
    <w:rsid w:val="002A46FA"/>
    <w:rsid w:val="002A5227"/>
    <w:rsid w:val="002A57BC"/>
    <w:rsid w:val="002A581C"/>
    <w:rsid w:val="002B00FE"/>
    <w:rsid w:val="002B0E27"/>
    <w:rsid w:val="002B10B6"/>
    <w:rsid w:val="002B10D3"/>
    <w:rsid w:val="002B1113"/>
    <w:rsid w:val="002B1867"/>
    <w:rsid w:val="002B1EA3"/>
    <w:rsid w:val="002B1EC9"/>
    <w:rsid w:val="002B2528"/>
    <w:rsid w:val="002B2A55"/>
    <w:rsid w:val="002B2DA9"/>
    <w:rsid w:val="002B30C8"/>
    <w:rsid w:val="002B31FA"/>
    <w:rsid w:val="002B33D5"/>
    <w:rsid w:val="002B3A06"/>
    <w:rsid w:val="002B3B87"/>
    <w:rsid w:val="002B3E76"/>
    <w:rsid w:val="002B4552"/>
    <w:rsid w:val="002B4C84"/>
    <w:rsid w:val="002B5746"/>
    <w:rsid w:val="002B63D3"/>
    <w:rsid w:val="002B6681"/>
    <w:rsid w:val="002B6815"/>
    <w:rsid w:val="002B6AB1"/>
    <w:rsid w:val="002B71D1"/>
    <w:rsid w:val="002C0144"/>
    <w:rsid w:val="002C0CAC"/>
    <w:rsid w:val="002C1F28"/>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831"/>
    <w:rsid w:val="002D48E1"/>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7235"/>
    <w:rsid w:val="002E7DEA"/>
    <w:rsid w:val="002F0276"/>
    <w:rsid w:val="002F078B"/>
    <w:rsid w:val="002F10E7"/>
    <w:rsid w:val="002F11F9"/>
    <w:rsid w:val="002F1274"/>
    <w:rsid w:val="002F13E0"/>
    <w:rsid w:val="002F16CB"/>
    <w:rsid w:val="002F1742"/>
    <w:rsid w:val="002F1AB0"/>
    <w:rsid w:val="002F3C64"/>
    <w:rsid w:val="002F3EFA"/>
    <w:rsid w:val="002F4431"/>
    <w:rsid w:val="002F45F6"/>
    <w:rsid w:val="002F47E7"/>
    <w:rsid w:val="002F510D"/>
    <w:rsid w:val="002F5257"/>
    <w:rsid w:val="002F5F61"/>
    <w:rsid w:val="002F6382"/>
    <w:rsid w:val="00300081"/>
    <w:rsid w:val="0030023E"/>
    <w:rsid w:val="0030059B"/>
    <w:rsid w:val="00300FC5"/>
    <w:rsid w:val="00301277"/>
    <w:rsid w:val="00301837"/>
    <w:rsid w:val="003019CD"/>
    <w:rsid w:val="00302E61"/>
    <w:rsid w:val="0030341B"/>
    <w:rsid w:val="003034D2"/>
    <w:rsid w:val="0030373E"/>
    <w:rsid w:val="00303A1B"/>
    <w:rsid w:val="003045BE"/>
    <w:rsid w:val="003055A3"/>
    <w:rsid w:val="00305E82"/>
    <w:rsid w:val="00305F53"/>
    <w:rsid w:val="003060F3"/>
    <w:rsid w:val="0030612A"/>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4614"/>
    <w:rsid w:val="00314739"/>
    <w:rsid w:val="00314773"/>
    <w:rsid w:val="00314EE2"/>
    <w:rsid w:val="00314F8A"/>
    <w:rsid w:val="003151F3"/>
    <w:rsid w:val="003152FA"/>
    <w:rsid w:val="003154DB"/>
    <w:rsid w:val="00316779"/>
    <w:rsid w:val="00317DA5"/>
    <w:rsid w:val="003201D0"/>
    <w:rsid w:val="003205E0"/>
    <w:rsid w:val="00320602"/>
    <w:rsid w:val="00321386"/>
    <w:rsid w:val="00321788"/>
    <w:rsid w:val="00321848"/>
    <w:rsid w:val="00321CB3"/>
    <w:rsid w:val="00322341"/>
    <w:rsid w:val="00322DA3"/>
    <w:rsid w:val="0032345B"/>
    <w:rsid w:val="003235FE"/>
    <w:rsid w:val="00323EEE"/>
    <w:rsid w:val="00324CCE"/>
    <w:rsid w:val="00324FF5"/>
    <w:rsid w:val="003256A0"/>
    <w:rsid w:val="00325957"/>
    <w:rsid w:val="003265DE"/>
    <w:rsid w:val="00326A08"/>
    <w:rsid w:val="003275D6"/>
    <w:rsid w:val="0032767E"/>
    <w:rsid w:val="003277C6"/>
    <w:rsid w:val="00327845"/>
    <w:rsid w:val="00327B0E"/>
    <w:rsid w:val="003302CF"/>
    <w:rsid w:val="00330559"/>
    <w:rsid w:val="00330B86"/>
    <w:rsid w:val="00330DB5"/>
    <w:rsid w:val="00331173"/>
    <w:rsid w:val="00331306"/>
    <w:rsid w:val="00331659"/>
    <w:rsid w:val="003319C5"/>
    <w:rsid w:val="00331A58"/>
    <w:rsid w:val="003320F9"/>
    <w:rsid w:val="003327BD"/>
    <w:rsid w:val="003338EB"/>
    <w:rsid w:val="00334446"/>
    <w:rsid w:val="0033444C"/>
    <w:rsid w:val="00334725"/>
    <w:rsid w:val="00334A38"/>
    <w:rsid w:val="00334AF1"/>
    <w:rsid w:val="00334BA6"/>
    <w:rsid w:val="003353D5"/>
    <w:rsid w:val="00335598"/>
    <w:rsid w:val="00335A53"/>
    <w:rsid w:val="003379A4"/>
    <w:rsid w:val="00337BB0"/>
    <w:rsid w:val="00337CB6"/>
    <w:rsid w:val="003403AE"/>
    <w:rsid w:val="003409BD"/>
    <w:rsid w:val="0034111B"/>
    <w:rsid w:val="003417E9"/>
    <w:rsid w:val="003421C3"/>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37FD"/>
    <w:rsid w:val="00354779"/>
    <w:rsid w:val="0035546F"/>
    <w:rsid w:val="003554BD"/>
    <w:rsid w:val="003554CE"/>
    <w:rsid w:val="00356586"/>
    <w:rsid w:val="00356792"/>
    <w:rsid w:val="003571E2"/>
    <w:rsid w:val="0036080D"/>
    <w:rsid w:val="00360A82"/>
    <w:rsid w:val="00361062"/>
    <w:rsid w:val="003610F5"/>
    <w:rsid w:val="003616F4"/>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334A"/>
    <w:rsid w:val="003734B3"/>
    <w:rsid w:val="0037443B"/>
    <w:rsid w:val="00374D3E"/>
    <w:rsid w:val="00375820"/>
    <w:rsid w:val="00375B14"/>
    <w:rsid w:val="00375D85"/>
    <w:rsid w:val="003760FD"/>
    <w:rsid w:val="003769D5"/>
    <w:rsid w:val="00377475"/>
    <w:rsid w:val="00377A8C"/>
    <w:rsid w:val="0038054C"/>
    <w:rsid w:val="0038061C"/>
    <w:rsid w:val="0038104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CBB"/>
    <w:rsid w:val="00391D90"/>
    <w:rsid w:val="00391DDE"/>
    <w:rsid w:val="0039208E"/>
    <w:rsid w:val="003923A6"/>
    <w:rsid w:val="0039257A"/>
    <w:rsid w:val="00392D26"/>
    <w:rsid w:val="00393231"/>
    <w:rsid w:val="0039372B"/>
    <w:rsid w:val="0039383D"/>
    <w:rsid w:val="00393F66"/>
    <w:rsid w:val="00394FE8"/>
    <w:rsid w:val="00395069"/>
    <w:rsid w:val="003955AD"/>
    <w:rsid w:val="00395A0A"/>
    <w:rsid w:val="00396523"/>
    <w:rsid w:val="00396C46"/>
    <w:rsid w:val="00397BF1"/>
    <w:rsid w:val="003A0A67"/>
    <w:rsid w:val="003A1273"/>
    <w:rsid w:val="003A1596"/>
    <w:rsid w:val="003A1FEA"/>
    <w:rsid w:val="003A344A"/>
    <w:rsid w:val="003A3622"/>
    <w:rsid w:val="003A36D4"/>
    <w:rsid w:val="003A3711"/>
    <w:rsid w:val="003A4139"/>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644"/>
    <w:rsid w:val="003B4B26"/>
    <w:rsid w:val="003B4CE2"/>
    <w:rsid w:val="003B4E29"/>
    <w:rsid w:val="003B5306"/>
    <w:rsid w:val="003B5757"/>
    <w:rsid w:val="003B5E05"/>
    <w:rsid w:val="003B6179"/>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7965"/>
    <w:rsid w:val="003C7D06"/>
    <w:rsid w:val="003C7EF7"/>
    <w:rsid w:val="003D0266"/>
    <w:rsid w:val="003D0E1F"/>
    <w:rsid w:val="003D1182"/>
    <w:rsid w:val="003D1AE0"/>
    <w:rsid w:val="003D22DA"/>
    <w:rsid w:val="003D23A8"/>
    <w:rsid w:val="003D278A"/>
    <w:rsid w:val="003D3779"/>
    <w:rsid w:val="003D425A"/>
    <w:rsid w:val="003D4866"/>
    <w:rsid w:val="003D507A"/>
    <w:rsid w:val="003D6280"/>
    <w:rsid w:val="003D644B"/>
    <w:rsid w:val="003D66CB"/>
    <w:rsid w:val="003D687A"/>
    <w:rsid w:val="003D691C"/>
    <w:rsid w:val="003D6DD3"/>
    <w:rsid w:val="003D6E45"/>
    <w:rsid w:val="003D7A2D"/>
    <w:rsid w:val="003D7C91"/>
    <w:rsid w:val="003E0282"/>
    <w:rsid w:val="003E043F"/>
    <w:rsid w:val="003E07F1"/>
    <w:rsid w:val="003E0E8C"/>
    <w:rsid w:val="003E113F"/>
    <w:rsid w:val="003E1418"/>
    <w:rsid w:val="003E4979"/>
    <w:rsid w:val="003E4B79"/>
    <w:rsid w:val="003E4B85"/>
    <w:rsid w:val="003E581F"/>
    <w:rsid w:val="003E5F16"/>
    <w:rsid w:val="003E634D"/>
    <w:rsid w:val="003E64BB"/>
    <w:rsid w:val="003E6AC1"/>
    <w:rsid w:val="003E7EEA"/>
    <w:rsid w:val="003F01E7"/>
    <w:rsid w:val="003F18CF"/>
    <w:rsid w:val="003F2BFE"/>
    <w:rsid w:val="003F38B8"/>
    <w:rsid w:val="003F3A44"/>
    <w:rsid w:val="003F3FB1"/>
    <w:rsid w:val="003F5875"/>
    <w:rsid w:val="003F5F0A"/>
    <w:rsid w:val="003F6DF4"/>
    <w:rsid w:val="003F7022"/>
    <w:rsid w:val="003F7263"/>
    <w:rsid w:val="003F773D"/>
    <w:rsid w:val="003F7D77"/>
    <w:rsid w:val="00400069"/>
    <w:rsid w:val="0040053A"/>
    <w:rsid w:val="00400A5E"/>
    <w:rsid w:val="004015B0"/>
    <w:rsid w:val="004016AD"/>
    <w:rsid w:val="00401A15"/>
    <w:rsid w:val="00401C5B"/>
    <w:rsid w:val="00401DB1"/>
    <w:rsid w:val="00401F04"/>
    <w:rsid w:val="004020FB"/>
    <w:rsid w:val="0040230D"/>
    <w:rsid w:val="004028D0"/>
    <w:rsid w:val="00402940"/>
    <w:rsid w:val="00402F5B"/>
    <w:rsid w:val="00403226"/>
    <w:rsid w:val="00403827"/>
    <w:rsid w:val="004040E3"/>
    <w:rsid w:val="00404490"/>
    <w:rsid w:val="00404D4D"/>
    <w:rsid w:val="00407CDA"/>
    <w:rsid w:val="004100FD"/>
    <w:rsid w:val="0041029D"/>
    <w:rsid w:val="00410347"/>
    <w:rsid w:val="004104BF"/>
    <w:rsid w:val="0041068A"/>
    <w:rsid w:val="00410DEC"/>
    <w:rsid w:val="0041138F"/>
    <w:rsid w:val="004118D5"/>
    <w:rsid w:val="004121AE"/>
    <w:rsid w:val="00412EF3"/>
    <w:rsid w:val="004133CD"/>
    <w:rsid w:val="00413549"/>
    <w:rsid w:val="00413791"/>
    <w:rsid w:val="00414538"/>
    <w:rsid w:val="0041479C"/>
    <w:rsid w:val="00416787"/>
    <w:rsid w:val="0041680F"/>
    <w:rsid w:val="004203CA"/>
    <w:rsid w:val="004208D7"/>
    <w:rsid w:val="00420CA2"/>
    <w:rsid w:val="00421878"/>
    <w:rsid w:val="00421AE1"/>
    <w:rsid w:val="00422433"/>
    <w:rsid w:val="004228EE"/>
    <w:rsid w:val="00422BB1"/>
    <w:rsid w:val="00422D87"/>
    <w:rsid w:val="00422F7A"/>
    <w:rsid w:val="0042325A"/>
    <w:rsid w:val="0042336F"/>
    <w:rsid w:val="004234EF"/>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571"/>
    <w:rsid w:val="00455AFA"/>
    <w:rsid w:val="00456308"/>
    <w:rsid w:val="004566BE"/>
    <w:rsid w:val="0045682E"/>
    <w:rsid w:val="004568B4"/>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4027"/>
    <w:rsid w:val="004641CB"/>
    <w:rsid w:val="0046443B"/>
    <w:rsid w:val="00464B04"/>
    <w:rsid w:val="00464BC7"/>
    <w:rsid w:val="004651B8"/>
    <w:rsid w:val="00465580"/>
    <w:rsid w:val="00465972"/>
    <w:rsid w:val="00465E7E"/>
    <w:rsid w:val="00466BB5"/>
    <w:rsid w:val="00466C0A"/>
    <w:rsid w:val="004672E8"/>
    <w:rsid w:val="004677E9"/>
    <w:rsid w:val="00467CE1"/>
    <w:rsid w:val="00467EDB"/>
    <w:rsid w:val="00470535"/>
    <w:rsid w:val="00471183"/>
    <w:rsid w:val="0047123C"/>
    <w:rsid w:val="004714F6"/>
    <w:rsid w:val="00472055"/>
    <w:rsid w:val="0047289C"/>
    <w:rsid w:val="00472E22"/>
    <w:rsid w:val="00472F67"/>
    <w:rsid w:val="004739A1"/>
    <w:rsid w:val="00473BED"/>
    <w:rsid w:val="004741C5"/>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535"/>
    <w:rsid w:val="00493435"/>
    <w:rsid w:val="0049376B"/>
    <w:rsid w:val="00494746"/>
    <w:rsid w:val="00494B28"/>
    <w:rsid w:val="00494E6E"/>
    <w:rsid w:val="00495FFF"/>
    <w:rsid w:val="00496A9F"/>
    <w:rsid w:val="00497358"/>
    <w:rsid w:val="00497FA5"/>
    <w:rsid w:val="004A03B3"/>
    <w:rsid w:val="004A04D5"/>
    <w:rsid w:val="004A178D"/>
    <w:rsid w:val="004A1B07"/>
    <w:rsid w:val="004A1E64"/>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E2A"/>
    <w:rsid w:val="004B206E"/>
    <w:rsid w:val="004B229E"/>
    <w:rsid w:val="004B29C2"/>
    <w:rsid w:val="004B29E1"/>
    <w:rsid w:val="004B2C52"/>
    <w:rsid w:val="004B2F46"/>
    <w:rsid w:val="004B395D"/>
    <w:rsid w:val="004B4194"/>
    <w:rsid w:val="004B44A9"/>
    <w:rsid w:val="004B457E"/>
    <w:rsid w:val="004B520F"/>
    <w:rsid w:val="004B55F0"/>
    <w:rsid w:val="004B56C3"/>
    <w:rsid w:val="004B67CF"/>
    <w:rsid w:val="004B6928"/>
    <w:rsid w:val="004B79FA"/>
    <w:rsid w:val="004B7D94"/>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FD6"/>
    <w:rsid w:val="004D405F"/>
    <w:rsid w:val="004D41EE"/>
    <w:rsid w:val="004D55CA"/>
    <w:rsid w:val="004D5A27"/>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575B"/>
    <w:rsid w:val="004E58EA"/>
    <w:rsid w:val="004E5F65"/>
    <w:rsid w:val="004E6C2A"/>
    <w:rsid w:val="004E6C7A"/>
    <w:rsid w:val="004E7615"/>
    <w:rsid w:val="004E7CDF"/>
    <w:rsid w:val="004F078C"/>
    <w:rsid w:val="004F11D9"/>
    <w:rsid w:val="004F1324"/>
    <w:rsid w:val="004F1C7D"/>
    <w:rsid w:val="004F1D24"/>
    <w:rsid w:val="004F21D2"/>
    <w:rsid w:val="004F2641"/>
    <w:rsid w:val="004F27F3"/>
    <w:rsid w:val="004F29B9"/>
    <w:rsid w:val="004F2B8E"/>
    <w:rsid w:val="004F2C85"/>
    <w:rsid w:val="004F3078"/>
    <w:rsid w:val="004F32BF"/>
    <w:rsid w:val="004F3E6A"/>
    <w:rsid w:val="004F4607"/>
    <w:rsid w:val="004F4680"/>
    <w:rsid w:val="004F469D"/>
    <w:rsid w:val="004F5346"/>
    <w:rsid w:val="004F5C09"/>
    <w:rsid w:val="004F5E4E"/>
    <w:rsid w:val="004F63CC"/>
    <w:rsid w:val="004F6678"/>
    <w:rsid w:val="004F6B28"/>
    <w:rsid w:val="004F6C65"/>
    <w:rsid w:val="004F6D2E"/>
    <w:rsid w:val="004F7332"/>
    <w:rsid w:val="004F7F0F"/>
    <w:rsid w:val="004F7FBC"/>
    <w:rsid w:val="005001AE"/>
    <w:rsid w:val="005007E7"/>
    <w:rsid w:val="00500ABC"/>
    <w:rsid w:val="005012FC"/>
    <w:rsid w:val="00501EBE"/>
    <w:rsid w:val="00503551"/>
    <w:rsid w:val="00503F38"/>
    <w:rsid w:val="005043FC"/>
    <w:rsid w:val="00504A55"/>
    <w:rsid w:val="00505F08"/>
    <w:rsid w:val="00505FC8"/>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35A"/>
    <w:rsid w:val="0051646E"/>
    <w:rsid w:val="005166C3"/>
    <w:rsid w:val="00516AA1"/>
    <w:rsid w:val="00516EA5"/>
    <w:rsid w:val="005179DA"/>
    <w:rsid w:val="00517E2A"/>
    <w:rsid w:val="00520C1C"/>
    <w:rsid w:val="00521439"/>
    <w:rsid w:val="00522133"/>
    <w:rsid w:val="0052292E"/>
    <w:rsid w:val="005232E0"/>
    <w:rsid w:val="0052373B"/>
    <w:rsid w:val="00523E00"/>
    <w:rsid w:val="0052439F"/>
    <w:rsid w:val="005243EB"/>
    <w:rsid w:val="00525789"/>
    <w:rsid w:val="00525890"/>
    <w:rsid w:val="0052636B"/>
    <w:rsid w:val="00526452"/>
    <w:rsid w:val="00526816"/>
    <w:rsid w:val="00526B44"/>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250"/>
    <w:rsid w:val="00533EE8"/>
    <w:rsid w:val="0053417D"/>
    <w:rsid w:val="0053490C"/>
    <w:rsid w:val="00535585"/>
    <w:rsid w:val="00535891"/>
    <w:rsid w:val="0053643E"/>
    <w:rsid w:val="00536A58"/>
    <w:rsid w:val="00536AB4"/>
    <w:rsid w:val="00537127"/>
    <w:rsid w:val="0053764B"/>
    <w:rsid w:val="0054069F"/>
    <w:rsid w:val="00541307"/>
    <w:rsid w:val="005413CB"/>
    <w:rsid w:val="00541B60"/>
    <w:rsid w:val="00541DB8"/>
    <w:rsid w:val="00541F9A"/>
    <w:rsid w:val="00542599"/>
    <w:rsid w:val="00542EB4"/>
    <w:rsid w:val="00542FD7"/>
    <w:rsid w:val="005448B9"/>
    <w:rsid w:val="00545136"/>
    <w:rsid w:val="005452C1"/>
    <w:rsid w:val="00545B42"/>
    <w:rsid w:val="0054612B"/>
    <w:rsid w:val="00547753"/>
    <w:rsid w:val="005479F5"/>
    <w:rsid w:val="00547D90"/>
    <w:rsid w:val="005508EF"/>
    <w:rsid w:val="005510E3"/>
    <w:rsid w:val="0055173F"/>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6C"/>
    <w:rsid w:val="00575051"/>
    <w:rsid w:val="005758E3"/>
    <w:rsid w:val="005763D9"/>
    <w:rsid w:val="00576D35"/>
    <w:rsid w:val="005777C8"/>
    <w:rsid w:val="00577AD5"/>
    <w:rsid w:val="00577F23"/>
    <w:rsid w:val="00580A72"/>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5C21"/>
    <w:rsid w:val="005874CD"/>
    <w:rsid w:val="00587597"/>
    <w:rsid w:val="00587BAE"/>
    <w:rsid w:val="00590D18"/>
    <w:rsid w:val="00590EDD"/>
    <w:rsid w:val="00591988"/>
    <w:rsid w:val="005921C8"/>
    <w:rsid w:val="005922A3"/>
    <w:rsid w:val="0059239E"/>
    <w:rsid w:val="005924DB"/>
    <w:rsid w:val="005929E8"/>
    <w:rsid w:val="00592A2E"/>
    <w:rsid w:val="00593155"/>
    <w:rsid w:val="0059353B"/>
    <w:rsid w:val="005938DB"/>
    <w:rsid w:val="00593DEC"/>
    <w:rsid w:val="005949FB"/>
    <w:rsid w:val="00594C1A"/>
    <w:rsid w:val="00595106"/>
    <w:rsid w:val="00595422"/>
    <w:rsid w:val="00595692"/>
    <w:rsid w:val="00595B7B"/>
    <w:rsid w:val="00595B9B"/>
    <w:rsid w:val="00596020"/>
    <w:rsid w:val="0059632F"/>
    <w:rsid w:val="00597799"/>
    <w:rsid w:val="005977F9"/>
    <w:rsid w:val="00597BA8"/>
    <w:rsid w:val="005A01E7"/>
    <w:rsid w:val="005A02C8"/>
    <w:rsid w:val="005A09E5"/>
    <w:rsid w:val="005A13DF"/>
    <w:rsid w:val="005A1473"/>
    <w:rsid w:val="005A19FF"/>
    <w:rsid w:val="005A2074"/>
    <w:rsid w:val="005A24AE"/>
    <w:rsid w:val="005A3394"/>
    <w:rsid w:val="005A403A"/>
    <w:rsid w:val="005A43BE"/>
    <w:rsid w:val="005A4624"/>
    <w:rsid w:val="005A5011"/>
    <w:rsid w:val="005A508D"/>
    <w:rsid w:val="005A512E"/>
    <w:rsid w:val="005A60BA"/>
    <w:rsid w:val="005A761B"/>
    <w:rsid w:val="005B096F"/>
    <w:rsid w:val="005B0987"/>
    <w:rsid w:val="005B0FB5"/>
    <w:rsid w:val="005B1191"/>
    <w:rsid w:val="005B1205"/>
    <w:rsid w:val="005B162C"/>
    <w:rsid w:val="005B1D3B"/>
    <w:rsid w:val="005B2088"/>
    <w:rsid w:val="005B2466"/>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428A"/>
    <w:rsid w:val="005C4330"/>
    <w:rsid w:val="005C4787"/>
    <w:rsid w:val="005C4D12"/>
    <w:rsid w:val="005C5113"/>
    <w:rsid w:val="005C54B8"/>
    <w:rsid w:val="005C557C"/>
    <w:rsid w:val="005C56B7"/>
    <w:rsid w:val="005C5CDF"/>
    <w:rsid w:val="005C61B0"/>
    <w:rsid w:val="005C677E"/>
    <w:rsid w:val="005C6CD0"/>
    <w:rsid w:val="005C7072"/>
    <w:rsid w:val="005C785E"/>
    <w:rsid w:val="005C78D5"/>
    <w:rsid w:val="005D00B6"/>
    <w:rsid w:val="005D0F15"/>
    <w:rsid w:val="005D101F"/>
    <w:rsid w:val="005D1247"/>
    <w:rsid w:val="005D1836"/>
    <w:rsid w:val="005D1D60"/>
    <w:rsid w:val="005D205D"/>
    <w:rsid w:val="005D2F54"/>
    <w:rsid w:val="005D33D2"/>
    <w:rsid w:val="005D353D"/>
    <w:rsid w:val="005D3FD5"/>
    <w:rsid w:val="005D4945"/>
    <w:rsid w:val="005D4EB4"/>
    <w:rsid w:val="005D593D"/>
    <w:rsid w:val="005D63A5"/>
    <w:rsid w:val="005D69A4"/>
    <w:rsid w:val="005D79B5"/>
    <w:rsid w:val="005D7BDA"/>
    <w:rsid w:val="005E0056"/>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7E0"/>
    <w:rsid w:val="005F27E5"/>
    <w:rsid w:val="005F29C0"/>
    <w:rsid w:val="005F2A66"/>
    <w:rsid w:val="005F2B32"/>
    <w:rsid w:val="005F2D28"/>
    <w:rsid w:val="005F3176"/>
    <w:rsid w:val="005F3549"/>
    <w:rsid w:val="005F3D8C"/>
    <w:rsid w:val="005F456C"/>
    <w:rsid w:val="005F4BF2"/>
    <w:rsid w:val="005F54B4"/>
    <w:rsid w:val="005F5576"/>
    <w:rsid w:val="005F5A4E"/>
    <w:rsid w:val="005F5A6F"/>
    <w:rsid w:val="005F5C6D"/>
    <w:rsid w:val="005F5E8E"/>
    <w:rsid w:val="005F5EF7"/>
    <w:rsid w:val="005F60E6"/>
    <w:rsid w:val="005F61DD"/>
    <w:rsid w:val="005F6662"/>
    <w:rsid w:val="005F764A"/>
    <w:rsid w:val="0060008E"/>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AA"/>
    <w:rsid w:val="00607720"/>
    <w:rsid w:val="00607C10"/>
    <w:rsid w:val="00611BA6"/>
    <w:rsid w:val="00612D19"/>
    <w:rsid w:val="0061330F"/>
    <w:rsid w:val="00613641"/>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649"/>
    <w:rsid w:val="006249A7"/>
    <w:rsid w:val="006249D1"/>
    <w:rsid w:val="00624D4F"/>
    <w:rsid w:val="00625713"/>
    <w:rsid w:val="0062583B"/>
    <w:rsid w:val="00625B22"/>
    <w:rsid w:val="00625C53"/>
    <w:rsid w:val="00626415"/>
    <w:rsid w:val="00626F92"/>
    <w:rsid w:val="0062768B"/>
    <w:rsid w:val="00627A49"/>
    <w:rsid w:val="00627D60"/>
    <w:rsid w:val="00627E30"/>
    <w:rsid w:val="006303FC"/>
    <w:rsid w:val="006309D1"/>
    <w:rsid w:val="00630DDC"/>
    <w:rsid w:val="00631716"/>
    <w:rsid w:val="0063179F"/>
    <w:rsid w:val="006317A4"/>
    <w:rsid w:val="00632259"/>
    <w:rsid w:val="00632765"/>
    <w:rsid w:val="00632DD8"/>
    <w:rsid w:val="006338DA"/>
    <w:rsid w:val="0063390C"/>
    <w:rsid w:val="00633A5E"/>
    <w:rsid w:val="00633F74"/>
    <w:rsid w:val="00635AEB"/>
    <w:rsid w:val="00636EF8"/>
    <w:rsid w:val="00636FEF"/>
    <w:rsid w:val="0063715F"/>
    <w:rsid w:val="006377DB"/>
    <w:rsid w:val="006405A2"/>
    <w:rsid w:val="00640699"/>
    <w:rsid w:val="0064096C"/>
    <w:rsid w:val="00641059"/>
    <w:rsid w:val="006417E0"/>
    <w:rsid w:val="006418D2"/>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52C"/>
    <w:rsid w:val="006539B7"/>
    <w:rsid w:val="00653AC4"/>
    <w:rsid w:val="00653C52"/>
    <w:rsid w:val="006540C1"/>
    <w:rsid w:val="00654642"/>
    <w:rsid w:val="00654AF4"/>
    <w:rsid w:val="00654B0E"/>
    <w:rsid w:val="00654CB8"/>
    <w:rsid w:val="00655443"/>
    <w:rsid w:val="0065561D"/>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A70"/>
    <w:rsid w:val="00662AF9"/>
    <w:rsid w:val="00662C14"/>
    <w:rsid w:val="00662C97"/>
    <w:rsid w:val="00662CBB"/>
    <w:rsid w:val="00662F3E"/>
    <w:rsid w:val="0066308D"/>
    <w:rsid w:val="0066339C"/>
    <w:rsid w:val="0066398B"/>
    <w:rsid w:val="00663F53"/>
    <w:rsid w:val="0066486A"/>
    <w:rsid w:val="00664C16"/>
    <w:rsid w:val="0066527F"/>
    <w:rsid w:val="006655D8"/>
    <w:rsid w:val="00666754"/>
    <w:rsid w:val="00666AEA"/>
    <w:rsid w:val="00667FB2"/>
    <w:rsid w:val="00670D2E"/>
    <w:rsid w:val="0067269F"/>
    <w:rsid w:val="006726CB"/>
    <w:rsid w:val="0067272F"/>
    <w:rsid w:val="00673521"/>
    <w:rsid w:val="00673BA4"/>
    <w:rsid w:val="00674C5D"/>
    <w:rsid w:val="00674ED8"/>
    <w:rsid w:val="00675793"/>
    <w:rsid w:val="00675C5E"/>
    <w:rsid w:val="00676F0B"/>
    <w:rsid w:val="006773D1"/>
    <w:rsid w:val="00677747"/>
    <w:rsid w:val="006801BB"/>
    <w:rsid w:val="006802E3"/>
    <w:rsid w:val="00680CC6"/>
    <w:rsid w:val="0068241B"/>
    <w:rsid w:val="00683889"/>
    <w:rsid w:val="00683D4E"/>
    <w:rsid w:val="006842A2"/>
    <w:rsid w:val="006848BB"/>
    <w:rsid w:val="00685075"/>
    <w:rsid w:val="00685339"/>
    <w:rsid w:val="00685597"/>
    <w:rsid w:val="00686338"/>
    <w:rsid w:val="0068731C"/>
    <w:rsid w:val="006904AD"/>
    <w:rsid w:val="006905F1"/>
    <w:rsid w:val="006908C7"/>
    <w:rsid w:val="00690A4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77A"/>
    <w:rsid w:val="006A7AE9"/>
    <w:rsid w:val="006A7C9D"/>
    <w:rsid w:val="006B0264"/>
    <w:rsid w:val="006B1E59"/>
    <w:rsid w:val="006B2995"/>
    <w:rsid w:val="006B2F13"/>
    <w:rsid w:val="006B2FDE"/>
    <w:rsid w:val="006B3EFD"/>
    <w:rsid w:val="006B40C8"/>
    <w:rsid w:val="006B472A"/>
    <w:rsid w:val="006B549F"/>
    <w:rsid w:val="006B65CB"/>
    <w:rsid w:val="006B765D"/>
    <w:rsid w:val="006B7B7D"/>
    <w:rsid w:val="006C046B"/>
    <w:rsid w:val="006C0867"/>
    <w:rsid w:val="006C12F3"/>
    <w:rsid w:val="006C215A"/>
    <w:rsid w:val="006C2241"/>
    <w:rsid w:val="006C24C7"/>
    <w:rsid w:val="006C273C"/>
    <w:rsid w:val="006C2A99"/>
    <w:rsid w:val="006C33B8"/>
    <w:rsid w:val="006C33EA"/>
    <w:rsid w:val="006C374A"/>
    <w:rsid w:val="006C3A0F"/>
    <w:rsid w:val="006C479E"/>
    <w:rsid w:val="006C57FE"/>
    <w:rsid w:val="006C5AB5"/>
    <w:rsid w:val="006C6E36"/>
    <w:rsid w:val="006C705E"/>
    <w:rsid w:val="006C7216"/>
    <w:rsid w:val="006C7266"/>
    <w:rsid w:val="006D045E"/>
    <w:rsid w:val="006D0B6D"/>
    <w:rsid w:val="006D0F0E"/>
    <w:rsid w:val="006D1549"/>
    <w:rsid w:val="006D1A5F"/>
    <w:rsid w:val="006D2C09"/>
    <w:rsid w:val="006D3006"/>
    <w:rsid w:val="006D381C"/>
    <w:rsid w:val="006D39EA"/>
    <w:rsid w:val="006D3CE0"/>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301F"/>
    <w:rsid w:val="006F427F"/>
    <w:rsid w:val="006F5847"/>
    <w:rsid w:val="006F5B1A"/>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0A"/>
    <w:rsid w:val="007139BF"/>
    <w:rsid w:val="00713C11"/>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15A1"/>
    <w:rsid w:val="00722BE6"/>
    <w:rsid w:val="00722CD9"/>
    <w:rsid w:val="00722EF9"/>
    <w:rsid w:val="007232F1"/>
    <w:rsid w:val="00723F60"/>
    <w:rsid w:val="0072454A"/>
    <w:rsid w:val="007245B1"/>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2732"/>
    <w:rsid w:val="00732B0A"/>
    <w:rsid w:val="0073397C"/>
    <w:rsid w:val="00734051"/>
    <w:rsid w:val="00734519"/>
    <w:rsid w:val="0073458B"/>
    <w:rsid w:val="00734B84"/>
    <w:rsid w:val="00735EBF"/>
    <w:rsid w:val="007365ED"/>
    <w:rsid w:val="00736927"/>
    <w:rsid w:val="00737A4B"/>
    <w:rsid w:val="00740008"/>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F1E"/>
    <w:rsid w:val="00745F8E"/>
    <w:rsid w:val="00746564"/>
    <w:rsid w:val="00746721"/>
    <w:rsid w:val="00747741"/>
    <w:rsid w:val="00747B8B"/>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B41"/>
    <w:rsid w:val="007576EC"/>
    <w:rsid w:val="00757957"/>
    <w:rsid w:val="00760978"/>
    <w:rsid w:val="00760C8E"/>
    <w:rsid w:val="00760D42"/>
    <w:rsid w:val="007623B0"/>
    <w:rsid w:val="00762A7D"/>
    <w:rsid w:val="00763B9E"/>
    <w:rsid w:val="00764588"/>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A36"/>
    <w:rsid w:val="00783F98"/>
    <w:rsid w:val="0078437B"/>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787"/>
    <w:rsid w:val="007975BD"/>
    <w:rsid w:val="00797B7E"/>
    <w:rsid w:val="007A05A2"/>
    <w:rsid w:val="007A10D6"/>
    <w:rsid w:val="007A12EE"/>
    <w:rsid w:val="007A138C"/>
    <w:rsid w:val="007A1834"/>
    <w:rsid w:val="007A1856"/>
    <w:rsid w:val="007A1E52"/>
    <w:rsid w:val="007A22B1"/>
    <w:rsid w:val="007A2A4D"/>
    <w:rsid w:val="007A31B2"/>
    <w:rsid w:val="007A3629"/>
    <w:rsid w:val="007A385C"/>
    <w:rsid w:val="007A38F5"/>
    <w:rsid w:val="007A3D24"/>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421B"/>
    <w:rsid w:val="007D4490"/>
    <w:rsid w:val="007D4579"/>
    <w:rsid w:val="007D51EB"/>
    <w:rsid w:val="007D58BB"/>
    <w:rsid w:val="007D63DD"/>
    <w:rsid w:val="007D6835"/>
    <w:rsid w:val="007D6A93"/>
    <w:rsid w:val="007D7CDE"/>
    <w:rsid w:val="007D7DC7"/>
    <w:rsid w:val="007E01AF"/>
    <w:rsid w:val="007E0772"/>
    <w:rsid w:val="007E0D31"/>
    <w:rsid w:val="007E0E04"/>
    <w:rsid w:val="007E0EF9"/>
    <w:rsid w:val="007E21D9"/>
    <w:rsid w:val="007E2BDD"/>
    <w:rsid w:val="007E45CA"/>
    <w:rsid w:val="007E48C0"/>
    <w:rsid w:val="007E5885"/>
    <w:rsid w:val="007E61B7"/>
    <w:rsid w:val="007E64FF"/>
    <w:rsid w:val="007E6F62"/>
    <w:rsid w:val="007E6FEA"/>
    <w:rsid w:val="007E7C7B"/>
    <w:rsid w:val="007E7E0F"/>
    <w:rsid w:val="007E7F8F"/>
    <w:rsid w:val="007F015E"/>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1336"/>
    <w:rsid w:val="0081165D"/>
    <w:rsid w:val="00811B28"/>
    <w:rsid w:val="00812862"/>
    <w:rsid w:val="00812A7A"/>
    <w:rsid w:val="0081362B"/>
    <w:rsid w:val="0081450B"/>
    <w:rsid w:val="0081467F"/>
    <w:rsid w:val="00814785"/>
    <w:rsid w:val="00815339"/>
    <w:rsid w:val="008154F1"/>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6A2"/>
    <w:rsid w:val="008267AE"/>
    <w:rsid w:val="00830B33"/>
    <w:rsid w:val="0083118A"/>
    <w:rsid w:val="00831784"/>
    <w:rsid w:val="00832727"/>
    <w:rsid w:val="008337C1"/>
    <w:rsid w:val="00834F23"/>
    <w:rsid w:val="008353B6"/>
    <w:rsid w:val="00835AD3"/>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5515"/>
    <w:rsid w:val="00845520"/>
    <w:rsid w:val="00845CAB"/>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8BB"/>
    <w:rsid w:val="00856E96"/>
    <w:rsid w:val="0085726D"/>
    <w:rsid w:val="00857822"/>
    <w:rsid w:val="00857C93"/>
    <w:rsid w:val="00860D51"/>
    <w:rsid w:val="008611C1"/>
    <w:rsid w:val="0086151A"/>
    <w:rsid w:val="0086173C"/>
    <w:rsid w:val="00861DA4"/>
    <w:rsid w:val="00862330"/>
    <w:rsid w:val="0086264B"/>
    <w:rsid w:val="008626E9"/>
    <w:rsid w:val="008626EB"/>
    <w:rsid w:val="00862EFD"/>
    <w:rsid w:val="008638FB"/>
    <w:rsid w:val="00863AFD"/>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C4"/>
    <w:rsid w:val="00885696"/>
    <w:rsid w:val="0088570A"/>
    <w:rsid w:val="00885E9D"/>
    <w:rsid w:val="0088632A"/>
    <w:rsid w:val="0088636E"/>
    <w:rsid w:val="008864A7"/>
    <w:rsid w:val="0088666A"/>
    <w:rsid w:val="0088688A"/>
    <w:rsid w:val="00886A9E"/>
    <w:rsid w:val="00886DC9"/>
    <w:rsid w:val="00886EC7"/>
    <w:rsid w:val="00887184"/>
    <w:rsid w:val="0088761D"/>
    <w:rsid w:val="008879EA"/>
    <w:rsid w:val="00890139"/>
    <w:rsid w:val="008906E5"/>
    <w:rsid w:val="0089160E"/>
    <w:rsid w:val="008921B1"/>
    <w:rsid w:val="00892687"/>
    <w:rsid w:val="00893386"/>
    <w:rsid w:val="0089363C"/>
    <w:rsid w:val="00893657"/>
    <w:rsid w:val="00893671"/>
    <w:rsid w:val="008941FB"/>
    <w:rsid w:val="00894565"/>
    <w:rsid w:val="008950D6"/>
    <w:rsid w:val="00895B46"/>
    <w:rsid w:val="0089625E"/>
    <w:rsid w:val="00896474"/>
    <w:rsid w:val="008969B9"/>
    <w:rsid w:val="00896DBC"/>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35DB"/>
    <w:rsid w:val="008A3AF9"/>
    <w:rsid w:val="008A3FBE"/>
    <w:rsid w:val="008A4013"/>
    <w:rsid w:val="008A4C9C"/>
    <w:rsid w:val="008A6041"/>
    <w:rsid w:val="008A60F8"/>
    <w:rsid w:val="008A69FE"/>
    <w:rsid w:val="008A6EC7"/>
    <w:rsid w:val="008A6F36"/>
    <w:rsid w:val="008A7286"/>
    <w:rsid w:val="008A7B50"/>
    <w:rsid w:val="008B00EA"/>
    <w:rsid w:val="008B0641"/>
    <w:rsid w:val="008B0EB7"/>
    <w:rsid w:val="008B138E"/>
    <w:rsid w:val="008B1C78"/>
    <w:rsid w:val="008B1F87"/>
    <w:rsid w:val="008B28BD"/>
    <w:rsid w:val="008B2E96"/>
    <w:rsid w:val="008B2F53"/>
    <w:rsid w:val="008B3006"/>
    <w:rsid w:val="008B3139"/>
    <w:rsid w:val="008B3B50"/>
    <w:rsid w:val="008B3D47"/>
    <w:rsid w:val="008B4195"/>
    <w:rsid w:val="008B44CB"/>
    <w:rsid w:val="008B46D2"/>
    <w:rsid w:val="008B5253"/>
    <w:rsid w:val="008B53D8"/>
    <w:rsid w:val="008B63BE"/>
    <w:rsid w:val="008B640E"/>
    <w:rsid w:val="008B6505"/>
    <w:rsid w:val="008B688D"/>
    <w:rsid w:val="008B6AE7"/>
    <w:rsid w:val="008B70EE"/>
    <w:rsid w:val="008B715C"/>
    <w:rsid w:val="008B75B8"/>
    <w:rsid w:val="008B7D23"/>
    <w:rsid w:val="008C0EAD"/>
    <w:rsid w:val="008C1442"/>
    <w:rsid w:val="008C1693"/>
    <w:rsid w:val="008C19D9"/>
    <w:rsid w:val="008C1A5E"/>
    <w:rsid w:val="008C1A81"/>
    <w:rsid w:val="008C29FE"/>
    <w:rsid w:val="008C32CA"/>
    <w:rsid w:val="008C3967"/>
    <w:rsid w:val="008C431E"/>
    <w:rsid w:val="008C5011"/>
    <w:rsid w:val="008C54BD"/>
    <w:rsid w:val="008C54C4"/>
    <w:rsid w:val="008C6056"/>
    <w:rsid w:val="008C6628"/>
    <w:rsid w:val="008C69C9"/>
    <w:rsid w:val="008C6E38"/>
    <w:rsid w:val="008C6F75"/>
    <w:rsid w:val="008C7C18"/>
    <w:rsid w:val="008C7CAB"/>
    <w:rsid w:val="008C7CC4"/>
    <w:rsid w:val="008D047D"/>
    <w:rsid w:val="008D0B4C"/>
    <w:rsid w:val="008D14C4"/>
    <w:rsid w:val="008D1964"/>
    <w:rsid w:val="008D221A"/>
    <w:rsid w:val="008D24D6"/>
    <w:rsid w:val="008D24E1"/>
    <w:rsid w:val="008D3E6A"/>
    <w:rsid w:val="008D4736"/>
    <w:rsid w:val="008D53E2"/>
    <w:rsid w:val="008D5908"/>
    <w:rsid w:val="008D5AF1"/>
    <w:rsid w:val="008D6A6E"/>
    <w:rsid w:val="008D781F"/>
    <w:rsid w:val="008D7DBE"/>
    <w:rsid w:val="008E02B7"/>
    <w:rsid w:val="008E20BE"/>
    <w:rsid w:val="008E241B"/>
    <w:rsid w:val="008E3096"/>
    <w:rsid w:val="008E330C"/>
    <w:rsid w:val="008E332F"/>
    <w:rsid w:val="008E4114"/>
    <w:rsid w:val="008E45EA"/>
    <w:rsid w:val="008E4A1A"/>
    <w:rsid w:val="008E5E01"/>
    <w:rsid w:val="008E69A3"/>
    <w:rsid w:val="008E76D0"/>
    <w:rsid w:val="008E7CC9"/>
    <w:rsid w:val="008F02A1"/>
    <w:rsid w:val="008F0E69"/>
    <w:rsid w:val="008F12FF"/>
    <w:rsid w:val="008F184A"/>
    <w:rsid w:val="008F3D3E"/>
    <w:rsid w:val="008F3F31"/>
    <w:rsid w:val="008F455A"/>
    <w:rsid w:val="008F4655"/>
    <w:rsid w:val="008F4779"/>
    <w:rsid w:val="008F542B"/>
    <w:rsid w:val="008F5670"/>
    <w:rsid w:val="008F599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B57"/>
    <w:rsid w:val="0091148A"/>
    <w:rsid w:val="00912347"/>
    <w:rsid w:val="0091268D"/>
    <w:rsid w:val="009129C1"/>
    <w:rsid w:val="00912B47"/>
    <w:rsid w:val="00913B74"/>
    <w:rsid w:val="00913EBB"/>
    <w:rsid w:val="009141BB"/>
    <w:rsid w:val="00914B36"/>
    <w:rsid w:val="00914B55"/>
    <w:rsid w:val="00914C02"/>
    <w:rsid w:val="00914DC4"/>
    <w:rsid w:val="00915329"/>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D04"/>
    <w:rsid w:val="00932E9E"/>
    <w:rsid w:val="00933380"/>
    <w:rsid w:val="0093385E"/>
    <w:rsid w:val="00933B8A"/>
    <w:rsid w:val="00934141"/>
    <w:rsid w:val="009341AA"/>
    <w:rsid w:val="0093429A"/>
    <w:rsid w:val="009352D3"/>
    <w:rsid w:val="009355BB"/>
    <w:rsid w:val="00935789"/>
    <w:rsid w:val="009358F0"/>
    <w:rsid w:val="009359C5"/>
    <w:rsid w:val="00935CFA"/>
    <w:rsid w:val="009361E8"/>
    <w:rsid w:val="00936247"/>
    <w:rsid w:val="00936501"/>
    <w:rsid w:val="009366AD"/>
    <w:rsid w:val="009366F1"/>
    <w:rsid w:val="009377A1"/>
    <w:rsid w:val="00937D49"/>
    <w:rsid w:val="00940850"/>
    <w:rsid w:val="00940B1D"/>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99A"/>
    <w:rsid w:val="00956B34"/>
    <w:rsid w:val="0095702D"/>
    <w:rsid w:val="009571A6"/>
    <w:rsid w:val="0095752A"/>
    <w:rsid w:val="009577C1"/>
    <w:rsid w:val="009602BA"/>
    <w:rsid w:val="009615D7"/>
    <w:rsid w:val="00962AAD"/>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83"/>
    <w:rsid w:val="00972061"/>
    <w:rsid w:val="0097245C"/>
    <w:rsid w:val="009725FE"/>
    <w:rsid w:val="0097282B"/>
    <w:rsid w:val="00972DAC"/>
    <w:rsid w:val="00973A35"/>
    <w:rsid w:val="00973C67"/>
    <w:rsid w:val="00974A1E"/>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5501"/>
    <w:rsid w:val="009A5AE0"/>
    <w:rsid w:val="009A6621"/>
    <w:rsid w:val="009A6AEA"/>
    <w:rsid w:val="009A6CC5"/>
    <w:rsid w:val="009B1F3A"/>
    <w:rsid w:val="009B2204"/>
    <w:rsid w:val="009B2766"/>
    <w:rsid w:val="009B32F0"/>
    <w:rsid w:val="009B3EB4"/>
    <w:rsid w:val="009B3F21"/>
    <w:rsid w:val="009B42BE"/>
    <w:rsid w:val="009B5973"/>
    <w:rsid w:val="009B5B48"/>
    <w:rsid w:val="009B62E6"/>
    <w:rsid w:val="009B67C4"/>
    <w:rsid w:val="009B6A3F"/>
    <w:rsid w:val="009B6C5A"/>
    <w:rsid w:val="009B6D1E"/>
    <w:rsid w:val="009B71E1"/>
    <w:rsid w:val="009C0448"/>
    <w:rsid w:val="009C0615"/>
    <w:rsid w:val="009C0CF8"/>
    <w:rsid w:val="009C0EF6"/>
    <w:rsid w:val="009C125A"/>
    <w:rsid w:val="009C1EB2"/>
    <w:rsid w:val="009C2675"/>
    <w:rsid w:val="009C2839"/>
    <w:rsid w:val="009C2DC4"/>
    <w:rsid w:val="009C3042"/>
    <w:rsid w:val="009C34FC"/>
    <w:rsid w:val="009C386A"/>
    <w:rsid w:val="009C3E9C"/>
    <w:rsid w:val="009C4A32"/>
    <w:rsid w:val="009C566F"/>
    <w:rsid w:val="009C611D"/>
    <w:rsid w:val="009C63AB"/>
    <w:rsid w:val="009C69D0"/>
    <w:rsid w:val="009C69F4"/>
    <w:rsid w:val="009C7163"/>
    <w:rsid w:val="009C77A3"/>
    <w:rsid w:val="009D1082"/>
    <w:rsid w:val="009D158E"/>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66B9"/>
    <w:rsid w:val="009D6B77"/>
    <w:rsid w:val="009D6CE1"/>
    <w:rsid w:val="009D7212"/>
    <w:rsid w:val="009E14B2"/>
    <w:rsid w:val="009E1D15"/>
    <w:rsid w:val="009E1DFA"/>
    <w:rsid w:val="009E23ED"/>
    <w:rsid w:val="009E26BC"/>
    <w:rsid w:val="009E322C"/>
    <w:rsid w:val="009E3352"/>
    <w:rsid w:val="009E3479"/>
    <w:rsid w:val="009E3754"/>
    <w:rsid w:val="009E387D"/>
    <w:rsid w:val="009E3FD3"/>
    <w:rsid w:val="009E453D"/>
    <w:rsid w:val="009E5013"/>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522"/>
    <w:rsid w:val="009F59BF"/>
    <w:rsid w:val="009F5F68"/>
    <w:rsid w:val="009F776E"/>
    <w:rsid w:val="00A004D6"/>
    <w:rsid w:val="00A00D6B"/>
    <w:rsid w:val="00A00F42"/>
    <w:rsid w:val="00A01519"/>
    <w:rsid w:val="00A0195A"/>
    <w:rsid w:val="00A02D3C"/>
    <w:rsid w:val="00A032EA"/>
    <w:rsid w:val="00A035AC"/>
    <w:rsid w:val="00A0408F"/>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3A4E"/>
    <w:rsid w:val="00A15566"/>
    <w:rsid w:val="00A159A5"/>
    <w:rsid w:val="00A15B2D"/>
    <w:rsid w:val="00A163CD"/>
    <w:rsid w:val="00A16778"/>
    <w:rsid w:val="00A16B57"/>
    <w:rsid w:val="00A17A45"/>
    <w:rsid w:val="00A20224"/>
    <w:rsid w:val="00A20CAE"/>
    <w:rsid w:val="00A21424"/>
    <w:rsid w:val="00A21997"/>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C9C"/>
    <w:rsid w:val="00A33CCF"/>
    <w:rsid w:val="00A35D65"/>
    <w:rsid w:val="00A36799"/>
    <w:rsid w:val="00A36CCB"/>
    <w:rsid w:val="00A36CF6"/>
    <w:rsid w:val="00A36EC5"/>
    <w:rsid w:val="00A37EDA"/>
    <w:rsid w:val="00A4035D"/>
    <w:rsid w:val="00A413A3"/>
    <w:rsid w:val="00A43270"/>
    <w:rsid w:val="00A4539E"/>
    <w:rsid w:val="00A46080"/>
    <w:rsid w:val="00A461CB"/>
    <w:rsid w:val="00A46C6C"/>
    <w:rsid w:val="00A46EB1"/>
    <w:rsid w:val="00A47293"/>
    <w:rsid w:val="00A47A54"/>
    <w:rsid w:val="00A47C59"/>
    <w:rsid w:val="00A47F2E"/>
    <w:rsid w:val="00A50FEC"/>
    <w:rsid w:val="00A51FC3"/>
    <w:rsid w:val="00A532FC"/>
    <w:rsid w:val="00A53624"/>
    <w:rsid w:val="00A54F72"/>
    <w:rsid w:val="00A565B6"/>
    <w:rsid w:val="00A567E2"/>
    <w:rsid w:val="00A56806"/>
    <w:rsid w:val="00A572C2"/>
    <w:rsid w:val="00A5763A"/>
    <w:rsid w:val="00A57F15"/>
    <w:rsid w:val="00A60066"/>
    <w:rsid w:val="00A60179"/>
    <w:rsid w:val="00A61757"/>
    <w:rsid w:val="00A61782"/>
    <w:rsid w:val="00A61C32"/>
    <w:rsid w:val="00A61FDA"/>
    <w:rsid w:val="00A62498"/>
    <w:rsid w:val="00A62C90"/>
    <w:rsid w:val="00A63850"/>
    <w:rsid w:val="00A63B92"/>
    <w:rsid w:val="00A64787"/>
    <w:rsid w:val="00A648E9"/>
    <w:rsid w:val="00A663EB"/>
    <w:rsid w:val="00A6648F"/>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AA"/>
    <w:rsid w:val="00A72BC8"/>
    <w:rsid w:val="00A72C04"/>
    <w:rsid w:val="00A72FE2"/>
    <w:rsid w:val="00A73341"/>
    <w:rsid w:val="00A748ED"/>
    <w:rsid w:val="00A75386"/>
    <w:rsid w:val="00A7593A"/>
    <w:rsid w:val="00A7597F"/>
    <w:rsid w:val="00A75D3F"/>
    <w:rsid w:val="00A768C8"/>
    <w:rsid w:val="00A76C21"/>
    <w:rsid w:val="00A77303"/>
    <w:rsid w:val="00A77727"/>
    <w:rsid w:val="00A81AA0"/>
    <w:rsid w:val="00A8226A"/>
    <w:rsid w:val="00A82941"/>
    <w:rsid w:val="00A8348B"/>
    <w:rsid w:val="00A834D6"/>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6852"/>
    <w:rsid w:val="00A96C21"/>
    <w:rsid w:val="00A97030"/>
    <w:rsid w:val="00A9791D"/>
    <w:rsid w:val="00A97D4A"/>
    <w:rsid w:val="00A97DB8"/>
    <w:rsid w:val="00AA0209"/>
    <w:rsid w:val="00AA03A6"/>
    <w:rsid w:val="00AA05CA"/>
    <w:rsid w:val="00AA1128"/>
    <w:rsid w:val="00AA1A7C"/>
    <w:rsid w:val="00AA1ADA"/>
    <w:rsid w:val="00AA20B3"/>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26A"/>
    <w:rsid w:val="00AC246C"/>
    <w:rsid w:val="00AC2FB2"/>
    <w:rsid w:val="00AC32FB"/>
    <w:rsid w:val="00AC3ADE"/>
    <w:rsid w:val="00AC3F58"/>
    <w:rsid w:val="00AC4C92"/>
    <w:rsid w:val="00AC4E28"/>
    <w:rsid w:val="00AC4E71"/>
    <w:rsid w:val="00AC4F7E"/>
    <w:rsid w:val="00AC5700"/>
    <w:rsid w:val="00AC5A64"/>
    <w:rsid w:val="00AC7042"/>
    <w:rsid w:val="00AC752F"/>
    <w:rsid w:val="00AC7B8D"/>
    <w:rsid w:val="00AC7E49"/>
    <w:rsid w:val="00AD099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23C8"/>
    <w:rsid w:val="00AE265A"/>
    <w:rsid w:val="00AE2F77"/>
    <w:rsid w:val="00AE308D"/>
    <w:rsid w:val="00AE36D1"/>
    <w:rsid w:val="00AE3DDB"/>
    <w:rsid w:val="00AE4A64"/>
    <w:rsid w:val="00AE56D9"/>
    <w:rsid w:val="00AE5771"/>
    <w:rsid w:val="00AE59FC"/>
    <w:rsid w:val="00AE6AAF"/>
    <w:rsid w:val="00AE6AE4"/>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7D5"/>
    <w:rsid w:val="00AF381B"/>
    <w:rsid w:val="00AF3F63"/>
    <w:rsid w:val="00AF4345"/>
    <w:rsid w:val="00AF463B"/>
    <w:rsid w:val="00AF4CC5"/>
    <w:rsid w:val="00AF5319"/>
    <w:rsid w:val="00AF608B"/>
    <w:rsid w:val="00AF691F"/>
    <w:rsid w:val="00AF6A59"/>
    <w:rsid w:val="00AF7BDD"/>
    <w:rsid w:val="00B00B6F"/>
    <w:rsid w:val="00B00F8C"/>
    <w:rsid w:val="00B00FEC"/>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232C"/>
    <w:rsid w:val="00B331B8"/>
    <w:rsid w:val="00B33786"/>
    <w:rsid w:val="00B337A4"/>
    <w:rsid w:val="00B34725"/>
    <w:rsid w:val="00B355F0"/>
    <w:rsid w:val="00B3578C"/>
    <w:rsid w:val="00B36D9E"/>
    <w:rsid w:val="00B37311"/>
    <w:rsid w:val="00B373FB"/>
    <w:rsid w:val="00B37975"/>
    <w:rsid w:val="00B4106F"/>
    <w:rsid w:val="00B41BE7"/>
    <w:rsid w:val="00B424F7"/>
    <w:rsid w:val="00B42568"/>
    <w:rsid w:val="00B4316E"/>
    <w:rsid w:val="00B4339F"/>
    <w:rsid w:val="00B4381B"/>
    <w:rsid w:val="00B4383C"/>
    <w:rsid w:val="00B4403D"/>
    <w:rsid w:val="00B45847"/>
    <w:rsid w:val="00B460A1"/>
    <w:rsid w:val="00B46174"/>
    <w:rsid w:val="00B46275"/>
    <w:rsid w:val="00B464C7"/>
    <w:rsid w:val="00B4658A"/>
    <w:rsid w:val="00B46929"/>
    <w:rsid w:val="00B4733F"/>
    <w:rsid w:val="00B4758E"/>
    <w:rsid w:val="00B47CBB"/>
    <w:rsid w:val="00B507E4"/>
    <w:rsid w:val="00B5083E"/>
    <w:rsid w:val="00B50ADB"/>
    <w:rsid w:val="00B5112B"/>
    <w:rsid w:val="00B51604"/>
    <w:rsid w:val="00B51F64"/>
    <w:rsid w:val="00B53B4E"/>
    <w:rsid w:val="00B53C5F"/>
    <w:rsid w:val="00B54BD8"/>
    <w:rsid w:val="00B5596C"/>
    <w:rsid w:val="00B569B2"/>
    <w:rsid w:val="00B56EB0"/>
    <w:rsid w:val="00B56FBD"/>
    <w:rsid w:val="00B5715A"/>
    <w:rsid w:val="00B57327"/>
    <w:rsid w:val="00B6002D"/>
    <w:rsid w:val="00B6010B"/>
    <w:rsid w:val="00B61262"/>
    <w:rsid w:val="00B6210A"/>
    <w:rsid w:val="00B6220A"/>
    <w:rsid w:val="00B62942"/>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285"/>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F77"/>
    <w:rsid w:val="00B926AC"/>
    <w:rsid w:val="00B92E6B"/>
    <w:rsid w:val="00B93043"/>
    <w:rsid w:val="00B93431"/>
    <w:rsid w:val="00B93500"/>
    <w:rsid w:val="00B93D97"/>
    <w:rsid w:val="00B94392"/>
    <w:rsid w:val="00B955F5"/>
    <w:rsid w:val="00B95663"/>
    <w:rsid w:val="00B957F0"/>
    <w:rsid w:val="00B95A36"/>
    <w:rsid w:val="00B95CCC"/>
    <w:rsid w:val="00B95F44"/>
    <w:rsid w:val="00B968A2"/>
    <w:rsid w:val="00B96D3C"/>
    <w:rsid w:val="00B97577"/>
    <w:rsid w:val="00BA0FE9"/>
    <w:rsid w:val="00BA139F"/>
    <w:rsid w:val="00BA1A0B"/>
    <w:rsid w:val="00BA1E85"/>
    <w:rsid w:val="00BA2F7D"/>
    <w:rsid w:val="00BA359B"/>
    <w:rsid w:val="00BA3A93"/>
    <w:rsid w:val="00BA41DC"/>
    <w:rsid w:val="00BA4D05"/>
    <w:rsid w:val="00BA5165"/>
    <w:rsid w:val="00BA5599"/>
    <w:rsid w:val="00BA5A40"/>
    <w:rsid w:val="00BA5FD5"/>
    <w:rsid w:val="00BA62AB"/>
    <w:rsid w:val="00BA7E0B"/>
    <w:rsid w:val="00BB0DE3"/>
    <w:rsid w:val="00BB0EA0"/>
    <w:rsid w:val="00BB10CD"/>
    <w:rsid w:val="00BB10F0"/>
    <w:rsid w:val="00BB122E"/>
    <w:rsid w:val="00BB25BB"/>
    <w:rsid w:val="00BB2EEC"/>
    <w:rsid w:val="00BB30EF"/>
    <w:rsid w:val="00BB4A6F"/>
    <w:rsid w:val="00BB4CD2"/>
    <w:rsid w:val="00BB4D99"/>
    <w:rsid w:val="00BB56B1"/>
    <w:rsid w:val="00BB5759"/>
    <w:rsid w:val="00BB5A30"/>
    <w:rsid w:val="00BB5B98"/>
    <w:rsid w:val="00BB7BAC"/>
    <w:rsid w:val="00BC08D8"/>
    <w:rsid w:val="00BC08FC"/>
    <w:rsid w:val="00BC202D"/>
    <w:rsid w:val="00BC213B"/>
    <w:rsid w:val="00BC24C5"/>
    <w:rsid w:val="00BC2964"/>
    <w:rsid w:val="00BC3112"/>
    <w:rsid w:val="00BC3776"/>
    <w:rsid w:val="00BC3D8E"/>
    <w:rsid w:val="00BC3E7F"/>
    <w:rsid w:val="00BC41B5"/>
    <w:rsid w:val="00BC43B3"/>
    <w:rsid w:val="00BC4C63"/>
    <w:rsid w:val="00BC54D1"/>
    <w:rsid w:val="00BC6308"/>
    <w:rsid w:val="00BC63FE"/>
    <w:rsid w:val="00BC666D"/>
    <w:rsid w:val="00BC67A4"/>
    <w:rsid w:val="00BC6B4D"/>
    <w:rsid w:val="00BC6C4F"/>
    <w:rsid w:val="00BC6CCA"/>
    <w:rsid w:val="00BC6D58"/>
    <w:rsid w:val="00BC76AA"/>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F2E"/>
    <w:rsid w:val="00BE1FA7"/>
    <w:rsid w:val="00BE2AD7"/>
    <w:rsid w:val="00BE2BAA"/>
    <w:rsid w:val="00BE49C5"/>
    <w:rsid w:val="00BE4F8D"/>
    <w:rsid w:val="00BE590A"/>
    <w:rsid w:val="00BE5FEC"/>
    <w:rsid w:val="00BE770F"/>
    <w:rsid w:val="00BE778C"/>
    <w:rsid w:val="00BF01D4"/>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619"/>
    <w:rsid w:val="00C03041"/>
    <w:rsid w:val="00C03752"/>
    <w:rsid w:val="00C03815"/>
    <w:rsid w:val="00C041F4"/>
    <w:rsid w:val="00C04C59"/>
    <w:rsid w:val="00C0524E"/>
    <w:rsid w:val="00C05428"/>
    <w:rsid w:val="00C058A3"/>
    <w:rsid w:val="00C05E05"/>
    <w:rsid w:val="00C0711F"/>
    <w:rsid w:val="00C077E1"/>
    <w:rsid w:val="00C07B1A"/>
    <w:rsid w:val="00C107BE"/>
    <w:rsid w:val="00C10B65"/>
    <w:rsid w:val="00C10BD0"/>
    <w:rsid w:val="00C10C03"/>
    <w:rsid w:val="00C112F7"/>
    <w:rsid w:val="00C1161D"/>
    <w:rsid w:val="00C12391"/>
    <w:rsid w:val="00C12CC4"/>
    <w:rsid w:val="00C12CE6"/>
    <w:rsid w:val="00C12D9C"/>
    <w:rsid w:val="00C13208"/>
    <w:rsid w:val="00C133F5"/>
    <w:rsid w:val="00C13434"/>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F22"/>
    <w:rsid w:val="00C21FF8"/>
    <w:rsid w:val="00C220F2"/>
    <w:rsid w:val="00C223A0"/>
    <w:rsid w:val="00C23BBD"/>
    <w:rsid w:val="00C2455C"/>
    <w:rsid w:val="00C24638"/>
    <w:rsid w:val="00C25988"/>
    <w:rsid w:val="00C26495"/>
    <w:rsid w:val="00C267EF"/>
    <w:rsid w:val="00C26C12"/>
    <w:rsid w:val="00C273ED"/>
    <w:rsid w:val="00C27447"/>
    <w:rsid w:val="00C27891"/>
    <w:rsid w:val="00C27D45"/>
    <w:rsid w:val="00C300F5"/>
    <w:rsid w:val="00C30AED"/>
    <w:rsid w:val="00C31073"/>
    <w:rsid w:val="00C314B5"/>
    <w:rsid w:val="00C316F9"/>
    <w:rsid w:val="00C3228E"/>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2094"/>
    <w:rsid w:val="00C52306"/>
    <w:rsid w:val="00C5259D"/>
    <w:rsid w:val="00C536E4"/>
    <w:rsid w:val="00C538AE"/>
    <w:rsid w:val="00C53C32"/>
    <w:rsid w:val="00C53E7A"/>
    <w:rsid w:val="00C54492"/>
    <w:rsid w:val="00C544B6"/>
    <w:rsid w:val="00C54601"/>
    <w:rsid w:val="00C54E26"/>
    <w:rsid w:val="00C56A84"/>
    <w:rsid w:val="00C56F2C"/>
    <w:rsid w:val="00C575E8"/>
    <w:rsid w:val="00C5777E"/>
    <w:rsid w:val="00C57EB0"/>
    <w:rsid w:val="00C60984"/>
    <w:rsid w:val="00C60E33"/>
    <w:rsid w:val="00C6111A"/>
    <w:rsid w:val="00C61801"/>
    <w:rsid w:val="00C618DF"/>
    <w:rsid w:val="00C65030"/>
    <w:rsid w:val="00C652A1"/>
    <w:rsid w:val="00C655E4"/>
    <w:rsid w:val="00C65738"/>
    <w:rsid w:val="00C6590A"/>
    <w:rsid w:val="00C65FFB"/>
    <w:rsid w:val="00C6665F"/>
    <w:rsid w:val="00C66663"/>
    <w:rsid w:val="00C668D8"/>
    <w:rsid w:val="00C66BCD"/>
    <w:rsid w:val="00C66E74"/>
    <w:rsid w:val="00C67029"/>
    <w:rsid w:val="00C700A9"/>
    <w:rsid w:val="00C70B38"/>
    <w:rsid w:val="00C70B43"/>
    <w:rsid w:val="00C71A56"/>
    <w:rsid w:val="00C72AF3"/>
    <w:rsid w:val="00C730CC"/>
    <w:rsid w:val="00C73DCF"/>
    <w:rsid w:val="00C7532A"/>
    <w:rsid w:val="00C75721"/>
    <w:rsid w:val="00C75B52"/>
    <w:rsid w:val="00C760A6"/>
    <w:rsid w:val="00C762B7"/>
    <w:rsid w:val="00C76825"/>
    <w:rsid w:val="00C76D65"/>
    <w:rsid w:val="00C77C30"/>
    <w:rsid w:val="00C77C4B"/>
    <w:rsid w:val="00C77D50"/>
    <w:rsid w:val="00C80B4E"/>
    <w:rsid w:val="00C80DC6"/>
    <w:rsid w:val="00C815E4"/>
    <w:rsid w:val="00C8290C"/>
    <w:rsid w:val="00C8512B"/>
    <w:rsid w:val="00C858C8"/>
    <w:rsid w:val="00C85A79"/>
    <w:rsid w:val="00C86242"/>
    <w:rsid w:val="00C86D64"/>
    <w:rsid w:val="00C87CDD"/>
    <w:rsid w:val="00C909EE"/>
    <w:rsid w:val="00C90D5B"/>
    <w:rsid w:val="00C90E27"/>
    <w:rsid w:val="00C910ED"/>
    <w:rsid w:val="00C914C9"/>
    <w:rsid w:val="00C9156F"/>
    <w:rsid w:val="00C91E57"/>
    <w:rsid w:val="00C922E8"/>
    <w:rsid w:val="00C92F29"/>
    <w:rsid w:val="00C93188"/>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4B8"/>
    <w:rsid w:val="00CB0652"/>
    <w:rsid w:val="00CB0A8A"/>
    <w:rsid w:val="00CB138C"/>
    <w:rsid w:val="00CB1B52"/>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5F9"/>
    <w:rsid w:val="00CB7D14"/>
    <w:rsid w:val="00CB7D9F"/>
    <w:rsid w:val="00CC07A1"/>
    <w:rsid w:val="00CC0824"/>
    <w:rsid w:val="00CC08D7"/>
    <w:rsid w:val="00CC0A9A"/>
    <w:rsid w:val="00CC0C6C"/>
    <w:rsid w:val="00CC0EA3"/>
    <w:rsid w:val="00CC156F"/>
    <w:rsid w:val="00CC2062"/>
    <w:rsid w:val="00CC2B9C"/>
    <w:rsid w:val="00CC326E"/>
    <w:rsid w:val="00CC38EE"/>
    <w:rsid w:val="00CC4BF4"/>
    <w:rsid w:val="00CC566D"/>
    <w:rsid w:val="00CC6AA6"/>
    <w:rsid w:val="00CC6ACF"/>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FF2"/>
    <w:rsid w:val="00CF0E8B"/>
    <w:rsid w:val="00CF1090"/>
    <w:rsid w:val="00CF12DA"/>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D015A8"/>
    <w:rsid w:val="00D024F9"/>
    <w:rsid w:val="00D027F9"/>
    <w:rsid w:val="00D032AA"/>
    <w:rsid w:val="00D03A3E"/>
    <w:rsid w:val="00D03A50"/>
    <w:rsid w:val="00D03B1A"/>
    <w:rsid w:val="00D03E97"/>
    <w:rsid w:val="00D040BB"/>
    <w:rsid w:val="00D04587"/>
    <w:rsid w:val="00D056E9"/>
    <w:rsid w:val="00D05CB6"/>
    <w:rsid w:val="00D06325"/>
    <w:rsid w:val="00D07684"/>
    <w:rsid w:val="00D076A6"/>
    <w:rsid w:val="00D07F59"/>
    <w:rsid w:val="00D10328"/>
    <w:rsid w:val="00D104B2"/>
    <w:rsid w:val="00D10986"/>
    <w:rsid w:val="00D11BB2"/>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886"/>
    <w:rsid w:val="00D22998"/>
    <w:rsid w:val="00D22E00"/>
    <w:rsid w:val="00D243F0"/>
    <w:rsid w:val="00D251E6"/>
    <w:rsid w:val="00D255D3"/>
    <w:rsid w:val="00D259B0"/>
    <w:rsid w:val="00D26097"/>
    <w:rsid w:val="00D261C5"/>
    <w:rsid w:val="00D26391"/>
    <w:rsid w:val="00D2699D"/>
    <w:rsid w:val="00D27747"/>
    <w:rsid w:val="00D27A96"/>
    <w:rsid w:val="00D27BF7"/>
    <w:rsid w:val="00D30729"/>
    <w:rsid w:val="00D30EAF"/>
    <w:rsid w:val="00D314F6"/>
    <w:rsid w:val="00D31A4F"/>
    <w:rsid w:val="00D31D6C"/>
    <w:rsid w:val="00D31D99"/>
    <w:rsid w:val="00D32CDD"/>
    <w:rsid w:val="00D32E0D"/>
    <w:rsid w:val="00D33078"/>
    <w:rsid w:val="00D3326D"/>
    <w:rsid w:val="00D33977"/>
    <w:rsid w:val="00D34097"/>
    <w:rsid w:val="00D3544C"/>
    <w:rsid w:val="00D3544F"/>
    <w:rsid w:val="00D36535"/>
    <w:rsid w:val="00D3719F"/>
    <w:rsid w:val="00D371C8"/>
    <w:rsid w:val="00D4061B"/>
    <w:rsid w:val="00D4125F"/>
    <w:rsid w:val="00D431DA"/>
    <w:rsid w:val="00D43450"/>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102"/>
    <w:rsid w:val="00D53112"/>
    <w:rsid w:val="00D53650"/>
    <w:rsid w:val="00D548FF"/>
    <w:rsid w:val="00D54B02"/>
    <w:rsid w:val="00D54B87"/>
    <w:rsid w:val="00D553C7"/>
    <w:rsid w:val="00D5648F"/>
    <w:rsid w:val="00D5651D"/>
    <w:rsid w:val="00D57B21"/>
    <w:rsid w:val="00D57B9A"/>
    <w:rsid w:val="00D57F0C"/>
    <w:rsid w:val="00D60190"/>
    <w:rsid w:val="00D602D3"/>
    <w:rsid w:val="00D605A5"/>
    <w:rsid w:val="00D606A0"/>
    <w:rsid w:val="00D60A2F"/>
    <w:rsid w:val="00D60AEC"/>
    <w:rsid w:val="00D60DAB"/>
    <w:rsid w:val="00D61A8A"/>
    <w:rsid w:val="00D62369"/>
    <w:rsid w:val="00D623AA"/>
    <w:rsid w:val="00D62A24"/>
    <w:rsid w:val="00D62FAC"/>
    <w:rsid w:val="00D635B0"/>
    <w:rsid w:val="00D637A9"/>
    <w:rsid w:val="00D63BE1"/>
    <w:rsid w:val="00D65280"/>
    <w:rsid w:val="00D6616F"/>
    <w:rsid w:val="00D6699B"/>
    <w:rsid w:val="00D67EE4"/>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92A"/>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477"/>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3473"/>
    <w:rsid w:val="00DB3AA0"/>
    <w:rsid w:val="00DB3C49"/>
    <w:rsid w:val="00DB41B9"/>
    <w:rsid w:val="00DB42C2"/>
    <w:rsid w:val="00DB444B"/>
    <w:rsid w:val="00DB4588"/>
    <w:rsid w:val="00DB4628"/>
    <w:rsid w:val="00DB4714"/>
    <w:rsid w:val="00DB4788"/>
    <w:rsid w:val="00DB4D04"/>
    <w:rsid w:val="00DB510A"/>
    <w:rsid w:val="00DB5178"/>
    <w:rsid w:val="00DB5386"/>
    <w:rsid w:val="00DB5ABE"/>
    <w:rsid w:val="00DB6292"/>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51EE"/>
    <w:rsid w:val="00DC5533"/>
    <w:rsid w:val="00DC5770"/>
    <w:rsid w:val="00DC59D7"/>
    <w:rsid w:val="00DC6E13"/>
    <w:rsid w:val="00DC6E1B"/>
    <w:rsid w:val="00DC7EBE"/>
    <w:rsid w:val="00DD12EF"/>
    <w:rsid w:val="00DD158F"/>
    <w:rsid w:val="00DD16FB"/>
    <w:rsid w:val="00DD235A"/>
    <w:rsid w:val="00DD2381"/>
    <w:rsid w:val="00DD2B1D"/>
    <w:rsid w:val="00DD3821"/>
    <w:rsid w:val="00DD391B"/>
    <w:rsid w:val="00DD4370"/>
    <w:rsid w:val="00DD45D3"/>
    <w:rsid w:val="00DD48F3"/>
    <w:rsid w:val="00DD4E0C"/>
    <w:rsid w:val="00DD5A2A"/>
    <w:rsid w:val="00DD662B"/>
    <w:rsid w:val="00DD6C92"/>
    <w:rsid w:val="00DE01AB"/>
    <w:rsid w:val="00DE0B85"/>
    <w:rsid w:val="00DE12BD"/>
    <w:rsid w:val="00DE1532"/>
    <w:rsid w:val="00DE179B"/>
    <w:rsid w:val="00DE292D"/>
    <w:rsid w:val="00DE2AA3"/>
    <w:rsid w:val="00DE303B"/>
    <w:rsid w:val="00DE30D1"/>
    <w:rsid w:val="00DE3B74"/>
    <w:rsid w:val="00DE40F7"/>
    <w:rsid w:val="00DE47DF"/>
    <w:rsid w:val="00DE4D21"/>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FC2"/>
    <w:rsid w:val="00DF3B95"/>
    <w:rsid w:val="00DF3D62"/>
    <w:rsid w:val="00DF3E5A"/>
    <w:rsid w:val="00DF4F43"/>
    <w:rsid w:val="00DF4FD4"/>
    <w:rsid w:val="00DF562B"/>
    <w:rsid w:val="00DF572E"/>
    <w:rsid w:val="00DF596A"/>
    <w:rsid w:val="00DF6DA6"/>
    <w:rsid w:val="00DF708D"/>
    <w:rsid w:val="00DF7EB8"/>
    <w:rsid w:val="00DF7F0A"/>
    <w:rsid w:val="00E0031E"/>
    <w:rsid w:val="00E00FD5"/>
    <w:rsid w:val="00E01956"/>
    <w:rsid w:val="00E02047"/>
    <w:rsid w:val="00E023E5"/>
    <w:rsid w:val="00E02420"/>
    <w:rsid w:val="00E02837"/>
    <w:rsid w:val="00E0443C"/>
    <w:rsid w:val="00E04B4F"/>
    <w:rsid w:val="00E052D0"/>
    <w:rsid w:val="00E06B03"/>
    <w:rsid w:val="00E06FD6"/>
    <w:rsid w:val="00E0719A"/>
    <w:rsid w:val="00E074C1"/>
    <w:rsid w:val="00E07B79"/>
    <w:rsid w:val="00E07CDC"/>
    <w:rsid w:val="00E1006A"/>
    <w:rsid w:val="00E103D6"/>
    <w:rsid w:val="00E105B9"/>
    <w:rsid w:val="00E1079E"/>
    <w:rsid w:val="00E10F6A"/>
    <w:rsid w:val="00E112FA"/>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1F2D"/>
    <w:rsid w:val="00E22738"/>
    <w:rsid w:val="00E22A26"/>
    <w:rsid w:val="00E22DD9"/>
    <w:rsid w:val="00E2336E"/>
    <w:rsid w:val="00E235AD"/>
    <w:rsid w:val="00E23655"/>
    <w:rsid w:val="00E23AB9"/>
    <w:rsid w:val="00E23AC4"/>
    <w:rsid w:val="00E23ED2"/>
    <w:rsid w:val="00E24DAA"/>
    <w:rsid w:val="00E2553A"/>
    <w:rsid w:val="00E256F7"/>
    <w:rsid w:val="00E25995"/>
    <w:rsid w:val="00E25CAC"/>
    <w:rsid w:val="00E25D57"/>
    <w:rsid w:val="00E26257"/>
    <w:rsid w:val="00E264AD"/>
    <w:rsid w:val="00E27074"/>
    <w:rsid w:val="00E27E1C"/>
    <w:rsid w:val="00E300F2"/>
    <w:rsid w:val="00E31966"/>
    <w:rsid w:val="00E3203D"/>
    <w:rsid w:val="00E32950"/>
    <w:rsid w:val="00E32AE4"/>
    <w:rsid w:val="00E32D6A"/>
    <w:rsid w:val="00E33396"/>
    <w:rsid w:val="00E335C5"/>
    <w:rsid w:val="00E33605"/>
    <w:rsid w:val="00E33D24"/>
    <w:rsid w:val="00E33E8E"/>
    <w:rsid w:val="00E34706"/>
    <w:rsid w:val="00E34ED4"/>
    <w:rsid w:val="00E35580"/>
    <w:rsid w:val="00E36DD5"/>
    <w:rsid w:val="00E374D8"/>
    <w:rsid w:val="00E3751A"/>
    <w:rsid w:val="00E377A6"/>
    <w:rsid w:val="00E37DF9"/>
    <w:rsid w:val="00E4005E"/>
    <w:rsid w:val="00E40A1E"/>
    <w:rsid w:val="00E40C6E"/>
    <w:rsid w:val="00E4113E"/>
    <w:rsid w:val="00E41CF2"/>
    <w:rsid w:val="00E41D23"/>
    <w:rsid w:val="00E4297F"/>
    <w:rsid w:val="00E429D6"/>
    <w:rsid w:val="00E438F7"/>
    <w:rsid w:val="00E43E29"/>
    <w:rsid w:val="00E43EE5"/>
    <w:rsid w:val="00E445DC"/>
    <w:rsid w:val="00E44ACD"/>
    <w:rsid w:val="00E44CB9"/>
    <w:rsid w:val="00E45343"/>
    <w:rsid w:val="00E45B97"/>
    <w:rsid w:val="00E46852"/>
    <w:rsid w:val="00E46AB1"/>
    <w:rsid w:val="00E46B45"/>
    <w:rsid w:val="00E479FF"/>
    <w:rsid w:val="00E51392"/>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344"/>
    <w:rsid w:val="00E57E87"/>
    <w:rsid w:val="00E6023B"/>
    <w:rsid w:val="00E60DE1"/>
    <w:rsid w:val="00E61076"/>
    <w:rsid w:val="00E61812"/>
    <w:rsid w:val="00E62CF0"/>
    <w:rsid w:val="00E62E5D"/>
    <w:rsid w:val="00E64C99"/>
    <w:rsid w:val="00E65073"/>
    <w:rsid w:val="00E65E8C"/>
    <w:rsid w:val="00E66800"/>
    <w:rsid w:val="00E66D78"/>
    <w:rsid w:val="00E673C1"/>
    <w:rsid w:val="00E679F4"/>
    <w:rsid w:val="00E67B20"/>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4AD4"/>
    <w:rsid w:val="00E8534F"/>
    <w:rsid w:val="00E854EA"/>
    <w:rsid w:val="00E85EC9"/>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601E"/>
    <w:rsid w:val="00E960B8"/>
    <w:rsid w:val="00E96AEE"/>
    <w:rsid w:val="00E96C58"/>
    <w:rsid w:val="00E96D1C"/>
    <w:rsid w:val="00E971D5"/>
    <w:rsid w:val="00E977CB"/>
    <w:rsid w:val="00E977CE"/>
    <w:rsid w:val="00E97990"/>
    <w:rsid w:val="00E97A15"/>
    <w:rsid w:val="00E97D2F"/>
    <w:rsid w:val="00E97EA7"/>
    <w:rsid w:val="00E97FB1"/>
    <w:rsid w:val="00EA1514"/>
    <w:rsid w:val="00EA16E1"/>
    <w:rsid w:val="00EA1767"/>
    <w:rsid w:val="00EA1F8E"/>
    <w:rsid w:val="00EA2360"/>
    <w:rsid w:val="00EA272B"/>
    <w:rsid w:val="00EA2F5D"/>
    <w:rsid w:val="00EA301E"/>
    <w:rsid w:val="00EA3A9E"/>
    <w:rsid w:val="00EA3BA1"/>
    <w:rsid w:val="00EA449C"/>
    <w:rsid w:val="00EA4F1E"/>
    <w:rsid w:val="00EA4F7D"/>
    <w:rsid w:val="00EA5F9C"/>
    <w:rsid w:val="00EA633B"/>
    <w:rsid w:val="00EA659C"/>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5225"/>
    <w:rsid w:val="00EC552D"/>
    <w:rsid w:val="00EC5B93"/>
    <w:rsid w:val="00EC774B"/>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CBA"/>
    <w:rsid w:val="00ED5030"/>
    <w:rsid w:val="00ED547D"/>
    <w:rsid w:val="00ED596C"/>
    <w:rsid w:val="00ED5ACF"/>
    <w:rsid w:val="00EE0174"/>
    <w:rsid w:val="00EE01D1"/>
    <w:rsid w:val="00EE083C"/>
    <w:rsid w:val="00EE0CBD"/>
    <w:rsid w:val="00EE0D6A"/>
    <w:rsid w:val="00EE1093"/>
    <w:rsid w:val="00EE12E9"/>
    <w:rsid w:val="00EE13A7"/>
    <w:rsid w:val="00EE2B55"/>
    <w:rsid w:val="00EE3341"/>
    <w:rsid w:val="00EE3445"/>
    <w:rsid w:val="00EE4436"/>
    <w:rsid w:val="00EE4BBE"/>
    <w:rsid w:val="00EE546C"/>
    <w:rsid w:val="00EE563D"/>
    <w:rsid w:val="00EE5DFC"/>
    <w:rsid w:val="00EE60E7"/>
    <w:rsid w:val="00EE6940"/>
    <w:rsid w:val="00EE6A20"/>
    <w:rsid w:val="00EE70B5"/>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F00232"/>
    <w:rsid w:val="00F00922"/>
    <w:rsid w:val="00F0102C"/>
    <w:rsid w:val="00F0106B"/>
    <w:rsid w:val="00F0137B"/>
    <w:rsid w:val="00F0139C"/>
    <w:rsid w:val="00F020E1"/>
    <w:rsid w:val="00F0221D"/>
    <w:rsid w:val="00F02DE5"/>
    <w:rsid w:val="00F0324F"/>
    <w:rsid w:val="00F03AA2"/>
    <w:rsid w:val="00F03E44"/>
    <w:rsid w:val="00F043F9"/>
    <w:rsid w:val="00F048D4"/>
    <w:rsid w:val="00F04E02"/>
    <w:rsid w:val="00F05558"/>
    <w:rsid w:val="00F0595E"/>
    <w:rsid w:val="00F05A7B"/>
    <w:rsid w:val="00F06454"/>
    <w:rsid w:val="00F06CB2"/>
    <w:rsid w:val="00F06E72"/>
    <w:rsid w:val="00F07C8A"/>
    <w:rsid w:val="00F07D8B"/>
    <w:rsid w:val="00F104D0"/>
    <w:rsid w:val="00F10840"/>
    <w:rsid w:val="00F116E1"/>
    <w:rsid w:val="00F11E4F"/>
    <w:rsid w:val="00F1272B"/>
    <w:rsid w:val="00F13033"/>
    <w:rsid w:val="00F13232"/>
    <w:rsid w:val="00F132E7"/>
    <w:rsid w:val="00F135EC"/>
    <w:rsid w:val="00F13A85"/>
    <w:rsid w:val="00F13C6A"/>
    <w:rsid w:val="00F13C93"/>
    <w:rsid w:val="00F14212"/>
    <w:rsid w:val="00F14A1F"/>
    <w:rsid w:val="00F14D95"/>
    <w:rsid w:val="00F1518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30616"/>
    <w:rsid w:val="00F308EE"/>
    <w:rsid w:val="00F319F9"/>
    <w:rsid w:val="00F32AF9"/>
    <w:rsid w:val="00F33B96"/>
    <w:rsid w:val="00F346B1"/>
    <w:rsid w:val="00F3484E"/>
    <w:rsid w:val="00F34E84"/>
    <w:rsid w:val="00F34FB3"/>
    <w:rsid w:val="00F35B84"/>
    <w:rsid w:val="00F36323"/>
    <w:rsid w:val="00F36B02"/>
    <w:rsid w:val="00F36F16"/>
    <w:rsid w:val="00F37507"/>
    <w:rsid w:val="00F40042"/>
    <w:rsid w:val="00F415F2"/>
    <w:rsid w:val="00F42037"/>
    <w:rsid w:val="00F423F6"/>
    <w:rsid w:val="00F42415"/>
    <w:rsid w:val="00F424D3"/>
    <w:rsid w:val="00F4284C"/>
    <w:rsid w:val="00F443B0"/>
    <w:rsid w:val="00F444E7"/>
    <w:rsid w:val="00F447EA"/>
    <w:rsid w:val="00F44943"/>
    <w:rsid w:val="00F44BCB"/>
    <w:rsid w:val="00F453DF"/>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1FA"/>
    <w:rsid w:val="00F7430B"/>
    <w:rsid w:val="00F745D9"/>
    <w:rsid w:val="00F7523E"/>
    <w:rsid w:val="00F759D7"/>
    <w:rsid w:val="00F7609A"/>
    <w:rsid w:val="00F76924"/>
    <w:rsid w:val="00F76B64"/>
    <w:rsid w:val="00F76FD6"/>
    <w:rsid w:val="00F77293"/>
    <w:rsid w:val="00F77C33"/>
    <w:rsid w:val="00F77D71"/>
    <w:rsid w:val="00F808F0"/>
    <w:rsid w:val="00F80927"/>
    <w:rsid w:val="00F819E1"/>
    <w:rsid w:val="00F822A0"/>
    <w:rsid w:val="00F827DD"/>
    <w:rsid w:val="00F82DB5"/>
    <w:rsid w:val="00F835DF"/>
    <w:rsid w:val="00F83A8B"/>
    <w:rsid w:val="00F83B2E"/>
    <w:rsid w:val="00F84099"/>
    <w:rsid w:val="00F8412E"/>
    <w:rsid w:val="00F843F7"/>
    <w:rsid w:val="00F8476D"/>
    <w:rsid w:val="00F85501"/>
    <w:rsid w:val="00F856DE"/>
    <w:rsid w:val="00F85851"/>
    <w:rsid w:val="00F86769"/>
    <w:rsid w:val="00F8676D"/>
    <w:rsid w:val="00F86C16"/>
    <w:rsid w:val="00F8798B"/>
    <w:rsid w:val="00F87B34"/>
    <w:rsid w:val="00F9034D"/>
    <w:rsid w:val="00F90624"/>
    <w:rsid w:val="00F907AF"/>
    <w:rsid w:val="00F90CB5"/>
    <w:rsid w:val="00F90E09"/>
    <w:rsid w:val="00F91CBC"/>
    <w:rsid w:val="00F91E36"/>
    <w:rsid w:val="00F922ED"/>
    <w:rsid w:val="00F93A0A"/>
    <w:rsid w:val="00F94A71"/>
    <w:rsid w:val="00F94CCA"/>
    <w:rsid w:val="00F9535C"/>
    <w:rsid w:val="00F95780"/>
    <w:rsid w:val="00F95EFB"/>
    <w:rsid w:val="00F9624E"/>
    <w:rsid w:val="00F96923"/>
    <w:rsid w:val="00F96CB0"/>
    <w:rsid w:val="00F96E26"/>
    <w:rsid w:val="00F970DB"/>
    <w:rsid w:val="00F9766C"/>
    <w:rsid w:val="00F97DB7"/>
    <w:rsid w:val="00FA008C"/>
    <w:rsid w:val="00FA0431"/>
    <w:rsid w:val="00FA0577"/>
    <w:rsid w:val="00FA086C"/>
    <w:rsid w:val="00FA0870"/>
    <w:rsid w:val="00FA0FFB"/>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306B"/>
    <w:rsid w:val="00FB312F"/>
    <w:rsid w:val="00FB3784"/>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93B"/>
    <w:rsid w:val="00FE2F5F"/>
    <w:rsid w:val="00FE30C9"/>
    <w:rsid w:val="00FE393B"/>
    <w:rsid w:val="00FE3C08"/>
    <w:rsid w:val="00FE3C80"/>
    <w:rsid w:val="00FE4608"/>
    <w:rsid w:val="00FE4826"/>
    <w:rsid w:val="00FE5DD2"/>
    <w:rsid w:val="00FE66DF"/>
    <w:rsid w:val="00FE6845"/>
    <w:rsid w:val="00FE6AD1"/>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757DA6"/>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character" w:customStyle="1" w:styleId="PiedepginaCar">
    <w:name w:val="Pie de página Car"/>
    <w:basedOn w:val="Fuentedeprrafopredeter"/>
    <w:link w:val="Piedepgina"/>
    <w:uiPriority w:val="99"/>
    <w:rsid w:val="006B7B7D"/>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www.inegi.org.mx/sistemas/bie/"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programas/emim/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temas/manufactura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s://www.inegi.org.mx/programas/emim/2013/"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image" Target="media/image7.gif"/><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DATOS!$A$89:$B$160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DATOS!$C$89:$C$160</c:f>
              <c:numCache>
                <c:formatCode>0.0_)</c:formatCode>
                <c:ptCount val="70"/>
                <c:pt idx="0">
                  <c:v>101.440751729718</c:v>
                </c:pt>
                <c:pt idx="1">
                  <c:v>101.681469324774</c:v>
                </c:pt>
                <c:pt idx="2">
                  <c:v>101.960934829595</c:v>
                </c:pt>
                <c:pt idx="3">
                  <c:v>102.046557572079</c:v>
                </c:pt>
                <c:pt idx="4">
                  <c:v>102.290868393618</c:v>
                </c:pt>
                <c:pt idx="5">
                  <c:v>102.536228468866</c:v>
                </c:pt>
                <c:pt idx="6">
                  <c:v>102.79775124648199</c:v>
                </c:pt>
                <c:pt idx="7">
                  <c:v>103.02172064868201</c:v>
                </c:pt>
                <c:pt idx="8">
                  <c:v>103.38635214222199</c:v>
                </c:pt>
                <c:pt idx="9">
                  <c:v>103.852817694721</c:v>
                </c:pt>
                <c:pt idx="10">
                  <c:v>104.056198681374</c:v>
                </c:pt>
                <c:pt idx="11">
                  <c:v>104.283494838633</c:v>
                </c:pt>
                <c:pt idx="12">
                  <c:v>104.31314673396</c:v>
                </c:pt>
                <c:pt idx="13">
                  <c:v>104.532654271882</c:v>
                </c:pt>
                <c:pt idx="14">
                  <c:v>104.751141800688</c:v>
                </c:pt>
                <c:pt idx="15">
                  <c:v>105.06148763269</c:v>
                </c:pt>
                <c:pt idx="16">
                  <c:v>104.888174309063</c:v>
                </c:pt>
                <c:pt idx="17">
                  <c:v>105.452126731837</c:v>
                </c:pt>
                <c:pt idx="18">
                  <c:v>105.709883553019</c:v>
                </c:pt>
                <c:pt idx="19">
                  <c:v>105.587462280905</c:v>
                </c:pt>
                <c:pt idx="20">
                  <c:v>106.018667579664</c:v>
                </c:pt>
                <c:pt idx="21">
                  <c:v>106.56295357370399</c:v>
                </c:pt>
                <c:pt idx="22">
                  <c:v>106.658288650515</c:v>
                </c:pt>
                <c:pt idx="23">
                  <c:v>106.918066604747</c:v>
                </c:pt>
                <c:pt idx="24">
                  <c:v>107.30148333403299</c:v>
                </c:pt>
                <c:pt idx="25">
                  <c:v>107.381004819406</c:v>
                </c:pt>
                <c:pt idx="26">
                  <c:v>107.434417795794</c:v>
                </c:pt>
                <c:pt idx="27">
                  <c:v>107.681672602668</c:v>
                </c:pt>
                <c:pt idx="28">
                  <c:v>107.876012257856</c:v>
                </c:pt>
                <c:pt idx="29">
                  <c:v>108.165805893217</c:v>
                </c:pt>
                <c:pt idx="30">
                  <c:v>108.41774682119301</c:v>
                </c:pt>
                <c:pt idx="31">
                  <c:v>108.93852951142701</c:v>
                </c:pt>
                <c:pt idx="32">
                  <c:v>109.443087116436</c:v>
                </c:pt>
                <c:pt idx="33">
                  <c:v>109.682834172093</c:v>
                </c:pt>
                <c:pt idx="34">
                  <c:v>110.079072287054</c:v>
                </c:pt>
                <c:pt idx="35">
                  <c:v>110.370169584688</c:v>
                </c:pt>
                <c:pt idx="36">
                  <c:v>110.289075374983</c:v>
                </c:pt>
                <c:pt idx="37">
                  <c:v>110.933805550904</c:v>
                </c:pt>
                <c:pt idx="38">
                  <c:v>111.81278534371501</c:v>
                </c:pt>
                <c:pt idx="39">
                  <c:v>111.603066034237</c:v>
                </c:pt>
                <c:pt idx="40">
                  <c:v>111.555650432351</c:v>
                </c:pt>
                <c:pt idx="41">
                  <c:v>112.154394228599</c:v>
                </c:pt>
                <c:pt idx="42">
                  <c:v>112.62415111170699</c:v>
                </c:pt>
                <c:pt idx="43">
                  <c:v>113.09498541901699</c:v>
                </c:pt>
                <c:pt idx="44">
                  <c:v>113.14860944674599</c:v>
                </c:pt>
                <c:pt idx="45">
                  <c:v>113.409658675994</c:v>
                </c:pt>
                <c:pt idx="46">
                  <c:v>113.71215505512799</c:v>
                </c:pt>
                <c:pt idx="47">
                  <c:v>113.81608905830301</c:v>
                </c:pt>
                <c:pt idx="48">
                  <c:v>114.000058302084</c:v>
                </c:pt>
                <c:pt idx="49">
                  <c:v>114.30314153158901</c:v>
                </c:pt>
                <c:pt idx="50">
                  <c:v>114.47671398820199</c:v>
                </c:pt>
                <c:pt idx="51">
                  <c:v>114.820290873464</c:v>
                </c:pt>
                <c:pt idx="52">
                  <c:v>115.03237104084</c:v>
                </c:pt>
                <c:pt idx="53">
                  <c:v>115.24313138439101</c:v>
                </c:pt>
                <c:pt idx="54">
                  <c:v>115.315429673203</c:v>
                </c:pt>
                <c:pt idx="55">
                  <c:v>115.451552074346</c:v>
                </c:pt>
                <c:pt idx="56">
                  <c:v>115.866043993255</c:v>
                </c:pt>
                <c:pt idx="57">
                  <c:v>116.13874021160299</c:v>
                </c:pt>
                <c:pt idx="58">
                  <c:v>116.247774082777</c:v>
                </c:pt>
                <c:pt idx="59">
                  <c:v>116.456125965246</c:v>
                </c:pt>
                <c:pt idx="60">
                  <c:v>116.812858897943</c:v>
                </c:pt>
                <c:pt idx="61">
                  <c:v>116.882197499556</c:v>
                </c:pt>
                <c:pt idx="62">
                  <c:v>116.84240435528901</c:v>
                </c:pt>
                <c:pt idx="63">
                  <c:v>116.528150614506</c:v>
                </c:pt>
                <c:pt idx="64">
                  <c:v>116.61982973754399</c:v>
                </c:pt>
                <c:pt idx="65">
                  <c:v>116.52701791685099</c:v>
                </c:pt>
                <c:pt idx="66">
                  <c:v>116.40920562950301</c:v>
                </c:pt>
                <c:pt idx="67">
                  <c:v>116.24281799566199</c:v>
                </c:pt>
                <c:pt idx="68">
                  <c:v>115.778614731894</c:v>
                </c:pt>
                <c:pt idx="69">
                  <c:v>115.359582498357</c:v>
                </c:pt>
              </c:numCache>
            </c:numRef>
          </c:val>
          <c:extLst>
            <c:ext xmlns:c16="http://schemas.microsoft.com/office/drawing/2014/chart" uri="{C3380CC4-5D6E-409C-BE32-E72D297353CC}">
              <c16:uniqueId val="{00000000-DF32-49CC-945F-FE006FC2F0B1}"/>
            </c:ext>
          </c:extLst>
        </c:ser>
        <c:dLbls>
          <c:showLegendKey val="0"/>
          <c:showVal val="0"/>
          <c:showCatName val="0"/>
          <c:showSerName val="0"/>
          <c:showPercent val="0"/>
          <c:showBubbleSize val="0"/>
        </c:dLbls>
        <c:gapWidth val="45"/>
        <c:axId val="107393224"/>
        <c:axId val="107391264"/>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DATOS!$A$77:$B$153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2013</c:v>
                  </c:pt>
                  <c:pt idx="12">
                    <c:v>2014</c:v>
                  </c:pt>
                  <c:pt idx="24">
                    <c:v>2015</c:v>
                  </c:pt>
                  <c:pt idx="36">
                    <c:v>2016</c:v>
                  </c:pt>
                  <c:pt idx="48">
                    <c:v>2017</c:v>
                  </c:pt>
                  <c:pt idx="60">
                    <c:v>2018</c:v>
                  </c:pt>
                  <c:pt idx="72">
                    <c:v>2019</c:v>
                  </c:pt>
                </c:lvl>
              </c:multiLvlStrCache>
            </c:multiLvlStrRef>
          </c:cat>
          <c:val>
            <c:numRef>
              <c:f>DATOS!$D$89:$D$160</c:f>
              <c:numCache>
                <c:formatCode>0.0_)</c:formatCode>
                <c:ptCount val="70"/>
                <c:pt idx="0">
                  <c:v>101.369166678913</c:v>
                </c:pt>
                <c:pt idx="1">
                  <c:v>101.661779883512</c:v>
                </c:pt>
                <c:pt idx="2">
                  <c:v>101.905632073145</c:v>
                </c:pt>
                <c:pt idx="3">
                  <c:v>102.10614855178</c:v>
                </c:pt>
                <c:pt idx="4">
                  <c:v>102.300919851343</c:v>
                </c:pt>
                <c:pt idx="5">
                  <c:v>102.518520884222</c:v>
                </c:pt>
                <c:pt idx="6">
                  <c:v>102.777251777836</c:v>
                </c:pt>
                <c:pt idx="7">
                  <c:v>103.085489352004</c:v>
                </c:pt>
                <c:pt idx="8">
                  <c:v>103.42952737277901</c:v>
                </c:pt>
                <c:pt idx="9">
                  <c:v>103.767055654226</c:v>
                </c:pt>
                <c:pt idx="10">
                  <c:v>104.042114655161</c:v>
                </c:pt>
                <c:pt idx="11">
                  <c:v>104.233248714986</c:v>
                </c:pt>
                <c:pt idx="12">
                  <c:v>104.382421773993</c:v>
                </c:pt>
                <c:pt idx="13">
                  <c:v>104.553492628318</c:v>
                </c:pt>
                <c:pt idx="14">
                  <c:v>104.76841772300401</c:v>
                </c:pt>
                <c:pt idx="15">
                  <c:v>105.012158929992</c:v>
                </c:pt>
                <c:pt idx="16">
                  <c:v>105.253677550433</c:v>
                </c:pt>
                <c:pt idx="17">
                  <c:v>105.461525292696</c:v>
                </c:pt>
                <c:pt idx="18">
                  <c:v>105.646468148241</c:v>
                </c:pt>
                <c:pt idx="19">
                  <c:v>105.838074695326</c:v>
                </c:pt>
                <c:pt idx="20">
                  <c:v>106.061939312002</c:v>
                </c:pt>
                <c:pt idx="21">
                  <c:v>106.333273268425</c:v>
                </c:pt>
                <c:pt idx="22">
                  <c:v>106.64589734487799</c:v>
                </c:pt>
                <c:pt idx="23">
                  <c:v>106.944894961212</c:v>
                </c:pt>
                <c:pt idx="24">
                  <c:v>107.181888651119</c:v>
                </c:pt>
                <c:pt idx="25">
                  <c:v>107.35738651090701</c:v>
                </c:pt>
                <c:pt idx="26">
                  <c:v>107.50752468290599</c:v>
                </c:pt>
                <c:pt idx="27">
                  <c:v>107.66608162342401</c:v>
                </c:pt>
                <c:pt idx="28">
                  <c:v>107.868877632234</c:v>
                </c:pt>
                <c:pt idx="29">
                  <c:v>108.154723376782</c:v>
                </c:pt>
                <c:pt idx="30">
                  <c:v>108.51390088865899</c:v>
                </c:pt>
                <c:pt idx="31">
                  <c:v>108.92297632758201</c:v>
                </c:pt>
                <c:pt idx="32">
                  <c:v>109.34595975384001</c:v>
                </c:pt>
                <c:pt idx="33">
                  <c:v>109.73192549977399</c:v>
                </c:pt>
                <c:pt idx="34">
                  <c:v>110.059994849894</c:v>
                </c:pt>
                <c:pt idx="35">
                  <c:v>110.351116055068</c:v>
                </c:pt>
                <c:pt idx="36">
                  <c:v>110.646312180273</c:v>
                </c:pt>
                <c:pt idx="37">
                  <c:v>110.95804031294701</c:v>
                </c:pt>
                <c:pt idx="38">
                  <c:v>111.26960494974399</c:v>
                </c:pt>
                <c:pt idx="39">
                  <c:v>111.578742552208</c:v>
                </c:pt>
                <c:pt idx="40">
                  <c:v>111.905286031744</c:v>
                </c:pt>
                <c:pt idx="41">
                  <c:v>112.255598817329</c:v>
                </c:pt>
                <c:pt idx="42">
                  <c:v>112.60967714283299</c:v>
                </c:pt>
                <c:pt idx="43">
                  <c:v>112.941421244224</c:v>
                </c:pt>
                <c:pt idx="44">
                  <c:v>113.223382741997</c:v>
                </c:pt>
                <c:pt idx="45">
                  <c:v>113.446372176738</c:v>
                </c:pt>
                <c:pt idx="46">
                  <c:v>113.640157408026</c:v>
                </c:pt>
                <c:pt idx="47">
                  <c:v>113.836153950544</c:v>
                </c:pt>
                <c:pt idx="48">
                  <c:v>114.04453590392799</c:v>
                </c:pt>
                <c:pt idx="49">
                  <c:v>114.268926349281</c:v>
                </c:pt>
                <c:pt idx="50">
                  <c:v>114.527324735093</c:v>
                </c:pt>
                <c:pt idx="51">
                  <c:v>114.79246387010301</c:v>
                </c:pt>
                <c:pt idx="52">
                  <c:v>115.010874912246</c:v>
                </c:pt>
                <c:pt idx="53">
                  <c:v>115.184045212659</c:v>
                </c:pt>
                <c:pt idx="54">
                  <c:v>115.357086891378</c:v>
                </c:pt>
                <c:pt idx="55">
                  <c:v>115.56354776855601</c:v>
                </c:pt>
                <c:pt idx="56">
                  <c:v>115.80395621442101</c:v>
                </c:pt>
                <c:pt idx="57">
                  <c:v>116.05897358033501</c:v>
                </c:pt>
                <c:pt idx="58">
                  <c:v>116.311320400372</c:v>
                </c:pt>
                <c:pt idx="59">
                  <c:v>116.54854311303301</c:v>
                </c:pt>
                <c:pt idx="60">
                  <c:v>116.728691702601</c:v>
                </c:pt>
                <c:pt idx="61">
                  <c:v>116.81428164697699</c:v>
                </c:pt>
                <c:pt idx="62">
                  <c:v>116.78816082527899</c:v>
                </c:pt>
                <c:pt idx="63">
                  <c:v>116.691081026725</c:v>
                </c:pt>
                <c:pt idx="64">
                  <c:v>116.59959669330399</c:v>
                </c:pt>
                <c:pt idx="65">
                  <c:v>116.515506817499</c:v>
                </c:pt>
                <c:pt idx="66">
                  <c:v>116.376028414487</c:v>
                </c:pt>
                <c:pt idx="67">
                  <c:v>116.135292537064</c:v>
                </c:pt>
                <c:pt idx="68">
                  <c:v>115.842768726114</c:v>
                </c:pt>
                <c:pt idx="69">
                  <c:v>115.613435341315</c:v>
                </c:pt>
              </c:numCache>
            </c:numRef>
          </c:val>
          <c:smooth val="0"/>
          <c:extLst>
            <c:ext xmlns:c16="http://schemas.microsoft.com/office/drawing/2014/chart" uri="{C3380CC4-5D6E-409C-BE32-E72D297353CC}">
              <c16:uniqueId val="{00000001-DF32-49CC-945F-FE006FC2F0B1}"/>
            </c:ext>
          </c:extLst>
        </c:ser>
        <c:dLbls>
          <c:showLegendKey val="0"/>
          <c:showVal val="0"/>
          <c:showCatName val="0"/>
          <c:showSerName val="0"/>
          <c:showPercent val="0"/>
          <c:showBubbleSize val="0"/>
        </c:dLbls>
        <c:marker val="1"/>
        <c:smooth val="0"/>
        <c:axId val="107393224"/>
        <c:axId val="107391264"/>
      </c:lineChart>
      <c:catAx>
        <c:axId val="107393224"/>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107391264"/>
        <c:crosses val="autoZero"/>
        <c:auto val="1"/>
        <c:lblAlgn val="ctr"/>
        <c:lblOffset val="100"/>
        <c:tickLblSkip val="1"/>
        <c:tickMarkSkip val="12"/>
        <c:noMultiLvlLbl val="1"/>
      </c:catAx>
      <c:valAx>
        <c:axId val="107391264"/>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107393224"/>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DATOS!$A$89:$B$160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DATOS!$C$89:$C$160</c:f>
              <c:numCache>
                <c:formatCode>0.0_)</c:formatCode>
                <c:ptCount val="70"/>
                <c:pt idx="0">
                  <c:v>101.440751729718</c:v>
                </c:pt>
                <c:pt idx="1">
                  <c:v>101.681469324774</c:v>
                </c:pt>
                <c:pt idx="2">
                  <c:v>101.960934829595</c:v>
                </c:pt>
                <c:pt idx="3">
                  <c:v>102.046557572079</c:v>
                </c:pt>
                <c:pt idx="4">
                  <c:v>102.290868393618</c:v>
                </c:pt>
                <c:pt idx="5">
                  <c:v>102.536228468866</c:v>
                </c:pt>
                <c:pt idx="6">
                  <c:v>102.79775124648199</c:v>
                </c:pt>
                <c:pt idx="7">
                  <c:v>103.02172064868201</c:v>
                </c:pt>
                <c:pt idx="8">
                  <c:v>103.38635214222199</c:v>
                </c:pt>
                <c:pt idx="9">
                  <c:v>103.852817694721</c:v>
                </c:pt>
                <c:pt idx="10">
                  <c:v>104.056198681374</c:v>
                </c:pt>
                <c:pt idx="11">
                  <c:v>104.283494838633</c:v>
                </c:pt>
                <c:pt idx="12">
                  <c:v>104.31314673396</c:v>
                </c:pt>
                <c:pt idx="13">
                  <c:v>104.532654271882</c:v>
                </c:pt>
                <c:pt idx="14">
                  <c:v>104.751141800688</c:v>
                </c:pt>
                <c:pt idx="15">
                  <c:v>105.06148763269</c:v>
                </c:pt>
                <c:pt idx="16">
                  <c:v>104.888174309063</c:v>
                </c:pt>
                <c:pt idx="17">
                  <c:v>105.452126731837</c:v>
                </c:pt>
                <c:pt idx="18">
                  <c:v>105.709883553019</c:v>
                </c:pt>
                <c:pt idx="19">
                  <c:v>105.587462280905</c:v>
                </c:pt>
                <c:pt idx="20">
                  <c:v>106.018667579664</c:v>
                </c:pt>
                <c:pt idx="21">
                  <c:v>106.56295357370399</c:v>
                </c:pt>
                <c:pt idx="22">
                  <c:v>106.658288650515</c:v>
                </c:pt>
                <c:pt idx="23">
                  <c:v>106.918066604747</c:v>
                </c:pt>
                <c:pt idx="24">
                  <c:v>107.30148333403299</c:v>
                </c:pt>
                <c:pt idx="25">
                  <c:v>107.381004819406</c:v>
                </c:pt>
                <c:pt idx="26">
                  <c:v>107.434417795794</c:v>
                </c:pt>
                <c:pt idx="27">
                  <c:v>107.681672602668</c:v>
                </c:pt>
                <c:pt idx="28">
                  <c:v>107.876012257856</c:v>
                </c:pt>
                <c:pt idx="29">
                  <c:v>108.165805893217</c:v>
                </c:pt>
                <c:pt idx="30">
                  <c:v>108.41774682119301</c:v>
                </c:pt>
                <c:pt idx="31">
                  <c:v>108.93852951142701</c:v>
                </c:pt>
                <c:pt idx="32">
                  <c:v>109.443087116436</c:v>
                </c:pt>
                <c:pt idx="33">
                  <c:v>109.682834172093</c:v>
                </c:pt>
                <c:pt idx="34">
                  <c:v>110.079072287054</c:v>
                </c:pt>
                <c:pt idx="35">
                  <c:v>110.370169584688</c:v>
                </c:pt>
                <c:pt idx="36">
                  <c:v>110.289075374983</c:v>
                </c:pt>
                <c:pt idx="37">
                  <c:v>110.933805550904</c:v>
                </c:pt>
                <c:pt idx="38">
                  <c:v>111.81278534371501</c:v>
                </c:pt>
                <c:pt idx="39">
                  <c:v>111.603066034237</c:v>
                </c:pt>
                <c:pt idx="40">
                  <c:v>111.555650432351</c:v>
                </c:pt>
                <c:pt idx="41">
                  <c:v>112.154394228599</c:v>
                </c:pt>
                <c:pt idx="42">
                  <c:v>112.62415111170699</c:v>
                </c:pt>
                <c:pt idx="43">
                  <c:v>113.09498541901699</c:v>
                </c:pt>
                <c:pt idx="44">
                  <c:v>113.14860944674599</c:v>
                </c:pt>
                <c:pt idx="45">
                  <c:v>113.409658675994</c:v>
                </c:pt>
                <c:pt idx="46">
                  <c:v>113.71215505512799</c:v>
                </c:pt>
                <c:pt idx="47">
                  <c:v>113.81608905830301</c:v>
                </c:pt>
                <c:pt idx="48">
                  <c:v>114.000058302084</c:v>
                </c:pt>
                <c:pt idx="49">
                  <c:v>114.30314153158901</c:v>
                </c:pt>
                <c:pt idx="50">
                  <c:v>114.47671398820199</c:v>
                </c:pt>
                <c:pt idx="51">
                  <c:v>114.820290873464</c:v>
                </c:pt>
                <c:pt idx="52">
                  <c:v>115.03237104084</c:v>
                </c:pt>
                <c:pt idx="53">
                  <c:v>115.24313138439101</c:v>
                </c:pt>
                <c:pt idx="54">
                  <c:v>115.315429673203</c:v>
                </c:pt>
                <c:pt idx="55">
                  <c:v>115.451552074346</c:v>
                </c:pt>
                <c:pt idx="56">
                  <c:v>115.866043993255</c:v>
                </c:pt>
                <c:pt idx="57">
                  <c:v>116.13874021160299</c:v>
                </c:pt>
                <c:pt idx="58">
                  <c:v>116.247774082777</c:v>
                </c:pt>
                <c:pt idx="59">
                  <c:v>116.456125965246</c:v>
                </c:pt>
                <c:pt idx="60">
                  <c:v>116.812858897943</c:v>
                </c:pt>
                <c:pt idx="61">
                  <c:v>116.882197499556</c:v>
                </c:pt>
                <c:pt idx="62">
                  <c:v>116.84240435528901</c:v>
                </c:pt>
                <c:pt idx="63">
                  <c:v>116.528150614506</c:v>
                </c:pt>
                <c:pt idx="64">
                  <c:v>116.61982973754399</c:v>
                </c:pt>
                <c:pt idx="65">
                  <c:v>116.52701791685099</c:v>
                </c:pt>
                <c:pt idx="66">
                  <c:v>116.40920562950301</c:v>
                </c:pt>
                <c:pt idx="67">
                  <c:v>116.24281799566199</c:v>
                </c:pt>
                <c:pt idx="68">
                  <c:v>115.778614731894</c:v>
                </c:pt>
                <c:pt idx="69">
                  <c:v>115.359582498357</c:v>
                </c:pt>
              </c:numCache>
            </c:numRef>
          </c:val>
          <c:extLst>
            <c:ext xmlns:c16="http://schemas.microsoft.com/office/drawing/2014/chart" uri="{C3380CC4-5D6E-409C-BE32-E72D297353CC}">
              <c16:uniqueId val="{00000000-1242-4F19-A4B1-A8676973A96D}"/>
            </c:ext>
          </c:extLst>
        </c:ser>
        <c:dLbls>
          <c:showLegendKey val="0"/>
          <c:showVal val="0"/>
          <c:showCatName val="0"/>
          <c:showSerName val="0"/>
          <c:showPercent val="0"/>
          <c:showBubbleSize val="0"/>
        </c:dLbls>
        <c:gapWidth val="45"/>
        <c:axId val="107393224"/>
        <c:axId val="107391264"/>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DATOS!$A$77:$B$153</c:f>
              <c:multiLvlStrCache>
                <c:ptCount val="7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lvl>
                <c:lvl>
                  <c:pt idx="0">
                    <c:v>2013</c:v>
                  </c:pt>
                  <c:pt idx="12">
                    <c:v>2014</c:v>
                  </c:pt>
                  <c:pt idx="24">
                    <c:v>2015</c:v>
                  </c:pt>
                  <c:pt idx="36">
                    <c:v>2016</c:v>
                  </c:pt>
                  <c:pt idx="48">
                    <c:v>2017</c:v>
                  </c:pt>
                  <c:pt idx="60">
                    <c:v>2018</c:v>
                  </c:pt>
                  <c:pt idx="72">
                    <c:v>2019</c:v>
                  </c:pt>
                </c:lvl>
              </c:multiLvlStrCache>
            </c:multiLvlStrRef>
          </c:cat>
          <c:val>
            <c:numRef>
              <c:f>DATOS!$D$89:$D$160</c:f>
              <c:numCache>
                <c:formatCode>0.0_)</c:formatCode>
                <c:ptCount val="70"/>
                <c:pt idx="0">
                  <c:v>101.369166678913</c:v>
                </c:pt>
                <c:pt idx="1">
                  <c:v>101.661779883512</c:v>
                </c:pt>
                <c:pt idx="2">
                  <c:v>101.905632073145</c:v>
                </c:pt>
                <c:pt idx="3">
                  <c:v>102.10614855178</c:v>
                </c:pt>
                <c:pt idx="4">
                  <c:v>102.300919851343</c:v>
                </c:pt>
                <c:pt idx="5">
                  <c:v>102.518520884222</c:v>
                </c:pt>
                <c:pt idx="6">
                  <c:v>102.777251777836</c:v>
                </c:pt>
                <c:pt idx="7">
                  <c:v>103.085489352004</c:v>
                </c:pt>
                <c:pt idx="8">
                  <c:v>103.42952737277901</c:v>
                </c:pt>
                <c:pt idx="9">
                  <c:v>103.767055654226</c:v>
                </c:pt>
                <c:pt idx="10">
                  <c:v>104.042114655161</c:v>
                </c:pt>
                <c:pt idx="11">
                  <c:v>104.233248714986</c:v>
                </c:pt>
                <c:pt idx="12">
                  <c:v>104.382421773993</c:v>
                </c:pt>
                <c:pt idx="13">
                  <c:v>104.553492628318</c:v>
                </c:pt>
                <c:pt idx="14">
                  <c:v>104.76841772300401</c:v>
                </c:pt>
                <c:pt idx="15">
                  <c:v>105.012158929992</c:v>
                </c:pt>
                <c:pt idx="16">
                  <c:v>105.253677550433</c:v>
                </c:pt>
                <c:pt idx="17">
                  <c:v>105.461525292696</c:v>
                </c:pt>
                <c:pt idx="18">
                  <c:v>105.646468148241</c:v>
                </c:pt>
                <c:pt idx="19">
                  <c:v>105.838074695326</c:v>
                </c:pt>
                <c:pt idx="20">
                  <c:v>106.061939312002</c:v>
                </c:pt>
                <c:pt idx="21">
                  <c:v>106.333273268425</c:v>
                </c:pt>
                <c:pt idx="22">
                  <c:v>106.64589734487799</c:v>
                </c:pt>
                <c:pt idx="23">
                  <c:v>106.944894961212</c:v>
                </c:pt>
                <c:pt idx="24">
                  <c:v>107.181888651119</c:v>
                </c:pt>
                <c:pt idx="25">
                  <c:v>107.35738651090701</c:v>
                </c:pt>
                <c:pt idx="26">
                  <c:v>107.50752468290599</c:v>
                </c:pt>
                <c:pt idx="27">
                  <c:v>107.66608162342401</c:v>
                </c:pt>
                <c:pt idx="28">
                  <c:v>107.868877632234</c:v>
                </c:pt>
                <c:pt idx="29">
                  <c:v>108.154723376782</c:v>
                </c:pt>
                <c:pt idx="30">
                  <c:v>108.51390088865899</c:v>
                </c:pt>
                <c:pt idx="31">
                  <c:v>108.92297632758201</c:v>
                </c:pt>
                <c:pt idx="32">
                  <c:v>109.34595975384001</c:v>
                </c:pt>
                <c:pt idx="33">
                  <c:v>109.73192549977399</c:v>
                </c:pt>
                <c:pt idx="34">
                  <c:v>110.059994849894</c:v>
                </c:pt>
                <c:pt idx="35">
                  <c:v>110.351116055068</c:v>
                </c:pt>
                <c:pt idx="36">
                  <c:v>110.646312180273</c:v>
                </c:pt>
                <c:pt idx="37">
                  <c:v>110.95804031294701</c:v>
                </c:pt>
                <c:pt idx="38">
                  <c:v>111.26960494974399</c:v>
                </c:pt>
                <c:pt idx="39">
                  <c:v>111.578742552208</c:v>
                </c:pt>
                <c:pt idx="40">
                  <c:v>111.905286031744</c:v>
                </c:pt>
                <c:pt idx="41">
                  <c:v>112.255598817329</c:v>
                </c:pt>
                <c:pt idx="42">
                  <c:v>112.60967714283299</c:v>
                </c:pt>
                <c:pt idx="43">
                  <c:v>112.941421244224</c:v>
                </c:pt>
                <c:pt idx="44">
                  <c:v>113.223382741997</c:v>
                </c:pt>
                <c:pt idx="45">
                  <c:v>113.446372176738</c:v>
                </c:pt>
                <c:pt idx="46">
                  <c:v>113.640157408026</c:v>
                </c:pt>
                <c:pt idx="47">
                  <c:v>113.836153950544</c:v>
                </c:pt>
                <c:pt idx="48">
                  <c:v>114.04453590392799</c:v>
                </c:pt>
                <c:pt idx="49">
                  <c:v>114.268926349281</c:v>
                </c:pt>
                <c:pt idx="50">
                  <c:v>114.527324735093</c:v>
                </c:pt>
                <c:pt idx="51">
                  <c:v>114.79246387010301</c:v>
                </c:pt>
                <c:pt idx="52">
                  <c:v>115.010874912246</c:v>
                </c:pt>
                <c:pt idx="53">
                  <c:v>115.184045212659</c:v>
                </c:pt>
                <c:pt idx="54">
                  <c:v>115.357086891378</c:v>
                </c:pt>
                <c:pt idx="55">
                  <c:v>115.56354776855601</c:v>
                </c:pt>
                <c:pt idx="56">
                  <c:v>115.80395621442101</c:v>
                </c:pt>
                <c:pt idx="57">
                  <c:v>116.05897358033501</c:v>
                </c:pt>
                <c:pt idx="58">
                  <c:v>116.311320400372</c:v>
                </c:pt>
                <c:pt idx="59">
                  <c:v>116.54854311303301</c:v>
                </c:pt>
                <c:pt idx="60">
                  <c:v>116.728691702601</c:v>
                </c:pt>
                <c:pt idx="61">
                  <c:v>116.81428164697699</c:v>
                </c:pt>
                <c:pt idx="62">
                  <c:v>116.78816082527899</c:v>
                </c:pt>
                <c:pt idx="63">
                  <c:v>116.691081026725</c:v>
                </c:pt>
                <c:pt idx="64">
                  <c:v>116.59959669330399</c:v>
                </c:pt>
                <c:pt idx="65">
                  <c:v>116.515506817499</c:v>
                </c:pt>
                <c:pt idx="66">
                  <c:v>116.376028414487</c:v>
                </c:pt>
                <c:pt idx="67">
                  <c:v>116.135292537064</c:v>
                </c:pt>
                <c:pt idx="68">
                  <c:v>115.842768726114</c:v>
                </c:pt>
                <c:pt idx="69">
                  <c:v>115.613435341315</c:v>
                </c:pt>
              </c:numCache>
            </c:numRef>
          </c:val>
          <c:smooth val="0"/>
          <c:extLst>
            <c:ext xmlns:c16="http://schemas.microsoft.com/office/drawing/2014/chart" uri="{C3380CC4-5D6E-409C-BE32-E72D297353CC}">
              <c16:uniqueId val="{00000001-1242-4F19-A4B1-A8676973A96D}"/>
            </c:ext>
          </c:extLst>
        </c:ser>
        <c:dLbls>
          <c:showLegendKey val="0"/>
          <c:showVal val="0"/>
          <c:showCatName val="0"/>
          <c:showSerName val="0"/>
          <c:showPercent val="0"/>
          <c:showBubbleSize val="0"/>
        </c:dLbls>
        <c:marker val="1"/>
        <c:smooth val="0"/>
        <c:axId val="107393224"/>
        <c:axId val="107391264"/>
      </c:lineChart>
      <c:catAx>
        <c:axId val="107393224"/>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107391264"/>
        <c:crosses val="autoZero"/>
        <c:auto val="1"/>
        <c:lblAlgn val="ctr"/>
        <c:lblOffset val="100"/>
        <c:tickLblSkip val="1"/>
        <c:tickMarkSkip val="12"/>
        <c:noMultiLvlLbl val="1"/>
      </c:catAx>
      <c:valAx>
        <c:axId val="107391264"/>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107393224"/>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DATOS!$A$89:$B$160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DATOS!$E$89:$E$160</c:f>
              <c:numCache>
                <c:formatCode>0.0_)</c:formatCode>
                <c:ptCount val="70"/>
                <c:pt idx="0">
                  <c:v>100.63170757987</c:v>
                </c:pt>
                <c:pt idx="1">
                  <c:v>101.882545294278</c:v>
                </c:pt>
                <c:pt idx="2">
                  <c:v>101.74411443766699</c:v>
                </c:pt>
                <c:pt idx="3">
                  <c:v>102.07541550268</c:v>
                </c:pt>
                <c:pt idx="4">
                  <c:v>101.774260815791</c:v>
                </c:pt>
                <c:pt idx="5">
                  <c:v>102.07568755565001</c:v>
                </c:pt>
                <c:pt idx="6">
                  <c:v>102.559936490239</c:v>
                </c:pt>
                <c:pt idx="7">
                  <c:v>102.630554333584</c:v>
                </c:pt>
                <c:pt idx="8">
                  <c:v>102.819623535988</c:v>
                </c:pt>
                <c:pt idx="9">
                  <c:v>103.481402946031</c:v>
                </c:pt>
                <c:pt idx="10">
                  <c:v>104.294853528025</c:v>
                </c:pt>
                <c:pt idx="11">
                  <c:v>103.612418157547</c:v>
                </c:pt>
                <c:pt idx="12">
                  <c:v>102.87369573258199</c:v>
                </c:pt>
                <c:pt idx="13">
                  <c:v>103.983083222318</c:v>
                </c:pt>
                <c:pt idx="14">
                  <c:v>103.94005057693199</c:v>
                </c:pt>
                <c:pt idx="15">
                  <c:v>105.20146984062001</c:v>
                </c:pt>
                <c:pt idx="16">
                  <c:v>104.122039382183</c:v>
                </c:pt>
                <c:pt idx="17">
                  <c:v>104.752577902227</c:v>
                </c:pt>
                <c:pt idx="18">
                  <c:v>105.202788871054</c:v>
                </c:pt>
                <c:pt idx="19">
                  <c:v>105.098179933791</c:v>
                </c:pt>
                <c:pt idx="20">
                  <c:v>105.460324643447</c:v>
                </c:pt>
                <c:pt idx="21">
                  <c:v>105.960788038826</c:v>
                </c:pt>
                <c:pt idx="22">
                  <c:v>106.203666556286</c:v>
                </c:pt>
                <c:pt idx="23">
                  <c:v>105.77518171468</c:v>
                </c:pt>
                <c:pt idx="24">
                  <c:v>106.52947173485801</c:v>
                </c:pt>
                <c:pt idx="25">
                  <c:v>106.963776905952</c:v>
                </c:pt>
                <c:pt idx="26">
                  <c:v>107.046767063839</c:v>
                </c:pt>
                <c:pt idx="27">
                  <c:v>107.476180657079</c:v>
                </c:pt>
                <c:pt idx="28">
                  <c:v>108.13207323644301</c:v>
                </c:pt>
                <c:pt idx="29">
                  <c:v>108.05723828982801</c:v>
                </c:pt>
                <c:pt idx="30">
                  <c:v>107.884080835578</c:v>
                </c:pt>
                <c:pt idx="31">
                  <c:v>108.596029103098</c:v>
                </c:pt>
                <c:pt idx="32">
                  <c:v>109.033095814248</c:v>
                </c:pt>
                <c:pt idx="33">
                  <c:v>109.347695610692</c:v>
                </c:pt>
                <c:pt idx="34">
                  <c:v>109.959046477157</c:v>
                </c:pt>
                <c:pt idx="35">
                  <c:v>111.048019375506</c:v>
                </c:pt>
                <c:pt idx="36">
                  <c:v>111.409042707479</c:v>
                </c:pt>
                <c:pt idx="37">
                  <c:v>110.627155360815</c:v>
                </c:pt>
                <c:pt idx="38">
                  <c:v>112.10275993581</c:v>
                </c:pt>
                <c:pt idx="39">
                  <c:v>111.567005826794</c:v>
                </c:pt>
                <c:pt idx="40">
                  <c:v>111.926669222879</c:v>
                </c:pt>
                <c:pt idx="41">
                  <c:v>112.748700723236</c:v>
                </c:pt>
                <c:pt idx="42">
                  <c:v>112.703622553811</c:v>
                </c:pt>
                <c:pt idx="43">
                  <c:v>113.268542685387</c:v>
                </c:pt>
                <c:pt idx="44">
                  <c:v>113.110306926592</c:v>
                </c:pt>
                <c:pt idx="45">
                  <c:v>113.155477391337</c:v>
                </c:pt>
                <c:pt idx="46">
                  <c:v>113.526053447482</c:v>
                </c:pt>
                <c:pt idx="47">
                  <c:v>114.63428674627301</c:v>
                </c:pt>
                <c:pt idx="48">
                  <c:v>113.911128116131</c:v>
                </c:pt>
                <c:pt idx="49">
                  <c:v>113.964348944531</c:v>
                </c:pt>
                <c:pt idx="50">
                  <c:v>114.718568378984</c:v>
                </c:pt>
                <c:pt idx="51">
                  <c:v>114.92147253316099</c:v>
                </c:pt>
                <c:pt idx="52">
                  <c:v>115.36605973352</c:v>
                </c:pt>
                <c:pt idx="53">
                  <c:v>115.095192103005</c:v>
                </c:pt>
                <c:pt idx="54">
                  <c:v>115.753592719186</c:v>
                </c:pt>
                <c:pt idx="55">
                  <c:v>115.829632056316</c:v>
                </c:pt>
                <c:pt idx="56">
                  <c:v>116.65481603842299</c:v>
                </c:pt>
                <c:pt idx="57">
                  <c:v>116.601084657407</c:v>
                </c:pt>
                <c:pt idx="58">
                  <c:v>116.36144690780201</c:v>
                </c:pt>
                <c:pt idx="59">
                  <c:v>115.812277396751</c:v>
                </c:pt>
                <c:pt idx="60">
                  <c:v>116.444430930419</c:v>
                </c:pt>
                <c:pt idx="61">
                  <c:v>116.564328673977</c:v>
                </c:pt>
                <c:pt idx="62">
                  <c:v>116.015285644591</c:v>
                </c:pt>
                <c:pt idx="63">
                  <c:v>116.401510900597</c:v>
                </c:pt>
                <c:pt idx="64">
                  <c:v>116.17694290284101</c:v>
                </c:pt>
                <c:pt idx="65">
                  <c:v>116.03486865727299</c:v>
                </c:pt>
                <c:pt idx="66">
                  <c:v>117.042448820508</c:v>
                </c:pt>
                <c:pt idx="67">
                  <c:v>115.860072013191</c:v>
                </c:pt>
                <c:pt idx="68">
                  <c:v>114.932012485993</c:v>
                </c:pt>
                <c:pt idx="69">
                  <c:v>114.83688515345</c:v>
                </c:pt>
              </c:numCache>
            </c:numRef>
          </c:val>
          <c:extLst>
            <c:ext xmlns:c16="http://schemas.microsoft.com/office/drawing/2014/chart" uri="{C3380CC4-5D6E-409C-BE32-E72D297353CC}">
              <c16:uniqueId val="{00000000-2AAC-4361-8B97-6C2D1C3336B4}"/>
            </c:ext>
          </c:extLst>
        </c:ser>
        <c:dLbls>
          <c:showLegendKey val="0"/>
          <c:showVal val="0"/>
          <c:showCatName val="0"/>
          <c:showSerName val="0"/>
          <c:showPercent val="0"/>
          <c:showBubbleSize val="0"/>
        </c:dLbls>
        <c:gapWidth val="45"/>
        <c:axId val="107392440"/>
        <c:axId val="107392832"/>
      </c:barChart>
      <c:lineChart>
        <c:grouping val="standard"/>
        <c:varyColors val="0"/>
        <c:ser>
          <c:idx val="1"/>
          <c:order val="1"/>
          <c:tx>
            <c:strRef>
              <c:f>DATOS!$F$4</c:f>
              <c:strCache>
                <c:ptCount val="1"/>
                <c:pt idx="0">
                  <c:v>Tendencia-Ciclo</c:v>
                </c:pt>
              </c:strCache>
            </c:strRef>
          </c:tx>
          <c:spPr>
            <a:ln w="12700">
              <a:solidFill>
                <a:srgbClr val="002060"/>
              </a:solidFill>
            </a:ln>
          </c:spPr>
          <c:marker>
            <c:symbol val="none"/>
          </c:marker>
          <c:cat>
            <c:multiLvlStrRef>
              <c:f>DATOS!$A$89:$B$149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2014</c:v>
                  </c:pt>
                  <c:pt idx="12">
                    <c:v>2015</c:v>
                  </c:pt>
                  <c:pt idx="24">
                    <c:v>2016</c:v>
                  </c:pt>
                  <c:pt idx="36">
                    <c:v>2017</c:v>
                  </c:pt>
                  <c:pt idx="48">
                    <c:v>2018</c:v>
                  </c:pt>
                  <c:pt idx="60">
                    <c:v>2019</c:v>
                  </c:pt>
                </c:lvl>
              </c:multiLvlStrCache>
            </c:multiLvlStrRef>
          </c:cat>
          <c:val>
            <c:numRef>
              <c:f>DATOS!$F$89:$F$160</c:f>
              <c:numCache>
                <c:formatCode>0.0_)</c:formatCode>
                <c:ptCount val="70"/>
                <c:pt idx="0">
                  <c:v>100.981657929143</c:v>
                </c:pt>
                <c:pt idx="1">
                  <c:v>101.32211045878999</c:v>
                </c:pt>
                <c:pt idx="2">
                  <c:v>101.643039141854</c:v>
                </c:pt>
                <c:pt idx="3">
                  <c:v>101.867573412279</c:v>
                </c:pt>
                <c:pt idx="4">
                  <c:v>102.015843429505</c:v>
                </c:pt>
                <c:pt idx="5">
                  <c:v>102.15727965493301</c:v>
                </c:pt>
                <c:pt idx="6">
                  <c:v>102.378972705151</c:v>
                </c:pt>
                <c:pt idx="7">
                  <c:v>102.679922955341</c:v>
                </c:pt>
                <c:pt idx="8">
                  <c:v>102.996841389677</c:v>
                </c:pt>
                <c:pt idx="9">
                  <c:v>103.261535268348</c:v>
                </c:pt>
                <c:pt idx="10">
                  <c:v>103.490164319768</c:v>
                </c:pt>
                <c:pt idx="11">
                  <c:v>103.65845876199501</c:v>
                </c:pt>
                <c:pt idx="12">
                  <c:v>103.779432107638</c:v>
                </c:pt>
                <c:pt idx="13">
                  <c:v>103.89150159270601</c:v>
                </c:pt>
                <c:pt idx="14">
                  <c:v>104.02066422861</c:v>
                </c:pt>
                <c:pt idx="15">
                  <c:v>104.19680883131799</c:v>
                </c:pt>
                <c:pt idx="16">
                  <c:v>104.439634460351</c:v>
                </c:pt>
                <c:pt idx="17">
                  <c:v>104.71198115895</c:v>
                </c:pt>
                <c:pt idx="18">
                  <c:v>104.987332074197</c:v>
                </c:pt>
                <c:pt idx="19">
                  <c:v>105.27645043796301</c:v>
                </c:pt>
                <c:pt idx="20">
                  <c:v>105.560973521219</c:v>
                </c:pt>
                <c:pt idx="21">
                  <c:v>105.80876580937699</c:v>
                </c:pt>
                <c:pt idx="22">
                  <c:v>106.05391623714399</c:v>
                </c:pt>
                <c:pt idx="23">
                  <c:v>106.287628147712</c:v>
                </c:pt>
                <c:pt idx="24">
                  <c:v>106.510243609892</c:v>
                </c:pt>
                <c:pt idx="25">
                  <c:v>106.812903081849</c:v>
                </c:pt>
                <c:pt idx="26">
                  <c:v>107.206664752688</c:v>
                </c:pt>
                <c:pt idx="27">
                  <c:v>107.563153040895</c:v>
                </c:pt>
                <c:pt idx="28">
                  <c:v>107.814861824926</c:v>
                </c:pt>
                <c:pt idx="29">
                  <c:v>108.0183416638</c:v>
                </c:pt>
                <c:pt idx="30">
                  <c:v>108.22469043968501</c:v>
                </c:pt>
                <c:pt idx="31">
                  <c:v>108.48485075445601</c:v>
                </c:pt>
                <c:pt idx="32">
                  <c:v>108.90370207678301</c:v>
                </c:pt>
                <c:pt idx="33">
                  <c:v>109.499171842013</c:v>
                </c:pt>
                <c:pt idx="34">
                  <c:v>110.144126409563</c:v>
                </c:pt>
                <c:pt idx="35">
                  <c:v>110.791416422868</c:v>
                </c:pt>
                <c:pt idx="36">
                  <c:v>111.33546809868901</c:v>
                </c:pt>
                <c:pt idx="37">
                  <c:v>111.630590930319</c:v>
                </c:pt>
                <c:pt idx="38">
                  <c:v>111.756642280091</c:v>
                </c:pt>
                <c:pt idx="39">
                  <c:v>111.877051657194</c:v>
                </c:pt>
                <c:pt idx="40">
                  <c:v>112.126904855898</c:v>
                </c:pt>
                <c:pt idx="41">
                  <c:v>112.47723752733501</c:v>
                </c:pt>
                <c:pt idx="42">
                  <c:v>112.820093333391</c:v>
                </c:pt>
                <c:pt idx="43">
                  <c:v>113.05938351077199</c:v>
                </c:pt>
                <c:pt idx="44">
                  <c:v>113.17800586928</c:v>
                </c:pt>
                <c:pt idx="45">
                  <c:v>113.311930976924</c:v>
                </c:pt>
                <c:pt idx="46">
                  <c:v>113.478315370532</c:v>
                </c:pt>
                <c:pt idx="47">
                  <c:v>113.67157392739099</c:v>
                </c:pt>
                <c:pt idx="48">
                  <c:v>113.91508660557</c:v>
                </c:pt>
                <c:pt idx="49">
                  <c:v>114.221838891288</c:v>
                </c:pt>
                <c:pt idx="50">
                  <c:v>114.56448154278</c:v>
                </c:pt>
                <c:pt idx="51">
                  <c:v>114.90375941084299</c:v>
                </c:pt>
                <c:pt idx="52">
                  <c:v>115.160582126973</c:v>
                </c:pt>
                <c:pt idx="53">
                  <c:v>115.382370794501</c:v>
                </c:pt>
                <c:pt idx="54">
                  <c:v>115.67646134534699</c:v>
                </c:pt>
                <c:pt idx="55">
                  <c:v>116.052438681075</c:v>
                </c:pt>
                <c:pt idx="56">
                  <c:v>116.359345544669</c:v>
                </c:pt>
                <c:pt idx="57">
                  <c:v>116.492614985809</c:v>
                </c:pt>
                <c:pt idx="58">
                  <c:v>116.485307093882</c:v>
                </c:pt>
                <c:pt idx="59">
                  <c:v>116.423367725162</c:v>
                </c:pt>
                <c:pt idx="60">
                  <c:v>116.36809923537599</c:v>
                </c:pt>
                <c:pt idx="61">
                  <c:v>116.356718187309</c:v>
                </c:pt>
                <c:pt idx="62">
                  <c:v>116.322538437243</c:v>
                </c:pt>
                <c:pt idx="63">
                  <c:v>116.24683639598901</c:v>
                </c:pt>
                <c:pt idx="64">
                  <c:v>116.186132060226</c:v>
                </c:pt>
                <c:pt idx="65">
                  <c:v>116.097939425736</c:v>
                </c:pt>
                <c:pt idx="66">
                  <c:v>115.872957943374</c:v>
                </c:pt>
                <c:pt idx="67">
                  <c:v>115.53361704052401</c:v>
                </c:pt>
                <c:pt idx="68">
                  <c:v>115.234031413004</c:v>
                </c:pt>
                <c:pt idx="69">
                  <c:v>115.04503257862601</c:v>
                </c:pt>
              </c:numCache>
            </c:numRef>
          </c:val>
          <c:smooth val="0"/>
          <c:extLst>
            <c:ext xmlns:c16="http://schemas.microsoft.com/office/drawing/2014/chart" uri="{C3380CC4-5D6E-409C-BE32-E72D297353CC}">
              <c16:uniqueId val="{00000001-2AAC-4361-8B97-6C2D1C3336B4}"/>
            </c:ext>
          </c:extLst>
        </c:ser>
        <c:dLbls>
          <c:showLegendKey val="0"/>
          <c:showVal val="0"/>
          <c:showCatName val="0"/>
          <c:showSerName val="0"/>
          <c:showPercent val="0"/>
          <c:showBubbleSize val="0"/>
        </c:dLbls>
        <c:marker val="1"/>
        <c:smooth val="0"/>
        <c:axId val="107392440"/>
        <c:axId val="107392832"/>
      </c:lineChart>
      <c:catAx>
        <c:axId val="10739244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107392832"/>
        <c:crosses val="autoZero"/>
        <c:auto val="1"/>
        <c:lblAlgn val="ctr"/>
        <c:lblOffset val="100"/>
        <c:tickLblSkip val="1"/>
        <c:tickMarkSkip val="12"/>
        <c:noMultiLvlLbl val="1"/>
      </c:catAx>
      <c:valAx>
        <c:axId val="107392832"/>
        <c:scaling>
          <c:orientation val="minMax"/>
          <c:max val="122"/>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107392440"/>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DATOS!$A$89:$B$160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DATOS!$G$89:$G$160</c:f>
              <c:numCache>
                <c:formatCode>0.0_)</c:formatCode>
                <c:ptCount val="70"/>
                <c:pt idx="0">
                  <c:v>100.943115128541</c:v>
                </c:pt>
                <c:pt idx="1">
                  <c:v>100.208783600603</c:v>
                </c:pt>
                <c:pt idx="2">
                  <c:v>99.4710548630988</c:v>
                </c:pt>
                <c:pt idx="3">
                  <c:v>100.829344766986</c:v>
                </c:pt>
                <c:pt idx="4">
                  <c:v>100.609086331255</c:v>
                </c:pt>
                <c:pt idx="5">
                  <c:v>100.583232951358</c:v>
                </c:pt>
                <c:pt idx="6">
                  <c:v>101.346640607477</c:v>
                </c:pt>
                <c:pt idx="7">
                  <c:v>100.582319142885</c:v>
                </c:pt>
                <c:pt idx="8">
                  <c:v>100.62431369735999</c:v>
                </c:pt>
                <c:pt idx="9">
                  <c:v>100.67899611431901</c:v>
                </c:pt>
                <c:pt idx="10">
                  <c:v>101.101609743788</c:v>
                </c:pt>
                <c:pt idx="11">
                  <c:v>100.686504380052</c:v>
                </c:pt>
                <c:pt idx="12">
                  <c:v>100.987006799604</c:v>
                </c:pt>
                <c:pt idx="13">
                  <c:v>101.42308524699401</c:v>
                </c:pt>
                <c:pt idx="14">
                  <c:v>101.281533340018</c:v>
                </c:pt>
                <c:pt idx="15">
                  <c:v>101.04225640204299</c:v>
                </c:pt>
                <c:pt idx="16">
                  <c:v>101.191808159776</c:v>
                </c:pt>
                <c:pt idx="17">
                  <c:v>101.286792461853</c:v>
                </c:pt>
                <c:pt idx="18">
                  <c:v>101.35588272195101</c:v>
                </c:pt>
                <c:pt idx="19">
                  <c:v>101.474801164981</c:v>
                </c:pt>
                <c:pt idx="20">
                  <c:v>101.307769044292</c:v>
                </c:pt>
                <c:pt idx="21">
                  <c:v>102.256372154616</c:v>
                </c:pt>
                <c:pt idx="22">
                  <c:v>102.634126390772</c:v>
                </c:pt>
                <c:pt idx="23">
                  <c:v>101.82208932217</c:v>
                </c:pt>
                <c:pt idx="24">
                  <c:v>102.157474308574</c:v>
                </c:pt>
                <c:pt idx="25">
                  <c:v>101.97622741654099</c:v>
                </c:pt>
                <c:pt idx="26">
                  <c:v>102.369092512797</c:v>
                </c:pt>
                <c:pt idx="27">
                  <c:v>103.91387031232399</c:v>
                </c:pt>
                <c:pt idx="28">
                  <c:v>103.522182235447</c:v>
                </c:pt>
                <c:pt idx="29">
                  <c:v>103.751705603402</c:v>
                </c:pt>
                <c:pt idx="30">
                  <c:v>103.83486528588</c:v>
                </c:pt>
                <c:pt idx="31">
                  <c:v>103.567541643643</c:v>
                </c:pt>
                <c:pt idx="32">
                  <c:v>105.232917217837</c:v>
                </c:pt>
                <c:pt idx="33">
                  <c:v>104.72365557427899</c:v>
                </c:pt>
                <c:pt idx="34">
                  <c:v>103.71035613130999</c:v>
                </c:pt>
                <c:pt idx="35">
                  <c:v>104.32563674633001</c:v>
                </c:pt>
                <c:pt idx="36">
                  <c:v>104.18551426238299</c:v>
                </c:pt>
                <c:pt idx="37">
                  <c:v>103.661627133427</c:v>
                </c:pt>
                <c:pt idx="38">
                  <c:v>103.37837320320099</c:v>
                </c:pt>
                <c:pt idx="39">
                  <c:v>103.653531957581</c:v>
                </c:pt>
                <c:pt idx="40">
                  <c:v>103.74672984698999</c:v>
                </c:pt>
                <c:pt idx="41">
                  <c:v>104.018696047387</c:v>
                </c:pt>
                <c:pt idx="42">
                  <c:v>103.81152311551099</c:v>
                </c:pt>
                <c:pt idx="43">
                  <c:v>103.190422012216</c:v>
                </c:pt>
                <c:pt idx="44">
                  <c:v>104.716548560418</c:v>
                </c:pt>
                <c:pt idx="45">
                  <c:v>104.110216036183</c:v>
                </c:pt>
                <c:pt idx="46">
                  <c:v>104.49579261957599</c:v>
                </c:pt>
                <c:pt idx="47">
                  <c:v>104.375313104697</c:v>
                </c:pt>
                <c:pt idx="48">
                  <c:v>103.620935896536</c:v>
                </c:pt>
                <c:pt idx="49">
                  <c:v>104.352147335647</c:v>
                </c:pt>
                <c:pt idx="50">
                  <c:v>104.711467677733</c:v>
                </c:pt>
                <c:pt idx="51">
                  <c:v>104.85334484182199</c:v>
                </c:pt>
                <c:pt idx="52">
                  <c:v>104.87932330383001</c:v>
                </c:pt>
                <c:pt idx="53">
                  <c:v>105.201825894823</c:v>
                </c:pt>
                <c:pt idx="54">
                  <c:v>104.75928420669101</c:v>
                </c:pt>
                <c:pt idx="55">
                  <c:v>105.15955955604301</c:v>
                </c:pt>
                <c:pt idx="56">
                  <c:v>104.56091140356099</c:v>
                </c:pt>
                <c:pt idx="57">
                  <c:v>104.854859824884</c:v>
                </c:pt>
                <c:pt idx="58">
                  <c:v>105.34578404888001</c:v>
                </c:pt>
                <c:pt idx="59">
                  <c:v>106.01526973377899</c:v>
                </c:pt>
                <c:pt idx="60">
                  <c:v>106.265821804621</c:v>
                </c:pt>
                <c:pt idx="61">
                  <c:v>107.156870929457</c:v>
                </c:pt>
                <c:pt idx="62">
                  <c:v>107.307830817227</c:v>
                </c:pt>
                <c:pt idx="63">
                  <c:v>106.98017311881</c:v>
                </c:pt>
                <c:pt idx="64">
                  <c:v>107.40574614386701</c:v>
                </c:pt>
                <c:pt idx="65">
                  <c:v>106.880381784721</c:v>
                </c:pt>
                <c:pt idx="66">
                  <c:v>107.449990031493</c:v>
                </c:pt>
                <c:pt idx="67">
                  <c:v>108.359697426366</c:v>
                </c:pt>
                <c:pt idx="68">
                  <c:v>108.27682476</c:v>
                </c:pt>
                <c:pt idx="69">
                  <c:v>108.235702977253</c:v>
                </c:pt>
              </c:numCache>
            </c:numRef>
          </c:val>
          <c:extLst>
            <c:ext xmlns:c16="http://schemas.microsoft.com/office/drawing/2014/chart" uri="{C3380CC4-5D6E-409C-BE32-E72D297353CC}">
              <c16:uniqueId val="{00000000-0274-4170-A5B7-31C481CC3AC0}"/>
            </c:ext>
          </c:extLst>
        </c:ser>
        <c:dLbls>
          <c:showLegendKey val="0"/>
          <c:showVal val="0"/>
          <c:showCatName val="0"/>
          <c:showSerName val="0"/>
          <c:showPercent val="0"/>
          <c:showBubbleSize val="0"/>
        </c:dLbls>
        <c:gapWidth val="45"/>
        <c:axId val="107390872"/>
        <c:axId val="107393616"/>
      </c:barChart>
      <c:lineChart>
        <c:grouping val="standard"/>
        <c:varyColors val="0"/>
        <c:ser>
          <c:idx val="1"/>
          <c:order val="1"/>
          <c:tx>
            <c:strRef>
              <c:f>DATOS!$H$4</c:f>
              <c:strCache>
                <c:ptCount val="1"/>
                <c:pt idx="0">
                  <c:v>Tendencia-Ciclo</c:v>
                </c:pt>
              </c:strCache>
            </c:strRef>
          </c:tx>
          <c:spPr>
            <a:ln w="12700">
              <a:solidFill>
                <a:srgbClr val="002060"/>
              </a:solidFill>
            </a:ln>
          </c:spPr>
          <c:marker>
            <c:symbol val="none"/>
          </c:marker>
          <c:cat>
            <c:strRef>
              <c:f>DATOS!$B$89:$B$149</c:f>
              <c:strCache>
                <c:ptCount val="61"/>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strCache>
            </c:strRef>
          </c:cat>
          <c:val>
            <c:numRef>
              <c:f>DATOS!$H$89:$H$160</c:f>
              <c:numCache>
                <c:formatCode>0.0_)</c:formatCode>
                <c:ptCount val="70"/>
                <c:pt idx="0">
                  <c:v>100.528462397301</c:v>
                </c:pt>
                <c:pt idx="1">
                  <c:v>100.60890680411001</c:v>
                </c:pt>
                <c:pt idx="2">
                  <c:v>100.644720542491</c:v>
                </c:pt>
                <c:pt idx="3">
                  <c:v>100.674371155393</c:v>
                </c:pt>
                <c:pt idx="4">
                  <c:v>100.709721703402</c:v>
                </c:pt>
                <c:pt idx="5">
                  <c:v>100.75177380492001</c:v>
                </c:pt>
                <c:pt idx="6">
                  <c:v>100.77492618330901</c:v>
                </c:pt>
                <c:pt idx="7">
                  <c:v>100.77068297133</c:v>
                </c:pt>
                <c:pt idx="8">
                  <c:v>100.755495087895</c:v>
                </c:pt>
                <c:pt idx="9">
                  <c:v>100.779360272868</c:v>
                </c:pt>
                <c:pt idx="10">
                  <c:v>100.84576301491801</c:v>
                </c:pt>
                <c:pt idx="11">
                  <c:v>100.942028942964</c:v>
                </c:pt>
                <c:pt idx="12">
                  <c:v>101.049948585347</c:v>
                </c:pt>
                <c:pt idx="13">
                  <c:v>101.137816791131</c:v>
                </c:pt>
                <c:pt idx="14">
                  <c:v>101.18895343512099</c:v>
                </c:pt>
                <c:pt idx="15">
                  <c:v>101.209153908977</c:v>
                </c:pt>
                <c:pt idx="16">
                  <c:v>101.21328469569301</c:v>
                </c:pt>
                <c:pt idx="17">
                  <c:v>101.251539541951</c:v>
                </c:pt>
                <c:pt idx="18">
                  <c:v>101.35049435135601</c:v>
                </c:pt>
                <c:pt idx="19">
                  <c:v>101.52303639995399</c:v>
                </c:pt>
                <c:pt idx="20">
                  <c:v>101.721244165771</c:v>
                </c:pt>
                <c:pt idx="21">
                  <c:v>101.87889960092301</c:v>
                </c:pt>
                <c:pt idx="22">
                  <c:v>101.97966714232901</c:v>
                </c:pt>
                <c:pt idx="23">
                  <c:v>102.052984508414</c:v>
                </c:pt>
                <c:pt idx="24">
                  <c:v>102.150425091122</c:v>
                </c:pt>
                <c:pt idx="25">
                  <c:v>102.33194406785201</c:v>
                </c:pt>
                <c:pt idx="26">
                  <c:v>102.60538023475399</c:v>
                </c:pt>
                <c:pt idx="27">
                  <c:v>102.93987184399001</c:v>
                </c:pt>
                <c:pt idx="28">
                  <c:v>103.307139450015</c:v>
                </c:pt>
                <c:pt idx="29">
                  <c:v>103.628462837618</c:v>
                </c:pt>
                <c:pt idx="30">
                  <c:v>103.869402611699</c:v>
                </c:pt>
                <c:pt idx="31">
                  <c:v>104.04667885626201</c:v>
                </c:pt>
                <c:pt idx="32">
                  <c:v>104.171138036074</c:v>
                </c:pt>
                <c:pt idx="33">
                  <c:v>104.24098901894099</c:v>
                </c:pt>
                <c:pt idx="34">
                  <c:v>104.23184966807</c:v>
                </c:pt>
                <c:pt idx="35">
                  <c:v>104.126270533181</c:v>
                </c:pt>
                <c:pt idx="36">
                  <c:v>103.961040416133</c:v>
                </c:pt>
                <c:pt idx="37">
                  <c:v>103.799139040898</c:v>
                </c:pt>
                <c:pt idx="38">
                  <c:v>103.681499675258</c:v>
                </c:pt>
                <c:pt idx="39">
                  <c:v>103.651999505123</c:v>
                </c:pt>
                <c:pt idx="40">
                  <c:v>103.696301970356</c:v>
                </c:pt>
                <c:pt idx="41">
                  <c:v>103.80180818962199</c:v>
                </c:pt>
                <c:pt idx="42">
                  <c:v>103.95872840640899</c:v>
                </c:pt>
                <c:pt idx="43">
                  <c:v>104.109946289886</c:v>
                </c:pt>
                <c:pt idx="44">
                  <c:v>104.220301329626</c:v>
                </c:pt>
                <c:pt idx="45">
                  <c:v>104.28854263142</c:v>
                </c:pt>
                <c:pt idx="46">
                  <c:v>104.329757037302</c:v>
                </c:pt>
                <c:pt idx="47">
                  <c:v>104.355936012177</c:v>
                </c:pt>
                <c:pt idx="48">
                  <c:v>104.403858406382</c:v>
                </c:pt>
                <c:pt idx="49">
                  <c:v>104.489382709482</c:v>
                </c:pt>
                <c:pt idx="50">
                  <c:v>104.62997727645499</c:v>
                </c:pt>
                <c:pt idx="51">
                  <c:v>104.788875323317</c:v>
                </c:pt>
                <c:pt idx="52">
                  <c:v>104.897404224784</c:v>
                </c:pt>
                <c:pt idx="53">
                  <c:v>104.930607736982</c:v>
                </c:pt>
                <c:pt idx="54">
                  <c:v>104.89901426948001</c:v>
                </c:pt>
                <c:pt idx="55">
                  <c:v>104.859261797882</c:v>
                </c:pt>
                <c:pt idx="56">
                  <c:v>104.897791181393</c:v>
                </c:pt>
                <c:pt idx="57">
                  <c:v>105.088993574757</c:v>
                </c:pt>
                <c:pt idx="58">
                  <c:v>105.438025887812</c:v>
                </c:pt>
                <c:pt idx="59">
                  <c:v>105.904392955473</c:v>
                </c:pt>
                <c:pt idx="60">
                  <c:v>106.39111834110901</c:v>
                </c:pt>
                <c:pt idx="61">
                  <c:v>106.781642140926</c:v>
                </c:pt>
                <c:pt idx="62">
                  <c:v>107.037594093565</c:v>
                </c:pt>
                <c:pt idx="63">
                  <c:v>107.18578471275799</c:v>
                </c:pt>
                <c:pt idx="64">
                  <c:v>107.30546150761801</c:v>
                </c:pt>
                <c:pt idx="65">
                  <c:v>107.450058923825</c:v>
                </c:pt>
                <c:pt idx="66">
                  <c:v>107.646007623011</c:v>
                </c:pt>
                <c:pt idx="67">
                  <c:v>107.880692863457</c:v>
                </c:pt>
                <c:pt idx="68">
                  <c:v>108.13556165462801</c:v>
                </c:pt>
                <c:pt idx="69">
                  <c:v>108.39206925678801</c:v>
                </c:pt>
              </c:numCache>
            </c:numRef>
          </c:val>
          <c:smooth val="0"/>
          <c:extLst>
            <c:ext xmlns:c16="http://schemas.microsoft.com/office/drawing/2014/chart" uri="{C3380CC4-5D6E-409C-BE32-E72D297353CC}">
              <c16:uniqueId val="{00000001-0274-4170-A5B7-31C481CC3AC0}"/>
            </c:ext>
          </c:extLst>
        </c:ser>
        <c:dLbls>
          <c:showLegendKey val="0"/>
          <c:showVal val="0"/>
          <c:showCatName val="0"/>
          <c:showSerName val="0"/>
          <c:showPercent val="0"/>
          <c:showBubbleSize val="0"/>
        </c:dLbls>
        <c:marker val="1"/>
        <c:smooth val="0"/>
        <c:axId val="107390872"/>
        <c:axId val="107393616"/>
      </c:lineChart>
      <c:catAx>
        <c:axId val="107390872"/>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107393616"/>
        <c:crosses val="autoZero"/>
        <c:auto val="1"/>
        <c:lblAlgn val="ctr"/>
        <c:lblOffset val="100"/>
        <c:tickLblSkip val="1"/>
        <c:tickMarkSkip val="12"/>
        <c:noMultiLvlLbl val="1"/>
      </c:catAx>
      <c:valAx>
        <c:axId val="107393616"/>
        <c:scaling>
          <c:orientation val="minMax"/>
          <c:max val="115"/>
          <c:min val="8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107390872"/>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D864F-D226-4EB3-8D1C-AA4A20C8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2389</Words>
  <Characters>14054</Characters>
  <Application>Microsoft Office Word</Application>
  <DocSecurity>0</DocSecurity>
  <Lines>117</Lines>
  <Paragraphs>32</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creator>INEGI</dc:creator>
  <cp:keywords>PEA Ocupación Desocupación Subocupación</cp:keywords>
  <cp:lastModifiedBy>SALA DE PRENSA</cp:lastModifiedBy>
  <cp:revision>28</cp:revision>
  <cp:lastPrinted>2019-12-16T14:45:00Z</cp:lastPrinted>
  <dcterms:created xsi:type="dcterms:W3CDTF">2019-11-14T17:58:00Z</dcterms:created>
  <dcterms:modified xsi:type="dcterms:W3CDTF">2019-12-17T23:25:00Z</dcterms:modified>
  <cp:category>Encuesta Nacional de Ocupación y Empleo</cp:category>
  <cp:version>1</cp:version>
</cp:coreProperties>
</file>