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9A" w:rsidRDefault="000A709A" w:rsidP="00A820F1">
      <w:pPr>
        <w:pStyle w:val="Ttulo10"/>
        <w:rPr>
          <w:sz w:val="26"/>
          <w:szCs w:val="26"/>
        </w:rPr>
      </w:pPr>
    </w:p>
    <w:p w:rsidR="000475F1" w:rsidRDefault="000475F1" w:rsidP="000475F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D10A8DC" wp14:editId="232AD2D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0475F1" w:rsidRPr="00265B8C" w:rsidRDefault="000475F1" w:rsidP="000475F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de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0A8D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0475F1" w:rsidRPr="00265B8C" w:rsidRDefault="000475F1" w:rsidP="000475F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de octubre </w:t>
                      </w:r>
                    </w:p>
                  </w:txbxContent>
                </v:textbox>
                <w10:wrap type="square"/>
              </v:shape>
            </w:pict>
          </mc:Fallback>
        </mc:AlternateContent>
      </w:r>
    </w:p>
    <w:p w:rsidR="000475F1" w:rsidRDefault="000475F1" w:rsidP="000475F1">
      <w:pPr>
        <w:tabs>
          <w:tab w:val="left" w:pos="8789"/>
        </w:tabs>
        <w:ind w:right="51"/>
        <w:jc w:val="center"/>
        <w:rPr>
          <w:b/>
          <w:sz w:val="28"/>
        </w:rPr>
      </w:pPr>
    </w:p>
    <w:p w:rsidR="000475F1" w:rsidRPr="0018046C" w:rsidRDefault="000475F1" w:rsidP="000475F1">
      <w:pPr>
        <w:pStyle w:val="Ttulo10"/>
        <w:spacing w:before="240"/>
        <w:rPr>
          <w:sz w:val="28"/>
          <w:szCs w:val="28"/>
        </w:rPr>
      </w:pPr>
      <w:r w:rsidRPr="0018046C">
        <w:rPr>
          <w:sz w:val="28"/>
          <w:szCs w:val="28"/>
        </w:rPr>
        <w:t>INDICADORES DEL SECTOR SERVICIOS</w:t>
      </w:r>
    </w:p>
    <w:p w:rsidR="000475F1" w:rsidRPr="00D27458" w:rsidRDefault="000475F1" w:rsidP="000475F1">
      <w:pPr>
        <w:pStyle w:val="Profesin"/>
        <w:rPr>
          <w:bCs w:val="0"/>
        </w:rPr>
      </w:pPr>
      <w:r>
        <w:rPr>
          <w:sz w:val="26"/>
          <w:szCs w:val="26"/>
        </w:rPr>
        <w:t>CIFRAS DURANTE JUlIO DE 2019</w:t>
      </w:r>
    </w:p>
    <w:p w:rsidR="000475F1" w:rsidRPr="0018046C" w:rsidRDefault="000475F1" w:rsidP="000475F1">
      <w:pPr>
        <w:spacing w:after="480"/>
        <w:contextualSpacing/>
        <w:jc w:val="center"/>
        <w:rPr>
          <w:b/>
          <w:i/>
          <w:spacing w:val="25"/>
        </w:rPr>
      </w:pPr>
      <w:r w:rsidRPr="0018046C">
        <w:rPr>
          <w:b/>
          <w:i/>
          <w:spacing w:val="25"/>
        </w:rPr>
        <w:t>(Cifras desestacionalizadas)</w:t>
      </w:r>
    </w:p>
    <w:p w:rsidR="000475F1" w:rsidRPr="0018046C" w:rsidRDefault="000475F1" w:rsidP="000475F1">
      <w:pPr>
        <w:spacing w:after="480"/>
        <w:contextualSpacing/>
        <w:jc w:val="center"/>
        <w:rPr>
          <w:b/>
          <w:i/>
          <w:spacing w:val="25"/>
        </w:rPr>
      </w:pPr>
    </w:p>
    <w:p w:rsidR="000475F1" w:rsidRPr="0018046C" w:rsidRDefault="000475F1" w:rsidP="000475F1">
      <w:pPr>
        <w:spacing w:before="100" w:beforeAutospacing="1" w:after="240"/>
        <w:ind w:right="-171"/>
        <w:rPr>
          <w:lang w:val="es-MX"/>
        </w:rPr>
      </w:pPr>
      <w:r w:rsidRPr="0018046C">
        <w:rPr>
          <w:lang w:val="es-MX"/>
        </w:rPr>
        <w:t xml:space="preserve">El Instituto Nacional de Estadística y Geografía (INEGI) informa sobre los principales </w:t>
      </w:r>
      <w:bookmarkStart w:id="0" w:name="_GoBack"/>
      <w:bookmarkEnd w:id="0"/>
      <w:r w:rsidRPr="0018046C">
        <w:rPr>
          <w:lang w:val="es-MX"/>
        </w:rPr>
        <w:t xml:space="preserve">resultados de la </w:t>
      </w:r>
      <w:r w:rsidRPr="0018046C">
        <w:t>Encuesta Mensual de Servicios (EMS)</w:t>
      </w:r>
      <w:r w:rsidRPr="0018046C">
        <w:rPr>
          <w:lang w:val="es-MX"/>
        </w:rPr>
        <w:t xml:space="preserve">, que considera 102 </w:t>
      </w:r>
      <w:r w:rsidRPr="0018046C">
        <w:t>conjuntos de actividades económicas relacionadas con los Servicios Privados no Financieros</w:t>
      </w:r>
      <w:r w:rsidRPr="0018046C">
        <w:rPr>
          <w:lang w:val="es-MX"/>
        </w:rPr>
        <w:t>.</w:t>
      </w:r>
    </w:p>
    <w:p w:rsidR="000475F1" w:rsidRPr="0018046C" w:rsidRDefault="000475F1" w:rsidP="000475F1">
      <w:pPr>
        <w:spacing w:before="120" w:after="360"/>
        <w:ind w:right="-171"/>
        <w:rPr>
          <w:lang w:val="es-MX"/>
        </w:rPr>
      </w:pPr>
      <w:r w:rsidRPr="0018046C">
        <w:rPr>
          <w:lang w:val="es-MX"/>
        </w:rPr>
        <w:t>Con cifras desestacionalizadas</w:t>
      </w:r>
      <w:r w:rsidRPr="0018046C">
        <w:rPr>
          <w:vertAlign w:val="superscript"/>
          <w:lang w:val="es-MX"/>
        </w:rPr>
        <w:footnoteReference w:id="1"/>
      </w:r>
      <w:r w:rsidRPr="0018046C">
        <w:rPr>
          <w:lang w:val="es-MX"/>
        </w:rPr>
        <w:t>, durante julio del presente año los Ingresos Totales reales por Suministro de Bienes y Servicios Privados no Financieros avanzaron 0.1% y los Gastos Totales reales por Consumo de Bienes y Servicios</w:t>
      </w:r>
      <w:r w:rsidRPr="0018046C">
        <w:rPr>
          <w:vertAlign w:val="superscript"/>
          <w:lang w:val="es-MX"/>
        </w:rPr>
        <w:footnoteReference w:id="2"/>
      </w:r>
      <w:r w:rsidRPr="0018046C">
        <w:rPr>
          <w:lang w:val="es-MX"/>
        </w:rPr>
        <w:t xml:space="preserve"> 2.8%; en cambio, el Personal Ocupado Total descendió (</w:t>
      </w:r>
      <w:r w:rsidRPr="0018046C">
        <w:rPr>
          <w:lang w:val="es-MX"/>
        </w:rPr>
        <w:noBreakHyphen/>
        <w:t>)0.6% y las Remuneraciones Totales reales (</w:t>
      </w:r>
      <w:r w:rsidRPr="0018046C">
        <w:rPr>
          <w:lang w:val="es-MX"/>
        </w:rPr>
        <w:noBreakHyphen/>
        <w:t xml:space="preserve">)0.3% frente al mes inmediato anterior. </w:t>
      </w:r>
    </w:p>
    <w:p w:rsidR="000475F1" w:rsidRDefault="000475F1" w:rsidP="000475F1">
      <w:pPr>
        <w:pStyle w:val="p0"/>
        <w:keepNext/>
        <w:spacing w:before="0"/>
        <w:jc w:val="center"/>
        <w:rPr>
          <w:rFonts w:ascii="Arial" w:hAnsi="Arial"/>
          <w:b/>
          <w:smallCaps/>
          <w:color w:val="auto"/>
          <w:sz w:val="22"/>
          <w:szCs w:val="22"/>
          <w:lang w:val="es-MX"/>
        </w:rPr>
      </w:pPr>
    </w:p>
    <w:p w:rsidR="000475F1" w:rsidRPr="00EE6084" w:rsidRDefault="000475F1" w:rsidP="000475F1">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julio </w:t>
      </w:r>
      <w:r w:rsidRPr="00EE6084">
        <w:rPr>
          <w:rFonts w:ascii="Arial" w:hAnsi="Arial"/>
          <w:b/>
          <w:smallCaps/>
          <w:color w:val="auto"/>
          <w:sz w:val="22"/>
          <w:szCs w:val="22"/>
          <w:lang w:val="es-MX"/>
        </w:rPr>
        <w:t>de 201</w:t>
      </w:r>
      <w:r>
        <w:rPr>
          <w:rFonts w:ascii="Arial" w:hAnsi="Arial"/>
          <w:b/>
          <w:smallCaps/>
          <w:color w:val="auto"/>
          <w:sz w:val="22"/>
          <w:szCs w:val="22"/>
          <w:lang w:val="es-MX"/>
        </w:rPr>
        <w:t>9</w:t>
      </w:r>
    </w:p>
    <w:p w:rsidR="000475F1" w:rsidRPr="00EE6084" w:rsidRDefault="000475F1" w:rsidP="000475F1">
      <w:pPr>
        <w:pStyle w:val="Textoindependiente"/>
        <w:spacing w:before="0"/>
        <w:jc w:val="center"/>
        <w:rPr>
          <w:color w:val="auto"/>
          <w:sz w:val="18"/>
        </w:rPr>
      </w:pPr>
      <w:r w:rsidRPr="00EE6084">
        <w:rPr>
          <w:b/>
          <w:smallCaps/>
          <w:color w:val="auto"/>
          <w:sz w:val="22"/>
          <w:lang w:val="es-MX"/>
        </w:rPr>
        <w:t>Cifras desestacionalizadas</w:t>
      </w:r>
    </w:p>
    <w:tbl>
      <w:tblPr>
        <w:tblW w:w="7230" w:type="dxa"/>
        <w:jc w:val="center"/>
        <w:tblLayout w:type="fixed"/>
        <w:tblCellMar>
          <w:left w:w="70" w:type="dxa"/>
          <w:right w:w="70" w:type="dxa"/>
        </w:tblCellMar>
        <w:tblLook w:val="0000" w:firstRow="0" w:lastRow="0" w:firstColumn="0" w:lastColumn="0" w:noHBand="0" w:noVBand="0"/>
      </w:tblPr>
      <w:tblGrid>
        <w:gridCol w:w="4428"/>
        <w:gridCol w:w="1390"/>
        <w:gridCol w:w="1412"/>
      </w:tblGrid>
      <w:tr w:rsidR="000475F1" w:rsidRPr="00EE6084" w:rsidTr="003E10D4">
        <w:trPr>
          <w:cantSplit/>
          <w:trHeight w:val="832"/>
          <w:jc w:val="center"/>
        </w:trPr>
        <w:tc>
          <w:tcPr>
            <w:tcW w:w="4428" w:type="dxa"/>
            <w:tcBorders>
              <w:top w:val="double" w:sz="4" w:space="0" w:color="auto"/>
              <w:left w:val="double" w:sz="4" w:space="0" w:color="auto"/>
              <w:bottom w:val="single" w:sz="8" w:space="0" w:color="404040"/>
              <w:right w:val="single" w:sz="8" w:space="0" w:color="404040"/>
            </w:tcBorders>
            <w:shd w:val="clear" w:color="auto" w:fill="C2D69B"/>
            <w:vAlign w:val="center"/>
          </w:tcPr>
          <w:p w:rsidR="000475F1" w:rsidRPr="00EE6084" w:rsidRDefault="000475F1" w:rsidP="00F652E3">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rsidR="000475F1" w:rsidRPr="00EE6084" w:rsidRDefault="000475F1" w:rsidP="00F652E3">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rsidR="000475F1" w:rsidRPr="00EE6084" w:rsidRDefault="000475F1" w:rsidP="00F652E3">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8</w:t>
            </w:r>
          </w:p>
        </w:tc>
      </w:tr>
      <w:tr w:rsidR="000475F1" w:rsidRPr="00EE6084" w:rsidTr="003E10D4">
        <w:trPr>
          <w:cantSplit/>
          <w:trHeight w:val="20"/>
          <w:jc w:val="center"/>
        </w:trPr>
        <w:tc>
          <w:tcPr>
            <w:tcW w:w="4428" w:type="dxa"/>
            <w:tcBorders>
              <w:top w:val="double" w:sz="4" w:space="0" w:color="auto"/>
              <w:left w:val="double" w:sz="4" w:space="0" w:color="auto"/>
              <w:right w:val="single" w:sz="8" w:space="0" w:color="404040"/>
            </w:tcBorders>
            <w:vAlign w:val="center"/>
          </w:tcPr>
          <w:p w:rsidR="000475F1" w:rsidRPr="00EE6084" w:rsidRDefault="000475F1" w:rsidP="00F652E3">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y </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rsidR="000475F1" w:rsidRPr="00EE6084" w:rsidRDefault="000475F1" w:rsidP="00F652E3">
            <w:pPr>
              <w:tabs>
                <w:tab w:val="left" w:pos="324"/>
                <w:tab w:val="decimal" w:pos="688"/>
              </w:tabs>
              <w:spacing w:before="40" w:after="40"/>
              <w:ind w:right="397"/>
              <w:jc w:val="right"/>
              <w:rPr>
                <w:sz w:val="18"/>
                <w:lang w:val="es-MX" w:eastAsia="es-MX"/>
              </w:rPr>
            </w:pPr>
            <w:r>
              <w:rPr>
                <w:sz w:val="18"/>
              </w:rPr>
              <w:t>0.1</w:t>
            </w:r>
          </w:p>
        </w:tc>
        <w:tc>
          <w:tcPr>
            <w:tcW w:w="1412" w:type="dxa"/>
            <w:tcBorders>
              <w:top w:val="double" w:sz="4" w:space="0" w:color="auto"/>
              <w:left w:val="single" w:sz="8" w:space="0" w:color="404040"/>
              <w:right w:val="double" w:sz="4" w:space="0" w:color="auto"/>
            </w:tcBorders>
            <w:vAlign w:val="center"/>
          </w:tcPr>
          <w:p w:rsidR="000475F1" w:rsidRPr="00EE6084" w:rsidRDefault="000475F1" w:rsidP="00F652E3">
            <w:pPr>
              <w:tabs>
                <w:tab w:val="decimal" w:pos="618"/>
              </w:tabs>
              <w:spacing w:before="40" w:after="40"/>
              <w:jc w:val="left"/>
              <w:rPr>
                <w:sz w:val="18"/>
              </w:rPr>
            </w:pPr>
            <w:r>
              <w:rPr>
                <w:sz w:val="18"/>
              </w:rPr>
              <w:t>(</w:t>
            </w:r>
            <w:r>
              <w:rPr>
                <w:sz w:val="18"/>
              </w:rPr>
              <w:noBreakHyphen/>
              <w:t>)   0.8</w:t>
            </w:r>
          </w:p>
        </w:tc>
      </w:tr>
      <w:tr w:rsidR="000475F1" w:rsidRPr="00EE6084" w:rsidTr="003E10D4">
        <w:trPr>
          <w:cantSplit/>
          <w:trHeight w:val="20"/>
          <w:jc w:val="center"/>
        </w:trPr>
        <w:tc>
          <w:tcPr>
            <w:tcW w:w="4428" w:type="dxa"/>
            <w:tcBorders>
              <w:left w:val="double" w:sz="4" w:space="0" w:color="auto"/>
              <w:right w:val="single" w:sz="8" w:space="0" w:color="404040"/>
            </w:tcBorders>
            <w:vAlign w:val="center"/>
          </w:tcPr>
          <w:p w:rsidR="000475F1" w:rsidRPr="00EE6084" w:rsidRDefault="000475F1" w:rsidP="00F652E3">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rsidR="000475F1" w:rsidRPr="00EE6084" w:rsidRDefault="000475F1" w:rsidP="00F652E3">
            <w:pPr>
              <w:tabs>
                <w:tab w:val="left" w:pos="324"/>
                <w:tab w:val="decimal" w:pos="688"/>
              </w:tabs>
              <w:spacing w:before="40" w:after="40"/>
              <w:ind w:right="397"/>
              <w:jc w:val="right"/>
              <w:rPr>
                <w:sz w:val="18"/>
              </w:rPr>
            </w:pPr>
            <w:r>
              <w:rPr>
                <w:sz w:val="18"/>
              </w:rPr>
              <w:t>(</w:t>
            </w:r>
            <w:r>
              <w:rPr>
                <w:sz w:val="18"/>
              </w:rPr>
              <w:noBreakHyphen/>
              <w:t>)   0.6</w:t>
            </w:r>
          </w:p>
        </w:tc>
        <w:tc>
          <w:tcPr>
            <w:tcW w:w="1412" w:type="dxa"/>
            <w:tcBorders>
              <w:left w:val="single" w:sz="8" w:space="0" w:color="404040"/>
              <w:right w:val="double" w:sz="4" w:space="0" w:color="auto"/>
            </w:tcBorders>
            <w:vAlign w:val="center"/>
          </w:tcPr>
          <w:p w:rsidR="000475F1" w:rsidRPr="00EE6084" w:rsidRDefault="000475F1" w:rsidP="00F652E3">
            <w:pPr>
              <w:tabs>
                <w:tab w:val="decimal" w:pos="618"/>
              </w:tabs>
              <w:spacing w:before="40" w:after="40"/>
              <w:jc w:val="left"/>
              <w:rPr>
                <w:sz w:val="18"/>
              </w:rPr>
            </w:pPr>
            <w:r>
              <w:rPr>
                <w:sz w:val="18"/>
              </w:rPr>
              <w:t>0.0</w:t>
            </w:r>
          </w:p>
        </w:tc>
      </w:tr>
      <w:tr w:rsidR="000475F1" w:rsidRPr="00EE6084" w:rsidTr="003E10D4">
        <w:trPr>
          <w:cantSplit/>
          <w:trHeight w:val="20"/>
          <w:jc w:val="center"/>
        </w:trPr>
        <w:tc>
          <w:tcPr>
            <w:tcW w:w="4428" w:type="dxa"/>
            <w:tcBorders>
              <w:left w:val="double" w:sz="4" w:space="0" w:color="auto"/>
              <w:right w:val="single" w:sz="8" w:space="0" w:color="404040"/>
            </w:tcBorders>
          </w:tcPr>
          <w:p w:rsidR="000475F1" w:rsidRPr="00EE6084" w:rsidRDefault="000475F1" w:rsidP="00F652E3">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rsidR="000475F1" w:rsidRPr="00EE6084" w:rsidRDefault="000475F1" w:rsidP="00F652E3">
            <w:pPr>
              <w:tabs>
                <w:tab w:val="left" w:pos="324"/>
                <w:tab w:val="decimal" w:pos="688"/>
              </w:tabs>
              <w:spacing w:before="40" w:after="40"/>
              <w:ind w:right="397"/>
              <w:jc w:val="right"/>
              <w:rPr>
                <w:sz w:val="18"/>
              </w:rPr>
            </w:pPr>
            <w:r>
              <w:rPr>
                <w:sz w:val="18"/>
              </w:rPr>
              <w:t>2.8</w:t>
            </w:r>
          </w:p>
        </w:tc>
        <w:tc>
          <w:tcPr>
            <w:tcW w:w="1412" w:type="dxa"/>
            <w:tcBorders>
              <w:left w:val="single" w:sz="8" w:space="0" w:color="404040"/>
              <w:right w:val="double" w:sz="4" w:space="0" w:color="auto"/>
            </w:tcBorders>
            <w:vAlign w:val="center"/>
          </w:tcPr>
          <w:p w:rsidR="000475F1" w:rsidRPr="00EE6084" w:rsidRDefault="000475F1" w:rsidP="00F652E3">
            <w:pPr>
              <w:tabs>
                <w:tab w:val="decimal" w:pos="618"/>
              </w:tabs>
              <w:spacing w:before="40" w:after="40"/>
              <w:jc w:val="left"/>
              <w:rPr>
                <w:sz w:val="18"/>
              </w:rPr>
            </w:pPr>
            <w:r>
              <w:rPr>
                <w:sz w:val="18"/>
              </w:rPr>
              <w:t xml:space="preserve">  (</w:t>
            </w:r>
            <w:r>
              <w:rPr>
                <w:sz w:val="18"/>
              </w:rPr>
              <w:noBreakHyphen/>
              <w:t>)   2.0</w:t>
            </w:r>
          </w:p>
        </w:tc>
      </w:tr>
      <w:tr w:rsidR="000475F1" w:rsidRPr="00EE6084" w:rsidTr="003E10D4">
        <w:trPr>
          <w:cantSplit/>
          <w:trHeight w:val="20"/>
          <w:jc w:val="center"/>
        </w:trPr>
        <w:tc>
          <w:tcPr>
            <w:tcW w:w="4428" w:type="dxa"/>
            <w:tcBorders>
              <w:left w:val="double" w:sz="4" w:space="0" w:color="auto"/>
              <w:bottom w:val="double" w:sz="4" w:space="0" w:color="auto"/>
              <w:right w:val="single" w:sz="8" w:space="0" w:color="404040"/>
            </w:tcBorders>
          </w:tcPr>
          <w:p w:rsidR="000475F1" w:rsidRPr="00EE6084" w:rsidRDefault="000475F1" w:rsidP="00F652E3">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rsidR="000475F1" w:rsidRPr="00EE6084" w:rsidRDefault="000475F1" w:rsidP="00F652E3">
            <w:pPr>
              <w:tabs>
                <w:tab w:val="left" w:pos="324"/>
                <w:tab w:val="decimal" w:pos="688"/>
              </w:tabs>
              <w:spacing w:before="40" w:after="40"/>
              <w:ind w:right="397"/>
              <w:jc w:val="right"/>
              <w:rPr>
                <w:sz w:val="18"/>
              </w:rPr>
            </w:pPr>
            <w:r>
              <w:rPr>
                <w:sz w:val="18"/>
              </w:rPr>
              <w:t xml:space="preserve"> (</w:t>
            </w:r>
            <w:r>
              <w:rPr>
                <w:sz w:val="18"/>
              </w:rPr>
              <w:noBreakHyphen/>
              <w:t>)   0.3</w:t>
            </w:r>
          </w:p>
        </w:tc>
        <w:tc>
          <w:tcPr>
            <w:tcW w:w="1412" w:type="dxa"/>
            <w:tcBorders>
              <w:left w:val="single" w:sz="8" w:space="0" w:color="404040"/>
              <w:bottom w:val="double" w:sz="4" w:space="0" w:color="auto"/>
              <w:right w:val="double" w:sz="4" w:space="0" w:color="auto"/>
            </w:tcBorders>
            <w:vAlign w:val="center"/>
          </w:tcPr>
          <w:p w:rsidR="000475F1" w:rsidRPr="00EE6084" w:rsidRDefault="000475F1" w:rsidP="00F652E3">
            <w:pPr>
              <w:tabs>
                <w:tab w:val="decimal" w:pos="618"/>
              </w:tabs>
              <w:spacing w:before="40" w:after="40"/>
              <w:jc w:val="left"/>
              <w:rPr>
                <w:sz w:val="18"/>
              </w:rPr>
            </w:pPr>
            <w:r>
              <w:rPr>
                <w:sz w:val="18"/>
              </w:rPr>
              <w:t>2.4</w:t>
            </w:r>
          </w:p>
        </w:tc>
      </w:tr>
    </w:tbl>
    <w:p w:rsidR="000475F1" w:rsidRPr="00EE6084" w:rsidRDefault="000475F1" w:rsidP="003E10D4">
      <w:pPr>
        <w:pStyle w:val="Textodebloque"/>
        <w:spacing w:before="0"/>
        <w:ind w:left="1134" w:right="1134"/>
        <w:jc w:val="both"/>
        <w:rPr>
          <w:b w:val="0"/>
          <w:caps w:val="0"/>
          <w:sz w:val="16"/>
          <w:szCs w:val="16"/>
        </w:rPr>
      </w:pPr>
      <w:r w:rsidRPr="00EE6084">
        <w:rPr>
          <w:b w:val="0"/>
          <w:caps w:val="0"/>
          <w:sz w:val="16"/>
          <w:szCs w:val="16"/>
        </w:rPr>
        <w:t xml:space="preserve">* En términos reales. </w:t>
      </w:r>
    </w:p>
    <w:p w:rsidR="000475F1" w:rsidRDefault="000475F1" w:rsidP="003E10D4">
      <w:pPr>
        <w:pStyle w:val="Textodebloque"/>
        <w:spacing w:before="0" w:after="360"/>
        <w:ind w:left="1134" w:right="1134"/>
        <w:jc w:val="both"/>
        <w:rPr>
          <w:b w:val="0"/>
          <w:caps w:val="0"/>
          <w:sz w:val="16"/>
          <w:szCs w:val="16"/>
        </w:rPr>
      </w:pPr>
      <w:r w:rsidRPr="00EE6084">
        <w:rPr>
          <w:b w:val="0"/>
          <w:caps w:val="0"/>
          <w:sz w:val="16"/>
          <w:szCs w:val="16"/>
        </w:rPr>
        <w:t>Fuente: INEGI.</w:t>
      </w:r>
    </w:p>
    <w:p w:rsidR="000475F1" w:rsidRDefault="000475F1" w:rsidP="000475F1">
      <w:pPr>
        <w:pStyle w:val="p0"/>
        <w:keepNext/>
        <w:spacing w:before="0"/>
        <w:jc w:val="center"/>
        <w:rPr>
          <w:rFonts w:ascii="Arial" w:hAnsi="Arial"/>
          <w:b/>
          <w:smallCaps/>
          <w:color w:val="auto"/>
          <w:sz w:val="22"/>
          <w:szCs w:val="22"/>
          <w:lang w:val="es-MX"/>
        </w:rPr>
      </w:pPr>
    </w:p>
    <w:p w:rsidR="000475F1" w:rsidRDefault="000475F1" w:rsidP="000475F1">
      <w:pPr>
        <w:pStyle w:val="p0"/>
        <w:keepNext/>
        <w:spacing w:before="0"/>
        <w:jc w:val="center"/>
        <w:rPr>
          <w:rFonts w:ascii="Arial" w:hAnsi="Arial"/>
          <w:b/>
          <w:smallCaps/>
          <w:color w:val="auto"/>
          <w:sz w:val="22"/>
          <w:szCs w:val="22"/>
          <w:lang w:val="es-MX"/>
        </w:rPr>
      </w:pPr>
    </w:p>
    <w:p w:rsidR="000475F1" w:rsidRPr="000E1D4A" w:rsidRDefault="000475F1" w:rsidP="000475F1">
      <w:pPr>
        <w:pStyle w:val="p0"/>
        <w:keepNext/>
        <w:spacing w:before="0"/>
        <w:jc w:val="center"/>
        <w:rPr>
          <w:rFonts w:ascii="Arial" w:hAnsi="Arial"/>
          <w:smallCaps/>
          <w:color w:val="auto"/>
          <w:lang w:val="es-MX"/>
        </w:rPr>
      </w:pPr>
    </w:p>
    <w:p w:rsidR="000475F1" w:rsidRDefault="000475F1" w:rsidP="000475F1">
      <w:pPr>
        <w:pStyle w:val="p0"/>
        <w:keepNext/>
        <w:spacing w:before="0"/>
        <w:jc w:val="center"/>
        <w:rPr>
          <w:rFonts w:ascii="Arial" w:hAnsi="Arial"/>
          <w:b/>
          <w:smallCaps/>
          <w:color w:val="auto"/>
          <w:sz w:val="22"/>
          <w:szCs w:val="22"/>
          <w:lang w:val="es-MX"/>
        </w:rPr>
      </w:pPr>
    </w:p>
    <w:p w:rsidR="000475F1" w:rsidRDefault="000475F1" w:rsidP="000475F1">
      <w:pPr>
        <w:jc w:val="left"/>
        <w:rPr>
          <w:b/>
          <w:sz w:val="22"/>
          <w:szCs w:val="22"/>
          <w:lang w:val="es-MX"/>
        </w:rPr>
      </w:pPr>
      <w:r>
        <w:rPr>
          <w:caps/>
          <w:sz w:val="22"/>
          <w:szCs w:val="22"/>
        </w:rPr>
        <w:br w:type="page"/>
      </w:r>
    </w:p>
    <w:p w:rsidR="000475F1" w:rsidRPr="00487B02" w:rsidRDefault="000475F1" w:rsidP="000475F1">
      <w:pPr>
        <w:spacing w:before="240"/>
        <w:ind w:left="-142" w:right="-263"/>
        <w:rPr>
          <w:lang w:val="es-MX"/>
        </w:rPr>
      </w:pPr>
    </w:p>
    <w:p w:rsidR="000475F1" w:rsidRPr="000232FA" w:rsidRDefault="000475F1" w:rsidP="000475F1">
      <w:pPr>
        <w:spacing w:before="80"/>
        <w:ind w:left="142" w:right="-171"/>
        <w:rPr>
          <w:lang w:val="es-MX"/>
        </w:rPr>
      </w:pPr>
    </w:p>
    <w:p w:rsidR="000475F1" w:rsidRPr="0018046C" w:rsidRDefault="000475F1" w:rsidP="000475F1">
      <w:pPr>
        <w:spacing w:before="120" w:after="360"/>
        <w:ind w:right="-171"/>
        <w:rPr>
          <w:lang w:val="es-MX"/>
        </w:rPr>
      </w:pPr>
      <w:r w:rsidRPr="0018046C">
        <w:rPr>
          <w:lang w:val="es-MX"/>
        </w:rPr>
        <w:t>A tasa anual</w:t>
      </w:r>
      <w:r w:rsidRPr="0018046C">
        <w:rPr>
          <w:vertAlign w:val="superscript"/>
          <w:lang w:val="es-MX"/>
        </w:rPr>
        <w:footnoteReference w:id="3"/>
      </w:r>
      <w:r w:rsidRPr="0018046C">
        <w:rPr>
          <w:lang w:val="es-MX"/>
        </w:rPr>
        <w:t>, el índice agregado de los Ingresos Totales reales por Suministro de Bienes y Servicios mostró un retroceso de (</w:t>
      </w:r>
      <w:r w:rsidRPr="0018046C">
        <w:rPr>
          <w:lang w:val="es-MX"/>
        </w:rPr>
        <w:noBreakHyphen/>
        <w:t>)0.8% y el índice de los Gastos Totales por Consumo de Bienes y Servicios cayó (</w:t>
      </w:r>
      <w:r w:rsidRPr="0018046C">
        <w:rPr>
          <w:lang w:val="es-MX"/>
        </w:rPr>
        <w:noBreakHyphen/>
        <w:t>)2%; en contraste, el de las Remuneraciones Totales creció 2.4 por ciento. El índice del Personal Ocupado Total no observó variación anual en el séptimo mes de 2019.</w:t>
      </w:r>
    </w:p>
    <w:p w:rsidR="000475F1" w:rsidRDefault="000475F1" w:rsidP="000475F1">
      <w:pPr>
        <w:pStyle w:val="p01"/>
        <w:keepLines w:val="0"/>
        <w:tabs>
          <w:tab w:val="left" w:pos="3261"/>
        </w:tabs>
        <w:ind w:left="142" w:right="-171"/>
        <w:outlineLvl w:val="0"/>
        <w:rPr>
          <w:rFonts w:ascii="Arial" w:hAnsi="Arial" w:cs="Arial"/>
          <w:color w:val="000000"/>
          <w:szCs w:val="24"/>
        </w:rPr>
      </w:pPr>
      <w:r w:rsidRPr="000E3FEC">
        <w:rPr>
          <w:rFonts w:ascii="Arial" w:hAnsi="Arial" w:cs="Arial"/>
          <w:color w:val="000000"/>
          <w:szCs w:val="24"/>
        </w:rPr>
        <w:tab/>
        <w:t xml:space="preserve"> </w:t>
      </w:r>
    </w:p>
    <w:p w:rsidR="000475F1" w:rsidRPr="000E1D4A" w:rsidRDefault="000475F1" w:rsidP="000475F1">
      <w:pPr>
        <w:pStyle w:val="p0"/>
      </w:pPr>
    </w:p>
    <w:p w:rsidR="000475F1" w:rsidRPr="003B1ACA" w:rsidRDefault="000475F1" w:rsidP="000475F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rsidR="000475F1" w:rsidRDefault="000475F1" w:rsidP="000475F1">
      <w:pPr>
        <w:tabs>
          <w:tab w:val="left" w:pos="8789"/>
        </w:tabs>
        <w:ind w:right="51"/>
        <w:jc w:val="center"/>
        <w:rPr>
          <w:b/>
          <w:sz w:val="28"/>
        </w:rPr>
      </w:pPr>
    </w:p>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Default="000475F1" w:rsidP="000475F1"/>
    <w:p w:rsidR="000475F1" w:rsidRPr="00451038" w:rsidRDefault="000475F1" w:rsidP="000475F1">
      <w:pPr>
        <w:rPr>
          <w:sz w:val="22"/>
          <w:szCs w:val="22"/>
        </w:rPr>
      </w:pPr>
    </w:p>
    <w:p w:rsidR="000475F1" w:rsidRPr="0013743A" w:rsidRDefault="000475F1" w:rsidP="000475F1">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Para consultas de medios y periodistas, contactar a: </w:t>
      </w:r>
      <w:hyperlink r:id="rId8" w:history="1">
        <w:r w:rsidRPr="0013743A">
          <w:rPr>
            <w:rStyle w:val="Hipervnculo"/>
            <w:rFonts w:ascii="Arial" w:hAnsi="Arial" w:cs="Arial"/>
            <w:sz w:val="22"/>
            <w:szCs w:val="22"/>
          </w:rPr>
          <w:t>comunicacionsocial@inegi.org.mx</w:t>
        </w:r>
      </w:hyperlink>
      <w:r w:rsidRPr="0013743A">
        <w:rPr>
          <w:rFonts w:ascii="Arial" w:hAnsi="Arial" w:cs="Arial"/>
          <w:sz w:val="22"/>
          <w:szCs w:val="22"/>
        </w:rPr>
        <w:t xml:space="preserve"> </w:t>
      </w:r>
    </w:p>
    <w:p w:rsidR="000475F1" w:rsidRPr="0013743A" w:rsidRDefault="000475F1" w:rsidP="000475F1">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o llamar al teléfono (55) 52-78-10-00, </w:t>
      </w:r>
      <w:proofErr w:type="spellStart"/>
      <w:r w:rsidRPr="0013743A">
        <w:rPr>
          <w:rFonts w:ascii="Arial" w:hAnsi="Arial" w:cs="Arial"/>
          <w:sz w:val="22"/>
          <w:szCs w:val="22"/>
        </w:rPr>
        <w:t>exts</w:t>
      </w:r>
      <w:proofErr w:type="spellEnd"/>
      <w:r w:rsidRPr="0013743A">
        <w:rPr>
          <w:rFonts w:ascii="Arial" w:hAnsi="Arial" w:cs="Arial"/>
          <w:sz w:val="22"/>
          <w:szCs w:val="22"/>
        </w:rPr>
        <w:t>. 1134, 1260 y 1241.</w:t>
      </w:r>
    </w:p>
    <w:p w:rsidR="000475F1" w:rsidRPr="0013743A" w:rsidRDefault="000475F1" w:rsidP="000475F1">
      <w:pPr>
        <w:ind w:left="-426" w:right="-518"/>
        <w:contextualSpacing/>
        <w:jc w:val="center"/>
        <w:rPr>
          <w:sz w:val="22"/>
          <w:szCs w:val="22"/>
        </w:rPr>
      </w:pPr>
    </w:p>
    <w:p w:rsidR="000475F1" w:rsidRPr="0013743A" w:rsidRDefault="000475F1" w:rsidP="000475F1">
      <w:pPr>
        <w:ind w:left="-426" w:right="-518"/>
        <w:contextualSpacing/>
        <w:jc w:val="center"/>
        <w:rPr>
          <w:sz w:val="22"/>
          <w:szCs w:val="22"/>
        </w:rPr>
      </w:pPr>
      <w:r w:rsidRPr="0013743A">
        <w:rPr>
          <w:sz w:val="22"/>
          <w:szCs w:val="22"/>
        </w:rPr>
        <w:t>Dirección de Atención a Medios / Dirección General Adjunta de Comunicación</w:t>
      </w:r>
    </w:p>
    <w:p w:rsidR="000475F1" w:rsidRPr="0018046C" w:rsidRDefault="000475F1" w:rsidP="000475F1">
      <w:pPr>
        <w:ind w:left="-426" w:right="-518"/>
        <w:contextualSpacing/>
        <w:jc w:val="center"/>
        <w:rPr>
          <w:sz w:val="22"/>
          <w:szCs w:val="22"/>
        </w:rPr>
      </w:pPr>
    </w:p>
    <w:p w:rsidR="000475F1" w:rsidRPr="008F0992" w:rsidRDefault="000475F1" w:rsidP="000475F1">
      <w:pPr>
        <w:ind w:left="-425" w:right="-516"/>
        <w:contextualSpacing/>
        <w:jc w:val="center"/>
        <w:rPr>
          <w:noProof/>
          <w:lang w:eastAsia="es-MX"/>
        </w:rPr>
      </w:pPr>
      <w:r w:rsidRPr="00FF1218">
        <w:rPr>
          <w:noProof/>
          <w:lang w:val="es-MX" w:eastAsia="es-MX"/>
        </w:rPr>
        <w:drawing>
          <wp:inline distT="0" distB="0" distL="0" distR="0" wp14:anchorId="3CE86B69" wp14:editId="3B6D700A">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7001C0" wp14:editId="140025F4">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BCB736" wp14:editId="36CD8DF3">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CB7C5F" wp14:editId="476EFADD">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79ACC87" wp14:editId="58A4FB28">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0475F1" w:rsidRPr="003C537A" w:rsidRDefault="000475F1" w:rsidP="000475F1">
      <w:pPr>
        <w:pStyle w:val="p0"/>
        <w:rPr>
          <w:strike/>
          <w:sz w:val="8"/>
          <w:szCs w:val="8"/>
        </w:rPr>
      </w:pPr>
    </w:p>
    <w:p w:rsidR="000475F1" w:rsidRDefault="000475F1" w:rsidP="000475F1"/>
    <w:p w:rsidR="000475F1" w:rsidRPr="00157C43" w:rsidRDefault="000475F1" w:rsidP="000475F1">
      <w:pPr>
        <w:pStyle w:val="bullet"/>
        <w:tabs>
          <w:tab w:val="left" w:pos="8789"/>
        </w:tabs>
        <w:spacing w:before="0"/>
        <w:ind w:left="0" w:right="51" w:firstLine="0"/>
        <w:jc w:val="center"/>
        <w:rPr>
          <w:rFonts w:cs="Arial"/>
          <w:szCs w:val="24"/>
        </w:rPr>
        <w:sectPr w:rsidR="000475F1" w:rsidRPr="00157C43" w:rsidSect="00C01480">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rsidR="000475F1" w:rsidRDefault="000475F1" w:rsidP="000475F1">
      <w:pPr>
        <w:pStyle w:val="p0"/>
        <w:keepLines w:val="0"/>
        <w:spacing w:before="0"/>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lastRenderedPageBreak/>
        <w:t>NOTA TÉCNICA</w:t>
      </w:r>
    </w:p>
    <w:p w:rsidR="007C4984" w:rsidRPr="000475F1" w:rsidRDefault="007C4984" w:rsidP="00B25D9B">
      <w:pPr>
        <w:pStyle w:val="Ttulo10"/>
        <w:spacing w:before="120"/>
        <w:rPr>
          <w:sz w:val="28"/>
          <w:szCs w:val="28"/>
        </w:rPr>
      </w:pPr>
      <w:r w:rsidRPr="000475F1">
        <w:rPr>
          <w:sz w:val="28"/>
          <w:szCs w:val="28"/>
        </w:rPr>
        <w:t>INDICADORES DEL SECTOR SERVICIOS</w:t>
      </w:r>
    </w:p>
    <w:p w:rsidR="007C4984" w:rsidRPr="000475F1" w:rsidRDefault="007C4984" w:rsidP="00A820F1">
      <w:pPr>
        <w:pStyle w:val="Profesin"/>
        <w:rPr>
          <w:bCs w:val="0"/>
          <w:sz w:val="26"/>
          <w:szCs w:val="26"/>
        </w:rPr>
      </w:pPr>
      <w:r w:rsidRPr="000475F1">
        <w:rPr>
          <w:sz w:val="26"/>
          <w:szCs w:val="26"/>
        </w:rPr>
        <w:t xml:space="preserve">CIFRAS DURANTE </w:t>
      </w:r>
      <w:r w:rsidR="00CD1ABF" w:rsidRPr="000475F1">
        <w:rPr>
          <w:sz w:val="26"/>
          <w:szCs w:val="26"/>
        </w:rPr>
        <w:t>JU</w:t>
      </w:r>
      <w:r w:rsidR="006F23E4" w:rsidRPr="000475F1">
        <w:rPr>
          <w:sz w:val="26"/>
          <w:szCs w:val="26"/>
        </w:rPr>
        <w:t>l</w:t>
      </w:r>
      <w:r w:rsidR="00CD1ABF" w:rsidRPr="000475F1">
        <w:rPr>
          <w:sz w:val="26"/>
          <w:szCs w:val="26"/>
        </w:rPr>
        <w:t xml:space="preserve">IO </w:t>
      </w:r>
      <w:r w:rsidRPr="000475F1">
        <w:rPr>
          <w:sz w:val="26"/>
          <w:szCs w:val="26"/>
        </w:rPr>
        <w:t>DE 201</w:t>
      </w:r>
      <w:r w:rsidR="00F567D1" w:rsidRPr="000475F1">
        <w:rPr>
          <w:sz w:val="26"/>
          <w:szCs w:val="26"/>
        </w:rPr>
        <w:t>9</w:t>
      </w:r>
    </w:p>
    <w:p w:rsidR="007C4984" w:rsidRPr="000475F1" w:rsidRDefault="007C4984" w:rsidP="007262B9">
      <w:pPr>
        <w:spacing w:after="480"/>
        <w:jc w:val="center"/>
        <w:rPr>
          <w:b/>
          <w:i/>
          <w:spacing w:val="25"/>
        </w:rPr>
      </w:pPr>
      <w:r w:rsidRPr="000475F1">
        <w:rPr>
          <w:b/>
          <w:i/>
          <w:spacing w:val="25"/>
        </w:rPr>
        <w:t>(Cifras desestacionalizadas)</w:t>
      </w:r>
    </w:p>
    <w:p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rsidR="007109AB" w:rsidRPr="007109AB" w:rsidRDefault="007109AB" w:rsidP="007109AB">
      <w:pPr>
        <w:widowControl w:val="0"/>
        <w:spacing w:before="240"/>
        <w:rPr>
          <w:i/>
          <w:u w:val="single"/>
          <w:lang w:val="es-MX"/>
        </w:rPr>
      </w:pPr>
      <w:r w:rsidRPr="007109AB">
        <w:rPr>
          <w:b/>
          <w:i/>
          <w:u w:val="single"/>
          <w:lang w:val="es-MX"/>
        </w:rPr>
        <w:t>Cifras desestacionalizadas</w:t>
      </w:r>
    </w:p>
    <w:p w:rsidR="006267B0" w:rsidRDefault="00562887" w:rsidP="0007038A">
      <w:pPr>
        <w:pStyle w:val="Textoindependiente"/>
        <w:widowControl w:val="0"/>
        <w:spacing w:before="480"/>
        <w:rPr>
          <w:color w:val="auto"/>
          <w:lang w:val="es-MX"/>
        </w:rPr>
      </w:pPr>
      <w:r w:rsidRPr="0040632D">
        <w:rPr>
          <w:color w:val="auto"/>
        </w:rPr>
        <w:t xml:space="preserve">Al eliminar el componente estacional, los Ingresos </w:t>
      </w:r>
      <w:r w:rsidR="0066337D">
        <w:rPr>
          <w:color w:val="auto"/>
        </w:rPr>
        <w:t>T</w:t>
      </w:r>
      <w:r w:rsidR="001A0AF7">
        <w:rPr>
          <w:color w:val="auto"/>
        </w:rPr>
        <w:t xml:space="preserve">otales </w:t>
      </w:r>
      <w:r w:rsidR="0040632D" w:rsidRPr="0040632D">
        <w:rPr>
          <w:color w:val="auto"/>
        </w:rPr>
        <w:t xml:space="preserve">reales </w:t>
      </w:r>
      <w:r w:rsidRPr="0040632D">
        <w:rPr>
          <w:color w:val="auto"/>
        </w:rPr>
        <w:t xml:space="preserve">por </w:t>
      </w:r>
      <w:r w:rsidR="0066337D">
        <w:rPr>
          <w:color w:val="auto"/>
        </w:rPr>
        <w:t>S</w:t>
      </w:r>
      <w:r w:rsidR="001A0AF7">
        <w:rPr>
          <w:color w:val="auto"/>
        </w:rPr>
        <w:t xml:space="preserve">uministro de </w:t>
      </w:r>
      <w:r w:rsidR="00C833A9">
        <w:rPr>
          <w:color w:val="auto"/>
        </w:rPr>
        <w:t>B</w:t>
      </w:r>
      <w:r w:rsidR="001A0AF7">
        <w:rPr>
          <w:color w:val="auto"/>
        </w:rPr>
        <w:t xml:space="preserve">ienes y </w:t>
      </w:r>
      <w:r w:rsidRPr="0040632D">
        <w:rPr>
          <w:color w:val="auto"/>
        </w:rPr>
        <w:t>Servicios Privados no Financieros</w:t>
      </w:r>
      <w:r w:rsidRPr="0040632D">
        <w:rPr>
          <w:color w:val="auto"/>
          <w:vertAlign w:val="superscript"/>
        </w:rPr>
        <w:footnoteReference w:id="4"/>
      </w:r>
      <w:r w:rsidR="003152B9" w:rsidRPr="0040632D">
        <w:rPr>
          <w:color w:val="auto"/>
        </w:rPr>
        <w:t xml:space="preserve"> </w:t>
      </w:r>
      <w:r w:rsidR="00392847">
        <w:rPr>
          <w:color w:val="auto"/>
        </w:rPr>
        <w:t>aumentaron 0.1</w:t>
      </w:r>
      <w:r w:rsidR="00D25126">
        <w:rPr>
          <w:color w:val="auto"/>
        </w:rPr>
        <w:t>%</w:t>
      </w:r>
      <w:r w:rsidR="00392847">
        <w:rPr>
          <w:color w:val="auto"/>
        </w:rPr>
        <w:t xml:space="preserve"> y</w:t>
      </w:r>
      <w:r w:rsidR="009846BA">
        <w:rPr>
          <w:color w:val="auto"/>
        </w:rPr>
        <w:t xml:space="preserve"> </w:t>
      </w:r>
      <w:r w:rsidR="00392847">
        <w:rPr>
          <w:color w:val="auto"/>
          <w:lang w:val="es-MX"/>
        </w:rPr>
        <w:t xml:space="preserve">los </w:t>
      </w:r>
      <w:r w:rsidR="00392847" w:rsidRPr="0040632D">
        <w:rPr>
          <w:color w:val="auto"/>
          <w:lang w:val="es-MX"/>
        </w:rPr>
        <w:t xml:space="preserve">Gastos </w:t>
      </w:r>
      <w:r w:rsidR="00392847">
        <w:rPr>
          <w:color w:val="auto"/>
          <w:lang w:val="es-MX"/>
        </w:rPr>
        <w:t>Totales</w:t>
      </w:r>
      <w:r w:rsidR="0090640F">
        <w:rPr>
          <w:color w:val="auto"/>
          <w:lang w:val="es-MX"/>
        </w:rPr>
        <w:t xml:space="preserve"> reales</w:t>
      </w:r>
      <w:r w:rsidR="00392847">
        <w:rPr>
          <w:color w:val="auto"/>
          <w:lang w:val="es-MX"/>
        </w:rPr>
        <w:t xml:space="preserve"> </w:t>
      </w:r>
      <w:r w:rsidR="00392847" w:rsidRPr="0040632D">
        <w:rPr>
          <w:color w:val="auto"/>
          <w:lang w:val="es-MX"/>
        </w:rPr>
        <w:t xml:space="preserve">por Consumo de Bienes y Servicios </w:t>
      </w:r>
      <w:r w:rsidR="00392847">
        <w:rPr>
          <w:color w:val="auto"/>
          <w:lang w:val="es-MX"/>
        </w:rPr>
        <w:t xml:space="preserve">2.8%; en tanto que </w:t>
      </w:r>
      <w:r w:rsidR="009846BA">
        <w:rPr>
          <w:color w:val="auto"/>
        </w:rPr>
        <w:t xml:space="preserve">el </w:t>
      </w:r>
      <w:r w:rsidR="009846BA" w:rsidRPr="0040632D">
        <w:rPr>
          <w:color w:val="auto"/>
          <w:lang w:val="es-MX"/>
        </w:rPr>
        <w:t>Personal Ocupado</w:t>
      </w:r>
      <w:r w:rsidR="009846BA">
        <w:rPr>
          <w:color w:val="auto"/>
          <w:lang w:val="es-MX"/>
        </w:rPr>
        <w:t xml:space="preserve"> Total </w:t>
      </w:r>
      <w:r w:rsidR="00087287">
        <w:rPr>
          <w:color w:val="auto"/>
          <w:lang w:val="es-MX"/>
        </w:rPr>
        <w:t>descendió (</w:t>
      </w:r>
      <w:r w:rsidR="00087287">
        <w:rPr>
          <w:color w:val="auto"/>
          <w:lang w:val="es-MX"/>
        </w:rPr>
        <w:noBreakHyphen/>
        <w:t>)</w:t>
      </w:r>
      <w:r w:rsidR="009846BA">
        <w:rPr>
          <w:color w:val="auto"/>
          <w:lang w:val="es-MX"/>
        </w:rPr>
        <w:t>0.</w:t>
      </w:r>
      <w:r w:rsidR="00392847">
        <w:rPr>
          <w:color w:val="auto"/>
          <w:lang w:val="es-MX"/>
        </w:rPr>
        <w:t>6</w:t>
      </w:r>
      <w:r w:rsidR="009846BA">
        <w:rPr>
          <w:color w:val="auto"/>
          <w:lang w:val="es-MX"/>
        </w:rPr>
        <w:t xml:space="preserve">% y </w:t>
      </w:r>
      <w:r w:rsidR="00284C6A">
        <w:rPr>
          <w:color w:val="auto"/>
        </w:rPr>
        <w:t xml:space="preserve">las Remuneraciones Totales </w:t>
      </w:r>
      <w:r w:rsidR="0090640F">
        <w:rPr>
          <w:color w:val="auto"/>
        </w:rPr>
        <w:t xml:space="preserve">reales </w:t>
      </w:r>
      <w:r w:rsidR="00392847">
        <w:rPr>
          <w:color w:val="auto"/>
        </w:rPr>
        <w:t>(-)0.3</w:t>
      </w:r>
      <w:r w:rsidR="00284C6A">
        <w:rPr>
          <w:color w:val="auto"/>
          <w:lang w:val="es-MX"/>
        </w:rPr>
        <w:t>%</w:t>
      </w:r>
      <w:r w:rsidR="001E4942">
        <w:rPr>
          <w:color w:val="auto"/>
          <w:lang w:val="es-MX"/>
        </w:rPr>
        <w:t xml:space="preserve"> </w:t>
      </w:r>
      <w:r w:rsidR="007614CD">
        <w:rPr>
          <w:color w:val="auto"/>
        </w:rPr>
        <w:t xml:space="preserve">durante </w:t>
      </w:r>
      <w:r w:rsidR="00CB332C">
        <w:rPr>
          <w:color w:val="auto"/>
        </w:rPr>
        <w:t>ju</w:t>
      </w:r>
      <w:r w:rsidR="00FE1710">
        <w:rPr>
          <w:color w:val="auto"/>
        </w:rPr>
        <w:t>l</w:t>
      </w:r>
      <w:r w:rsidR="00CB332C">
        <w:rPr>
          <w:color w:val="auto"/>
        </w:rPr>
        <w:t xml:space="preserve">io </w:t>
      </w:r>
      <w:r w:rsidR="007614CD">
        <w:rPr>
          <w:color w:val="auto"/>
        </w:rPr>
        <w:t>de 2019 respecto a</w:t>
      </w:r>
      <w:r w:rsidR="005F4D37">
        <w:rPr>
          <w:color w:val="auto"/>
        </w:rPr>
        <w:t xml:space="preserve"> </w:t>
      </w:r>
      <w:r w:rsidR="007614CD">
        <w:rPr>
          <w:color w:val="auto"/>
        </w:rPr>
        <w:t>l</w:t>
      </w:r>
      <w:r w:rsidR="00F5087C">
        <w:rPr>
          <w:color w:val="auto"/>
        </w:rPr>
        <w:t>a</w:t>
      </w:r>
      <w:r w:rsidR="005F4D37">
        <w:rPr>
          <w:color w:val="auto"/>
        </w:rPr>
        <w:t>s del</w:t>
      </w:r>
      <w:r w:rsidR="007614CD">
        <w:rPr>
          <w:color w:val="auto"/>
        </w:rPr>
        <w:t xml:space="preserve"> mes previo.</w:t>
      </w:r>
      <w:r w:rsidR="007614CD">
        <w:rPr>
          <w:color w:val="auto"/>
          <w:lang w:val="es-MX"/>
        </w:rPr>
        <w:t xml:space="preserve"> </w:t>
      </w:r>
    </w:p>
    <w:p w:rsidR="00562887" w:rsidRDefault="00562887" w:rsidP="0007038A">
      <w:pPr>
        <w:pStyle w:val="Textoindependiente"/>
        <w:widowControl w:val="0"/>
        <w:rPr>
          <w:color w:val="auto"/>
        </w:rPr>
      </w:pPr>
      <w:r w:rsidRPr="00562887">
        <w:rPr>
          <w:color w:val="auto"/>
        </w:rPr>
        <w:t>Las siguientes gráficas muestran las series desestacionalizadas y de tenden</w:t>
      </w:r>
      <w:r w:rsidR="004619E2">
        <w:rPr>
          <w:color w:val="auto"/>
        </w:rPr>
        <w:t>cia</w:t>
      </w:r>
      <w:r w:rsidR="004619E2">
        <w:rPr>
          <w:color w:val="auto"/>
        </w:rPr>
        <w:noBreakHyphen/>
        <w:t>ciclo de los indicadores de este</w:t>
      </w:r>
      <w:r w:rsidRPr="00562887">
        <w:rPr>
          <w:color w:val="auto"/>
        </w:rPr>
        <w:t xml:space="preserve"> sector.</w:t>
      </w:r>
    </w:p>
    <w:p w:rsidR="00562887" w:rsidRPr="00562887" w:rsidRDefault="00562887" w:rsidP="0007038A">
      <w:pPr>
        <w:pStyle w:val="p0"/>
        <w:keepNext/>
        <w:jc w:val="center"/>
        <w:rPr>
          <w:rFonts w:ascii="Arial" w:hAnsi="Arial"/>
          <w:b/>
          <w:smallCaps/>
          <w:color w:val="auto"/>
          <w:sz w:val="22"/>
          <w:lang w:val="es-MX"/>
        </w:rPr>
      </w:pPr>
      <w:r w:rsidRPr="00562887">
        <w:rPr>
          <w:rFonts w:ascii="Arial" w:hAnsi="Arial"/>
          <w:color w:val="auto"/>
          <w:sz w:val="20"/>
        </w:rPr>
        <w:t>Gráfica 1</w:t>
      </w:r>
    </w:p>
    <w:p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6C12B3">
        <w:rPr>
          <w:rFonts w:ascii="Arial" w:hAnsi="Arial"/>
          <w:b/>
          <w:smallCaps/>
          <w:color w:val="auto"/>
          <w:sz w:val="22"/>
          <w:szCs w:val="22"/>
          <w:lang w:val="es-ES"/>
        </w:rPr>
        <w:t xml:space="preserve"> </w:t>
      </w:r>
      <w:r w:rsidR="00CB332C">
        <w:rPr>
          <w:rFonts w:ascii="Arial" w:hAnsi="Arial"/>
          <w:b/>
          <w:smallCaps/>
          <w:color w:val="auto"/>
          <w:sz w:val="22"/>
          <w:szCs w:val="22"/>
          <w:lang w:val="es-ES"/>
        </w:rPr>
        <w:t>ju</w:t>
      </w:r>
      <w:r w:rsidR="00850BA7">
        <w:rPr>
          <w:rFonts w:ascii="Arial" w:hAnsi="Arial"/>
          <w:b/>
          <w:smallCaps/>
          <w:color w:val="auto"/>
          <w:sz w:val="22"/>
          <w:szCs w:val="22"/>
          <w:lang w:val="es-ES"/>
        </w:rPr>
        <w:t>l</w:t>
      </w:r>
      <w:r w:rsidR="00CB332C">
        <w:rPr>
          <w:rFonts w:ascii="Arial" w:hAnsi="Arial"/>
          <w:b/>
          <w:smallCaps/>
          <w:color w:val="auto"/>
          <w:sz w:val="22"/>
          <w:szCs w:val="22"/>
          <w:lang w:val="es-ES"/>
        </w:rPr>
        <w:t xml:space="preserve">io </w:t>
      </w:r>
      <w:r w:rsidR="00562887" w:rsidRPr="00562887">
        <w:rPr>
          <w:rFonts w:ascii="Arial" w:hAnsi="Arial"/>
          <w:b/>
          <w:smallCaps/>
          <w:color w:val="auto"/>
          <w:sz w:val="22"/>
          <w:lang w:val="es-MX"/>
        </w:rPr>
        <w:t>de 201</w:t>
      </w:r>
      <w:r w:rsidR="00687633">
        <w:rPr>
          <w:rFonts w:ascii="Arial" w:hAnsi="Arial"/>
          <w:b/>
          <w:smallCaps/>
          <w:color w:val="auto"/>
          <w:sz w:val="22"/>
          <w:lang w:val="es-MX"/>
        </w:rPr>
        <w:t>9</w:t>
      </w:r>
    </w:p>
    <w:p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rsidR="00562887" w:rsidRPr="004D384E" w:rsidRDefault="00C8282D" w:rsidP="00562887">
      <w:pPr>
        <w:widowControl w:val="0"/>
        <w:jc w:val="center"/>
        <w:rPr>
          <w:sz w:val="18"/>
          <w:szCs w:val="18"/>
          <w:lang w:val="es-MX"/>
        </w:rPr>
      </w:pPr>
      <w:r>
        <w:rPr>
          <w:noProof/>
          <w:lang w:val="es-MX" w:eastAsia="es-MX"/>
        </w:rPr>
        <w:drawing>
          <wp:inline distT="0" distB="0" distL="0" distR="0" wp14:anchorId="5A4A816E" wp14:editId="7375BC6B">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2887" w:rsidRPr="00527344" w:rsidRDefault="00562887" w:rsidP="00527344">
      <w:pPr>
        <w:pStyle w:val="Textoindependiente"/>
        <w:widowControl w:val="0"/>
        <w:spacing w:before="20"/>
        <w:ind w:left="1123"/>
        <w:rPr>
          <w:color w:val="auto"/>
          <w:sz w:val="16"/>
          <w:lang w:val="es-MX"/>
        </w:rPr>
      </w:pPr>
      <w:r w:rsidRPr="00527344">
        <w:rPr>
          <w:color w:val="auto"/>
          <w:sz w:val="16"/>
          <w:lang w:val="es-MX"/>
        </w:rPr>
        <w:t>Fuente: INEGI.</w:t>
      </w:r>
    </w:p>
    <w:p w:rsidR="00EA47F4" w:rsidRDefault="00EA47F4">
      <w:pPr>
        <w:jc w:val="left"/>
        <w:rPr>
          <w:snapToGrid w:val="0"/>
          <w:sz w:val="20"/>
        </w:rPr>
      </w:pPr>
      <w:r>
        <w:rPr>
          <w:sz w:val="20"/>
        </w:rPr>
        <w:br w:type="page"/>
      </w:r>
    </w:p>
    <w:p w:rsidR="00553E30" w:rsidRDefault="00553E30" w:rsidP="00562887">
      <w:pPr>
        <w:pStyle w:val="p0"/>
        <w:keepLines w:val="0"/>
        <w:spacing w:before="0"/>
        <w:jc w:val="center"/>
        <w:rPr>
          <w:rFonts w:ascii="Arial" w:hAnsi="Arial"/>
          <w:color w:val="auto"/>
          <w:sz w:val="20"/>
        </w:rPr>
      </w:pPr>
    </w:p>
    <w:p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837766">
        <w:rPr>
          <w:rFonts w:ascii="Arial" w:hAnsi="Arial"/>
          <w:b/>
          <w:smallCaps/>
          <w:color w:val="auto"/>
          <w:sz w:val="22"/>
          <w:szCs w:val="22"/>
          <w:lang w:val="es-ES"/>
        </w:rPr>
        <w:t xml:space="preserve"> </w:t>
      </w:r>
      <w:r w:rsidR="00CB332C">
        <w:rPr>
          <w:rFonts w:ascii="Arial" w:hAnsi="Arial"/>
          <w:b/>
          <w:smallCaps/>
          <w:color w:val="auto"/>
          <w:sz w:val="22"/>
          <w:szCs w:val="22"/>
          <w:lang w:val="es-ES"/>
        </w:rPr>
        <w:t>ju</w:t>
      </w:r>
      <w:r w:rsidR="006F23E4">
        <w:rPr>
          <w:rFonts w:ascii="Arial" w:hAnsi="Arial"/>
          <w:b/>
          <w:smallCaps/>
          <w:color w:val="auto"/>
          <w:sz w:val="22"/>
          <w:szCs w:val="22"/>
          <w:lang w:val="es-ES"/>
        </w:rPr>
        <w:t>l</w:t>
      </w:r>
      <w:r w:rsidR="00CB332C">
        <w:rPr>
          <w:rFonts w:ascii="Arial" w:hAnsi="Arial"/>
          <w:b/>
          <w:smallCaps/>
          <w:color w:val="auto"/>
          <w:sz w:val="22"/>
          <w:szCs w:val="22"/>
          <w:lang w:val="es-ES"/>
        </w:rPr>
        <w:t xml:space="preserve">io </w:t>
      </w:r>
      <w:r w:rsidRPr="00562887">
        <w:rPr>
          <w:rFonts w:ascii="Arial" w:hAnsi="Arial"/>
          <w:b/>
          <w:smallCaps/>
          <w:color w:val="auto"/>
          <w:sz w:val="22"/>
          <w:lang w:val="es-MX"/>
        </w:rPr>
        <w:t>de 201</w:t>
      </w:r>
      <w:r w:rsidR="00001694">
        <w:rPr>
          <w:rFonts w:ascii="Arial" w:hAnsi="Arial"/>
          <w:b/>
          <w:smallCaps/>
          <w:color w:val="auto"/>
          <w:sz w:val="22"/>
          <w:lang w:val="es-MX"/>
        </w:rPr>
        <w:t>9</w:t>
      </w:r>
    </w:p>
    <w:p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rsidR="00562887" w:rsidRDefault="00C8282D" w:rsidP="00562887">
      <w:pPr>
        <w:widowControl w:val="0"/>
        <w:jc w:val="center"/>
        <w:rPr>
          <w:sz w:val="18"/>
          <w:szCs w:val="18"/>
          <w:lang w:val="es-MX"/>
        </w:rPr>
      </w:pPr>
      <w:r>
        <w:rPr>
          <w:noProof/>
          <w:lang w:val="es-MX" w:eastAsia="es-MX"/>
        </w:rPr>
        <w:drawing>
          <wp:inline distT="0" distB="0" distL="0" distR="0" wp14:anchorId="5EC7CE67" wp14:editId="49631F0B">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2887" w:rsidRPr="00562887" w:rsidRDefault="00562887" w:rsidP="00527344">
      <w:pPr>
        <w:pStyle w:val="Textoindependiente"/>
        <w:widowControl w:val="0"/>
        <w:spacing w:before="20"/>
        <w:ind w:left="1123"/>
        <w:rPr>
          <w:color w:val="auto"/>
        </w:rPr>
      </w:pPr>
      <w:r w:rsidRPr="00562887">
        <w:rPr>
          <w:color w:val="auto"/>
          <w:sz w:val="16"/>
          <w:lang w:val="es-MX"/>
        </w:rPr>
        <w:t>Fuente: INEGI.</w:t>
      </w:r>
    </w:p>
    <w:p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9A5FE2">
        <w:rPr>
          <w:rFonts w:ascii="Arial" w:hAnsi="Arial"/>
          <w:b/>
          <w:smallCaps/>
          <w:color w:val="auto"/>
          <w:sz w:val="22"/>
          <w:szCs w:val="22"/>
          <w:lang w:val="es-ES"/>
        </w:rPr>
        <w:t xml:space="preserve"> </w:t>
      </w:r>
      <w:r w:rsidR="00CB332C">
        <w:rPr>
          <w:rFonts w:ascii="Arial" w:hAnsi="Arial"/>
          <w:b/>
          <w:smallCaps/>
          <w:color w:val="auto"/>
          <w:sz w:val="22"/>
          <w:szCs w:val="22"/>
          <w:lang w:val="es-ES"/>
        </w:rPr>
        <w:t>ju</w:t>
      </w:r>
      <w:r w:rsidR="006F23E4">
        <w:rPr>
          <w:rFonts w:ascii="Arial" w:hAnsi="Arial"/>
          <w:b/>
          <w:smallCaps/>
          <w:color w:val="auto"/>
          <w:sz w:val="22"/>
          <w:szCs w:val="22"/>
          <w:lang w:val="es-ES"/>
        </w:rPr>
        <w:t>l</w:t>
      </w:r>
      <w:r w:rsidR="00CB332C">
        <w:rPr>
          <w:rFonts w:ascii="Arial" w:hAnsi="Arial"/>
          <w:b/>
          <w:smallCaps/>
          <w:color w:val="auto"/>
          <w:sz w:val="22"/>
          <w:szCs w:val="22"/>
          <w:lang w:val="es-ES"/>
        </w:rPr>
        <w:t xml:space="preserve">io </w:t>
      </w:r>
      <w:r w:rsidR="00562887" w:rsidRPr="00562887">
        <w:rPr>
          <w:rFonts w:ascii="Arial" w:hAnsi="Arial"/>
          <w:b/>
          <w:smallCaps/>
          <w:color w:val="auto"/>
          <w:sz w:val="22"/>
          <w:lang w:val="es-MX"/>
        </w:rPr>
        <w:t>de 201</w:t>
      </w:r>
      <w:r w:rsidR="00001694">
        <w:rPr>
          <w:rFonts w:ascii="Arial" w:hAnsi="Arial"/>
          <w:b/>
          <w:smallCaps/>
          <w:color w:val="auto"/>
          <w:sz w:val="22"/>
          <w:lang w:val="es-MX"/>
        </w:rPr>
        <w:t>9</w:t>
      </w:r>
    </w:p>
    <w:p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8F13AA" w:rsidP="00562887">
      <w:pPr>
        <w:widowControl w:val="0"/>
        <w:jc w:val="center"/>
        <w:rPr>
          <w:sz w:val="18"/>
          <w:szCs w:val="18"/>
          <w:lang w:val="es-MX"/>
        </w:rPr>
      </w:pPr>
      <w:r>
        <w:rPr>
          <w:sz w:val="18"/>
          <w:szCs w:val="18"/>
          <w:lang w:val="es-MX"/>
        </w:rPr>
        <w:t xml:space="preserve"> (Índice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rsidR="00562887" w:rsidRDefault="00C8282D" w:rsidP="00562887">
      <w:pPr>
        <w:widowControl w:val="0"/>
        <w:jc w:val="center"/>
        <w:rPr>
          <w:sz w:val="18"/>
          <w:szCs w:val="18"/>
          <w:lang w:val="es-MX"/>
        </w:rPr>
      </w:pPr>
      <w:r>
        <w:rPr>
          <w:noProof/>
          <w:lang w:val="es-MX" w:eastAsia="es-MX"/>
        </w:rPr>
        <w:drawing>
          <wp:inline distT="0" distB="0" distL="0" distR="0" wp14:anchorId="1CE8818F" wp14:editId="23DF62FB">
            <wp:extent cx="4680000" cy="2520000"/>
            <wp:effectExtent l="0" t="0" r="25400" b="13970"/>
            <wp:docPr id="4" name="Gráfico 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2887" w:rsidRPr="00562887" w:rsidRDefault="00562887" w:rsidP="00527344">
      <w:pPr>
        <w:pStyle w:val="Textoindependiente"/>
        <w:widowControl w:val="0"/>
        <w:spacing w:before="20"/>
        <w:ind w:left="1123"/>
        <w:rPr>
          <w:color w:val="auto"/>
          <w:sz w:val="16"/>
          <w:lang w:val="es-MX"/>
        </w:rPr>
      </w:pPr>
      <w:r w:rsidRPr="00562887">
        <w:rPr>
          <w:color w:val="auto"/>
          <w:sz w:val="16"/>
          <w:lang w:val="es-MX"/>
        </w:rPr>
        <w:t>Fuente: INEGI.</w:t>
      </w:r>
    </w:p>
    <w:p w:rsidR="00553E30" w:rsidRDefault="00553E30" w:rsidP="00527344">
      <w:pPr>
        <w:pStyle w:val="p0"/>
        <w:keepNext/>
        <w:spacing w:before="0"/>
        <w:jc w:val="center"/>
        <w:rPr>
          <w:rFonts w:ascii="Arial" w:hAnsi="Arial"/>
          <w:color w:val="auto"/>
          <w:sz w:val="20"/>
        </w:rPr>
      </w:pPr>
    </w:p>
    <w:p w:rsidR="00EA47F4" w:rsidRDefault="00EA47F4">
      <w:pPr>
        <w:jc w:val="left"/>
        <w:rPr>
          <w:snapToGrid w:val="0"/>
          <w:sz w:val="20"/>
        </w:rPr>
      </w:pPr>
      <w:r>
        <w:rPr>
          <w:sz w:val="20"/>
        </w:rPr>
        <w:br w:type="page"/>
      </w:r>
    </w:p>
    <w:p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lastRenderedPageBreak/>
        <w:t>Gráfica 4</w:t>
      </w:r>
    </w:p>
    <w:p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B07DDC">
        <w:rPr>
          <w:rFonts w:ascii="Arial" w:hAnsi="Arial"/>
          <w:b/>
          <w:smallCaps/>
          <w:color w:val="auto"/>
          <w:sz w:val="22"/>
          <w:szCs w:val="22"/>
          <w:lang w:val="es-ES"/>
        </w:rPr>
        <w:t xml:space="preserve"> </w:t>
      </w:r>
      <w:r w:rsidR="00CE52F6">
        <w:rPr>
          <w:rFonts w:ascii="Arial" w:hAnsi="Arial"/>
          <w:b/>
          <w:smallCaps/>
          <w:color w:val="auto"/>
          <w:sz w:val="22"/>
          <w:szCs w:val="22"/>
          <w:lang w:val="es-ES"/>
        </w:rPr>
        <w:t>ju</w:t>
      </w:r>
      <w:r w:rsidR="006F23E4">
        <w:rPr>
          <w:rFonts w:ascii="Arial" w:hAnsi="Arial"/>
          <w:b/>
          <w:smallCaps/>
          <w:color w:val="auto"/>
          <w:sz w:val="22"/>
          <w:szCs w:val="22"/>
          <w:lang w:val="es-ES"/>
        </w:rPr>
        <w:t>l</w:t>
      </w:r>
      <w:r w:rsidR="00CE52F6">
        <w:rPr>
          <w:rFonts w:ascii="Arial" w:hAnsi="Arial"/>
          <w:b/>
          <w:smallCaps/>
          <w:color w:val="auto"/>
          <w:sz w:val="22"/>
          <w:szCs w:val="22"/>
          <w:lang w:val="es-ES"/>
        </w:rPr>
        <w:t>io</w:t>
      </w:r>
      <w:r w:rsidRPr="00562887">
        <w:rPr>
          <w:rFonts w:ascii="Arial" w:hAnsi="Arial"/>
          <w:b/>
          <w:smallCaps/>
          <w:color w:val="auto"/>
          <w:sz w:val="22"/>
          <w:lang w:val="es-MX"/>
        </w:rPr>
        <w:t xml:space="preserve"> </w:t>
      </w:r>
      <w:r w:rsidR="000D44D4">
        <w:rPr>
          <w:rFonts w:ascii="Arial" w:hAnsi="Arial"/>
          <w:b/>
          <w:smallCaps/>
          <w:color w:val="auto"/>
          <w:sz w:val="22"/>
          <w:lang w:val="es-MX"/>
        </w:rPr>
        <w:t xml:space="preserve">de </w:t>
      </w:r>
      <w:r w:rsidRPr="00562887">
        <w:rPr>
          <w:rFonts w:ascii="Arial" w:hAnsi="Arial"/>
          <w:b/>
          <w:smallCaps/>
          <w:color w:val="auto"/>
          <w:sz w:val="22"/>
          <w:lang w:val="es-MX"/>
        </w:rPr>
        <w:t>201</w:t>
      </w:r>
      <w:r w:rsidR="007132CE">
        <w:rPr>
          <w:rFonts w:ascii="Arial" w:hAnsi="Arial"/>
          <w:b/>
          <w:smallCaps/>
          <w:color w:val="auto"/>
          <w:sz w:val="22"/>
          <w:lang w:val="es-MX"/>
        </w:rPr>
        <w:t>9</w:t>
      </w:r>
    </w:p>
    <w:p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rsidR="00562887" w:rsidRDefault="0090345D" w:rsidP="0090345D">
      <w:pPr>
        <w:keepNext/>
        <w:keepLines/>
        <w:widowControl w:val="0"/>
        <w:jc w:val="center"/>
        <w:rPr>
          <w:sz w:val="18"/>
          <w:szCs w:val="18"/>
          <w:lang w:val="es-MX"/>
        </w:rPr>
      </w:pPr>
      <w:r>
        <w:rPr>
          <w:sz w:val="18"/>
          <w:szCs w:val="18"/>
          <w:lang w:val="es-MX"/>
        </w:rPr>
        <w:t xml:space="preserve"> (Índice 2013</w:t>
      </w:r>
      <w:r w:rsidRPr="00E53B2D">
        <w:rPr>
          <w:sz w:val="18"/>
          <w:szCs w:val="18"/>
          <w:lang w:val="es-MX"/>
        </w:rPr>
        <w:t>=100)</w:t>
      </w:r>
    </w:p>
    <w:p w:rsidR="00562887" w:rsidRDefault="00C8282D" w:rsidP="00527344">
      <w:pPr>
        <w:keepNext/>
        <w:keepLines/>
        <w:widowControl w:val="0"/>
        <w:jc w:val="center"/>
        <w:rPr>
          <w:sz w:val="18"/>
          <w:szCs w:val="18"/>
          <w:lang w:val="es-MX"/>
        </w:rPr>
      </w:pPr>
      <w:r>
        <w:rPr>
          <w:noProof/>
          <w:lang w:val="es-MX" w:eastAsia="es-MX"/>
        </w:rPr>
        <w:drawing>
          <wp:inline distT="0" distB="0" distL="0" distR="0" wp14:anchorId="5A22343C" wp14:editId="0287BF05">
            <wp:extent cx="4680000" cy="2520000"/>
            <wp:effectExtent l="0" t="0" r="25400" b="13970"/>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2887" w:rsidRPr="00EE6084" w:rsidRDefault="00562887" w:rsidP="00067123">
      <w:pPr>
        <w:pStyle w:val="Textoindependiente"/>
        <w:widowControl w:val="0"/>
        <w:spacing w:before="20"/>
        <w:ind w:left="1123"/>
        <w:rPr>
          <w:color w:val="auto"/>
          <w:sz w:val="16"/>
          <w:lang w:val="es-MX"/>
        </w:rPr>
      </w:pPr>
      <w:r w:rsidRPr="00562887">
        <w:rPr>
          <w:color w:val="auto"/>
          <w:sz w:val="16"/>
          <w:lang w:val="es-MX"/>
        </w:rPr>
        <w:t>Fuente: INEGI.</w:t>
      </w:r>
    </w:p>
    <w:p w:rsidR="00562887" w:rsidRPr="00562887" w:rsidRDefault="00562887" w:rsidP="00067123">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CE52F6">
        <w:rPr>
          <w:rFonts w:ascii="Arial" w:hAnsi="Arial"/>
          <w:b/>
          <w:smallCaps/>
          <w:color w:val="auto"/>
          <w:sz w:val="22"/>
          <w:szCs w:val="22"/>
          <w:lang w:val="es-MX"/>
        </w:rPr>
        <w:t>ju</w:t>
      </w:r>
      <w:r w:rsidR="006F23E4">
        <w:rPr>
          <w:rFonts w:ascii="Arial" w:hAnsi="Arial"/>
          <w:b/>
          <w:smallCaps/>
          <w:color w:val="auto"/>
          <w:sz w:val="22"/>
          <w:szCs w:val="22"/>
          <w:lang w:val="es-MX"/>
        </w:rPr>
        <w:t>l</w:t>
      </w:r>
      <w:r w:rsidR="00CE52F6">
        <w:rPr>
          <w:rFonts w:ascii="Arial" w:hAnsi="Arial"/>
          <w:b/>
          <w:smallCaps/>
          <w:color w:val="auto"/>
          <w:sz w:val="22"/>
          <w:szCs w:val="22"/>
          <w:lang w:val="es-MX"/>
        </w:rPr>
        <w:t xml:space="preserve">io </w:t>
      </w:r>
      <w:r w:rsidRPr="00562887">
        <w:rPr>
          <w:rFonts w:ascii="Arial" w:hAnsi="Arial"/>
          <w:b/>
          <w:smallCaps/>
          <w:color w:val="auto"/>
          <w:sz w:val="22"/>
          <w:szCs w:val="22"/>
          <w:lang w:val="es-MX"/>
        </w:rPr>
        <w:t>de 201</w:t>
      </w:r>
      <w:r w:rsidR="007132CE">
        <w:rPr>
          <w:rFonts w:ascii="Arial" w:hAnsi="Arial"/>
          <w:b/>
          <w:smallCaps/>
          <w:color w:val="auto"/>
          <w:sz w:val="22"/>
          <w:szCs w:val="22"/>
          <w:lang w:val="es-MX"/>
        </w:rPr>
        <w:t>9</w:t>
      </w:r>
    </w:p>
    <w:p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39"/>
        <w:gridCol w:w="3783"/>
        <w:gridCol w:w="1178"/>
        <w:gridCol w:w="1178"/>
        <w:gridCol w:w="1178"/>
        <w:gridCol w:w="1179"/>
      </w:tblGrid>
      <w:tr w:rsidR="007422F1" w:rsidRPr="00904225"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r>
      <w:tr w:rsidR="00527344" w:rsidRPr="00904225" w:rsidTr="00EE6084">
        <w:trPr>
          <w:cantSplit/>
          <w:trHeight w:val="20"/>
          <w:jc w:val="center"/>
        </w:trPr>
        <w:tc>
          <w:tcPr>
            <w:tcW w:w="738" w:type="dxa"/>
            <w:tcBorders>
              <w:top w:val="double" w:sz="4" w:space="0" w:color="auto"/>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rsidR="00527344" w:rsidRPr="00527344" w:rsidRDefault="00E0280B" w:rsidP="00441DBA">
            <w:pPr>
              <w:widowControl w:val="0"/>
              <w:tabs>
                <w:tab w:val="decimal" w:pos="625"/>
              </w:tabs>
              <w:spacing w:before="40" w:after="40"/>
              <w:ind w:right="284"/>
              <w:jc w:val="right"/>
              <w:rPr>
                <w:color w:val="000000"/>
                <w:sz w:val="18"/>
                <w:szCs w:val="18"/>
                <w:lang w:val="es-MX" w:eastAsia="es-MX"/>
              </w:rPr>
            </w:pPr>
            <w:r>
              <w:rPr>
                <w:color w:val="000000"/>
                <w:sz w:val="18"/>
                <w:szCs w:val="18"/>
              </w:rPr>
              <w:t>0.7</w:t>
            </w:r>
          </w:p>
        </w:tc>
        <w:tc>
          <w:tcPr>
            <w:tcW w:w="1178" w:type="dxa"/>
            <w:tcBorders>
              <w:top w:val="double" w:sz="4" w:space="0" w:color="auto"/>
              <w:left w:val="single" w:sz="8" w:space="0" w:color="404040"/>
              <w:right w:val="single" w:sz="8" w:space="0" w:color="404040"/>
            </w:tcBorders>
            <w:vAlign w:val="center"/>
          </w:tcPr>
          <w:p w:rsidR="00527344" w:rsidRPr="00527344" w:rsidRDefault="00E0280B" w:rsidP="00BA5886">
            <w:pPr>
              <w:widowControl w:val="0"/>
              <w:tabs>
                <w:tab w:val="decimal" w:pos="625"/>
              </w:tabs>
              <w:spacing w:before="40" w:after="40"/>
              <w:ind w:right="340"/>
              <w:jc w:val="right"/>
              <w:rPr>
                <w:color w:val="000000"/>
                <w:sz w:val="18"/>
                <w:szCs w:val="18"/>
              </w:rPr>
            </w:pPr>
            <w:r>
              <w:rPr>
                <w:color w:val="000000"/>
                <w:sz w:val="18"/>
                <w:szCs w:val="18"/>
              </w:rPr>
              <w:t>1.7</w:t>
            </w:r>
          </w:p>
        </w:tc>
        <w:tc>
          <w:tcPr>
            <w:tcW w:w="1178" w:type="dxa"/>
            <w:tcBorders>
              <w:top w:val="double" w:sz="4" w:space="0" w:color="auto"/>
              <w:left w:val="single" w:sz="8" w:space="0" w:color="404040"/>
              <w:right w:val="single" w:sz="8" w:space="0" w:color="404040"/>
            </w:tcBorders>
            <w:vAlign w:val="center"/>
          </w:tcPr>
          <w:p w:rsidR="00527344" w:rsidRPr="00527344" w:rsidRDefault="000A7E58" w:rsidP="001070CC">
            <w:pPr>
              <w:widowControl w:val="0"/>
              <w:tabs>
                <w:tab w:val="left" w:pos="205"/>
                <w:tab w:val="decimal" w:pos="625"/>
              </w:tabs>
              <w:spacing w:before="40" w:after="40"/>
              <w:ind w:right="284"/>
              <w:jc w:val="right"/>
              <w:rPr>
                <w:color w:val="000000"/>
                <w:sz w:val="18"/>
                <w:szCs w:val="18"/>
              </w:rPr>
            </w:pPr>
            <w:r>
              <w:rPr>
                <w:color w:val="000000"/>
                <w:sz w:val="18"/>
                <w:szCs w:val="18"/>
              </w:rPr>
              <w:t>0.5</w:t>
            </w:r>
          </w:p>
        </w:tc>
        <w:tc>
          <w:tcPr>
            <w:tcW w:w="1179" w:type="dxa"/>
            <w:tcBorders>
              <w:top w:val="double" w:sz="4" w:space="0" w:color="auto"/>
              <w:left w:val="single" w:sz="8" w:space="0" w:color="404040"/>
              <w:right w:val="double" w:sz="4" w:space="0" w:color="auto"/>
            </w:tcBorders>
            <w:vAlign w:val="center"/>
          </w:tcPr>
          <w:p w:rsidR="00527344" w:rsidRPr="00527344" w:rsidRDefault="000A7E58" w:rsidP="00B81D30">
            <w:pPr>
              <w:widowControl w:val="0"/>
              <w:tabs>
                <w:tab w:val="decimal" w:pos="625"/>
              </w:tabs>
              <w:spacing w:before="40" w:after="40"/>
              <w:ind w:right="284"/>
              <w:jc w:val="right"/>
              <w:rPr>
                <w:color w:val="000000"/>
                <w:sz w:val="18"/>
                <w:szCs w:val="18"/>
              </w:rPr>
            </w:pPr>
            <w:r>
              <w:rPr>
                <w:color w:val="000000"/>
                <w:sz w:val="18"/>
                <w:szCs w:val="18"/>
              </w:rPr>
              <w:t>1.3</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rsidR="00527344" w:rsidRPr="00527344" w:rsidRDefault="00AF40FC" w:rsidP="00AF40FC">
            <w:pPr>
              <w:widowControl w:val="0"/>
              <w:tabs>
                <w:tab w:val="decimal" w:pos="625"/>
              </w:tabs>
              <w:spacing w:before="40" w:after="40"/>
              <w:ind w:right="284"/>
              <w:jc w:val="right"/>
              <w:rPr>
                <w:color w:val="000000"/>
                <w:sz w:val="18"/>
                <w:szCs w:val="18"/>
              </w:rPr>
            </w:pPr>
            <w:r>
              <w:rPr>
                <w:color w:val="000000"/>
                <w:sz w:val="18"/>
                <w:szCs w:val="18"/>
              </w:rPr>
              <w:t>0.</w:t>
            </w:r>
            <w:r w:rsidR="00163806">
              <w:rPr>
                <w:color w:val="000000"/>
                <w:sz w:val="18"/>
                <w:szCs w:val="18"/>
              </w:rPr>
              <w:t>8</w:t>
            </w:r>
          </w:p>
        </w:tc>
        <w:tc>
          <w:tcPr>
            <w:tcW w:w="1178" w:type="dxa"/>
            <w:tcBorders>
              <w:left w:val="single" w:sz="8" w:space="0" w:color="404040"/>
              <w:right w:val="single" w:sz="8" w:space="0" w:color="404040"/>
            </w:tcBorders>
            <w:vAlign w:val="center"/>
          </w:tcPr>
          <w:p w:rsidR="00527344" w:rsidRPr="00527344" w:rsidRDefault="008B1F25" w:rsidP="00BA5886">
            <w:pPr>
              <w:widowControl w:val="0"/>
              <w:tabs>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BA5886">
              <w:rPr>
                <w:color w:val="000000"/>
                <w:sz w:val="18"/>
                <w:szCs w:val="18"/>
              </w:rPr>
              <w:t xml:space="preserve">   </w:t>
            </w:r>
            <w:r w:rsidR="00163806">
              <w:rPr>
                <w:color w:val="000000"/>
                <w:sz w:val="18"/>
                <w:szCs w:val="18"/>
              </w:rPr>
              <w:t>3.1</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left" w:pos="205"/>
                <w:tab w:val="decimal" w:pos="625"/>
              </w:tabs>
              <w:spacing w:before="40" w:after="40"/>
              <w:ind w:right="284"/>
              <w:jc w:val="right"/>
              <w:rPr>
                <w:color w:val="000000"/>
                <w:sz w:val="18"/>
                <w:szCs w:val="18"/>
              </w:rPr>
            </w:pPr>
            <w:r>
              <w:rPr>
                <w:color w:val="000000"/>
                <w:sz w:val="18"/>
                <w:szCs w:val="18"/>
              </w:rPr>
              <w:t>1.4</w:t>
            </w:r>
          </w:p>
        </w:tc>
        <w:tc>
          <w:tcPr>
            <w:tcW w:w="1179" w:type="dxa"/>
            <w:tcBorders>
              <w:left w:val="single" w:sz="8" w:space="0" w:color="404040"/>
              <w:right w:val="double" w:sz="4" w:space="0" w:color="auto"/>
            </w:tcBorders>
            <w:vAlign w:val="center"/>
          </w:tcPr>
          <w:p w:rsidR="00527344" w:rsidRPr="00527344" w:rsidRDefault="00527344" w:rsidP="00B81D30">
            <w:pPr>
              <w:widowControl w:val="0"/>
              <w:tabs>
                <w:tab w:val="left" w:pos="205"/>
                <w:tab w:val="decimal" w:pos="625"/>
              </w:tabs>
              <w:spacing w:before="40" w:after="40"/>
              <w:ind w:right="284"/>
              <w:jc w:val="right"/>
              <w:rPr>
                <w:color w:val="000000"/>
                <w:sz w:val="18"/>
                <w:szCs w:val="18"/>
              </w:rPr>
            </w:pPr>
            <w:r>
              <w:rPr>
                <w:color w:val="000000"/>
                <w:sz w:val="18"/>
                <w:szCs w:val="18"/>
              </w:rPr>
              <w:t>(-)</w:t>
            </w:r>
            <w:r w:rsidR="00201D5A">
              <w:rPr>
                <w:color w:val="000000"/>
                <w:sz w:val="18"/>
                <w:szCs w:val="18"/>
              </w:rPr>
              <w:t xml:space="preserve">   </w:t>
            </w:r>
            <w:r w:rsidR="000A7E58">
              <w:rPr>
                <w:color w:val="000000"/>
                <w:sz w:val="18"/>
                <w:szCs w:val="18"/>
              </w:rPr>
              <w:t>0.5</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rsidR="00527344" w:rsidRPr="00527344" w:rsidRDefault="001A7DDA" w:rsidP="00441DBA">
            <w:pPr>
              <w:widowControl w:val="0"/>
              <w:tabs>
                <w:tab w:val="left" w:pos="205"/>
                <w:tab w:val="decimal" w:pos="625"/>
              </w:tabs>
              <w:spacing w:before="40" w:after="40"/>
              <w:ind w:right="284"/>
              <w:jc w:val="right"/>
              <w:rPr>
                <w:color w:val="000000"/>
                <w:sz w:val="18"/>
                <w:szCs w:val="18"/>
              </w:rPr>
            </w:pPr>
            <w:r>
              <w:rPr>
                <w:color w:val="000000"/>
                <w:sz w:val="18"/>
                <w:szCs w:val="18"/>
              </w:rPr>
              <w:t>(-)  1.4</w:t>
            </w:r>
          </w:p>
        </w:tc>
        <w:tc>
          <w:tcPr>
            <w:tcW w:w="1178" w:type="dxa"/>
            <w:tcBorders>
              <w:left w:val="single" w:sz="8" w:space="0" w:color="404040"/>
              <w:right w:val="single" w:sz="8" w:space="0" w:color="404040"/>
            </w:tcBorders>
            <w:vAlign w:val="center"/>
          </w:tcPr>
          <w:p w:rsidR="00527344" w:rsidRPr="00527344" w:rsidRDefault="008B1F25" w:rsidP="00BA5886">
            <w:pPr>
              <w:widowControl w:val="0"/>
              <w:tabs>
                <w:tab w:val="left" w:pos="205"/>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BA5886">
              <w:rPr>
                <w:color w:val="000000"/>
                <w:sz w:val="18"/>
                <w:szCs w:val="18"/>
              </w:rPr>
              <w:t xml:space="preserve">   </w:t>
            </w:r>
            <w:r w:rsidR="001A7DDA">
              <w:rPr>
                <w:color w:val="000000"/>
                <w:sz w:val="18"/>
                <w:szCs w:val="18"/>
              </w:rPr>
              <w:t>6.6</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decimal" w:pos="625"/>
              </w:tabs>
              <w:spacing w:before="40" w:after="40"/>
              <w:ind w:right="284"/>
              <w:jc w:val="right"/>
              <w:rPr>
                <w:color w:val="000000"/>
                <w:sz w:val="18"/>
                <w:szCs w:val="18"/>
              </w:rPr>
            </w:pPr>
            <w:r>
              <w:rPr>
                <w:color w:val="000000"/>
                <w:sz w:val="18"/>
                <w:szCs w:val="18"/>
              </w:rPr>
              <w:t>1.8</w:t>
            </w:r>
          </w:p>
        </w:tc>
        <w:tc>
          <w:tcPr>
            <w:tcW w:w="1179" w:type="dxa"/>
            <w:tcBorders>
              <w:left w:val="single" w:sz="8" w:space="0" w:color="404040"/>
              <w:right w:val="double" w:sz="4" w:space="0" w:color="auto"/>
            </w:tcBorders>
            <w:vAlign w:val="center"/>
          </w:tcPr>
          <w:p w:rsidR="00527344" w:rsidRPr="00527344" w:rsidRDefault="000A7E58" w:rsidP="00B81D30">
            <w:pPr>
              <w:widowControl w:val="0"/>
              <w:tabs>
                <w:tab w:val="decimal" w:pos="625"/>
              </w:tabs>
              <w:spacing w:before="40" w:after="40"/>
              <w:ind w:right="284"/>
              <w:jc w:val="right"/>
              <w:rPr>
                <w:color w:val="000000"/>
                <w:sz w:val="18"/>
                <w:szCs w:val="18"/>
              </w:rPr>
            </w:pPr>
            <w:r>
              <w:rPr>
                <w:color w:val="000000"/>
                <w:sz w:val="18"/>
                <w:szCs w:val="18"/>
              </w:rPr>
              <w:t>2.1</w:t>
            </w:r>
          </w:p>
        </w:tc>
      </w:tr>
      <w:tr w:rsidR="00527344" w:rsidRPr="00904225" w:rsidTr="00EE6084">
        <w:trPr>
          <w:cantSplit/>
          <w:trHeight w:val="20"/>
          <w:jc w:val="center"/>
        </w:trPr>
        <w:tc>
          <w:tcPr>
            <w:tcW w:w="738" w:type="dxa"/>
            <w:tcBorders>
              <w:left w:val="double" w:sz="4" w:space="0" w:color="auto"/>
              <w:right w:val="single" w:sz="8" w:space="0" w:color="404040"/>
            </w:tcBorders>
            <w:vAlign w:val="center"/>
          </w:tcPr>
          <w:p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rsidR="00527344" w:rsidRPr="00527344" w:rsidRDefault="001A7DDA" w:rsidP="00441DBA">
            <w:pPr>
              <w:widowControl w:val="0"/>
              <w:tabs>
                <w:tab w:val="left" w:pos="205"/>
                <w:tab w:val="decimal" w:pos="625"/>
              </w:tabs>
              <w:spacing w:before="40" w:after="40"/>
              <w:ind w:right="284"/>
              <w:jc w:val="right"/>
              <w:rPr>
                <w:color w:val="000000"/>
                <w:sz w:val="18"/>
                <w:szCs w:val="18"/>
              </w:rPr>
            </w:pPr>
            <w:r>
              <w:rPr>
                <w:color w:val="000000"/>
                <w:sz w:val="18"/>
                <w:szCs w:val="18"/>
              </w:rPr>
              <w:t>(-)  0.</w:t>
            </w:r>
            <w:r w:rsidR="00901615">
              <w:rPr>
                <w:color w:val="000000"/>
                <w:sz w:val="18"/>
                <w:szCs w:val="18"/>
              </w:rPr>
              <w:t>1</w:t>
            </w:r>
          </w:p>
        </w:tc>
        <w:tc>
          <w:tcPr>
            <w:tcW w:w="1178" w:type="dxa"/>
            <w:tcBorders>
              <w:left w:val="single" w:sz="8" w:space="0" w:color="404040"/>
              <w:right w:val="single" w:sz="8" w:space="0" w:color="404040"/>
            </w:tcBorders>
            <w:vAlign w:val="center"/>
          </w:tcPr>
          <w:p w:rsidR="00527344" w:rsidRPr="00527344" w:rsidRDefault="00BA5886" w:rsidP="00BA5886">
            <w:pPr>
              <w:widowControl w:val="0"/>
              <w:tabs>
                <w:tab w:val="left" w:pos="205"/>
                <w:tab w:val="decimal" w:pos="625"/>
              </w:tabs>
              <w:spacing w:before="40" w:after="40"/>
              <w:ind w:right="340"/>
              <w:jc w:val="right"/>
              <w:rPr>
                <w:color w:val="000000"/>
                <w:sz w:val="18"/>
                <w:szCs w:val="18"/>
              </w:rPr>
            </w:pPr>
            <w:r>
              <w:rPr>
                <w:color w:val="000000"/>
                <w:sz w:val="18"/>
                <w:szCs w:val="18"/>
              </w:rPr>
              <w:t>0.</w:t>
            </w:r>
            <w:r w:rsidR="001A7DDA">
              <w:rPr>
                <w:color w:val="000000"/>
                <w:sz w:val="18"/>
                <w:szCs w:val="18"/>
              </w:rPr>
              <w:t>2</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decimal" w:pos="625"/>
              </w:tabs>
              <w:spacing w:before="40" w:after="40"/>
              <w:ind w:right="284"/>
              <w:jc w:val="right"/>
              <w:rPr>
                <w:color w:val="000000"/>
                <w:sz w:val="18"/>
                <w:szCs w:val="18"/>
              </w:rPr>
            </w:pPr>
            <w:r>
              <w:rPr>
                <w:color w:val="000000"/>
                <w:sz w:val="18"/>
                <w:szCs w:val="18"/>
              </w:rPr>
              <w:t>(-)   2.8</w:t>
            </w:r>
          </w:p>
        </w:tc>
        <w:tc>
          <w:tcPr>
            <w:tcW w:w="1179" w:type="dxa"/>
            <w:tcBorders>
              <w:left w:val="single" w:sz="8" w:space="0" w:color="404040"/>
              <w:right w:val="double" w:sz="4" w:space="0" w:color="auto"/>
            </w:tcBorders>
            <w:vAlign w:val="center"/>
          </w:tcPr>
          <w:p w:rsidR="00527344" w:rsidRPr="00527344" w:rsidRDefault="000A7E58" w:rsidP="00B81D30">
            <w:pPr>
              <w:widowControl w:val="0"/>
              <w:tabs>
                <w:tab w:val="decimal" w:pos="625"/>
              </w:tabs>
              <w:spacing w:before="40" w:after="40"/>
              <w:ind w:right="284"/>
              <w:jc w:val="right"/>
              <w:rPr>
                <w:color w:val="000000"/>
                <w:sz w:val="18"/>
                <w:szCs w:val="18"/>
              </w:rPr>
            </w:pPr>
            <w:r>
              <w:rPr>
                <w:color w:val="000000"/>
                <w:sz w:val="18"/>
                <w:szCs w:val="18"/>
              </w:rPr>
              <w:t>(-)   2.3</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rsidR="00527344" w:rsidRPr="00527344" w:rsidRDefault="001A7DDA" w:rsidP="00441DBA">
            <w:pPr>
              <w:widowControl w:val="0"/>
              <w:tabs>
                <w:tab w:val="left" w:pos="205"/>
                <w:tab w:val="decimal" w:pos="625"/>
              </w:tabs>
              <w:spacing w:before="40" w:after="40"/>
              <w:ind w:right="284"/>
              <w:jc w:val="right"/>
              <w:rPr>
                <w:color w:val="000000"/>
                <w:sz w:val="18"/>
                <w:szCs w:val="18"/>
              </w:rPr>
            </w:pPr>
            <w:r>
              <w:rPr>
                <w:color w:val="000000"/>
                <w:sz w:val="18"/>
                <w:szCs w:val="18"/>
              </w:rPr>
              <w:t>0.6</w:t>
            </w:r>
          </w:p>
        </w:tc>
        <w:tc>
          <w:tcPr>
            <w:tcW w:w="1178" w:type="dxa"/>
            <w:tcBorders>
              <w:left w:val="single" w:sz="8" w:space="0" w:color="404040"/>
              <w:right w:val="single" w:sz="8" w:space="0" w:color="404040"/>
            </w:tcBorders>
            <w:vAlign w:val="center"/>
          </w:tcPr>
          <w:p w:rsidR="00527344" w:rsidRPr="00527344" w:rsidRDefault="001A7DDA" w:rsidP="00BA5886">
            <w:pPr>
              <w:widowControl w:val="0"/>
              <w:tabs>
                <w:tab w:val="decimal" w:pos="625"/>
              </w:tabs>
              <w:spacing w:before="40" w:after="40"/>
              <w:ind w:right="340"/>
              <w:jc w:val="right"/>
              <w:rPr>
                <w:color w:val="000000"/>
                <w:sz w:val="18"/>
                <w:szCs w:val="18"/>
              </w:rPr>
            </w:pPr>
            <w:r>
              <w:rPr>
                <w:color w:val="000000"/>
                <w:sz w:val="18"/>
                <w:szCs w:val="18"/>
              </w:rPr>
              <w:t>1.</w:t>
            </w:r>
            <w:r w:rsidR="0090640F">
              <w:rPr>
                <w:color w:val="000000"/>
                <w:sz w:val="18"/>
                <w:szCs w:val="18"/>
              </w:rPr>
              <w:t>6</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decimal" w:pos="625"/>
              </w:tabs>
              <w:spacing w:before="40" w:after="40"/>
              <w:ind w:right="284"/>
              <w:jc w:val="right"/>
              <w:rPr>
                <w:color w:val="000000"/>
                <w:sz w:val="18"/>
                <w:szCs w:val="18"/>
              </w:rPr>
            </w:pPr>
            <w:r>
              <w:rPr>
                <w:color w:val="000000"/>
                <w:sz w:val="18"/>
                <w:szCs w:val="18"/>
              </w:rPr>
              <w:t>0.4</w:t>
            </w:r>
          </w:p>
        </w:tc>
        <w:tc>
          <w:tcPr>
            <w:tcW w:w="1179" w:type="dxa"/>
            <w:tcBorders>
              <w:left w:val="single" w:sz="8" w:space="0" w:color="404040"/>
              <w:right w:val="double" w:sz="4" w:space="0" w:color="auto"/>
            </w:tcBorders>
            <w:vAlign w:val="center"/>
          </w:tcPr>
          <w:p w:rsidR="00527344" w:rsidRPr="00527344" w:rsidRDefault="000A7E58" w:rsidP="00A71120">
            <w:pPr>
              <w:widowControl w:val="0"/>
              <w:tabs>
                <w:tab w:val="decimal" w:pos="625"/>
              </w:tabs>
              <w:spacing w:before="40" w:after="40"/>
              <w:ind w:right="284"/>
              <w:jc w:val="right"/>
              <w:rPr>
                <w:color w:val="000000"/>
                <w:sz w:val="18"/>
                <w:szCs w:val="18"/>
              </w:rPr>
            </w:pPr>
            <w:r>
              <w:rPr>
                <w:color w:val="000000"/>
                <w:sz w:val="18"/>
                <w:szCs w:val="18"/>
              </w:rPr>
              <w:t>3.0</w:t>
            </w:r>
          </w:p>
        </w:tc>
      </w:tr>
      <w:tr w:rsidR="00527344" w:rsidRPr="00904225" w:rsidTr="00EE6084">
        <w:trPr>
          <w:cantSplit/>
          <w:trHeight w:val="20"/>
          <w:jc w:val="center"/>
        </w:trPr>
        <w:tc>
          <w:tcPr>
            <w:tcW w:w="738" w:type="dxa"/>
            <w:tcBorders>
              <w:left w:val="double" w:sz="4" w:space="0" w:color="auto"/>
              <w:right w:val="single" w:sz="8" w:space="0" w:color="404040"/>
            </w:tcBorders>
            <w:vAlign w:val="center"/>
          </w:tcPr>
          <w:p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rsidR="00527344" w:rsidRPr="00527344" w:rsidRDefault="001070CC" w:rsidP="00441DBA">
            <w:pPr>
              <w:widowControl w:val="0"/>
              <w:tabs>
                <w:tab w:val="decimal" w:pos="625"/>
              </w:tabs>
              <w:spacing w:before="40" w:after="40"/>
              <w:ind w:right="284"/>
              <w:jc w:val="right"/>
              <w:rPr>
                <w:color w:val="000000"/>
                <w:sz w:val="18"/>
                <w:szCs w:val="18"/>
              </w:rPr>
            </w:pPr>
            <w:r>
              <w:rPr>
                <w:color w:val="000000"/>
                <w:sz w:val="18"/>
                <w:szCs w:val="18"/>
              </w:rPr>
              <w:t>3.5</w:t>
            </w:r>
          </w:p>
        </w:tc>
        <w:tc>
          <w:tcPr>
            <w:tcW w:w="1178" w:type="dxa"/>
            <w:tcBorders>
              <w:left w:val="single" w:sz="8" w:space="0" w:color="404040"/>
              <w:right w:val="single" w:sz="8" w:space="0" w:color="404040"/>
            </w:tcBorders>
            <w:vAlign w:val="center"/>
          </w:tcPr>
          <w:p w:rsidR="00527344" w:rsidRPr="00527344" w:rsidRDefault="001070CC" w:rsidP="00BA5886">
            <w:pPr>
              <w:widowControl w:val="0"/>
              <w:tabs>
                <w:tab w:val="decimal" w:pos="625"/>
              </w:tabs>
              <w:spacing w:before="40" w:after="40"/>
              <w:ind w:right="340"/>
              <w:jc w:val="right"/>
              <w:rPr>
                <w:color w:val="000000"/>
                <w:sz w:val="18"/>
                <w:szCs w:val="18"/>
              </w:rPr>
            </w:pPr>
            <w:r>
              <w:rPr>
                <w:color w:val="000000"/>
                <w:sz w:val="18"/>
                <w:szCs w:val="18"/>
              </w:rPr>
              <w:t>0.3</w:t>
            </w:r>
          </w:p>
        </w:tc>
        <w:tc>
          <w:tcPr>
            <w:tcW w:w="1178" w:type="dxa"/>
            <w:tcBorders>
              <w:left w:val="single" w:sz="8" w:space="0" w:color="404040"/>
              <w:right w:val="single" w:sz="8" w:space="0" w:color="404040"/>
            </w:tcBorders>
            <w:vAlign w:val="center"/>
          </w:tcPr>
          <w:p w:rsidR="00527344" w:rsidRPr="00527344" w:rsidRDefault="00A71120" w:rsidP="001070CC">
            <w:pPr>
              <w:widowControl w:val="0"/>
              <w:tabs>
                <w:tab w:val="decimal" w:pos="625"/>
              </w:tabs>
              <w:spacing w:before="40" w:after="40"/>
              <w:ind w:right="284"/>
              <w:jc w:val="right"/>
              <w:rPr>
                <w:color w:val="000000"/>
                <w:sz w:val="18"/>
                <w:szCs w:val="18"/>
              </w:rPr>
            </w:pPr>
            <w:r>
              <w:rPr>
                <w:color w:val="000000"/>
                <w:sz w:val="18"/>
                <w:szCs w:val="18"/>
              </w:rPr>
              <w:t>0.</w:t>
            </w:r>
            <w:r w:rsidR="00B81D30">
              <w:rPr>
                <w:color w:val="000000"/>
                <w:sz w:val="18"/>
                <w:szCs w:val="18"/>
              </w:rPr>
              <w:t>1</w:t>
            </w:r>
          </w:p>
        </w:tc>
        <w:tc>
          <w:tcPr>
            <w:tcW w:w="1179" w:type="dxa"/>
            <w:tcBorders>
              <w:left w:val="single" w:sz="8" w:space="0" w:color="404040"/>
              <w:right w:val="double" w:sz="4" w:space="0" w:color="auto"/>
            </w:tcBorders>
            <w:vAlign w:val="center"/>
          </w:tcPr>
          <w:p w:rsidR="00527344" w:rsidRPr="00527344" w:rsidRDefault="00243010" w:rsidP="005D46CE">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0A7E58">
              <w:rPr>
                <w:color w:val="000000"/>
                <w:sz w:val="18"/>
                <w:szCs w:val="18"/>
              </w:rPr>
              <w:t>0</w:t>
            </w:r>
            <w:r w:rsidR="005D46CE">
              <w:rPr>
                <w:color w:val="000000"/>
                <w:sz w:val="18"/>
                <w:szCs w:val="18"/>
              </w:rPr>
              <w:t>.</w:t>
            </w:r>
            <w:r w:rsidR="00B81D30">
              <w:rPr>
                <w:color w:val="000000"/>
                <w:sz w:val="18"/>
                <w:szCs w:val="18"/>
              </w:rPr>
              <w:t>1</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rsidR="00527344" w:rsidRPr="00527344" w:rsidRDefault="001070CC" w:rsidP="00441DBA">
            <w:pPr>
              <w:widowControl w:val="0"/>
              <w:tabs>
                <w:tab w:val="left" w:pos="205"/>
                <w:tab w:val="decimal" w:pos="625"/>
              </w:tabs>
              <w:spacing w:before="40" w:after="40"/>
              <w:ind w:right="284"/>
              <w:jc w:val="right"/>
              <w:rPr>
                <w:color w:val="000000"/>
                <w:sz w:val="18"/>
                <w:szCs w:val="18"/>
              </w:rPr>
            </w:pPr>
            <w:r>
              <w:rPr>
                <w:color w:val="000000"/>
                <w:sz w:val="18"/>
                <w:szCs w:val="18"/>
              </w:rPr>
              <w:t>1.3</w:t>
            </w:r>
          </w:p>
        </w:tc>
        <w:tc>
          <w:tcPr>
            <w:tcW w:w="1178" w:type="dxa"/>
            <w:tcBorders>
              <w:left w:val="single" w:sz="8" w:space="0" w:color="404040"/>
              <w:right w:val="single" w:sz="8" w:space="0" w:color="404040"/>
            </w:tcBorders>
            <w:vAlign w:val="center"/>
          </w:tcPr>
          <w:p w:rsidR="00527344" w:rsidRPr="00527344" w:rsidRDefault="001070CC" w:rsidP="00BA5886">
            <w:pPr>
              <w:widowControl w:val="0"/>
              <w:tabs>
                <w:tab w:val="decimal" w:pos="625"/>
              </w:tabs>
              <w:spacing w:before="40" w:after="40"/>
              <w:ind w:right="340"/>
              <w:jc w:val="right"/>
              <w:rPr>
                <w:color w:val="000000"/>
                <w:sz w:val="18"/>
                <w:szCs w:val="18"/>
              </w:rPr>
            </w:pPr>
            <w:r>
              <w:rPr>
                <w:color w:val="000000"/>
                <w:sz w:val="18"/>
                <w:szCs w:val="18"/>
              </w:rPr>
              <w:t>4.3</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decimal" w:pos="625"/>
              </w:tabs>
              <w:spacing w:before="40" w:after="40"/>
              <w:ind w:right="284"/>
              <w:jc w:val="right"/>
              <w:rPr>
                <w:color w:val="000000"/>
                <w:sz w:val="18"/>
                <w:szCs w:val="18"/>
              </w:rPr>
            </w:pPr>
            <w:r>
              <w:rPr>
                <w:color w:val="000000"/>
                <w:sz w:val="18"/>
                <w:szCs w:val="18"/>
              </w:rPr>
              <w:t>0.3</w:t>
            </w:r>
          </w:p>
        </w:tc>
        <w:tc>
          <w:tcPr>
            <w:tcW w:w="1179" w:type="dxa"/>
            <w:tcBorders>
              <w:left w:val="single" w:sz="8" w:space="0" w:color="404040"/>
              <w:right w:val="double" w:sz="4" w:space="0" w:color="auto"/>
            </w:tcBorders>
            <w:vAlign w:val="center"/>
          </w:tcPr>
          <w:p w:rsidR="00527344" w:rsidRPr="00527344" w:rsidRDefault="00B81D30" w:rsidP="00B81D30">
            <w:pPr>
              <w:widowControl w:val="0"/>
              <w:tabs>
                <w:tab w:val="decimal" w:pos="625"/>
              </w:tabs>
              <w:spacing w:before="40" w:after="40"/>
              <w:ind w:right="284"/>
              <w:jc w:val="center"/>
              <w:rPr>
                <w:color w:val="000000"/>
                <w:sz w:val="18"/>
                <w:szCs w:val="18"/>
              </w:rPr>
            </w:pPr>
            <w:r>
              <w:rPr>
                <w:color w:val="000000"/>
                <w:sz w:val="18"/>
                <w:szCs w:val="18"/>
              </w:rPr>
              <w:t>(</w:t>
            </w:r>
            <w:r>
              <w:rPr>
                <w:color w:val="000000"/>
                <w:sz w:val="18"/>
                <w:szCs w:val="18"/>
              </w:rPr>
              <w:noBreakHyphen/>
              <w:t xml:space="preserve">)   </w:t>
            </w:r>
            <w:r w:rsidR="005D46CE">
              <w:rPr>
                <w:color w:val="000000"/>
                <w:sz w:val="18"/>
                <w:szCs w:val="18"/>
              </w:rPr>
              <w:t>0.</w:t>
            </w:r>
            <w:r w:rsidR="000A7E58">
              <w:rPr>
                <w:color w:val="000000"/>
                <w:sz w:val="18"/>
                <w:szCs w:val="18"/>
              </w:rPr>
              <w:t>7</w:t>
            </w:r>
          </w:p>
        </w:tc>
      </w:tr>
      <w:tr w:rsidR="00527344" w:rsidRPr="00904225" w:rsidTr="00EE6084">
        <w:trPr>
          <w:cantSplit/>
          <w:trHeight w:val="20"/>
          <w:jc w:val="center"/>
        </w:trPr>
        <w:tc>
          <w:tcPr>
            <w:tcW w:w="738" w:type="dxa"/>
            <w:tcBorders>
              <w:left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rsidR="00527344" w:rsidRPr="00527344" w:rsidRDefault="00441DBA" w:rsidP="00441DBA">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1070CC">
              <w:rPr>
                <w:color w:val="000000"/>
                <w:sz w:val="18"/>
                <w:szCs w:val="18"/>
              </w:rPr>
              <w:t>2.3</w:t>
            </w:r>
          </w:p>
        </w:tc>
        <w:tc>
          <w:tcPr>
            <w:tcW w:w="1178" w:type="dxa"/>
            <w:tcBorders>
              <w:left w:val="single" w:sz="8" w:space="0" w:color="404040"/>
              <w:right w:val="single" w:sz="8" w:space="0" w:color="404040"/>
            </w:tcBorders>
            <w:vAlign w:val="center"/>
          </w:tcPr>
          <w:p w:rsidR="00527344" w:rsidRPr="00527344" w:rsidRDefault="00616307" w:rsidP="00BA5886">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9A35C6">
              <w:rPr>
                <w:color w:val="000000"/>
                <w:sz w:val="18"/>
                <w:szCs w:val="18"/>
              </w:rPr>
              <w:t>(</w:t>
            </w:r>
            <w:r w:rsidR="009A35C6">
              <w:rPr>
                <w:color w:val="000000"/>
                <w:sz w:val="18"/>
                <w:szCs w:val="18"/>
              </w:rPr>
              <w:noBreakHyphen/>
              <w:t>)</w:t>
            </w:r>
            <w:r w:rsidR="00BA5886">
              <w:rPr>
                <w:color w:val="000000"/>
                <w:sz w:val="18"/>
                <w:szCs w:val="18"/>
              </w:rPr>
              <w:t xml:space="preserve">   </w:t>
            </w:r>
            <w:r w:rsidR="001070CC">
              <w:rPr>
                <w:color w:val="000000"/>
                <w:sz w:val="18"/>
                <w:szCs w:val="18"/>
              </w:rPr>
              <w:t>8.7</w:t>
            </w:r>
          </w:p>
        </w:tc>
        <w:tc>
          <w:tcPr>
            <w:tcW w:w="1178" w:type="dxa"/>
            <w:tcBorders>
              <w:left w:val="single" w:sz="8" w:space="0" w:color="404040"/>
              <w:right w:val="single" w:sz="8" w:space="0" w:color="404040"/>
            </w:tcBorders>
            <w:vAlign w:val="center"/>
          </w:tcPr>
          <w:p w:rsidR="00527344" w:rsidRPr="00527344" w:rsidRDefault="000A7E58" w:rsidP="001070CC">
            <w:pPr>
              <w:widowControl w:val="0"/>
              <w:tabs>
                <w:tab w:val="left" w:pos="205"/>
                <w:tab w:val="decimal" w:pos="625"/>
              </w:tabs>
              <w:spacing w:before="40" w:after="40"/>
              <w:ind w:right="284"/>
              <w:jc w:val="right"/>
              <w:rPr>
                <w:color w:val="000000"/>
                <w:sz w:val="18"/>
                <w:szCs w:val="18"/>
              </w:rPr>
            </w:pPr>
            <w:r>
              <w:rPr>
                <w:color w:val="000000"/>
                <w:sz w:val="18"/>
                <w:szCs w:val="18"/>
              </w:rPr>
              <w:t>1.7</w:t>
            </w:r>
          </w:p>
        </w:tc>
        <w:tc>
          <w:tcPr>
            <w:tcW w:w="1179" w:type="dxa"/>
            <w:tcBorders>
              <w:left w:val="single" w:sz="8" w:space="0" w:color="404040"/>
              <w:right w:val="double" w:sz="4" w:space="0" w:color="auto"/>
            </w:tcBorders>
            <w:vAlign w:val="center"/>
          </w:tcPr>
          <w:p w:rsidR="00527344" w:rsidRPr="00527344" w:rsidRDefault="00A71120" w:rsidP="00B81D30">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0A7E58">
              <w:rPr>
                <w:color w:val="000000"/>
                <w:sz w:val="18"/>
                <w:szCs w:val="18"/>
              </w:rPr>
              <w:t>6.1</w:t>
            </w:r>
          </w:p>
        </w:tc>
      </w:tr>
      <w:tr w:rsidR="00527344" w:rsidRPr="00904225" w:rsidTr="00EE6084">
        <w:trPr>
          <w:cantSplit/>
          <w:trHeight w:val="20"/>
          <w:jc w:val="center"/>
        </w:trPr>
        <w:tc>
          <w:tcPr>
            <w:tcW w:w="738" w:type="dxa"/>
            <w:tcBorders>
              <w:left w:val="double" w:sz="4" w:space="0" w:color="auto"/>
              <w:bottom w:val="double" w:sz="4" w:space="0" w:color="auto"/>
              <w:right w:val="single" w:sz="8" w:space="0" w:color="404040"/>
            </w:tcBorders>
          </w:tcPr>
          <w:p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rsidR="00527344" w:rsidRPr="00527344" w:rsidRDefault="001070CC" w:rsidP="00441DBA">
            <w:pPr>
              <w:widowControl w:val="0"/>
              <w:tabs>
                <w:tab w:val="left" w:pos="205"/>
                <w:tab w:val="decimal" w:pos="625"/>
              </w:tabs>
              <w:spacing w:before="40" w:after="40"/>
              <w:ind w:right="284"/>
              <w:jc w:val="right"/>
              <w:rPr>
                <w:color w:val="000000"/>
                <w:sz w:val="18"/>
                <w:szCs w:val="18"/>
              </w:rPr>
            </w:pPr>
            <w:r>
              <w:rPr>
                <w:color w:val="000000"/>
                <w:sz w:val="18"/>
                <w:szCs w:val="18"/>
              </w:rPr>
              <w:t>(-)  1.1</w:t>
            </w:r>
          </w:p>
        </w:tc>
        <w:tc>
          <w:tcPr>
            <w:tcW w:w="1178" w:type="dxa"/>
            <w:tcBorders>
              <w:left w:val="single" w:sz="8" w:space="0" w:color="404040"/>
              <w:bottom w:val="double" w:sz="4" w:space="0" w:color="auto"/>
              <w:right w:val="single" w:sz="8" w:space="0" w:color="404040"/>
            </w:tcBorders>
            <w:vAlign w:val="center"/>
          </w:tcPr>
          <w:p w:rsidR="00527344" w:rsidRPr="00527344" w:rsidRDefault="001070CC" w:rsidP="00BA5886">
            <w:pPr>
              <w:widowControl w:val="0"/>
              <w:tabs>
                <w:tab w:val="decimal" w:pos="625"/>
              </w:tabs>
              <w:spacing w:before="40" w:after="40"/>
              <w:ind w:right="340"/>
              <w:jc w:val="right"/>
              <w:rPr>
                <w:color w:val="000000"/>
                <w:sz w:val="18"/>
                <w:szCs w:val="18"/>
              </w:rPr>
            </w:pPr>
            <w:r>
              <w:rPr>
                <w:color w:val="000000"/>
                <w:sz w:val="18"/>
                <w:szCs w:val="18"/>
              </w:rPr>
              <w:t>(-)   0.8</w:t>
            </w:r>
          </w:p>
        </w:tc>
        <w:tc>
          <w:tcPr>
            <w:tcW w:w="1178" w:type="dxa"/>
            <w:tcBorders>
              <w:left w:val="single" w:sz="8" w:space="0" w:color="404040"/>
              <w:bottom w:val="double" w:sz="4" w:space="0" w:color="auto"/>
              <w:right w:val="single" w:sz="8" w:space="0" w:color="404040"/>
            </w:tcBorders>
            <w:vAlign w:val="center"/>
          </w:tcPr>
          <w:p w:rsidR="00527344" w:rsidRPr="00527344" w:rsidRDefault="00B81D30" w:rsidP="001070CC">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0A7E58">
              <w:rPr>
                <w:color w:val="000000"/>
                <w:sz w:val="18"/>
                <w:szCs w:val="18"/>
              </w:rPr>
              <w:t>2.9</w:t>
            </w:r>
          </w:p>
        </w:tc>
        <w:tc>
          <w:tcPr>
            <w:tcW w:w="1179" w:type="dxa"/>
            <w:tcBorders>
              <w:left w:val="single" w:sz="8" w:space="0" w:color="404040"/>
              <w:bottom w:val="double" w:sz="4" w:space="0" w:color="auto"/>
              <w:right w:val="double" w:sz="4" w:space="0" w:color="auto"/>
            </w:tcBorders>
            <w:vAlign w:val="center"/>
          </w:tcPr>
          <w:p w:rsidR="00527344" w:rsidRPr="00527344" w:rsidRDefault="000A7E58" w:rsidP="00605498">
            <w:pPr>
              <w:widowControl w:val="0"/>
              <w:tabs>
                <w:tab w:val="decimal" w:pos="625"/>
              </w:tabs>
              <w:spacing w:before="40" w:after="40"/>
              <w:ind w:right="284"/>
              <w:jc w:val="right"/>
              <w:rPr>
                <w:color w:val="000000"/>
                <w:sz w:val="18"/>
                <w:szCs w:val="18"/>
              </w:rPr>
            </w:pPr>
            <w:r>
              <w:rPr>
                <w:color w:val="000000"/>
                <w:sz w:val="18"/>
                <w:szCs w:val="18"/>
              </w:rPr>
              <w:t>(-)   2</w:t>
            </w:r>
            <w:r w:rsidR="00B81D30">
              <w:rPr>
                <w:color w:val="000000"/>
                <w:sz w:val="18"/>
                <w:szCs w:val="18"/>
              </w:rPr>
              <w:t>.0</w:t>
            </w:r>
          </w:p>
        </w:tc>
      </w:tr>
    </w:tbl>
    <w:p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rsidR="00562887" w:rsidRPr="00236E86" w:rsidRDefault="00562887" w:rsidP="00A0117B">
      <w:pPr>
        <w:widowControl w:val="0"/>
        <w:ind w:left="112"/>
        <w:rPr>
          <w:sz w:val="16"/>
          <w:szCs w:val="16"/>
        </w:rPr>
      </w:pPr>
      <w:r w:rsidRPr="00F04B75">
        <w:rPr>
          <w:sz w:val="16"/>
          <w:szCs w:val="16"/>
        </w:rPr>
        <w:t>Fuente: INEGI.</w:t>
      </w:r>
    </w:p>
    <w:p w:rsidR="00562887" w:rsidRPr="00562887" w:rsidRDefault="00562887" w:rsidP="00562887">
      <w:pPr>
        <w:pStyle w:val="Textoindependiente"/>
        <w:widowControl w:val="0"/>
        <w:spacing w:before="360"/>
        <w:rPr>
          <w:color w:val="auto"/>
        </w:rPr>
      </w:pPr>
      <w:r w:rsidRPr="00562887">
        <w:rPr>
          <w:b/>
          <w:i/>
          <w:color w:val="auto"/>
          <w:u w:val="single"/>
          <w:lang w:val="es-MX"/>
        </w:rPr>
        <w:lastRenderedPageBreak/>
        <w:t>Cifras originales</w:t>
      </w:r>
    </w:p>
    <w:p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595AE7">
        <w:rPr>
          <w:rFonts w:ascii="Arial" w:hAnsi="Arial"/>
          <w:b/>
          <w:smallCaps/>
          <w:color w:val="auto"/>
          <w:sz w:val="22"/>
          <w:szCs w:val="22"/>
          <w:lang w:val="es-MX"/>
        </w:rPr>
        <w:t xml:space="preserve"> </w:t>
      </w:r>
      <w:proofErr w:type="spellStart"/>
      <w:r w:rsidR="00CE52F6">
        <w:rPr>
          <w:rFonts w:ascii="Arial" w:hAnsi="Arial"/>
          <w:b/>
          <w:smallCaps/>
          <w:color w:val="auto"/>
          <w:sz w:val="22"/>
          <w:szCs w:val="22"/>
          <w:lang w:val="es-MX"/>
        </w:rPr>
        <w:t>ju</w:t>
      </w:r>
      <w:r w:rsidR="006F23E4">
        <w:rPr>
          <w:rFonts w:ascii="Arial" w:hAnsi="Arial"/>
          <w:b/>
          <w:smallCaps/>
          <w:color w:val="auto"/>
          <w:sz w:val="22"/>
          <w:szCs w:val="22"/>
          <w:lang w:val="es-MX"/>
        </w:rPr>
        <w:t>l</w:t>
      </w:r>
      <w:r w:rsidR="00CE52F6">
        <w:rPr>
          <w:rFonts w:ascii="Arial" w:hAnsi="Arial"/>
          <w:b/>
          <w:smallCaps/>
          <w:color w:val="auto"/>
          <w:sz w:val="22"/>
          <w:szCs w:val="22"/>
          <w:lang w:val="es-MX"/>
        </w:rPr>
        <w:t>io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2019</w:t>
      </w:r>
    </w:p>
    <w:p w:rsidR="006B689C" w:rsidRPr="0040440B" w:rsidRDefault="006B689C" w:rsidP="006B689C">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r w:rsidRPr="00D54FC2">
        <w:rPr>
          <w:sz w:val="16"/>
          <w:szCs w:val="16"/>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6B689C" w:rsidRPr="00DF17C6" w:rsidTr="00D16B82">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rsidR="006B689C" w:rsidRPr="00D57DC0" w:rsidRDefault="006B689C" w:rsidP="00D16B82">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rsidR="006B689C" w:rsidRPr="00D57DC0" w:rsidRDefault="00CE52F6" w:rsidP="00CE52F6">
            <w:pPr>
              <w:keepNext/>
              <w:keepLines/>
              <w:spacing w:before="60" w:after="60" w:line="240" w:lineRule="atLeast"/>
              <w:jc w:val="center"/>
              <w:rPr>
                <w:sz w:val="18"/>
                <w:szCs w:val="22"/>
              </w:rPr>
            </w:pPr>
            <w:r>
              <w:rPr>
                <w:sz w:val="18"/>
                <w:szCs w:val="22"/>
              </w:rPr>
              <w:t>Ju</w:t>
            </w:r>
            <w:r w:rsidR="006F23E4">
              <w:rPr>
                <w:sz w:val="18"/>
                <w:szCs w:val="22"/>
              </w:rPr>
              <w:t>l</w:t>
            </w:r>
            <w:r>
              <w:rPr>
                <w:sz w:val="18"/>
                <w:szCs w:val="22"/>
              </w:rPr>
              <w:t>io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rsidR="006B689C" w:rsidRPr="00D57DC0" w:rsidRDefault="006B689C" w:rsidP="00CE52F6">
            <w:pPr>
              <w:keepNext/>
              <w:keepLines/>
              <w:spacing w:before="60" w:after="60" w:line="240" w:lineRule="atLeast"/>
              <w:jc w:val="center"/>
              <w:rPr>
                <w:sz w:val="18"/>
                <w:szCs w:val="22"/>
              </w:rPr>
            </w:pPr>
            <w:r>
              <w:rPr>
                <w:sz w:val="18"/>
                <w:szCs w:val="22"/>
              </w:rPr>
              <w:t>Ene-</w:t>
            </w:r>
            <w:r w:rsidR="00CE52F6">
              <w:rPr>
                <w:sz w:val="18"/>
                <w:szCs w:val="22"/>
              </w:rPr>
              <w:t>Ju</w:t>
            </w:r>
            <w:r w:rsidR="006F23E4">
              <w:rPr>
                <w:sz w:val="18"/>
                <w:szCs w:val="22"/>
              </w:rPr>
              <w:t>l</w:t>
            </w:r>
          </w:p>
        </w:tc>
      </w:tr>
      <w:tr w:rsidR="006B689C" w:rsidRPr="00DF17C6" w:rsidTr="00D16B82">
        <w:trPr>
          <w:cantSplit/>
          <w:trHeight w:val="20"/>
          <w:jc w:val="center"/>
        </w:trPr>
        <w:tc>
          <w:tcPr>
            <w:tcW w:w="3954" w:type="dxa"/>
            <w:tcBorders>
              <w:top w:val="double" w:sz="4" w:space="0" w:color="auto"/>
              <w:left w:val="double" w:sz="4" w:space="0" w:color="auto"/>
              <w:right w:val="single" w:sz="6" w:space="0" w:color="auto"/>
            </w:tcBorders>
            <w:vAlign w:val="center"/>
          </w:tcPr>
          <w:p w:rsidR="006B689C" w:rsidRPr="00A539AA" w:rsidRDefault="006B689C" w:rsidP="0066337D">
            <w:pPr>
              <w:keepNext/>
              <w:keepLines/>
              <w:spacing w:before="60" w:after="60" w:line="240" w:lineRule="exact"/>
              <w:jc w:val="left"/>
              <w:rPr>
                <w:sz w:val="18"/>
                <w:szCs w:val="18"/>
              </w:rPr>
            </w:pPr>
            <w:r w:rsidRPr="00A539AA">
              <w:rPr>
                <w:sz w:val="18"/>
                <w:szCs w:val="18"/>
              </w:rPr>
              <w:t xml:space="preserve">Ingresos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S</w:t>
            </w:r>
            <w:r w:rsidR="00222C92">
              <w:rPr>
                <w:sz w:val="18"/>
                <w:szCs w:val="18"/>
              </w:rPr>
              <w:t xml:space="preserve">uministro de </w:t>
            </w:r>
            <w:r w:rsidR="001E0EF0">
              <w:rPr>
                <w:sz w:val="18"/>
                <w:szCs w:val="18"/>
              </w:rPr>
              <w:t>B</w:t>
            </w:r>
            <w:r w:rsidR="00222C92">
              <w:rPr>
                <w:sz w:val="18"/>
                <w:szCs w:val="18"/>
              </w:rPr>
              <w:t>ienes y</w:t>
            </w:r>
            <w:r w:rsidRPr="00A539AA">
              <w:rPr>
                <w:sz w:val="18"/>
                <w:szCs w:val="18"/>
              </w:rPr>
              <w:t xml:space="preserve"> </w:t>
            </w:r>
            <w:r w:rsidR="001E0EF0">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rsidR="006B689C" w:rsidRPr="0097178A" w:rsidRDefault="00726676" w:rsidP="00B05443">
            <w:pPr>
              <w:keepNext/>
              <w:keepLines/>
              <w:spacing w:before="60" w:after="60"/>
              <w:ind w:right="510"/>
              <w:jc w:val="right"/>
              <w:rPr>
                <w:sz w:val="18"/>
                <w:szCs w:val="18"/>
              </w:rPr>
            </w:pPr>
            <w:r>
              <w:rPr>
                <w:sz w:val="18"/>
                <w:szCs w:val="18"/>
              </w:rPr>
              <w:t>(</w:t>
            </w:r>
            <w:r>
              <w:rPr>
                <w:sz w:val="18"/>
                <w:szCs w:val="18"/>
              </w:rPr>
              <w:noBreakHyphen/>
              <w:t>)</w:t>
            </w:r>
            <w:r w:rsidR="00B05443">
              <w:rPr>
                <w:sz w:val="18"/>
                <w:szCs w:val="18"/>
              </w:rPr>
              <w:t xml:space="preserve">   </w:t>
            </w:r>
            <w:r w:rsidR="006F23E4">
              <w:rPr>
                <w:sz w:val="18"/>
                <w:szCs w:val="18"/>
              </w:rPr>
              <w:t>0.5</w:t>
            </w:r>
          </w:p>
        </w:tc>
        <w:tc>
          <w:tcPr>
            <w:tcW w:w="1276" w:type="dxa"/>
            <w:tcBorders>
              <w:top w:val="double" w:sz="4" w:space="0" w:color="auto"/>
              <w:left w:val="single" w:sz="6" w:space="0" w:color="auto"/>
              <w:right w:val="double" w:sz="4" w:space="0" w:color="auto"/>
            </w:tcBorders>
            <w:vAlign w:val="center"/>
          </w:tcPr>
          <w:p w:rsidR="006B689C" w:rsidRPr="0097178A" w:rsidRDefault="00B84E83" w:rsidP="00B05443">
            <w:pPr>
              <w:keepNext/>
              <w:keepLines/>
              <w:spacing w:before="60" w:after="60"/>
              <w:ind w:right="340"/>
              <w:jc w:val="right"/>
              <w:rPr>
                <w:sz w:val="18"/>
                <w:szCs w:val="18"/>
              </w:rPr>
            </w:pPr>
            <w:r>
              <w:rPr>
                <w:sz w:val="18"/>
                <w:szCs w:val="18"/>
              </w:rPr>
              <w:t>(</w:t>
            </w:r>
            <w:r>
              <w:rPr>
                <w:sz w:val="18"/>
                <w:szCs w:val="18"/>
              </w:rPr>
              <w:noBreakHyphen/>
              <w:t xml:space="preserve">)   </w:t>
            </w:r>
            <w:r w:rsidR="00630BF5">
              <w:rPr>
                <w:sz w:val="18"/>
                <w:szCs w:val="18"/>
              </w:rPr>
              <w:t>0.</w:t>
            </w:r>
            <w:r w:rsidR="00B05443">
              <w:rPr>
                <w:sz w:val="18"/>
                <w:szCs w:val="18"/>
              </w:rPr>
              <w:t>5</w:t>
            </w:r>
          </w:p>
        </w:tc>
      </w:tr>
      <w:tr w:rsidR="006B689C" w:rsidRPr="00DF17C6" w:rsidTr="00D16B82">
        <w:trPr>
          <w:cantSplit/>
          <w:trHeight w:val="20"/>
          <w:jc w:val="center"/>
        </w:trPr>
        <w:tc>
          <w:tcPr>
            <w:tcW w:w="3954" w:type="dxa"/>
            <w:tcBorders>
              <w:left w:val="double" w:sz="4" w:space="0" w:color="auto"/>
              <w:right w:val="single" w:sz="6" w:space="0" w:color="auto"/>
            </w:tcBorders>
            <w:vAlign w:val="center"/>
          </w:tcPr>
          <w:p w:rsidR="006B689C" w:rsidRPr="00A539AA" w:rsidRDefault="006B689C" w:rsidP="0066337D">
            <w:pPr>
              <w:keepNext/>
              <w:keepLines/>
              <w:spacing w:before="60" w:after="60" w:line="240" w:lineRule="exact"/>
              <w:jc w:val="left"/>
              <w:rPr>
                <w:sz w:val="18"/>
                <w:szCs w:val="18"/>
              </w:rPr>
            </w:pPr>
            <w:r w:rsidRPr="00A539AA">
              <w:rPr>
                <w:sz w:val="18"/>
                <w:szCs w:val="18"/>
              </w:rPr>
              <w:t xml:space="preserve">Personal </w:t>
            </w:r>
            <w:r w:rsidR="001E0EF0">
              <w:rPr>
                <w:sz w:val="18"/>
                <w:szCs w:val="18"/>
              </w:rPr>
              <w:t>O</w:t>
            </w:r>
            <w:r w:rsidRPr="00A539AA">
              <w:rPr>
                <w:sz w:val="18"/>
                <w:szCs w:val="18"/>
              </w:rPr>
              <w:t xml:space="preserve">cupado </w:t>
            </w:r>
            <w:r w:rsidR="001E0EF0">
              <w:rPr>
                <w:sz w:val="18"/>
                <w:szCs w:val="18"/>
              </w:rPr>
              <w:t>T</w:t>
            </w:r>
            <w:r w:rsidR="00163F7A">
              <w:rPr>
                <w:sz w:val="18"/>
                <w:szCs w:val="18"/>
              </w:rPr>
              <w:t>otal</w:t>
            </w:r>
          </w:p>
        </w:tc>
        <w:tc>
          <w:tcPr>
            <w:tcW w:w="1418" w:type="dxa"/>
            <w:tcBorders>
              <w:left w:val="single" w:sz="6" w:space="0" w:color="auto"/>
              <w:right w:val="single" w:sz="6" w:space="0" w:color="auto"/>
            </w:tcBorders>
            <w:vAlign w:val="center"/>
          </w:tcPr>
          <w:p w:rsidR="006B689C" w:rsidRPr="00302691" w:rsidRDefault="006F23E4" w:rsidP="00B84E83">
            <w:pPr>
              <w:keepNext/>
              <w:keepLines/>
              <w:spacing w:before="20" w:after="20"/>
              <w:ind w:right="510"/>
              <w:jc w:val="right"/>
              <w:rPr>
                <w:bCs/>
                <w:sz w:val="18"/>
                <w:szCs w:val="18"/>
              </w:rPr>
            </w:pPr>
            <w:r>
              <w:rPr>
                <w:bCs/>
                <w:sz w:val="18"/>
                <w:szCs w:val="18"/>
              </w:rPr>
              <w:t>(-)   0.2</w:t>
            </w:r>
          </w:p>
        </w:tc>
        <w:tc>
          <w:tcPr>
            <w:tcW w:w="1276" w:type="dxa"/>
            <w:tcBorders>
              <w:left w:val="single" w:sz="6" w:space="0" w:color="auto"/>
              <w:right w:val="double" w:sz="4" w:space="0" w:color="auto"/>
            </w:tcBorders>
            <w:vAlign w:val="center"/>
          </w:tcPr>
          <w:p w:rsidR="006B689C" w:rsidRPr="00302691" w:rsidRDefault="00630BF5" w:rsidP="00A65DDA">
            <w:pPr>
              <w:keepNext/>
              <w:keepLines/>
              <w:spacing w:before="20" w:after="20"/>
              <w:ind w:right="340"/>
              <w:jc w:val="right"/>
              <w:rPr>
                <w:bCs/>
                <w:sz w:val="18"/>
                <w:szCs w:val="18"/>
              </w:rPr>
            </w:pPr>
            <w:r>
              <w:rPr>
                <w:bCs/>
                <w:sz w:val="18"/>
                <w:szCs w:val="18"/>
              </w:rPr>
              <w:t>(</w:t>
            </w:r>
            <w:r>
              <w:rPr>
                <w:bCs/>
                <w:sz w:val="18"/>
                <w:szCs w:val="18"/>
              </w:rPr>
              <w:noBreakHyphen/>
              <w:t>)</w:t>
            </w:r>
            <w:r w:rsidR="00A65DDA">
              <w:rPr>
                <w:bCs/>
                <w:sz w:val="18"/>
                <w:szCs w:val="18"/>
              </w:rPr>
              <w:t xml:space="preserve">   </w:t>
            </w:r>
            <w:r>
              <w:rPr>
                <w:bCs/>
                <w:sz w:val="18"/>
                <w:szCs w:val="18"/>
              </w:rPr>
              <w:t>0</w:t>
            </w:r>
            <w:r w:rsidR="00726676">
              <w:rPr>
                <w:bCs/>
                <w:sz w:val="18"/>
                <w:szCs w:val="18"/>
              </w:rPr>
              <w:t>.</w:t>
            </w:r>
            <w:r w:rsidR="00B05443">
              <w:rPr>
                <w:bCs/>
                <w:sz w:val="18"/>
                <w:szCs w:val="18"/>
              </w:rPr>
              <w:t>2</w:t>
            </w:r>
          </w:p>
        </w:tc>
      </w:tr>
      <w:tr w:rsidR="006B689C" w:rsidRPr="00DF17C6" w:rsidTr="00D16B82">
        <w:trPr>
          <w:cantSplit/>
          <w:trHeight w:val="20"/>
          <w:jc w:val="center"/>
        </w:trPr>
        <w:tc>
          <w:tcPr>
            <w:tcW w:w="3954" w:type="dxa"/>
            <w:tcBorders>
              <w:left w:val="double" w:sz="4" w:space="0" w:color="auto"/>
              <w:right w:val="single" w:sz="6" w:space="0" w:color="auto"/>
            </w:tcBorders>
          </w:tcPr>
          <w:p w:rsidR="006B689C" w:rsidRPr="00A539AA" w:rsidRDefault="006B689C" w:rsidP="0066337D">
            <w:pPr>
              <w:spacing w:before="60" w:after="60"/>
              <w:jc w:val="left"/>
              <w:rPr>
                <w:sz w:val="18"/>
              </w:rPr>
            </w:pPr>
            <w:r w:rsidRPr="00A539AA">
              <w:rPr>
                <w:sz w:val="18"/>
                <w:szCs w:val="18"/>
              </w:rPr>
              <w:t xml:space="preserve">Gastos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C</w:t>
            </w:r>
            <w:r w:rsidRPr="00A539AA">
              <w:rPr>
                <w:sz w:val="18"/>
                <w:szCs w:val="18"/>
              </w:rPr>
              <w:t xml:space="preserve">onsumo de </w:t>
            </w:r>
            <w:r w:rsidR="001E0EF0">
              <w:rPr>
                <w:sz w:val="18"/>
                <w:szCs w:val="18"/>
              </w:rPr>
              <w:t>B</w:t>
            </w:r>
            <w:r w:rsidRPr="00A539AA">
              <w:rPr>
                <w:sz w:val="18"/>
                <w:szCs w:val="18"/>
              </w:rPr>
              <w:t xml:space="preserve">ienes y </w:t>
            </w:r>
            <w:r w:rsidR="001E0EF0">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rsidR="006B689C" w:rsidRPr="00302691" w:rsidRDefault="001479A6" w:rsidP="00B05443">
            <w:pPr>
              <w:spacing w:before="20" w:after="20"/>
              <w:ind w:right="510"/>
              <w:jc w:val="right"/>
              <w:rPr>
                <w:sz w:val="18"/>
                <w:szCs w:val="18"/>
              </w:rPr>
            </w:pPr>
            <w:r>
              <w:rPr>
                <w:sz w:val="18"/>
                <w:szCs w:val="18"/>
              </w:rPr>
              <w:t xml:space="preserve">   </w:t>
            </w:r>
            <w:r w:rsidR="00B84E83">
              <w:rPr>
                <w:sz w:val="18"/>
                <w:szCs w:val="18"/>
              </w:rPr>
              <w:t>(</w:t>
            </w:r>
            <w:r w:rsidR="00B84E83">
              <w:rPr>
                <w:sz w:val="18"/>
                <w:szCs w:val="18"/>
              </w:rPr>
              <w:noBreakHyphen/>
              <w:t>)</w:t>
            </w:r>
            <w:r w:rsidR="00B05443">
              <w:rPr>
                <w:sz w:val="18"/>
                <w:szCs w:val="18"/>
              </w:rPr>
              <w:t xml:space="preserve">   </w:t>
            </w:r>
            <w:r w:rsidR="006F23E4">
              <w:rPr>
                <w:sz w:val="18"/>
                <w:szCs w:val="18"/>
              </w:rPr>
              <w:t>1.0</w:t>
            </w:r>
          </w:p>
        </w:tc>
        <w:tc>
          <w:tcPr>
            <w:tcW w:w="1276" w:type="dxa"/>
            <w:tcBorders>
              <w:left w:val="single" w:sz="6" w:space="0" w:color="auto"/>
              <w:right w:val="double" w:sz="4" w:space="0" w:color="auto"/>
            </w:tcBorders>
            <w:vAlign w:val="center"/>
          </w:tcPr>
          <w:p w:rsidR="006B689C" w:rsidRPr="00302691" w:rsidRDefault="001479A6" w:rsidP="00B84E83">
            <w:pPr>
              <w:spacing w:before="20" w:after="20"/>
              <w:ind w:right="340"/>
              <w:jc w:val="right"/>
              <w:rPr>
                <w:sz w:val="18"/>
                <w:szCs w:val="18"/>
              </w:rPr>
            </w:pPr>
            <w:r>
              <w:rPr>
                <w:sz w:val="18"/>
                <w:szCs w:val="18"/>
              </w:rPr>
              <w:t>(</w:t>
            </w:r>
            <w:r>
              <w:rPr>
                <w:sz w:val="18"/>
                <w:szCs w:val="18"/>
              </w:rPr>
              <w:noBreakHyphen/>
              <w:t>)</w:t>
            </w:r>
            <w:r w:rsidR="00062234">
              <w:rPr>
                <w:sz w:val="18"/>
                <w:szCs w:val="18"/>
              </w:rPr>
              <w:t xml:space="preserve">   </w:t>
            </w:r>
            <w:r w:rsidR="006F23E4">
              <w:rPr>
                <w:sz w:val="18"/>
                <w:szCs w:val="18"/>
              </w:rPr>
              <w:t>2.5</w:t>
            </w:r>
          </w:p>
        </w:tc>
      </w:tr>
      <w:tr w:rsidR="006B689C" w:rsidRPr="00DF17C6" w:rsidTr="00D16B82">
        <w:trPr>
          <w:cantSplit/>
          <w:trHeight w:val="20"/>
          <w:jc w:val="center"/>
        </w:trPr>
        <w:tc>
          <w:tcPr>
            <w:tcW w:w="3954" w:type="dxa"/>
            <w:tcBorders>
              <w:left w:val="double" w:sz="4" w:space="0" w:color="auto"/>
              <w:bottom w:val="double" w:sz="4" w:space="0" w:color="auto"/>
              <w:right w:val="single" w:sz="6" w:space="0" w:color="auto"/>
            </w:tcBorders>
          </w:tcPr>
          <w:p w:rsidR="006B689C" w:rsidRPr="00A539AA" w:rsidRDefault="006B689C" w:rsidP="0066337D">
            <w:pPr>
              <w:spacing w:before="60" w:after="60"/>
              <w:jc w:val="left"/>
              <w:rPr>
                <w:sz w:val="18"/>
              </w:rPr>
            </w:pPr>
            <w:r w:rsidRPr="00A539AA">
              <w:rPr>
                <w:sz w:val="18"/>
                <w:szCs w:val="18"/>
              </w:rPr>
              <w:t xml:space="preserve">Remuneraciones </w:t>
            </w:r>
            <w:r w:rsidR="001E0EF0">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rsidR="006B689C" w:rsidRPr="00302691" w:rsidRDefault="006F23E4" w:rsidP="00B05443">
            <w:pPr>
              <w:spacing w:before="20" w:after="20"/>
              <w:ind w:right="510"/>
              <w:jc w:val="right"/>
              <w:rPr>
                <w:sz w:val="18"/>
                <w:szCs w:val="18"/>
              </w:rPr>
            </w:pPr>
            <w:r>
              <w:rPr>
                <w:sz w:val="18"/>
                <w:szCs w:val="18"/>
              </w:rPr>
              <w:t>2.0</w:t>
            </w:r>
          </w:p>
        </w:tc>
        <w:tc>
          <w:tcPr>
            <w:tcW w:w="1276" w:type="dxa"/>
            <w:tcBorders>
              <w:left w:val="single" w:sz="6" w:space="0" w:color="auto"/>
              <w:bottom w:val="double" w:sz="4" w:space="0" w:color="auto"/>
              <w:right w:val="double" w:sz="4" w:space="0" w:color="auto"/>
            </w:tcBorders>
            <w:vAlign w:val="center"/>
          </w:tcPr>
          <w:p w:rsidR="006B689C" w:rsidRPr="00302691" w:rsidRDefault="006F23E4" w:rsidP="0051550C">
            <w:pPr>
              <w:spacing w:before="20" w:after="20"/>
              <w:ind w:right="340"/>
              <w:jc w:val="right"/>
              <w:rPr>
                <w:sz w:val="18"/>
                <w:szCs w:val="18"/>
              </w:rPr>
            </w:pPr>
            <w:r>
              <w:rPr>
                <w:sz w:val="18"/>
                <w:szCs w:val="18"/>
              </w:rPr>
              <w:t>2.5</w:t>
            </w:r>
          </w:p>
        </w:tc>
      </w:tr>
    </w:tbl>
    <w:p w:rsidR="006B689C" w:rsidRDefault="006B689C" w:rsidP="006B689C">
      <w:pPr>
        <w:pStyle w:val="Textoindependiente"/>
        <w:spacing w:before="0"/>
        <w:ind w:firstLine="708"/>
        <w:rPr>
          <w:color w:val="auto"/>
          <w:sz w:val="16"/>
          <w:szCs w:val="16"/>
        </w:rPr>
      </w:pPr>
      <w:r>
        <w:rPr>
          <w:color w:val="auto"/>
          <w:sz w:val="18"/>
          <w:szCs w:val="18"/>
          <w:vertAlign w:val="superscript"/>
        </w:rPr>
        <w:t xml:space="preserve"> </w:t>
      </w:r>
      <w:r>
        <w:rPr>
          <w:color w:val="auto"/>
          <w:sz w:val="18"/>
          <w:szCs w:val="18"/>
          <w:vertAlign w:val="superscript"/>
        </w:rPr>
        <w:tab/>
        <w:t xml:space="preserve"> </w:t>
      </w: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p>
    <w:p w:rsidR="006B689C" w:rsidRPr="00562887" w:rsidRDefault="006B689C" w:rsidP="006B689C">
      <w:pPr>
        <w:pStyle w:val="Textoindependiente"/>
        <w:spacing w:before="0"/>
        <w:rPr>
          <w:color w:val="auto"/>
          <w:sz w:val="16"/>
          <w:szCs w:val="16"/>
        </w:rPr>
      </w:pPr>
      <w:r>
        <w:rPr>
          <w:color w:val="auto"/>
          <w:sz w:val="16"/>
          <w:szCs w:val="16"/>
        </w:rPr>
        <w:t xml:space="preserve"> </w:t>
      </w:r>
      <w:r>
        <w:rPr>
          <w:color w:val="auto"/>
          <w:sz w:val="16"/>
          <w:szCs w:val="16"/>
        </w:rPr>
        <w:tab/>
        <w:t xml:space="preserve">   </w:t>
      </w:r>
      <w:r>
        <w:rPr>
          <w:color w:val="auto"/>
          <w:sz w:val="16"/>
          <w:szCs w:val="16"/>
        </w:rPr>
        <w:tab/>
        <w:t>* En términos reales.</w:t>
      </w:r>
    </w:p>
    <w:p w:rsidR="006B689C" w:rsidRPr="00715E87" w:rsidRDefault="006B689C" w:rsidP="006B689C">
      <w:pPr>
        <w:pStyle w:val="Textoindependiente"/>
        <w:spacing w:before="0"/>
        <w:ind w:firstLine="708"/>
        <w:rPr>
          <w:color w:val="auto"/>
          <w:sz w:val="16"/>
          <w:szCs w:val="16"/>
        </w:rPr>
      </w:pPr>
      <w:r>
        <w:rPr>
          <w:color w:val="auto"/>
          <w:sz w:val="16"/>
          <w:szCs w:val="16"/>
        </w:rPr>
        <w:t xml:space="preserve">  </w:t>
      </w:r>
      <w:r>
        <w:rPr>
          <w:color w:val="auto"/>
          <w:sz w:val="16"/>
          <w:szCs w:val="16"/>
        </w:rPr>
        <w:tab/>
        <w:t xml:space="preserve"> </w:t>
      </w:r>
      <w:r w:rsidRPr="00715E87">
        <w:rPr>
          <w:color w:val="auto"/>
          <w:sz w:val="16"/>
          <w:szCs w:val="16"/>
        </w:rPr>
        <w:t>Fuente: INEGI</w:t>
      </w:r>
      <w:r>
        <w:rPr>
          <w:color w:val="auto"/>
          <w:sz w:val="16"/>
          <w:szCs w:val="16"/>
        </w:rPr>
        <w:t>.</w:t>
      </w:r>
    </w:p>
    <w:p w:rsidR="007109AB" w:rsidRPr="00154208" w:rsidRDefault="007109AB" w:rsidP="00AA5789">
      <w:pPr>
        <w:tabs>
          <w:tab w:val="left" w:pos="8100"/>
        </w:tabs>
        <w:spacing w:before="240"/>
        <w:rPr>
          <w:b/>
          <w:i/>
          <w:smallCaps/>
          <w:color w:val="000000"/>
          <w:szCs w:val="20"/>
        </w:rPr>
      </w:pPr>
      <w:r w:rsidRPr="00154208">
        <w:rPr>
          <w:b/>
          <w:i/>
          <w:smallCaps/>
          <w:color w:val="000000"/>
          <w:szCs w:val="20"/>
        </w:rPr>
        <w:t xml:space="preserve">Aspectos </w:t>
      </w:r>
      <w:r w:rsidR="00626568">
        <w:rPr>
          <w:b/>
          <w:i/>
          <w:smallCaps/>
          <w:color w:val="000000"/>
          <w:szCs w:val="20"/>
        </w:rPr>
        <w:t>m</w:t>
      </w:r>
      <w:r w:rsidRPr="00154208">
        <w:rPr>
          <w:b/>
          <w:i/>
          <w:smallCaps/>
          <w:color w:val="000000"/>
          <w:szCs w:val="20"/>
        </w:rPr>
        <w:t>etodológicos</w:t>
      </w:r>
      <w:r w:rsidR="0020036F" w:rsidRPr="00154208">
        <w:rPr>
          <w:b/>
          <w:i/>
          <w:smallCaps/>
          <w:color w:val="000000"/>
          <w:szCs w:val="20"/>
        </w:rPr>
        <w:t xml:space="preserve"> </w:t>
      </w:r>
    </w:p>
    <w:p w:rsidR="007109AB" w:rsidRPr="00722ABB" w:rsidRDefault="007109AB" w:rsidP="00722ABB">
      <w:pPr>
        <w:shd w:val="clear" w:color="auto" w:fill="FFFFFF" w:themeFill="background1"/>
        <w:spacing w:before="200"/>
        <w:rPr>
          <w:rFonts w:cs="Times New Roman"/>
          <w:color w:val="000000"/>
        </w:rPr>
      </w:pPr>
      <w:r w:rsidRPr="00722ABB">
        <w:rPr>
          <w:rFonts w:cs="Times New Roman"/>
          <w:color w:val="000000"/>
        </w:rPr>
        <w:t xml:space="preserve">La Encuesta Mensual de Servicios </w:t>
      </w:r>
      <w:r w:rsidR="00D614EA" w:rsidRPr="00722ABB">
        <w:rPr>
          <w:rFonts w:cs="Times New Roman"/>
          <w:color w:val="000000"/>
        </w:rPr>
        <w:t>muestra</w:t>
      </w:r>
      <w:r w:rsidRPr="00722ABB">
        <w:rPr>
          <w:rFonts w:cs="Times New Roman"/>
          <w:color w:val="000000"/>
        </w:rPr>
        <w:t xml:space="preserve"> un conjunto</w:t>
      </w:r>
      <w:r w:rsidR="00634DB1" w:rsidRPr="00722ABB">
        <w:rPr>
          <w:rFonts w:cs="Times New Roman"/>
          <w:color w:val="000000"/>
        </w:rPr>
        <w:t xml:space="preserve"> de indicadores que identifican </w:t>
      </w:r>
      <w:r w:rsidRPr="00722ABB">
        <w:rPr>
          <w:rFonts w:cs="Times New Roman"/>
          <w:color w:val="000000"/>
        </w:rPr>
        <w:t>la evolución de la actividad económica de los servicios privados no financieros. Esta encuesta representa uno de los primeros proyectos que se plantea, a nivel internacional, con las características consideradas, tales como: frecuencia, amplitud, coberturas, etc.</w:t>
      </w:r>
    </w:p>
    <w:p w:rsidR="007109AB" w:rsidRPr="007109AB" w:rsidRDefault="007109AB" w:rsidP="00422A05">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rsidR="007109AB" w:rsidRPr="007109AB" w:rsidRDefault="007109AB" w:rsidP="00422A05">
      <w:pPr>
        <w:spacing w:before="240"/>
      </w:pPr>
      <w:r w:rsidRPr="007109AB">
        <w:t xml:space="preserve">El presente </w:t>
      </w:r>
      <w:r w:rsidR="001B6FAA">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A23EF1">
        <w:t>.</w:t>
      </w:r>
    </w:p>
    <w:p w:rsidR="007109AB" w:rsidRPr="007109AB" w:rsidRDefault="007109AB" w:rsidP="00422A05">
      <w:pPr>
        <w:spacing w:before="240"/>
      </w:pPr>
      <w:r w:rsidRPr="007109AB">
        <w:t xml:space="preserve">En este sentido, la desestacionalización o ajuste estacional de series económicas consiste en remover estas influencias </w:t>
      </w:r>
      <w:proofErr w:type="spellStart"/>
      <w:r w:rsidRPr="007109AB">
        <w:t>intra</w:t>
      </w:r>
      <w:proofErr w:type="spellEnd"/>
      <w:r w:rsidRPr="007109AB">
        <w:t xml:space="preserve">-anuales periódicas, debido a que su presencia dificulta diagnosticar o describir el comportamiento de una serie al no poder comparar adecuadamente un determinado mes con el inmediato anterior.  </w:t>
      </w:r>
    </w:p>
    <w:p w:rsidR="00EA47F4" w:rsidRDefault="00EA47F4">
      <w:pPr>
        <w:jc w:val="left"/>
      </w:pPr>
      <w:r>
        <w:br w:type="page"/>
      </w:r>
    </w:p>
    <w:p w:rsidR="007109AB" w:rsidRPr="007109AB" w:rsidRDefault="007109AB" w:rsidP="00AA5789">
      <w:pPr>
        <w:spacing w:before="160"/>
      </w:pPr>
      <w:r w:rsidRPr="007109AB">
        <w:lastRenderedPageBreak/>
        <w:t xml:space="preserve">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rsidR="00CD7092">
        <w:t>L</w:t>
      </w:r>
      <w:r w:rsidRPr="007109AB">
        <w:t>a</w:t>
      </w:r>
      <w:r w:rsidR="00CD7092">
        <w:t>s</w:t>
      </w:r>
      <w:r w:rsidRPr="007109AB">
        <w:t xml:space="preserve"> serie</w:t>
      </w:r>
      <w:r w:rsidR="00CD7092">
        <w:t>s</w:t>
      </w:r>
      <w:r w:rsidRPr="007109AB">
        <w:t xml:space="preserve"> desestacionalizada</w:t>
      </w:r>
      <w:r w:rsidR="00CD7092">
        <w:t>s</w:t>
      </w:r>
      <w:r w:rsidRPr="007109AB">
        <w:t xml:space="preserve"> de</w:t>
      </w:r>
      <w:r w:rsidR="00CD7092">
        <w:t xml:space="preserve"> </w:t>
      </w:r>
      <w:r w:rsidRPr="007109AB">
        <w:t>l</w:t>
      </w:r>
      <w:r w:rsidR="00CD7092">
        <w:t>os</w:t>
      </w:r>
      <w:r w:rsidRPr="007109AB">
        <w:t xml:space="preserve"> Indicador</w:t>
      </w:r>
      <w:r w:rsidR="00CD7092">
        <w:t>es</w:t>
      </w:r>
      <w:r w:rsidRPr="007109AB">
        <w:t xml:space="preserve"> del Sector Servicios se calcula</w:t>
      </w:r>
      <w:r w:rsidR="00CD7092">
        <w:t>n</w:t>
      </w:r>
      <w:r w:rsidRPr="007109AB">
        <w:t xml:space="preserve"> de manera independiente a la de sus componentes.</w:t>
      </w:r>
    </w:p>
    <w:p w:rsidR="00666859" w:rsidRPr="00434EAE" w:rsidRDefault="00666859" w:rsidP="00666859">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rsidR="007051C3" w:rsidRDefault="00644CBF" w:rsidP="007051C3">
      <w:pPr>
        <w:spacing w:before="200"/>
        <w:rPr>
          <w:rStyle w:val="Hipervnculo"/>
          <w:lang w:eastAsia="en-US"/>
        </w:rPr>
      </w:pPr>
      <w:hyperlink r:id="rId25" w:history="1">
        <w:r w:rsidR="00C6572F" w:rsidRPr="003751B6">
          <w:rPr>
            <w:rStyle w:val="Hipervnculo"/>
            <w:lang w:eastAsia="en-US"/>
          </w:rPr>
          <w:t>http://www.inegi.org.mx/app/biblioteca/ficha.html?upc=702825099060</w:t>
        </w:r>
      </w:hyperlink>
    </w:p>
    <w:p w:rsidR="007051C3" w:rsidRDefault="007109AB" w:rsidP="00422A05">
      <w:pPr>
        <w:spacing w:before="240"/>
      </w:pPr>
      <w:r w:rsidRPr="007109AB">
        <w:t>Asimismo, las especificaciones de los modelos utilizados para realizar el ajuste estacional están disponibles en el Banco de Información Económica, seleccionando el icono de información</w:t>
      </w:r>
      <w:r w:rsidR="007E6BD5">
        <w:t xml:space="preserve"> </w:t>
      </w:r>
      <w:r w:rsidR="007E6BD5" w:rsidRPr="007109AB">
        <w:rPr>
          <w:noProof/>
          <w:sz w:val="18"/>
          <w:szCs w:val="18"/>
          <w:lang w:val="es-MX" w:eastAsia="es-MX"/>
        </w:rPr>
        <w:drawing>
          <wp:inline distT="0" distB="0" distL="0" distR="0" wp14:anchorId="5D687B70" wp14:editId="0C5454D4">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00A53152" w:rsidRPr="00A53152">
        <w:rPr>
          <w:noProof/>
          <w:sz w:val="18"/>
          <w:szCs w:val="18"/>
          <w:lang w:val="es-MX" w:eastAsia="en-US"/>
        </w:rPr>
        <w:t xml:space="preserve"> </w:t>
      </w:r>
      <w:r w:rsidRPr="007109AB">
        <w:t xml:space="preserve">de los indicadores del </w:t>
      </w:r>
      <w:r w:rsidR="0090640F">
        <w:t>S</w:t>
      </w:r>
      <w:r w:rsidRPr="007109AB">
        <w:t xml:space="preserve">ector </w:t>
      </w:r>
      <w:r w:rsidR="0090640F">
        <w:t>S</w:t>
      </w:r>
      <w:r w:rsidRPr="007109AB">
        <w:t>ervicios.</w:t>
      </w:r>
    </w:p>
    <w:p w:rsidR="00AE2354" w:rsidRPr="00AE2354" w:rsidRDefault="00AE2354" w:rsidP="00EA47F4">
      <w:pPr>
        <w:spacing w:before="240"/>
        <w:rPr>
          <w:lang w:val="es-MX" w:eastAsia="es-MX"/>
        </w:rPr>
      </w:pPr>
      <w:r w:rsidRPr="00AE2354">
        <w:rPr>
          <w:lang w:val="es-MX" w:eastAsia="es-MX"/>
        </w:rPr>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rsidR="00AE2354" w:rsidRPr="00AE2354" w:rsidRDefault="00AE2354" w:rsidP="00AE2354">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rsidR="00AE2354" w:rsidRPr="00AE2354" w:rsidRDefault="00AE2354" w:rsidP="00AE2354">
      <w:pPr>
        <w:pStyle w:val="Pa8"/>
        <w:spacing w:before="240" w:line="240" w:lineRule="auto"/>
        <w:jc w:val="both"/>
        <w:rPr>
          <w:lang w:val="es-ES_tradnl" w:eastAsia="es-MX"/>
        </w:rPr>
      </w:pPr>
      <w:r w:rsidRPr="00AE2354">
        <w:rPr>
          <w:lang w:val="es-ES_tradnl" w:eastAsia="es-MX"/>
        </w:rPr>
        <w:t>La cobertura sectorial corresponde a 109 actividades a nivel de clase, rama o subsector, de acuerdo con el Sistema de Clasificación Industrial de América del Norte, México SCIAN 2013 que en su conjunto aportan aproximadamente el 93.98% del valor de los ingresos en el marco de los servicios privados no financieros; sin embargo, de las 109 actividades de estudio se consideran 102 dominios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rsidR="00EA47F4" w:rsidRDefault="00EA47F4">
      <w:pPr>
        <w:jc w:val="left"/>
        <w:rPr>
          <w:lang w:eastAsia="es-MX"/>
        </w:rPr>
      </w:pPr>
      <w:r>
        <w:rPr>
          <w:lang w:eastAsia="es-MX"/>
        </w:rPr>
        <w:br w:type="page"/>
      </w:r>
    </w:p>
    <w:p w:rsidR="00AE2354" w:rsidRPr="00AE2354" w:rsidRDefault="00AE2354" w:rsidP="00AE2354">
      <w:pPr>
        <w:autoSpaceDE w:val="0"/>
        <w:autoSpaceDN w:val="0"/>
        <w:adjustRightInd w:val="0"/>
        <w:spacing w:before="240"/>
        <w:rPr>
          <w:lang w:eastAsia="es-MX"/>
        </w:rPr>
      </w:pPr>
      <w:r w:rsidRPr="00AE2354">
        <w:rPr>
          <w:lang w:eastAsia="es-MX"/>
        </w:rPr>
        <w:lastRenderedPageBreak/>
        <w:t>La cobertura temática que cubre la EMS está integrada por los siguientes capítulos:</w:t>
      </w:r>
    </w:p>
    <w:p w:rsidR="00AE2354" w:rsidRPr="00AE2354" w:rsidRDefault="00AE2354" w:rsidP="00AE2354">
      <w:pPr>
        <w:autoSpaceDE w:val="0"/>
        <w:autoSpaceDN w:val="0"/>
        <w:adjustRightInd w:val="0"/>
        <w:rPr>
          <w:lang w:eastAsia="es-MX"/>
        </w:rPr>
      </w:pP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Días trabajados</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Personal ocupado</w:t>
      </w:r>
      <w:r w:rsidR="00C63863">
        <w:rPr>
          <w:lang w:eastAsia="es-MX"/>
        </w:rPr>
        <w:t xml:space="preserve"> total</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Remuneraciones</w:t>
      </w:r>
    </w:p>
    <w:p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Gastos</w:t>
      </w:r>
    </w:p>
    <w:p w:rsidR="00AE2354" w:rsidRPr="00AE2354" w:rsidRDefault="00AE2354" w:rsidP="00AE2354">
      <w:pPr>
        <w:pStyle w:val="Pa8"/>
        <w:numPr>
          <w:ilvl w:val="0"/>
          <w:numId w:val="23"/>
        </w:numPr>
        <w:spacing w:line="240" w:lineRule="auto"/>
        <w:jc w:val="both"/>
        <w:rPr>
          <w:lang w:val="es-ES_tradnl" w:eastAsia="es-MX"/>
        </w:rPr>
      </w:pPr>
      <w:r w:rsidRPr="00AE2354">
        <w:rPr>
          <w:lang w:val="es-ES_tradnl" w:eastAsia="es-MX"/>
        </w:rPr>
        <w:t>Ingresos</w:t>
      </w:r>
    </w:p>
    <w:p w:rsidR="00AE2354" w:rsidRPr="00AE2354" w:rsidRDefault="00AE2354" w:rsidP="00AE2354">
      <w:pPr>
        <w:autoSpaceDE w:val="0"/>
        <w:autoSpaceDN w:val="0"/>
        <w:adjustRightInd w:val="0"/>
        <w:spacing w:before="240"/>
        <w:rPr>
          <w:lang w:eastAsia="es-MX"/>
        </w:rPr>
      </w:pPr>
      <w:r w:rsidRPr="00AE2354">
        <w:rPr>
          <w:lang w:eastAsia="es-MX"/>
        </w:rPr>
        <w:t>La cobertura geográfica, de acuerdo con el diseño, permite generar información significativa a nivel nacional.</w:t>
      </w:r>
    </w:p>
    <w:p w:rsidR="00AE2354" w:rsidRDefault="00AE2354" w:rsidP="00AE2354">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rsidR="00AE2354" w:rsidRPr="007109AB" w:rsidRDefault="00AE2354" w:rsidP="00AE2354">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rsidR="00AE2354" w:rsidRPr="003806EC" w:rsidRDefault="00AE2354" w:rsidP="00422A05">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rsidR="00AE2354" w:rsidRPr="007109AB" w:rsidRDefault="00AE2354" w:rsidP="00AE2354">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rsidR="007109AB" w:rsidRPr="00F02A43" w:rsidRDefault="00644CBF" w:rsidP="00AE2354">
      <w:pPr>
        <w:keepNext/>
        <w:keepLines/>
        <w:spacing w:before="160" w:after="240"/>
        <w:rPr>
          <w:rFonts w:cs="Times New Roman"/>
          <w:snapToGrid w:val="0"/>
          <w:lang w:val="es-MX"/>
        </w:rPr>
      </w:pPr>
      <w:hyperlink r:id="rId28" w:history="1">
        <w:r w:rsidR="00AE2354" w:rsidRPr="00F02A43">
          <w:rPr>
            <w:rStyle w:val="Hipervnculo"/>
          </w:rPr>
          <w:t>https://www.inegi.org.mx/app/indicadores/bie.html</w:t>
        </w:r>
      </w:hyperlink>
    </w:p>
    <w:sectPr w:rsidR="007109AB" w:rsidRPr="00F02A43" w:rsidSect="00F770FE">
      <w:headerReference w:type="default" r:id="rId29"/>
      <w:footerReference w:type="default" r:id="rId30"/>
      <w:pgSz w:w="12242" w:h="15842" w:code="1"/>
      <w:pgMar w:top="1134" w:right="1418"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BF" w:rsidRDefault="00644CBF">
      <w:r>
        <w:separator/>
      </w:r>
    </w:p>
  </w:endnote>
  <w:endnote w:type="continuationSeparator" w:id="0">
    <w:p w:rsidR="00644CBF" w:rsidRDefault="0064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F1" w:rsidRPr="007E58A5" w:rsidRDefault="000475F1" w:rsidP="004C150C">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BF" w:rsidRDefault="00644CBF">
      <w:r>
        <w:separator/>
      </w:r>
    </w:p>
  </w:footnote>
  <w:footnote w:type="continuationSeparator" w:id="0">
    <w:p w:rsidR="00644CBF" w:rsidRDefault="00644CBF">
      <w:r>
        <w:continuationSeparator/>
      </w:r>
    </w:p>
  </w:footnote>
  <w:footnote w:id="1">
    <w:p w:rsidR="000475F1" w:rsidRPr="00C07AE5" w:rsidRDefault="000475F1" w:rsidP="000475F1">
      <w:pPr>
        <w:pStyle w:val="Textonotapie"/>
        <w:ind w:left="170"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rsidR="000475F1" w:rsidRDefault="000475F1" w:rsidP="000475F1">
      <w:pPr>
        <w:pStyle w:val="Textocomentario"/>
        <w:ind w:left="170"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p w:rsidR="000475F1" w:rsidRDefault="000475F1" w:rsidP="000475F1">
      <w:pPr>
        <w:pStyle w:val="Textocomentario"/>
        <w:ind w:left="170" w:hanging="170"/>
        <w:jc w:val="both"/>
        <w:rPr>
          <w:rFonts w:ascii="Arial" w:hAnsi="Arial" w:cs="Arial"/>
          <w:sz w:val="16"/>
          <w:szCs w:val="16"/>
        </w:rPr>
      </w:pPr>
    </w:p>
    <w:p w:rsidR="000475F1" w:rsidRPr="001C04A6" w:rsidRDefault="000475F1" w:rsidP="000475F1">
      <w:pPr>
        <w:pStyle w:val="Textocomentario"/>
        <w:ind w:left="170" w:hanging="170"/>
        <w:jc w:val="both"/>
        <w:rPr>
          <w:rFonts w:ascii="Arial" w:hAnsi="Arial" w:cs="Arial"/>
          <w:sz w:val="16"/>
          <w:szCs w:val="16"/>
        </w:rPr>
      </w:pPr>
    </w:p>
  </w:footnote>
  <w:footnote w:id="3">
    <w:p w:rsidR="000475F1" w:rsidRDefault="000475F1" w:rsidP="000475F1">
      <w:pPr>
        <w:pStyle w:val="Textonotapie"/>
        <w:ind w:left="170"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rsidR="000475F1" w:rsidRDefault="000475F1" w:rsidP="000475F1">
      <w:pPr>
        <w:pStyle w:val="Textonotapie"/>
        <w:ind w:left="170" w:hanging="170"/>
        <w:rPr>
          <w:sz w:val="16"/>
          <w:szCs w:val="16"/>
        </w:rPr>
      </w:pPr>
    </w:p>
    <w:p w:rsidR="000475F1" w:rsidRPr="00C07AE5" w:rsidRDefault="000475F1" w:rsidP="000475F1">
      <w:pPr>
        <w:pStyle w:val="Textonotapie"/>
        <w:ind w:left="170" w:hanging="170"/>
        <w:rPr>
          <w:sz w:val="16"/>
          <w:szCs w:val="16"/>
        </w:rPr>
      </w:pPr>
    </w:p>
  </w:footnote>
  <w:footnote w:id="4">
    <w:p w:rsidR="00562887" w:rsidRPr="00230049" w:rsidRDefault="00562887" w:rsidP="00AE48EE">
      <w:pPr>
        <w:pStyle w:val="Textonotapie"/>
        <w:ind w:left="170" w:hanging="170"/>
        <w:rPr>
          <w:sz w:val="16"/>
          <w:szCs w:val="16"/>
        </w:rPr>
      </w:pPr>
      <w:r w:rsidRPr="005B4B47">
        <w:rPr>
          <w:sz w:val="18"/>
          <w:szCs w:val="16"/>
          <w:vertAlign w:val="superscript"/>
        </w:rPr>
        <w:t>4</w:t>
      </w:r>
      <w:r w:rsidR="00AE48EE">
        <w:rPr>
          <w:sz w:val="16"/>
          <w:szCs w:val="16"/>
        </w:rPr>
        <w:tab/>
      </w:r>
      <w:r w:rsidRPr="003415DE">
        <w:rPr>
          <w:sz w:val="16"/>
          <w:szCs w:val="16"/>
        </w:rPr>
        <w:t xml:space="preserve">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5">
    <w:p w:rsidR="00F02A43" w:rsidRDefault="00AE2354" w:rsidP="00AE2354">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rsidR="00AE2354" w:rsidRPr="008A2E99" w:rsidRDefault="00644CBF" w:rsidP="00AE2354">
      <w:pPr>
        <w:pStyle w:val="Textonotapie"/>
        <w:jc w:val="left"/>
        <w:rPr>
          <w:lang w:val="es-MX"/>
        </w:rPr>
      </w:pPr>
      <w:hyperlink r:id="rId1" w:history="1">
        <w:r w:rsidR="00F02A4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F1" w:rsidRPr="00973959" w:rsidRDefault="000475F1" w:rsidP="009F3E63">
    <w:pPr>
      <w:pStyle w:val="Encabezado"/>
      <w:framePr w:w="5391" w:hSpace="141" w:wrap="auto" w:vAnchor="text" w:hAnchor="page" w:x="5756" w:y="34"/>
      <w:ind w:left="567" w:hanging="11"/>
      <w:jc w:val="right"/>
      <w:rPr>
        <w:b/>
        <w:color w:val="002060"/>
      </w:rPr>
    </w:pPr>
    <w:r w:rsidRPr="00973959">
      <w:rPr>
        <w:b/>
        <w:color w:val="002060"/>
      </w:rPr>
      <w:t>COMUNICADO DE PRENSA NÚM.</w:t>
    </w:r>
    <w:r w:rsidR="009F3E63">
      <w:rPr>
        <w:b/>
        <w:color w:val="002060"/>
      </w:rPr>
      <w:t xml:space="preserve"> 461</w:t>
    </w:r>
    <w:r w:rsidRPr="00973959">
      <w:rPr>
        <w:b/>
        <w:color w:val="002060"/>
      </w:rPr>
      <w:t>/1</w:t>
    </w:r>
    <w:r>
      <w:rPr>
        <w:b/>
        <w:color w:val="002060"/>
      </w:rPr>
      <w:t>9</w:t>
    </w:r>
  </w:p>
  <w:p w:rsidR="000475F1" w:rsidRPr="00973959" w:rsidRDefault="000475F1" w:rsidP="009F3E63">
    <w:pPr>
      <w:pStyle w:val="Encabezado"/>
      <w:framePr w:w="5391" w:hSpace="141" w:wrap="auto" w:vAnchor="text" w:hAnchor="page" w:x="5756" w:y="34"/>
      <w:ind w:left="567" w:hanging="11"/>
      <w:jc w:val="right"/>
      <w:rPr>
        <w:b/>
        <w:color w:val="002060"/>
        <w:lang w:val="pt-BR"/>
      </w:rPr>
    </w:pPr>
    <w:r>
      <w:rPr>
        <w:b/>
        <w:color w:val="002060"/>
        <w:lang w:val="pt-BR"/>
      </w:rPr>
      <w:t>23</w:t>
    </w:r>
    <w:r w:rsidRPr="00973959">
      <w:rPr>
        <w:b/>
        <w:color w:val="002060"/>
        <w:lang w:val="pt-BR"/>
      </w:rPr>
      <w:t xml:space="preserve"> DE </w:t>
    </w:r>
    <w:r>
      <w:rPr>
        <w:b/>
        <w:color w:val="002060"/>
        <w:lang w:val="pt-BR"/>
      </w:rPr>
      <w:t xml:space="preserve">SEPTIEMBRE </w:t>
    </w:r>
    <w:r w:rsidRPr="00973959">
      <w:rPr>
        <w:b/>
        <w:color w:val="002060"/>
        <w:lang w:val="pt-BR"/>
      </w:rPr>
      <w:t>DE 201</w:t>
    </w:r>
    <w:r>
      <w:rPr>
        <w:b/>
        <w:color w:val="002060"/>
        <w:lang w:val="pt-BR"/>
      </w:rPr>
      <w:t>9</w:t>
    </w:r>
  </w:p>
  <w:p w:rsidR="000475F1" w:rsidRPr="00973959" w:rsidRDefault="000475F1" w:rsidP="009F3E63">
    <w:pPr>
      <w:pStyle w:val="Encabezado"/>
      <w:framePr w:w="5391" w:hSpace="141" w:wrap="auto" w:vAnchor="text" w:hAnchor="page" w:x="5756" w:y="34"/>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009F3E63">
      <w:rPr>
        <w:b/>
        <w:noProof/>
        <w:color w:val="002060"/>
        <w:lang w:val="pt-BR"/>
      </w:rPr>
      <w:t>2</w:t>
    </w:r>
    <w:r w:rsidRPr="00973959">
      <w:rPr>
        <w:color w:val="002060"/>
      </w:rPr>
      <w:fldChar w:fldCharType="end"/>
    </w:r>
    <w:r w:rsidRPr="00973959">
      <w:rPr>
        <w:b/>
        <w:color w:val="002060"/>
        <w:lang w:val="pt-BR"/>
      </w:rPr>
      <w:t>/2</w:t>
    </w:r>
  </w:p>
  <w:p w:rsidR="000475F1" w:rsidRDefault="000475F1" w:rsidP="004C150C">
    <w:pPr>
      <w:pStyle w:val="Encabezado"/>
      <w:ind w:left="-993"/>
    </w:pPr>
    <w:r>
      <w:rPr>
        <w:noProof/>
        <w:lang w:val="es-MX" w:eastAsia="es-MX"/>
      </w:rPr>
      <w:drawing>
        <wp:inline distT="0" distB="0" distL="0" distR="0" wp14:anchorId="0530C478" wp14:editId="3AEDF3EE">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12" w:rsidRDefault="00553E30" w:rsidP="000475F1">
    <w:pPr>
      <w:pStyle w:val="Encabezado"/>
      <w:jc w:val="center"/>
    </w:pPr>
    <w:r>
      <w:rPr>
        <w:noProof/>
        <w:lang w:val="es-MX" w:eastAsia="es-MX"/>
      </w:rPr>
      <w:drawing>
        <wp:inline distT="0" distB="0" distL="0" distR="0" wp14:anchorId="14D51DBD" wp14:editId="4EE2A145">
          <wp:extent cx="1008000" cy="988597"/>
          <wp:effectExtent l="0" t="0" r="1905" b="254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rsidR="00FB4D3B" w:rsidRDefault="00FB4D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0E98"/>
    <w:rsid w:val="00001694"/>
    <w:rsid w:val="0000180F"/>
    <w:rsid w:val="000022A6"/>
    <w:rsid w:val="00002466"/>
    <w:rsid w:val="00002665"/>
    <w:rsid w:val="000027BD"/>
    <w:rsid w:val="00002AFF"/>
    <w:rsid w:val="00002B26"/>
    <w:rsid w:val="00003C25"/>
    <w:rsid w:val="00003C68"/>
    <w:rsid w:val="00003E85"/>
    <w:rsid w:val="00004291"/>
    <w:rsid w:val="0000458A"/>
    <w:rsid w:val="00004909"/>
    <w:rsid w:val="000050C6"/>
    <w:rsid w:val="00005940"/>
    <w:rsid w:val="0000696E"/>
    <w:rsid w:val="00006B5A"/>
    <w:rsid w:val="00006B6A"/>
    <w:rsid w:val="00007512"/>
    <w:rsid w:val="000078B1"/>
    <w:rsid w:val="00007A1A"/>
    <w:rsid w:val="000108E8"/>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5F1"/>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F51"/>
    <w:rsid w:val="000573F5"/>
    <w:rsid w:val="00057A63"/>
    <w:rsid w:val="00057F37"/>
    <w:rsid w:val="000602B0"/>
    <w:rsid w:val="0006056C"/>
    <w:rsid w:val="0006144A"/>
    <w:rsid w:val="00062234"/>
    <w:rsid w:val="0006228A"/>
    <w:rsid w:val="00063034"/>
    <w:rsid w:val="00063614"/>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38A"/>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25D"/>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FEB"/>
    <w:rsid w:val="000A43B0"/>
    <w:rsid w:val="000A4834"/>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487"/>
    <w:rsid w:val="000C6A4A"/>
    <w:rsid w:val="000C6AFD"/>
    <w:rsid w:val="000D06FA"/>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833"/>
    <w:rsid w:val="000D49D2"/>
    <w:rsid w:val="000D4A88"/>
    <w:rsid w:val="000D4BBC"/>
    <w:rsid w:val="000D4D90"/>
    <w:rsid w:val="000D4E26"/>
    <w:rsid w:val="000D5176"/>
    <w:rsid w:val="000D5EDB"/>
    <w:rsid w:val="000D6C0F"/>
    <w:rsid w:val="000D6F1E"/>
    <w:rsid w:val="000D706E"/>
    <w:rsid w:val="000D7A95"/>
    <w:rsid w:val="000D7BBD"/>
    <w:rsid w:val="000E03C0"/>
    <w:rsid w:val="000E0654"/>
    <w:rsid w:val="000E19B3"/>
    <w:rsid w:val="000E2970"/>
    <w:rsid w:val="000E34E1"/>
    <w:rsid w:val="000E3CC1"/>
    <w:rsid w:val="000E3CE2"/>
    <w:rsid w:val="000E4A53"/>
    <w:rsid w:val="000E5331"/>
    <w:rsid w:val="000E5526"/>
    <w:rsid w:val="000E5D6B"/>
    <w:rsid w:val="000E5FE0"/>
    <w:rsid w:val="000E6D5D"/>
    <w:rsid w:val="000F05D5"/>
    <w:rsid w:val="000F1DEB"/>
    <w:rsid w:val="000F3491"/>
    <w:rsid w:val="000F3C15"/>
    <w:rsid w:val="000F3DE6"/>
    <w:rsid w:val="000F4136"/>
    <w:rsid w:val="000F44E7"/>
    <w:rsid w:val="000F4523"/>
    <w:rsid w:val="000F49F1"/>
    <w:rsid w:val="000F4C41"/>
    <w:rsid w:val="000F4FA7"/>
    <w:rsid w:val="000F536A"/>
    <w:rsid w:val="000F541D"/>
    <w:rsid w:val="000F5AD1"/>
    <w:rsid w:val="000F69FA"/>
    <w:rsid w:val="000F741C"/>
    <w:rsid w:val="000F7577"/>
    <w:rsid w:val="000F763F"/>
    <w:rsid w:val="000F7974"/>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5234"/>
    <w:rsid w:val="00105E2B"/>
    <w:rsid w:val="0010619C"/>
    <w:rsid w:val="0010664D"/>
    <w:rsid w:val="001070CC"/>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4904"/>
    <w:rsid w:val="001349AB"/>
    <w:rsid w:val="00134F4E"/>
    <w:rsid w:val="00134FB0"/>
    <w:rsid w:val="001350AC"/>
    <w:rsid w:val="001352EC"/>
    <w:rsid w:val="00135E0B"/>
    <w:rsid w:val="001361A8"/>
    <w:rsid w:val="001365A5"/>
    <w:rsid w:val="00136690"/>
    <w:rsid w:val="001368CC"/>
    <w:rsid w:val="001372CA"/>
    <w:rsid w:val="0013743A"/>
    <w:rsid w:val="00137AFD"/>
    <w:rsid w:val="0014012A"/>
    <w:rsid w:val="00140AD8"/>
    <w:rsid w:val="00140BE4"/>
    <w:rsid w:val="001411DE"/>
    <w:rsid w:val="00141399"/>
    <w:rsid w:val="00141A0B"/>
    <w:rsid w:val="00141AF4"/>
    <w:rsid w:val="00142E09"/>
    <w:rsid w:val="0014377B"/>
    <w:rsid w:val="00143D3A"/>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40E5"/>
    <w:rsid w:val="00174587"/>
    <w:rsid w:val="0017474C"/>
    <w:rsid w:val="00174783"/>
    <w:rsid w:val="00175CF4"/>
    <w:rsid w:val="00175EFC"/>
    <w:rsid w:val="001762E2"/>
    <w:rsid w:val="001763FA"/>
    <w:rsid w:val="001763FC"/>
    <w:rsid w:val="00176592"/>
    <w:rsid w:val="00176CB5"/>
    <w:rsid w:val="00176DEB"/>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E85"/>
    <w:rsid w:val="001B1EBF"/>
    <w:rsid w:val="001B253D"/>
    <w:rsid w:val="001B277C"/>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605D"/>
    <w:rsid w:val="001F65A4"/>
    <w:rsid w:val="001F65E0"/>
    <w:rsid w:val="001F6CEB"/>
    <w:rsid w:val="001F6EE3"/>
    <w:rsid w:val="001F7362"/>
    <w:rsid w:val="001F7AE9"/>
    <w:rsid w:val="001F7C33"/>
    <w:rsid w:val="001F7CFD"/>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BDF"/>
    <w:rsid w:val="00210D96"/>
    <w:rsid w:val="002116AD"/>
    <w:rsid w:val="00211999"/>
    <w:rsid w:val="00212078"/>
    <w:rsid w:val="002123A4"/>
    <w:rsid w:val="002125D3"/>
    <w:rsid w:val="002126CD"/>
    <w:rsid w:val="00213773"/>
    <w:rsid w:val="00213B0E"/>
    <w:rsid w:val="00213CBC"/>
    <w:rsid w:val="002141FB"/>
    <w:rsid w:val="002146CA"/>
    <w:rsid w:val="002147D6"/>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A38"/>
    <w:rsid w:val="00267F5F"/>
    <w:rsid w:val="00270965"/>
    <w:rsid w:val="00271E5D"/>
    <w:rsid w:val="00272082"/>
    <w:rsid w:val="002728D2"/>
    <w:rsid w:val="0027349D"/>
    <w:rsid w:val="00273516"/>
    <w:rsid w:val="00273985"/>
    <w:rsid w:val="00273B82"/>
    <w:rsid w:val="00273E7A"/>
    <w:rsid w:val="00274372"/>
    <w:rsid w:val="0027475A"/>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7514"/>
    <w:rsid w:val="0028791B"/>
    <w:rsid w:val="00287C1D"/>
    <w:rsid w:val="00287E44"/>
    <w:rsid w:val="00287F79"/>
    <w:rsid w:val="002900A9"/>
    <w:rsid w:val="0029022A"/>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63AF"/>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DEA"/>
    <w:rsid w:val="002F0276"/>
    <w:rsid w:val="002F10E7"/>
    <w:rsid w:val="002F11F9"/>
    <w:rsid w:val="002F1274"/>
    <w:rsid w:val="002F13E0"/>
    <w:rsid w:val="002F16CB"/>
    <w:rsid w:val="002F1742"/>
    <w:rsid w:val="002F1AB0"/>
    <w:rsid w:val="002F1B2F"/>
    <w:rsid w:val="002F29D0"/>
    <w:rsid w:val="002F29E3"/>
    <w:rsid w:val="002F3C64"/>
    <w:rsid w:val="002F4431"/>
    <w:rsid w:val="002F47E7"/>
    <w:rsid w:val="002F510D"/>
    <w:rsid w:val="002F5F61"/>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DA5"/>
    <w:rsid w:val="003201D0"/>
    <w:rsid w:val="003205E0"/>
    <w:rsid w:val="00321010"/>
    <w:rsid w:val="00321386"/>
    <w:rsid w:val="00321650"/>
    <w:rsid w:val="00321788"/>
    <w:rsid w:val="00321848"/>
    <w:rsid w:val="003218BC"/>
    <w:rsid w:val="00321A30"/>
    <w:rsid w:val="00321CB3"/>
    <w:rsid w:val="00322341"/>
    <w:rsid w:val="00322E0E"/>
    <w:rsid w:val="0032345B"/>
    <w:rsid w:val="003235FE"/>
    <w:rsid w:val="00323C0E"/>
    <w:rsid w:val="00324B58"/>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50A"/>
    <w:rsid w:val="00345B7B"/>
    <w:rsid w:val="0034620C"/>
    <w:rsid w:val="00346579"/>
    <w:rsid w:val="00346C50"/>
    <w:rsid w:val="003474B3"/>
    <w:rsid w:val="00347A1B"/>
    <w:rsid w:val="00347CA3"/>
    <w:rsid w:val="00347F9F"/>
    <w:rsid w:val="00350F2C"/>
    <w:rsid w:val="00351032"/>
    <w:rsid w:val="0035149A"/>
    <w:rsid w:val="00351668"/>
    <w:rsid w:val="00352775"/>
    <w:rsid w:val="00352F14"/>
    <w:rsid w:val="003530B3"/>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3195"/>
    <w:rsid w:val="003A344A"/>
    <w:rsid w:val="003A3622"/>
    <w:rsid w:val="003A36D4"/>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B00E9"/>
    <w:rsid w:val="003B02DF"/>
    <w:rsid w:val="003B099A"/>
    <w:rsid w:val="003B0A8B"/>
    <w:rsid w:val="003B1083"/>
    <w:rsid w:val="003B12DB"/>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E043F"/>
    <w:rsid w:val="003E04C7"/>
    <w:rsid w:val="003E07F1"/>
    <w:rsid w:val="003E0E8C"/>
    <w:rsid w:val="003E10D4"/>
    <w:rsid w:val="003E113F"/>
    <w:rsid w:val="003E1418"/>
    <w:rsid w:val="003E1F18"/>
    <w:rsid w:val="003E3102"/>
    <w:rsid w:val="003E37A4"/>
    <w:rsid w:val="003E3DD7"/>
    <w:rsid w:val="003E4435"/>
    <w:rsid w:val="003E4979"/>
    <w:rsid w:val="003E4B79"/>
    <w:rsid w:val="003E4B85"/>
    <w:rsid w:val="003E4C9F"/>
    <w:rsid w:val="003E581F"/>
    <w:rsid w:val="003E5C72"/>
    <w:rsid w:val="003E5F16"/>
    <w:rsid w:val="003E634D"/>
    <w:rsid w:val="003E64BB"/>
    <w:rsid w:val="003E685D"/>
    <w:rsid w:val="003E693C"/>
    <w:rsid w:val="003E6AC1"/>
    <w:rsid w:val="003E7EEA"/>
    <w:rsid w:val="003F01E7"/>
    <w:rsid w:val="003F18CF"/>
    <w:rsid w:val="003F1E48"/>
    <w:rsid w:val="003F2BFE"/>
    <w:rsid w:val="003F3A44"/>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75F"/>
    <w:rsid w:val="0044476D"/>
    <w:rsid w:val="00445064"/>
    <w:rsid w:val="00445172"/>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7142"/>
    <w:rsid w:val="004573A4"/>
    <w:rsid w:val="00457493"/>
    <w:rsid w:val="00457958"/>
    <w:rsid w:val="00460757"/>
    <w:rsid w:val="0046115F"/>
    <w:rsid w:val="0046148D"/>
    <w:rsid w:val="00461535"/>
    <w:rsid w:val="004619B9"/>
    <w:rsid w:val="004619E2"/>
    <w:rsid w:val="00461CE1"/>
    <w:rsid w:val="004627CF"/>
    <w:rsid w:val="00462977"/>
    <w:rsid w:val="00462AC9"/>
    <w:rsid w:val="00462BE1"/>
    <w:rsid w:val="00462DBA"/>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70535"/>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F54"/>
    <w:rsid w:val="004871B4"/>
    <w:rsid w:val="004876B9"/>
    <w:rsid w:val="004876DD"/>
    <w:rsid w:val="00487D65"/>
    <w:rsid w:val="0049178A"/>
    <w:rsid w:val="00491C1D"/>
    <w:rsid w:val="00491DF1"/>
    <w:rsid w:val="0049227A"/>
    <w:rsid w:val="00492535"/>
    <w:rsid w:val="00493435"/>
    <w:rsid w:val="00494B28"/>
    <w:rsid w:val="00495411"/>
    <w:rsid w:val="00495FFF"/>
    <w:rsid w:val="00496A9F"/>
    <w:rsid w:val="00496D10"/>
    <w:rsid w:val="00497358"/>
    <w:rsid w:val="00497FA5"/>
    <w:rsid w:val="004A03B3"/>
    <w:rsid w:val="004A04D5"/>
    <w:rsid w:val="004A12D1"/>
    <w:rsid w:val="004A1B07"/>
    <w:rsid w:val="004A2E04"/>
    <w:rsid w:val="004A31AE"/>
    <w:rsid w:val="004A3226"/>
    <w:rsid w:val="004A399F"/>
    <w:rsid w:val="004A3B8F"/>
    <w:rsid w:val="004A3FDD"/>
    <w:rsid w:val="004A4096"/>
    <w:rsid w:val="004A466A"/>
    <w:rsid w:val="004A4692"/>
    <w:rsid w:val="004A4F2E"/>
    <w:rsid w:val="004A669F"/>
    <w:rsid w:val="004A6842"/>
    <w:rsid w:val="004A718C"/>
    <w:rsid w:val="004A7DBE"/>
    <w:rsid w:val="004A7F94"/>
    <w:rsid w:val="004B08AC"/>
    <w:rsid w:val="004B09D4"/>
    <w:rsid w:val="004B0A66"/>
    <w:rsid w:val="004B0D88"/>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71F"/>
    <w:rsid w:val="004F078C"/>
    <w:rsid w:val="004F1324"/>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6083"/>
    <w:rsid w:val="0051635A"/>
    <w:rsid w:val="005163AF"/>
    <w:rsid w:val="0051646E"/>
    <w:rsid w:val="005166C3"/>
    <w:rsid w:val="00516EA5"/>
    <w:rsid w:val="0051734F"/>
    <w:rsid w:val="005179DA"/>
    <w:rsid w:val="00517E2A"/>
    <w:rsid w:val="005209A5"/>
    <w:rsid w:val="00520B3D"/>
    <w:rsid w:val="00520C1C"/>
    <w:rsid w:val="005212B1"/>
    <w:rsid w:val="00521439"/>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C64"/>
    <w:rsid w:val="0056218D"/>
    <w:rsid w:val="00562887"/>
    <w:rsid w:val="00562EAD"/>
    <w:rsid w:val="00563222"/>
    <w:rsid w:val="00563AEB"/>
    <w:rsid w:val="00564654"/>
    <w:rsid w:val="00564775"/>
    <w:rsid w:val="00564C1E"/>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49F"/>
    <w:rsid w:val="0058161B"/>
    <w:rsid w:val="005817A5"/>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2074"/>
    <w:rsid w:val="005A2384"/>
    <w:rsid w:val="005A24AE"/>
    <w:rsid w:val="005A2E8C"/>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A4E"/>
    <w:rsid w:val="005F5A6F"/>
    <w:rsid w:val="005F5C6D"/>
    <w:rsid w:val="005F5E8E"/>
    <w:rsid w:val="005F60E6"/>
    <w:rsid w:val="005F61DD"/>
    <w:rsid w:val="005F764A"/>
    <w:rsid w:val="0060008E"/>
    <w:rsid w:val="006005C1"/>
    <w:rsid w:val="00600731"/>
    <w:rsid w:val="00600AC6"/>
    <w:rsid w:val="006011A0"/>
    <w:rsid w:val="006012AC"/>
    <w:rsid w:val="00601300"/>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A6D"/>
    <w:rsid w:val="00624395"/>
    <w:rsid w:val="0062460B"/>
    <w:rsid w:val="00624649"/>
    <w:rsid w:val="006249A7"/>
    <w:rsid w:val="006249D1"/>
    <w:rsid w:val="00624D4F"/>
    <w:rsid w:val="00624E15"/>
    <w:rsid w:val="00625713"/>
    <w:rsid w:val="00625B22"/>
    <w:rsid w:val="00625C53"/>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716"/>
    <w:rsid w:val="0063179F"/>
    <w:rsid w:val="006317A4"/>
    <w:rsid w:val="00632259"/>
    <w:rsid w:val="00632765"/>
    <w:rsid w:val="00632DD8"/>
    <w:rsid w:val="0063303A"/>
    <w:rsid w:val="006338DA"/>
    <w:rsid w:val="0063390C"/>
    <w:rsid w:val="00633A5E"/>
    <w:rsid w:val="00633BD8"/>
    <w:rsid w:val="00633F74"/>
    <w:rsid w:val="0063419A"/>
    <w:rsid w:val="00634BA0"/>
    <w:rsid w:val="00634DB1"/>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729"/>
    <w:rsid w:val="00644277"/>
    <w:rsid w:val="006443B2"/>
    <w:rsid w:val="0064457D"/>
    <w:rsid w:val="006447A9"/>
    <w:rsid w:val="00644CBF"/>
    <w:rsid w:val="00645210"/>
    <w:rsid w:val="00645933"/>
    <w:rsid w:val="006459B3"/>
    <w:rsid w:val="00645D57"/>
    <w:rsid w:val="00646970"/>
    <w:rsid w:val="00646ED1"/>
    <w:rsid w:val="00646FDD"/>
    <w:rsid w:val="00647C38"/>
    <w:rsid w:val="00647D39"/>
    <w:rsid w:val="00647DCE"/>
    <w:rsid w:val="006500A2"/>
    <w:rsid w:val="0065058D"/>
    <w:rsid w:val="00650A97"/>
    <w:rsid w:val="00650C5E"/>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86A"/>
    <w:rsid w:val="0066527F"/>
    <w:rsid w:val="0066611A"/>
    <w:rsid w:val="006663EF"/>
    <w:rsid w:val="00666754"/>
    <w:rsid w:val="00666859"/>
    <w:rsid w:val="00666AEA"/>
    <w:rsid w:val="00667ADE"/>
    <w:rsid w:val="00667F38"/>
    <w:rsid w:val="00667FB2"/>
    <w:rsid w:val="0067072F"/>
    <w:rsid w:val="00670D2E"/>
    <w:rsid w:val="00671D3B"/>
    <w:rsid w:val="0067269F"/>
    <w:rsid w:val="006726CB"/>
    <w:rsid w:val="0067272F"/>
    <w:rsid w:val="0067317F"/>
    <w:rsid w:val="00673BA4"/>
    <w:rsid w:val="00674A98"/>
    <w:rsid w:val="00674C5D"/>
    <w:rsid w:val="00674ED8"/>
    <w:rsid w:val="00675793"/>
    <w:rsid w:val="00675C5E"/>
    <w:rsid w:val="00676F0B"/>
    <w:rsid w:val="006773D1"/>
    <w:rsid w:val="00677A5F"/>
    <w:rsid w:val="006801BB"/>
    <w:rsid w:val="006802E3"/>
    <w:rsid w:val="00680CC6"/>
    <w:rsid w:val="0068241B"/>
    <w:rsid w:val="006834C7"/>
    <w:rsid w:val="00683889"/>
    <w:rsid w:val="006842A2"/>
    <w:rsid w:val="0068432E"/>
    <w:rsid w:val="006848BB"/>
    <w:rsid w:val="006849A8"/>
    <w:rsid w:val="00685075"/>
    <w:rsid w:val="00685339"/>
    <w:rsid w:val="00685597"/>
    <w:rsid w:val="00686338"/>
    <w:rsid w:val="0068731C"/>
    <w:rsid w:val="00687633"/>
    <w:rsid w:val="006904AD"/>
    <w:rsid w:val="006905F1"/>
    <w:rsid w:val="0069120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549F"/>
    <w:rsid w:val="006B65CB"/>
    <w:rsid w:val="006B689C"/>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72A8"/>
    <w:rsid w:val="006F7AFB"/>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2020"/>
    <w:rsid w:val="00712026"/>
    <w:rsid w:val="007121C0"/>
    <w:rsid w:val="00712638"/>
    <w:rsid w:val="0071276A"/>
    <w:rsid w:val="00712A32"/>
    <w:rsid w:val="00712B22"/>
    <w:rsid w:val="00712D93"/>
    <w:rsid w:val="007132CE"/>
    <w:rsid w:val="007139BF"/>
    <w:rsid w:val="00713C11"/>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2732"/>
    <w:rsid w:val="0073397C"/>
    <w:rsid w:val="00733A16"/>
    <w:rsid w:val="00734051"/>
    <w:rsid w:val="00734519"/>
    <w:rsid w:val="0073458B"/>
    <w:rsid w:val="007345AE"/>
    <w:rsid w:val="00734B84"/>
    <w:rsid w:val="007352AF"/>
    <w:rsid w:val="007358AD"/>
    <w:rsid w:val="00735CBE"/>
    <w:rsid w:val="00735EBF"/>
    <w:rsid w:val="0073653D"/>
    <w:rsid w:val="007365ED"/>
    <w:rsid w:val="00736747"/>
    <w:rsid w:val="00736927"/>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44AE"/>
    <w:rsid w:val="007447C6"/>
    <w:rsid w:val="007449FE"/>
    <w:rsid w:val="00744CEC"/>
    <w:rsid w:val="00745A05"/>
    <w:rsid w:val="00745F8E"/>
    <w:rsid w:val="00746564"/>
    <w:rsid w:val="00746721"/>
    <w:rsid w:val="00746A84"/>
    <w:rsid w:val="00747741"/>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978"/>
    <w:rsid w:val="00760D42"/>
    <w:rsid w:val="00760FD9"/>
    <w:rsid w:val="007614CD"/>
    <w:rsid w:val="007623B0"/>
    <w:rsid w:val="00762A7D"/>
    <w:rsid w:val="00762C65"/>
    <w:rsid w:val="007638B8"/>
    <w:rsid w:val="00763B9E"/>
    <w:rsid w:val="00764588"/>
    <w:rsid w:val="007648FE"/>
    <w:rsid w:val="00764B39"/>
    <w:rsid w:val="00765EE9"/>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6E0E"/>
    <w:rsid w:val="0077726C"/>
    <w:rsid w:val="00777AAB"/>
    <w:rsid w:val="00777F54"/>
    <w:rsid w:val="0078004B"/>
    <w:rsid w:val="00780FF9"/>
    <w:rsid w:val="00781071"/>
    <w:rsid w:val="00781937"/>
    <w:rsid w:val="0078285C"/>
    <w:rsid w:val="00782B30"/>
    <w:rsid w:val="00783A36"/>
    <w:rsid w:val="007845D4"/>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34DC"/>
    <w:rsid w:val="007B369C"/>
    <w:rsid w:val="007B3A98"/>
    <w:rsid w:val="007B3D7A"/>
    <w:rsid w:val="007B4008"/>
    <w:rsid w:val="007B49C4"/>
    <w:rsid w:val="007B4D74"/>
    <w:rsid w:val="007B4DC6"/>
    <w:rsid w:val="007B5132"/>
    <w:rsid w:val="007B69E8"/>
    <w:rsid w:val="007B6C17"/>
    <w:rsid w:val="007B6F85"/>
    <w:rsid w:val="007B743C"/>
    <w:rsid w:val="007B7B31"/>
    <w:rsid w:val="007C0165"/>
    <w:rsid w:val="007C033F"/>
    <w:rsid w:val="007C03F9"/>
    <w:rsid w:val="007C048B"/>
    <w:rsid w:val="007C0508"/>
    <w:rsid w:val="007C057E"/>
    <w:rsid w:val="007C06A4"/>
    <w:rsid w:val="007C0CA1"/>
    <w:rsid w:val="007C1227"/>
    <w:rsid w:val="007C1541"/>
    <w:rsid w:val="007C19DF"/>
    <w:rsid w:val="007C1BAF"/>
    <w:rsid w:val="007C25F8"/>
    <w:rsid w:val="007C2C3E"/>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C78"/>
    <w:rsid w:val="007D7CDE"/>
    <w:rsid w:val="007D7DC7"/>
    <w:rsid w:val="007E01AF"/>
    <w:rsid w:val="007E0772"/>
    <w:rsid w:val="007E0D31"/>
    <w:rsid w:val="007E0E04"/>
    <w:rsid w:val="007E0EF9"/>
    <w:rsid w:val="007E18BC"/>
    <w:rsid w:val="007E1B5F"/>
    <w:rsid w:val="007E21D9"/>
    <w:rsid w:val="007E2BDD"/>
    <w:rsid w:val="007E45CA"/>
    <w:rsid w:val="007E48C0"/>
    <w:rsid w:val="007E4FBE"/>
    <w:rsid w:val="007E5885"/>
    <w:rsid w:val="007E61B7"/>
    <w:rsid w:val="007E6481"/>
    <w:rsid w:val="007E64FF"/>
    <w:rsid w:val="007E697F"/>
    <w:rsid w:val="007E6BD5"/>
    <w:rsid w:val="007E6F62"/>
    <w:rsid w:val="007E6FEA"/>
    <w:rsid w:val="007E7C7B"/>
    <w:rsid w:val="007E7E0F"/>
    <w:rsid w:val="007E7F8F"/>
    <w:rsid w:val="007F015E"/>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255"/>
    <w:rsid w:val="008012A2"/>
    <w:rsid w:val="0080197B"/>
    <w:rsid w:val="00801C1F"/>
    <w:rsid w:val="008021D3"/>
    <w:rsid w:val="00802849"/>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480A"/>
    <w:rsid w:val="0082488C"/>
    <w:rsid w:val="008251E7"/>
    <w:rsid w:val="00825417"/>
    <w:rsid w:val="008262BC"/>
    <w:rsid w:val="008266A2"/>
    <w:rsid w:val="008267AE"/>
    <w:rsid w:val="00830B33"/>
    <w:rsid w:val="0083118A"/>
    <w:rsid w:val="008311FD"/>
    <w:rsid w:val="00831784"/>
    <w:rsid w:val="008324E8"/>
    <w:rsid w:val="00832727"/>
    <w:rsid w:val="008337C1"/>
    <w:rsid w:val="008344E7"/>
    <w:rsid w:val="00834F23"/>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43F1"/>
    <w:rsid w:val="0086444C"/>
    <w:rsid w:val="008644B1"/>
    <w:rsid w:val="00864768"/>
    <w:rsid w:val="008658AB"/>
    <w:rsid w:val="00865B18"/>
    <w:rsid w:val="0086672E"/>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456"/>
    <w:rsid w:val="00877B29"/>
    <w:rsid w:val="00877C69"/>
    <w:rsid w:val="00880298"/>
    <w:rsid w:val="008808B9"/>
    <w:rsid w:val="00880994"/>
    <w:rsid w:val="00880B30"/>
    <w:rsid w:val="00880F1D"/>
    <w:rsid w:val="0088172A"/>
    <w:rsid w:val="00881F90"/>
    <w:rsid w:val="008851C4"/>
    <w:rsid w:val="00885696"/>
    <w:rsid w:val="0088570A"/>
    <w:rsid w:val="00885DB7"/>
    <w:rsid w:val="00885E9D"/>
    <w:rsid w:val="00885F23"/>
    <w:rsid w:val="0088636E"/>
    <w:rsid w:val="008864A7"/>
    <w:rsid w:val="0088666A"/>
    <w:rsid w:val="0088688A"/>
    <w:rsid w:val="00886A9E"/>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EAD"/>
    <w:rsid w:val="008C1442"/>
    <w:rsid w:val="008C1693"/>
    <w:rsid w:val="008C19D9"/>
    <w:rsid w:val="008C1A5E"/>
    <w:rsid w:val="008C1A81"/>
    <w:rsid w:val="008C1EA9"/>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950"/>
    <w:rsid w:val="008E12E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EC8"/>
    <w:rsid w:val="00921102"/>
    <w:rsid w:val="00921305"/>
    <w:rsid w:val="00921783"/>
    <w:rsid w:val="009217D9"/>
    <w:rsid w:val="00921AC8"/>
    <w:rsid w:val="0092206F"/>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7C4"/>
    <w:rsid w:val="009319DC"/>
    <w:rsid w:val="00931AAD"/>
    <w:rsid w:val="00931E6D"/>
    <w:rsid w:val="0093236B"/>
    <w:rsid w:val="00932D04"/>
    <w:rsid w:val="00932E9E"/>
    <w:rsid w:val="00933B8A"/>
    <w:rsid w:val="00934141"/>
    <w:rsid w:val="009341AA"/>
    <w:rsid w:val="0093429A"/>
    <w:rsid w:val="00934FE5"/>
    <w:rsid w:val="009352D3"/>
    <w:rsid w:val="009355BB"/>
    <w:rsid w:val="00935789"/>
    <w:rsid w:val="009359C5"/>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5D5"/>
    <w:rsid w:val="00977FE1"/>
    <w:rsid w:val="00980BAC"/>
    <w:rsid w:val="00980DF0"/>
    <w:rsid w:val="00980F3F"/>
    <w:rsid w:val="00981D1C"/>
    <w:rsid w:val="00982032"/>
    <w:rsid w:val="00982214"/>
    <w:rsid w:val="009823D4"/>
    <w:rsid w:val="00982474"/>
    <w:rsid w:val="00982575"/>
    <w:rsid w:val="009825C0"/>
    <w:rsid w:val="00983285"/>
    <w:rsid w:val="00984672"/>
    <w:rsid w:val="009846BA"/>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B052F"/>
    <w:rsid w:val="009B1F3A"/>
    <w:rsid w:val="009B1F90"/>
    <w:rsid w:val="009B2766"/>
    <w:rsid w:val="009B2852"/>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C0448"/>
    <w:rsid w:val="009C0615"/>
    <w:rsid w:val="009C0CF8"/>
    <w:rsid w:val="009C125A"/>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30F9"/>
    <w:rsid w:val="009D3192"/>
    <w:rsid w:val="009D31C0"/>
    <w:rsid w:val="009D322C"/>
    <w:rsid w:val="009D334F"/>
    <w:rsid w:val="009D33C0"/>
    <w:rsid w:val="009D372A"/>
    <w:rsid w:val="009D3A26"/>
    <w:rsid w:val="009D3BAC"/>
    <w:rsid w:val="009D3EDD"/>
    <w:rsid w:val="009D43D2"/>
    <w:rsid w:val="009D48BA"/>
    <w:rsid w:val="009D4B7E"/>
    <w:rsid w:val="009D4D48"/>
    <w:rsid w:val="009D4DC6"/>
    <w:rsid w:val="009D5106"/>
    <w:rsid w:val="009D5E95"/>
    <w:rsid w:val="009D5E99"/>
    <w:rsid w:val="009D66B9"/>
    <w:rsid w:val="009D6B77"/>
    <w:rsid w:val="009D6C4C"/>
    <w:rsid w:val="009D6CE1"/>
    <w:rsid w:val="009D74C2"/>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231C"/>
    <w:rsid w:val="009F2512"/>
    <w:rsid w:val="009F2800"/>
    <w:rsid w:val="009F2C7D"/>
    <w:rsid w:val="009F3E63"/>
    <w:rsid w:val="009F40CE"/>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13B3"/>
    <w:rsid w:val="00A31D00"/>
    <w:rsid w:val="00A32051"/>
    <w:rsid w:val="00A323A5"/>
    <w:rsid w:val="00A32AE0"/>
    <w:rsid w:val="00A32B77"/>
    <w:rsid w:val="00A32BB4"/>
    <w:rsid w:val="00A32D56"/>
    <w:rsid w:val="00A33CCF"/>
    <w:rsid w:val="00A35D65"/>
    <w:rsid w:val="00A36CF6"/>
    <w:rsid w:val="00A36EC5"/>
    <w:rsid w:val="00A371D7"/>
    <w:rsid w:val="00A37EDA"/>
    <w:rsid w:val="00A4035D"/>
    <w:rsid w:val="00A413A3"/>
    <w:rsid w:val="00A41619"/>
    <w:rsid w:val="00A4317F"/>
    <w:rsid w:val="00A43270"/>
    <w:rsid w:val="00A433D9"/>
    <w:rsid w:val="00A4539E"/>
    <w:rsid w:val="00A459C0"/>
    <w:rsid w:val="00A45F7E"/>
    <w:rsid w:val="00A46080"/>
    <w:rsid w:val="00A461CB"/>
    <w:rsid w:val="00A46C6C"/>
    <w:rsid w:val="00A46EB1"/>
    <w:rsid w:val="00A47A54"/>
    <w:rsid w:val="00A47C59"/>
    <w:rsid w:val="00A5052A"/>
    <w:rsid w:val="00A50FEC"/>
    <w:rsid w:val="00A512C7"/>
    <w:rsid w:val="00A51FC3"/>
    <w:rsid w:val="00A53152"/>
    <w:rsid w:val="00A532FC"/>
    <w:rsid w:val="00A53624"/>
    <w:rsid w:val="00A53792"/>
    <w:rsid w:val="00A537F8"/>
    <w:rsid w:val="00A539AA"/>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DDA"/>
    <w:rsid w:val="00A6654A"/>
    <w:rsid w:val="00A667EF"/>
    <w:rsid w:val="00A66C0D"/>
    <w:rsid w:val="00A6764D"/>
    <w:rsid w:val="00A67934"/>
    <w:rsid w:val="00A67D4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55F8"/>
    <w:rsid w:val="00AB5DF2"/>
    <w:rsid w:val="00AB6C4D"/>
    <w:rsid w:val="00AB7866"/>
    <w:rsid w:val="00AC0843"/>
    <w:rsid w:val="00AC13AC"/>
    <w:rsid w:val="00AC19D1"/>
    <w:rsid w:val="00AC1D3B"/>
    <w:rsid w:val="00AC226A"/>
    <w:rsid w:val="00AC246C"/>
    <w:rsid w:val="00AC2526"/>
    <w:rsid w:val="00AC2FB2"/>
    <w:rsid w:val="00AC32FB"/>
    <w:rsid w:val="00AC3ADE"/>
    <w:rsid w:val="00AC3EC8"/>
    <w:rsid w:val="00AC3F17"/>
    <w:rsid w:val="00AC3F58"/>
    <w:rsid w:val="00AC45B8"/>
    <w:rsid w:val="00AC4C92"/>
    <w:rsid w:val="00AC4E28"/>
    <w:rsid w:val="00AC4E71"/>
    <w:rsid w:val="00AC4F7E"/>
    <w:rsid w:val="00AC539B"/>
    <w:rsid w:val="00AC5700"/>
    <w:rsid w:val="00AC5A64"/>
    <w:rsid w:val="00AC699C"/>
    <w:rsid w:val="00AC7042"/>
    <w:rsid w:val="00AC752F"/>
    <w:rsid w:val="00AC7B8D"/>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8D"/>
    <w:rsid w:val="00AE36D1"/>
    <w:rsid w:val="00AE3DDB"/>
    <w:rsid w:val="00AE44DB"/>
    <w:rsid w:val="00AE46C8"/>
    <w:rsid w:val="00AE48EE"/>
    <w:rsid w:val="00AE4A64"/>
    <w:rsid w:val="00AE5771"/>
    <w:rsid w:val="00AE59FC"/>
    <w:rsid w:val="00AE5EBB"/>
    <w:rsid w:val="00AE6362"/>
    <w:rsid w:val="00AE6749"/>
    <w:rsid w:val="00AE6AAF"/>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60E"/>
    <w:rsid w:val="00B2086A"/>
    <w:rsid w:val="00B20DCF"/>
    <w:rsid w:val="00B20F8A"/>
    <w:rsid w:val="00B215EB"/>
    <w:rsid w:val="00B22522"/>
    <w:rsid w:val="00B2288A"/>
    <w:rsid w:val="00B244D9"/>
    <w:rsid w:val="00B24D66"/>
    <w:rsid w:val="00B258AF"/>
    <w:rsid w:val="00B25D9B"/>
    <w:rsid w:val="00B2649C"/>
    <w:rsid w:val="00B264B0"/>
    <w:rsid w:val="00B26CDB"/>
    <w:rsid w:val="00B26ECF"/>
    <w:rsid w:val="00B27444"/>
    <w:rsid w:val="00B27734"/>
    <w:rsid w:val="00B27771"/>
    <w:rsid w:val="00B27787"/>
    <w:rsid w:val="00B278D7"/>
    <w:rsid w:val="00B3091E"/>
    <w:rsid w:val="00B30932"/>
    <w:rsid w:val="00B31602"/>
    <w:rsid w:val="00B319FE"/>
    <w:rsid w:val="00B3232C"/>
    <w:rsid w:val="00B32565"/>
    <w:rsid w:val="00B331B8"/>
    <w:rsid w:val="00B33786"/>
    <w:rsid w:val="00B337A4"/>
    <w:rsid w:val="00B3388C"/>
    <w:rsid w:val="00B33AAC"/>
    <w:rsid w:val="00B34725"/>
    <w:rsid w:val="00B355F0"/>
    <w:rsid w:val="00B3578C"/>
    <w:rsid w:val="00B36730"/>
    <w:rsid w:val="00B36762"/>
    <w:rsid w:val="00B36D9E"/>
    <w:rsid w:val="00B37311"/>
    <w:rsid w:val="00B373FB"/>
    <w:rsid w:val="00B37975"/>
    <w:rsid w:val="00B37E18"/>
    <w:rsid w:val="00B4106F"/>
    <w:rsid w:val="00B41A1B"/>
    <w:rsid w:val="00B41BE7"/>
    <w:rsid w:val="00B424F7"/>
    <w:rsid w:val="00B42568"/>
    <w:rsid w:val="00B4316E"/>
    <w:rsid w:val="00B4339F"/>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6E9"/>
    <w:rsid w:val="00B85774"/>
    <w:rsid w:val="00B86429"/>
    <w:rsid w:val="00B8648F"/>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7577"/>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6308"/>
    <w:rsid w:val="00BC634B"/>
    <w:rsid w:val="00BC63FE"/>
    <w:rsid w:val="00BC666D"/>
    <w:rsid w:val="00BC67A4"/>
    <w:rsid w:val="00BC6B4D"/>
    <w:rsid w:val="00BC6C4F"/>
    <w:rsid w:val="00BC6DF0"/>
    <w:rsid w:val="00BC76AA"/>
    <w:rsid w:val="00BD1290"/>
    <w:rsid w:val="00BD1CFB"/>
    <w:rsid w:val="00BD2B8F"/>
    <w:rsid w:val="00BD3201"/>
    <w:rsid w:val="00BD33CC"/>
    <w:rsid w:val="00BD35B9"/>
    <w:rsid w:val="00BD36EC"/>
    <w:rsid w:val="00BD419E"/>
    <w:rsid w:val="00BD4A52"/>
    <w:rsid w:val="00BD4D8D"/>
    <w:rsid w:val="00BD51CA"/>
    <w:rsid w:val="00BD5CD2"/>
    <w:rsid w:val="00BD64E7"/>
    <w:rsid w:val="00BD6BFF"/>
    <w:rsid w:val="00BD77DE"/>
    <w:rsid w:val="00BD79C2"/>
    <w:rsid w:val="00BE1F2E"/>
    <w:rsid w:val="00BE1FA7"/>
    <w:rsid w:val="00BE2891"/>
    <w:rsid w:val="00BE2AD7"/>
    <w:rsid w:val="00BE2BAA"/>
    <w:rsid w:val="00BE39D5"/>
    <w:rsid w:val="00BE4F8D"/>
    <w:rsid w:val="00BE590A"/>
    <w:rsid w:val="00BE5B76"/>
    <w:rsid w:val="00BE7348"/>
    <w:rsid w:val="00BE770F"/>
    <w:rsid w:val="00BE778C"/>
    <w:rsid w:val="00BE7E4D"/>
    <w:rsid w:val="00BF01D4"/>
    <w:rsid w:val="00BF03B4"/>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F13"/>
    <w:rsid w:val="00C041F4"/>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6495"/>
    <w:rsid w:val="00C27194"/>
    <w:rsid w:val="00C273ED"/>
    <w:rsid w:val="00C27447"/>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A83"/>
    <w:rsid w:val="00C40D37"/>
    <w:rsid w:val="00C40DA1"/>
    <w:rsid w:val="00C412E1"/>
    <w:rsid w:val="00C416FD"/>
    <w:rsid w:val="00C41E73"/>
    <w:rsid w:val="00C41FA0"/>
    <w:rsid w:val="00C4271F"/>
    <w:rsid w:val="00C42A6C"/>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5E4"/>
    <w:rsid w:val="00C8282D"/>
    <w:rsid w:val="00C8290C"/>
    <w:rsid w:val="00C833A9"/>
    <w:rsid w:val="00C83E1B"/>
    <w:rsid w:val="00C84DCF"/>
    <w:rsid w:val="00C8512B"/>
    <w:rsid w:val="00C858C8"/>
    <w:rsid w:val="00C85A79"/>
    <w:rsid w:val="00C85B02"/>
    <w:rsid w:val="00C86242"/>
    <w:rsid w:val="00C86550"/>
    <w:rsid w:val="00C86B76"/>
    <w:rsid w:val="00C86D64"/>
    <w:rsid w:val="00C87CDD"/>
    <w:rsid w:val="00C909EE"/>
    <w:rsid w:val="00C90E27"/>
    <w:rsid w:val="00C910ED"/>
    <w:rsid w:val="00C914C9"/>
    <w:rsid w:val="00C9156F"/>
    <w:rsid w:val="00C91E57"/>
    <w:rsid w:val="00C922E8"/>
    <w:rsid w:val="00C93188"/>
    <w:rsid w:val="00C93C96"/>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3BF"/>
    <w:rsid w:val="00CA13F7"/>
    <w:rsid w:val="00CA145B"/>
    <w:rsid w:val="00CA1463"/>
    <w:rsid w:val="00CA14DE"/>
    <w:rsid w:val="00CA25F5"/>
    <w:rsid w:val="00CA2A57"/>
    <w:rsid w:val="00CA2C4B"/>
    <w:rsid w:val="00CA30A9"/>
    <w:rsid w:val="00CA35EC"/>
    <w:rsid w:val="00CA3D36"/>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B1"/>
    <w:rsid w:val="00CB2714"/>
    <w:rsid w:val="00CB2824"/>
    <w:rsid w:val="00CB2C75"/>
    <w:rsid w:val="00CB2F95"/>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A65"/>
    <w:rsid w:val="00CE3037"/>
    <w:rsid w:val="00CE32AD"/>
    <w:rsid w:val="00CE3361"/>
    <w:rsid w:val="00CE3958"/>
    <w:rsid w:val="00CE3A6B"/>
    <w:rsid w:val="00CE3F49"/>
    <w:rsid w:val="00CE49B0"/>
    <w:rsid w:val="00CE4EA8"/>
    <w:rsid w:val="00CE5261"/>
    <w:rsid w:val="00CE52F6"/>
    <w:rsid w:val="00CE584B"/>
    <w:rsid w:val="00CE5A0A"/>
    <w:rsid w:val="00CE5C82"/>
    <w:rsid w:val="00CE64F3"/>
    <w:rsid w:val="00CE6C5C"/>
    <w:rsid w:val="00CE72F6"/>
    <w:rsid w:val="00CE7FF2"/>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67E"/>
    <w:rsid w:val="00CF78C0"/>
    <w:rsid w:val="00CF78E3"/>
    <w:rsid w:val="00D01011"/>
    <w:rsid w:val="00D015A8"/>
    <w:rsid w:val="00D01BA7"/>
    <w:rsid w:val="00D024F9"/>
    <w:rsid w:val="00D027F9"/>
    <w:rsid w:val="00D02E81"/>
    <w:rsid w:val="00D032AA"/>
    <w:rsid w:val="00D0355C"/>
    <w:rsid w:val="00D03A3E"/>
    <w:rsid w:val="00D03B1A"/>
    <w:rsid w:val="00D03E97"/>
    <w:rsid w:val="00D040BB"/>
    <w:rsid w:val="00D056E9"/>
    <w:rsid w:val="00D05CB6"/>
    <w:rsid w:val="00D06325"/>
    <w:rsid w:val="00D06C16"/>
    <w:rsid w:val="00D07684"/>
    <w:rsid w:val="00D076A6"/>
    <w:rsid w:val="00D07F59"/>
    <w:rsid w:val="00D102EA"/>
    <w:rsid w:val="00D104B0"/>
    <w:rsid w:val="00D104B2"/>
    <w:rsid w:val="00D10986"/>
    <w:rsid w:val="00D11BB2"/>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5C7"/>
    <w:rsid w:val="00D17E09"/>
    <w:rsid w:val="00D20886"/>
    <w:rsid w:val="00D20AD4"/>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BF7"/>
    <w:rsid w:val="00D30729"/>
    <w:rsid w:val="00D30EAF"/>
    <w:rsid w:val="00D31495"/>
    <w:rsid w:val="00D314F6"/>
    <w:rsid w:val="00D31A4F"/>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D75"/>
    <w:rsid w:val="00D43F48"/>
    <w:rsid w:val="00D43F90"/>
    <w:rsid w:val="00D44156"/>
    <w:rsid w:val="00D44198"/>
    <w:rsid w:val="00D441FB"/>
    <w:rsid w:val="00D445B3"/>
    <w:rsid w:val="00D453B5"/>
    <w:rsid w:val="00D45529"/>
    <w:rsid w:val="00D45977"/>
    <w:rsid w:val="00D46DBF"/>
    <w:rsid w:val="00D46F26"/>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285"/>
    <w:rsid w:val="00D81B9A"/>
    <w:rsid w:val="00D822C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4B0"/>
    <w:rsid w:val="00DA2582"/>
    <w:rsid w:val="00DA2694"/>
    <w:rsid w:val="00DA3CDB"/>
    <w:rsid w:val="00DA3CF1"/>
    <w:rsid w:val="00DA4B0E"/>
    <w:rsid w:val="00DA50E4"/>
    <w:rsid w:val="00DA5BEB"/>
    <w:rsid w:val="00DA5F20"/>
    <w:rsid w:val="00DA6199"/>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DA6"/>
    <w:rsid w:val="00DF708D"/>
    <w:rsid w:val="00DF7EB8"/>
    <w:rsid w:val="00E0031E"/>
    <w:rsid w:val="00E00B10"/>
    <w:rsid w:val="00E00FD5"/>
    <w:rsid w:val="00E01956"/>
    <w:rsid w:val="00E01B27"/>
    <w:rsid w:val="00E01D7A"/>
    <w:rsid w:val="00E01F0A"/>
    <w:rsid w:val="00E02047"/>
    <w:rsid w:val="00E023E5"/>
    <w:rsid w:val="00E0280B"/>
    <w:rsid w:val="00E02837"/>
    <w:rsid w:val="00E0287C"/>
    <w:rsid w:val="00E02FC0"/>
    <w:rsid w:val="00E03532"/>
    <w:rsid w:val="00E0443C"/>
    <w:rsid w:val="00E04B4F"/>
    <w:rsid w:val="00E05F38"/>
    <w:rsid w:val="00E06B6A"/>
    <w:rsid w:val="00E06FD6"/>
    <w:rsid w:val="00E074C1"/>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8CD"/>
    <w:rsid w:val="00E14E22"/>
    <w:rsid w:val="00E14FF5"/>
    <w:rsid w:val="00E15713"/>
    <w:rsid w:val="00E16682"/>
    <w:rsid w:val="00E1678A"/>
    <w:rsid w:val="00E17549"/>
    <w:rsid w:val="00E17BAE"/>
    <w:rsid w:val="00E17E85"/>
    <w:rsid w:val="00E17E99"/>
    <w:rsid w:val="00E2002A"/>
    <w:rsid w:val="00E2055A"/>
    <w:rsid w:val="00E20655"/>
    <w:rsid w:val="00E20A30"/>
    <w:rsid w:val="00E21F2D"/>
    <w:rsid w:val="00E22A26"/>
    <w:rsid w:val="00E22DD9"/>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7E87"/>
    <w:rsid w:val="00E60DE1"/>
    <w:rsid w:val="00E6106B"/>
    <w:rsid w:val="00E61076"/>
    <w:rsid w:val="00E61812"/>
    <w:rsid w:val="00E62446"/>
    <w:rsid w:val="00E62CF0"/>
    <w:rsid w:val="00E62E5D"/>
    <w:rsid w:val="00E62EB8"/>
    <w:rsid w:val="00E635BC"/>
    <w:rsid w:val="00E63A9F"/>
    <w:rsid w:val="00E65073"/>
    <w:rsid w:val="00E65E8C"/>
    <w:rsid w:val="00E66766"/>
    <w:rsid w:val="00E66800"/>
    <w:rsid w:val="00E668F9"/>
    <w:rsid w:val="00E66C08"/>
    <w:rsid w:val="00E66D78"/>
    <w:rsid w:val="00E66D94"/>
    <w:rsid w:val="00E67132"/>
    <w:rsid w:val="00E673C1"/>
    <w:rsid w:val="00E67ACF"/>
    <w:rsid w:val="00E67C5C"/>
    <w:rsid w:val="00E67E55"/>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7452"/>
    <w:rsid w:val="00E876A3"/>
    <w:rsid w:val="00E87DC5"/>
    <w:rsid w:val="00E87E99"/>
    <w:rsid w:val="00E87F24"/>
    <w:rsid w:val="00E903A5"/>
    <w:rsid w:val="00E90A19"/>
    <w:rsid w:val="00E91460"/>
    <w:rsid w:val="00E915F1"/>
    <w:rsid w:val="00E91C42"/>
    <w:rsid w:val="00E92341"/>
    <w:rsid w:val="00E93635"/>
    <w:rsid w:val="00E94F06"/>
    <w:rsid w:val="00E95243"/>
    <w:rsid w:val="00E9568A"/>
    <w:rsid w:val="00E956CB"/>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F1"/>
    <w:rsid w:val="00EA3BA1"/>
    <w:rsid w:val="00EA449C"/>
    <w:rsid w:val="00EA47F4"/>
    <w:rsid w:val="00EA4953"/>
    <w:rsid w:val="00EA4F1E"/>
    <w:rsid w:val="00EA4F7D"/>
    <w:rsid w:val="00EA5931"/>
    <w:rsid w:val="00EA5F9C"/>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425C"/>
    <w:rsid w:val="00EB45D7"/>
    <w:rsid w:val="00EB47B3"/>
    <w:rsid w:val="00EB4926"/>
    <w:rsid w:val="00EB4B58"/>
    <w:rsid w:val="00EB4E5F"/>
    <w:rsid w:val="00EB5197"/>
    <w:rsid w:val="00EB5629"/>
    <w:rsid w:val="00EB5734"/>
    <w:rsid w:val="00EB5A33"/>
    <w:rsid w:val="00EB6C0E"/>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BDF"/>
    <w:rsid w:val="00ED24B6"/>
    <w:rsid w:val="00ED25D2"/>
    <w:rsid w:val="00ED35C0"/>
    <w:rsid w:val="00ED3F38"/>
    <w:rsid w:val="00ED3F87"/>
    <w:rsid w:val="00ED4124"/>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76F3"/>
    <w:rsid w:val="00F00922"/>
    <w:rsid w:val="00F009EE"/>
    <w:rsid w:val="00F00BEE"/>
    <w:rsid w:val="00F0102C"/>
    <w:rsid w:val="00F0106B"/>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A85"/>
    <w:rsid w:val="00F13C6A"/>
    <w:rsid w:val="00F13C93"/>
    <w:rsid w:val="00F14145"/>
    <w:rsid w:val="00F14212"/>
    <w:rsid w:val="00F14A1F"/>
    <w:rsid w:val="00F14D95"/>
    <w:rsid w:val="00F150C2"/>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D6D"/>
    <w:rsid w:val="00F3000C"/>
    <w:rsid w:val="00F30616"/>
    <w:rsid w:val="00F319F9"/>
    <w:rsid w:val="00F32AF9"/>
    <w:rsid w:val="00F33B96"/>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32"/>
    <w:rsid w:val="00F4737E"/>
    <w:rsid w:val="00F47D5F"/>
    <w:rsid w:val="00F47E5F"/>
    <w:rsid w:val="00F50623"/>
    <w:rsid w:val="00F5087C"/>
    <w:rsid w:val="00F50BAD"/>
    <w:rsid w:val="00F50E4E"/>
    <w:rsid w:val="00F511EE"/>
    <w:rsid w:val="00F51D28"/>
    <w:rsid w:val="00F51E10"/>
    <w:rsid w:val="00F51E4D"/>
    <w:rsid w:val="00F53312"/>
    <w:rsid w:val="00F53398"/>
    <w:rsid w:val="00F533F9"/>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D88"/>
    <w:rsid w:val="00F60DC0"/>
    <w:rsid w:val="00F61248"/>
    <w:rsid w:val="00F61281"/>
    <w:rsid w:val="00F613C3"/>
    <w:rsid w:val="00F6145D"/>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B0060"/>
    <w:rsid w:val="00FB012F"/>
    <w:rsid w:val="00FB0A08"/>
    <w:rsid w:val="00FB0AD3"/>
    <w:rsid w:val="00FB0B2B"/>
    <w:rsid w:val="00FB0D58"/>
    <w:rsid w:val="00FB0F16"/>
    <w:rsid w:val="00FB185F"/>
    <w:rsid w:val="00FB21EE"/>
    <w:rsid w:val="00FB2506"/>
    <w:rsid w:val="00FB306B"/>
    <w:rsid w:val="00FB3784"/>
    <w:rsid w:val="00FB39B3"/>
    <w:rsid w:val="00FB466E"/>
    <w:rsid w:val="00FB4D3B"/>
    <w:rsid w:val="00FB4F6A"/>
    <w:rsid w:val="00FB50C2"/>
    <w:rsid w:val="00FB529D"/>
    <w:rsid w:val="00FB56C5"/>
    <w:rsid w:val="00FB57EF"/>
    <w:rsid w:val="00FB59E5"/>
    <w:rsid w:val="00FB5C5F"/>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E51"/>
    <w:rsid w:val="00FD0F61"/>
    <w:rsid w:val="00FD1280"/>
    <w:rsid w:val="00FD143C"/>
    <w:rsid w:val="00FD1946"/>
    <w:rsid w:val="00FD2965"/>
    <w:rsid w:val="00FD2A64"/>
    <w:rsid w:val="00FD2CC3"/>
    <w:rsid w:val="00FD3162"/>
    <w:rsid w:val="00FD3487"/>
    <w:rsid w:val="00FD3520"/>
    <w:rsid w:val="00FD3D58"/>
    <w:rsid w:val="00FD3D61"/>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DE5C8"/>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0475F1"/>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0475F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javascript:AddMetaDato('2951','Sistema%20de%20indicadores%20c&#237;clicos','');"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app/biblioteca/ficha.html?upc=70282509906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app/indicadores/bie.html"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Encuesta%20de%20servicios\2019\07-19\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Encuesta%20de%20servicios\2019\07-19\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Encuesta%20de%20servicios\2019\07-19\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Encuesta%20de%20servicios\2019\07-19\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'!$C$137:$C$203</c:f>
              <c:numCache>
                <c:formatCode>0.0_)</c:formatCode>
                <c:ptCount val="67"/>
                <c:pt idx="0">
                  <c:v>99.794343438174906</c:v>
                </c:pt>
                <c:pt idx="1">
                  <c:v>100.04891699400901</c:v>
                </c:pt>
                <c:pt idx="2">
                  <c:v>102.23873309097</c:v>
                </c:pt>
                <c:pt idx="3">
                  <c:v>101.26512547481499</c:v>
                </c:pt>
                <c:pt idx="4">
                  <c:v>101.381693367163</c:v>
                </c:pt>
                <c:pt idx="5">
                  <c:v>100.043917682461</c:v>
                </c:pt>
                <c:pt idx="6">
                  <c:v>100.16341648655001</c:v>
                </c:pt>
                <c:pt idx="7">
                  <c:v>100.88223524919999</c:v>
                </c:pt>
                <c:pt idx="8">
                  <c:v>99.419434141949395</c:v>
                </c:pt>
                <c:pt idx="9">
                  <c:v>100.91298495383</c:v>
                </c:pt>
                <c:pt idx="10">
                  <c:v>101.45263107778899</c:v>
                </c:pt>
                <c:pt idx="11">
                  <c:v>101.985308724368</c:v>
                </c:pt>
                <c:pt idx="12">
                  <c:v>103.97400000234499</c:v>
                </c:pt>
                <c:pt idx="13">
                  <c:v>104.880130723259</c:v>
                </c:pt>
                <c:pt idx="14">
                  <c:v>104.795756200035</c:v>
                </c:pt>
                <c:pt idx="15">
                  <c:v>105.027252333107</c:v>
                </c:pt>
                <c:pt idx="16">
                  <c:v>106.089578728162</c:v>
                </c:pt>
                <c:pt idx="17">
                  <c:v>106.076633632197</c:v>
                </c:pt>
                <c:pt idx="18">
                  <c:v>106.55344533728601</c:v>
                </c:pt>
                <c:pt idx="19">
                  <c:v>106.43815926496001</c:v>
                </c:pt>
                <c:pt idx="20">
                  <c:v>107.364643730132</c:v>
                </c:pt>
                <c:pt idx="21">
                  <c:v>106.59363345287299</c:v>
                </c:pt>
                <c:pt idx="22">
                  <c:v>107.01797306741901</c:v>
                </c:pt>
                <c:pt idx="23">
                  <c:v>106.58911186479</c:v>
                </c:pt>
                <c:pt idx="24">
                  <c:v>106.11295495778</c:v>
                </c:pt>
                <c:pt idx="25">
                  <c:v>106.651353266253</c:v>
                </c:pt>
                <c:pt idx="26">
                  <c:v>106.932360210778</c:v>
                </c:pt>
                <c:pt idx="27">
                  <c:v>107.23307255359499</c:v>
                </c:pt>
                <c:pt idx="28">
                  <c:v>107.617413564223</c:v>
                </c:pt>
                <c:pt idx="29">
                  <c:v>108.97309215958499</c:v>
                </c:pt>
                <c:pt idx="30">
                  <c:v>109.71639464395101</c:v>
                </c:pt>
                <c:pt idx="31">
                  <c:v>107.96502282406399</c:v>
                </c:pt>
                <c:pt idx="32">
                  <c:v>109.144513742181</c:v>
                </c:pt>
                <c:pt idx="33">
                  <c:v>109.08488435090401</c:v>
                </c:pt>
                <c:pt idx="34">
                  <c:v>108.991429300571</c:v>
                </c:pt>
                <c:pt idx="35">
                  <c:v>110.558702120381</c:v>
                </c:pt>
                <c:pt idx="36">
                  <c:v>110.729222180379</c:v>
                </c:pt>
                <c:pt idx="37">
                  <c:v>111.644727276507</c:v>
                </c:pt>
                <c:pt idx="38">
                  <c:v>111.38843344160099</c:v>
                </c:pt>
                <c:pt idx="39">
                  <c:v>111.397161567552</c:v>
                </c:pt>
                <c:pt idx="40">
                  <c:v>109.993791481266</c:v>
                </c:pt>
                <c:pt idx="41">
                  <c:v>110.21722323597101</c:v>
                </c:pt>
                <c:pt idx="42">
                  <c:v>110.317396034807</c:v>
                </c:pt>
                <c:pt idx="43">
                  <c:v>110.42794420672099</c:v>
                </c:pt>
                <c:pt idx="44">
                  <c:v>110.162966651338</c:v>
                </c:pt>
                <c:pt idx="45">
                  <c:v>110.38512203559</c:v>
                </c:pt>
                <c:pt idx="46">
                  <c:v>112.344866444926</c:v>
                </c:pt>
                <c:pt idx="47">
                  <c:v>111.160881291016</c:v>
                </c:pt>
                <c:pt idx="48">
                  <c:v>111.18375620626399</c:v>
                </c:pt>
                <c:pt idx="49">
                  <c:v>110.959424270688</c:v>
                </c:pt>
                <c:pt idx="50">
                  <c:v>110.781325844151</c:v>
                </c:pt>
                <c:pt idx="51">
                  <c:v>112.712674952225</c:v>
                </c:pt>
                <c:pt idx="52">
                  <c:v>114.92229882586599</c:v>
                </c:pt>
                <c:pt idx="53">
                  <c:v>113.07090994366401</c:v>
                </c:pt>
                <c:pt idx="54">
                  <c:v>113.561330193337</c:v>
                </c:pt>
                <c:pt idx="55">
                  <c:v>115.08463590781901</c:v>
                </c:pt>
                <c:pt idx="56">
                  <c:v>112.702447326982</c:v>
                </c:pt>
                <c:pt idx="57">
                  <c:v>113.993315685076</c:v>
                </c:pt>
                <c:pt idx="58">
                  <c:v>113.227728594959</c:v>
                </c:pt>
                <c:pt idx="59">
                  <c:v>112.14578585514801</c:v>
                </c:pt>
                <c:pt idx="60">
                  <c:v>112.02560592365499</c:v>
                </c:pt>
                <c:pt idx="61">
                  <c:v>111.699449665923</c:v>
                </c:pt>
                <c:pt idx="62">
                  <c:v>113.345231731691</c:v>
                </c:pt>
                <c:pt idx="63">
                  <c:v>109.745284854006</c:v>
                </c:pt>
                <c:pt idx="64">
                  <c:v>112.68220635891601</c:v>
                </c:pt>
                <c:pt idx="65">
                  <c:v>112.46355948874699</c:v>
                </c:pt>
                <c:pt idx="66">
                  <c:v>112.624672853031</c:v>
                </c:pt>
              </c:numCache>
            </c:numRef>
          </c:val>
          <c:extLst>
            <c:ext xmlns:c16="http://schemas.microsoft.com/office/drawing/2014/chart" uri="{C3380CC4-5D6E-409C-BE32-E72D297353CC}">
              <c16:uniqueId val="{00000000-E491-49DE-8267-43BC1DBDB5FC}"/>
            </c:ext>
          </c:extLst>
        </c:ser>
        <c:dLbls>
          <c:showLegendKey val="0"/>
          <c:showVal val="1"/>
          <c:showCatName val="0"/>
          <c:showSerName val="0"/>
          <c:showPercent val="0"/>
          <c:showBubbleSize val="0"/>
        </c:dLbls>
        <c:gapWidth val="40"/>
        <c:axId val="205150536"/>
        <c:axId val="205146224"/>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'!$D$137:$D$203</c:f>
              <c:numCache>
                <c:formatCode>0.0_)</c:formatCode>
                <c:ptCount val="67"/>
                <c:pt idx="0">
                  <c:v>100.29726081752599</c:v>
                </c:pt>
                <c:pt idx="1">
                  <c:v>100.489524844811</c:v>
                </c:pt>
                <c:pt idx="2">
                  <c:v>100.663688975505</c:v>
                </c:pt>
                <c:pt idx="3">
                  <c:v>100.767671678287</c:v>
                </c:pt>
                <c:pt idx="4">
                  <c:v>100.748772441028</c:v>
                </c:pt>
                <c:pt idx="5">
                  <c:v>100.621032035977</c:v>
                </c:pt>
                <c:pt idx="6">
                  <c:v>100.43032105327001</c:v>
                </c:pt>
                <c:pt idx="7">
                  <c:v>100.309159264888</c:v>
                </c:pt>
                <c:pt idx="8">
                  <c:v>100.43648789829599</c:v>
                </c:pt>
                <c:pt idx="9">
                  <c:v>100.89514632827699</c:v>
                </c:pt>
                <c:pt idx="10">
                  <c:v>101.622969195434</c:v>
                </c:pt>
                <c:pt idx="11">
                  <c:v>102.50408902094701</c:v>
                </c:pt>
                <c:pt idx="12">
                  <c:v>103.41140978923001</c:v>
                </c:pt>
                <c:pt idx="13">
                  <c:v>104.25878955965</c:v>
                </c:pt>
                <c:pt idx="14">
                  <c:v>104.941521877856</c:v>
                </c:pt>
                <c:pt idx="15">
                  <c:v>105.453032460684</c:v>
                </c:pt>
                <c:pt idx="16">
                  <c:v>105.852504906693</c:v>
                </c:pt>
                <c:pt idx="17">
                  <c:v>106.182321801673</c:v>
                </c:pt>
                <c:pt idx="18">
                  <c:v>106.484463865522</c:v>
                </c:pt>
                <c:pt idx="19">
                  <c:v>106.72707714284699</c:v>
                </c:pt>
                <c:pt idx="20">
                  <c:v>106.83811935272701</c:v>
                </c:pt>
                <c:pt idx="21">
                  <c:v>106.814694803065</c:v>
                </c:pt>
                <c:pt idx="22">
                  <c:v>106.71744201585901</c:v>
                </c:pt>
                <c:pt idx="23">
                  <c:v>106.598211690054</c:v>
                </c:pt>
                <c:pt idx="24">
                  <c:v>106.53630770116</c:v>
                </c:pt>
                <c:pt idx="25">
                  <c:v>106.653538826844</c:v>
                </c:pt>
                <c:pt idx="26">
                  <c:v>106.957452281732</c:v>
                </c:pt>
                <c:pt idx="27">
                  <c:v>107.39299310301701</c:v>
                </c:pt>
                <c:pt idx="28">
                  <c:v>107.859923610104</c:v>
                </c:pt>
                <c:pt idx="29">
                  <c:v>108.254468446033</c:v>
                </c:pt>
                <c:pt idx="30">
                  <c:v>108.523034233529</c:v>
                </c:pt>
                <c:pt idx="31">
                  <c:v>108.702654600391</c:v>
                </c:pt>
                <c:pt idx="32">
                  <c:v>108.89883906769499</c:v>
                </c:pt>
                <c:pt idx="33">
                  <c:v>109.19957170892</c:v>
                </c:pt>
                <c:pt idx="34">
                  <c:v>109.673433022729</c:v>
                </c:pt>
                <c:pt idx="35">
                  <c:v>110.260680416369</c:v>
                </c:pt>
                <c:pt idx="36">
                  <c:v>110.79895071681899</c:v>
                </c:pt>
                <c:pt idx="37">
                  <c:v>111.116612607058</c:v>
                </c:pt>
                <c:pt idx="38">
                  <c:v>111.169624034701</c:v>
                </c:pt>
                <c:pt idx="39">
                  <c:v>111.008369690428</c:v>
                </c:pt>
                <c:pt idx="40">
                  <c:v>110.704949124481</c:v>
                </c:pt>
                <c:pt idx="41">
                  <c:v>110.40715346022699</c:v>
                </c:pt>
                <c:pt idx="42">
                  <c:v>110.239109857253</c:v>
                </c:pt>
                <c:pt idx="43">
                  <c:v>110.239308312727</c:v>
                </c:pt>
                <c:pt idx="44">
                  <c:v>110.376114042956</c:v>
                </c:pt>
                <c:pt idx="45">
                  <c:v>110.552916841269</c:v>
                </c:pt>
                <c:pt idx="46">
                  <c:v>110.727915241253</c:v>
                </c:pt>
                <c:pt idx="47">
                  <c:v>110.91807863760501</c:v>
                </c:pt>
                <c:pt idx="48">
                  <c:v>111.173704229449</c:v>
                </c:pt>
                <c:pt idx="49">
                  <c:v>111.498163963708</c:v>
                </c:pt>
                <c:pt idx="50">
                  <c:v>111.910757664493</c:v>
                </c:pt>
                <c:pt idx="51">
                  <c:v>112.370045147734</c:v>
                </c:pt>
                <c:pt idx="52">
                  <c:v>112.83395380035</c:v>
                </c:pt>
                <c:pt idx="53">
                  <c:v>113.248967512991</c:v>
                </c:pt>
                <c:pt idx="54">
                  <c:v>113.536780067186</c:v>
                </c:pt>
                <c:pt idx="55">
                  <c:v>113.650215791647</c:v>
                </c:pt>
                <c:pt idx="56">
                  <c:v>113.57403474051</c:v>
                </c:pt>
                <c:pt idx="57">
                  <c:v>113.33150661817</c:v>
                </c:pt>
                <c:pt idx="58">
                  <c:v>112.950860526448</c:v>
                </c:pt>
                <c:pt idx="59">
                  <c:v>112.519887618242</c:v>
                </c:pt>
                <c:pt idx="60">
                  <c:v>112.159511932995</c:v>
                </c:pt>
                <c:pt idx="61">
                  <c:v>111.95227883179101</c:v>
                </c:pt>
                <c:pt idx="62">
                  <c:v>111.93431963392</c:v>
                </c:pt>
                <c:pt idx="63">
                  <c:v>112.08109019220799</c:v>
                </c:pt>
                <c:pt idx="64">
                  <c:v>112.321460874286</c:v>
                </c:pt>
                <c:pt idx="65">
                  <c:v>112.549763399772</c:v>
                </c:pt>
                <c:pt idx="66">
                  <c:v>112.723259803882</c:v>
                </c:pt>
              </c:numCache>
            </c:numRef>
          </c:val>
          <c:smooth val="0"/>
          <c:extLst>
            <c:ext xmlns:c16="http://schemas.microsoft.com/office/drawing/2014/chart" uri="{C3380CC4-5D6E-409C-BE32-E72D297353CC}">
              <c16:uniqueId val="{00000001-E491-49DE-8267-43BC1DBDB5FC}"/>
            </c:ext>
          </c:extLst>
        </c:ser>
        <c:dLbls>
          <c:showLegendKey val="0"/>
          <c:showVal val="1"/>
          <c:showCatName val="0"/>
          <c:showSerName val="0"/>
          <c:showPercent val="0"/>
          <c:showBubbleSize val="0"/>
        </c:dLbls>
        <c:marker val="1"/>
        <c:smooth val="0"/>
        <c:axId val="205150536"/>
        <c:axId val="205146224"/>
      </c:lineChart>
      <c:catAx>
        <c:axId val="205150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5146224"/>
        <c:crosses val="autoZero"/>
        <c:auto val="1"/>
        <c:lblAlgn val="ctr"/>
        <c:lblOffset val="0"/>
        <c:tickLblSkip val="1"/>
        <c:tickMarkSkip val="12"/>
        <c:noMultiLvlLbl val="1"/>
      </c:catAx>
      <c:valAx>
        <c:axId val="205146224"/>
        <c:scaling>
          <c:orientation val="minMax"/>
          <c:max val="120"/>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5150536"/>
        <c:crossesAt val="1"/>
        <c:crossBetween val="between"/>
        <c:majorUnit val="5"/>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'!$E$137:$E$203</c:f>
              <c:numCache>
                <c:formatCode>0.0_)</c:formatCode>
                <c:ptCount val="67"/>
                <c:pt idx="0">
                  <c:v>99.942221095209305</c:v>
                </c:pt>
                <c:pt idx="1">
                  <c:v>99.783302545304906</c:v>
                </c:pt>
                <c:pt idx="2">
                  <c:v>98.437953465285901</c:v>
                </c:pt>
                <c:pt idx="3">
                  <c:v>99.837708500264597</c:v>
                </c:pt>
                <c:pt idx="4">
                  <c:v>99.721253941483397</c:v>
                </c:pt>
                <c:pt idx="5">
                  <c:v>99.579066825381105</c:v>
                </c:pt>
                <c:pt idx="6">
                  <c:v>99.786310682460396</c:v>
                </c:pt>
                <c:pt idx="7">
                  <c:v>100.154077669282</c:v>
                </c:pt>
                <c:pt idx="8">
                  <c:v>99.523249641649002</c:v>
                </c:pt>
                <c:pt idx="9">
                  <c:v>98.710229261500899</c:v>
                </c:pt>
                <c:pt idx="10">
                  <c:v>99.545303814933902</c:v>
                </c:pt>
                <c:pt idx="11">
                  <c:v>99.583890450126702</c:v>
                </c:pt>
                <c:pt idx="12">
                  <c:v>100.249870975009</c:v>
                </c:pt>
                <c:pt idx="13">
                  <c:v>101.502216929036</c:v>
                </c:pt>
                <c:pt idx="14">
                  <c:v>100.728336763653</c:v>
                </c:pt>
                <c:pt idx="15">
                  <c:v>100.976751945</c:v>
                </c:pt>
                <c:pt idx="16">
                  <c:v>100.967829299603</c:v>
                </c:pt>
                <c:pt idx="17">
                  <c:v>101.98255981766199</c:v>
                </c:pt>
                <c:pt idx="18">
                  <c:v>102.00299358278799</c:v>
                </c:pt>
                <c:pt idx="19">
                  <c:v>102.09943872948401</c:v>
                </c:pt>
                <c:pt idx="20">
                  <c:v>102.1785941973</c:v>
                </c:pt>
                <c:pt idx="21">
                  <c:v>102.51178996296299</c:v>
                </c:pt>
                <c:pt idx="22">
                  <c:v>102.32337211700001</c:v>
                </c:pt>
                <c:pt idx="23">
                  <c:v>102.466823641876</c:v>
                </c:pt>
                <c:pt idx="24">
                  <c:v>102.150892239265</c:v>
                </c:pt>
                <c:pt idx="25">
                  <c:v>102.058442175056</c:v>
                </c:pt>
                <c:pt idx="26">
                  <c:v>101.989162119325</c:v>
                </c:pt>
                <c:pt idx="27">
                  <c:v>101.866451756224</c:v>
                </c:pt>
                <c:pt idx="28">
                  <c:v>101.944796832544</c:v>
                </c:pt>
                <c:pt idx="29">
                  <c:v>101.97535827919199</c:v>
                </c:pt>
                <c:pt idx="30">
                  <c:v>102.073083519726</c:v>
                </c:pt>
                <c:pt idx="31">
                  <c:v>101.95673581321201</c:v>
                </c:pt>
                <c:pt idx="32">
                  <c:v>102.40681449524</c:v>
                </c:pt>
                <c:pt idx="33">
                  <c:v>102.517622344668</c:v>
                </c:pt>
                <c:pt idx="34">
                  <c:v>102.50729334197</c:v>
                </c:pt>
                <c:pt idx="35">
                  <c:v>102.08879075452499</c:v>
                </c:pt>
                <c:pt idx="36">
                  <c:v>102.239062123777</c:v>
                </c:pt>
                <c:pt idx="37">
                  <c:v>102.544429952473</c:v>
                </c:pt>
                <c:pt idx="38">
                  <c:v>102.205215298157</c:v>
                </c:pt>
                <c:pt idx="39">
                  <c:v>102.16424385810301</c:v>
                </c:pt>
                <c:pt idx="40">
                  <c:v>102.389573520154</c:v>
                </c:pt>
                <c:pt idx="41">
                  <c:v>102.69761851874</c:v>
                </c:pt>
                <c:pt idx="42">
                  <c:v>102.92910997371899</c:v>
                </c:pt>
                <c:pt idx="43">
                  <c:v>103.088448629198</c:v>
                </c:pt>
                <c:pt idx="44">
                  <c:v>102.848153674282</c:v>
                </c:pt>
                <c:pt idx="45">
                  <c:v>102.77198968677899</c:v>
                </c:pt>
                <c:pt idx="46">
                  <c:v>102.30549938653</c:v>
                </c:pt>
                <c:pt idx="47">
                  <c:v>103.542574069902</c:v>
                </c:pt>
                <c:pt idx="48">
                  <c:v>103.439457189755</c:v>
                </c:pt>
                <c:pt idx="49">
                  <c:v>103.25730250375101</c:v>
                </c:pt>
                <c:pt idx="50">
                  <c:v>103.471320242223</c:v>
                </c:pt>
                <c:pt idx="51">
                  <c:v>103.809330186164</c:v>
                </c:pt>
                <c:pt idx="52">
                  <c:v>102.03438917058099</c:v>
                </c:pt>
                <c:pt idx="53">
                  <c:v>102.227409721001</c:v>
                </c:pt>
                <c:pt idx="54">
                  <c:v>102.29025426298401</c:v>
                </c:pt>
                <c:pt idx="55">
                  <c:v>102.554277457976</c:v>
                </c:pt>
                <c:pt idx="56">
                  <c:v>102.37651505669</c:v>
                </c:pt>
                <c:pt idx="57">
                  <c:v>102.395208709828</c:v>
                </c:pt>
                <c:pt idx="58">
                  <c:v>102.51270677331399</c:v>
                </c:pt>
                <c:pt idx="59">
                  <c:v>102.484746279661</c:v>
                </c:pt>
                <c:pt idx="60">
                  <c:v>102.34860544388501</c:v>
                </c:pt>
                <c:pt idx="61">
                  <c:v>102.357353090473</c:v>
                </c:pt>
                <c:pt idx="62">
                  <c:v>102.321923065728</c:v>
                </c:pt>
                <c:pt idx="63">
                  <c:v>103.057907262253</c:v>
                </c:pt>
                <c:pt idx="64">
                  <c:v>103.919420009942</c:v>
                </c:pt>
                <c:pt idx="65">
                  <c:v>102.85274344584499</c:v>
                </c:pt>
                <c:pt idx="66">
                  <c:v>102.2452254744</c:v>
                </c:pt>
              </c:numCache>
            </c:numRef>
          </c:val>
          <c:extLst>
            <c:ext xmlns:c16="http://schemas.microsoft.com/office/drawing/2014/chart" uri="{C3380CC4-5D6E-409C-BE32-E72D297353CC}">
              <c16:uniqueId val="{00000000-D34C-4A64-8A65-457790BC4A75}"/>
            </c:ext>
          </c:extLst>
        </c:ser>
        <c:dLbls>
          <c:showLegendKey val="0"/>
          <c:showVal val="1"/>
          <c:showCatName val="0"/>
          <c:showSerName val="0"/>
          <c:showPercent val="0"/>
          <c:showBubbleSize val="0"/>
        </c:dLbls>
        <c:gapWidth val="40"/>
        <c:axId val="205144656"/>
        <c:axId val="20514936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'!$F$137:$F$203</c:f>
              <c:numCache>
                <c:formatCode>0.0_)</c:formatCode>
                <c:ptCount val="67"/>
                <c:pt idx="0">
                  <c:v>99.915276034191294</c:v>
                </c:pt>
                <c:pt idx="1">
                  <c:v>99.847968473368695</c:v>
                </c:pt>
                <c:pt idx="2">
                  <c:v>99.791586861978999</c:v>
                </c:pt>
                <c:pt idx="3">
                  <c:v>99.746093882133593</c:v>
                </c:pt>
                <c:pt idx="4">
                  <c:v>99.710102657496194</c:v>
                </c:pt>
                <c:pt idx="5">
                  <c:v>99.674295887858506</c:v>
                </c:pt>
                <c:pt idx="6">
                  <c:v>99.618299760216701</c:v>
                </c:pt>
                <c:pt idx="7">
                  <c:v>99.549775731761798</c:v>
                </c:pt>
                <c:pt idx="8">
                  <c:v>99.502168519728997</c:v>
                </c:pt>
                <c:pt idx="9">
                  <c:v>99.518188943065397</c:v>
                </c:pt>
                <c:pt idx="10">
                  <c:v>99.622561030446505</c:v>
                </c:pt>
                <c:pt idx="11">
                  <c:v>99.809970514261806</c:v>
                </c:pt>
                <c:pt idx="12">
                  <c:v>100.075759569084</c:v>
                </c:pt>
                <c:pt idx="13">
                  <c:v>100.402417193693</c:v>
                </c:pt>
                <c:pt idx="14">
                  <c:v>100.757667858559</c:v>
                </c:pt>
                <c:pt idx="15">
                  <c:v>101.10920878935499</c:v>
                </c:pt>
                <c:pt idx="16">
                  <c:v>101.436373376088</c:v>
                </c:pt>
                <c:pt idx="17">
                  <c:v>101.725196987391</c:v>
                </c:pt>
                <c:pt idx="18">
                  <c:v>101.973160918838</c:v>
                </c:pt>
                <c:pt idx="19">
                  <c:v>102.172337421302</c:v>
                </c:pt>
                <c:pt idx="20">
                  <c:v>102.30310395473001</c:v>
                </c:pt>
                <c:pt idx="21">
                  <c:v>102.36498712135899</c:v>
                </c:pt>
                <c:pt idx="22">
                  <c:v>102.364278310863</c:v>
                </c:pt>
                <c:pt idx="23">
                  <c:v>102.310999749978</c:v>
                </c:pt>
                <c:pt idx="24">
                  <c:v>102.216076001269</c:v>
                </c:pt>
                <c:pt idx="25">
                  <c:v>102.102621760991</c:v>
                </c:pt>
                <c:pt idx="26">
                  <c:v>101.999977524131</c:v>
                </c:pt>
                <c:pt idx="27">
                  <c:v>101.933170328201</c:v>
                </c:pt>
                <c:pt idx="28">
                  <c:v>101.919504864503</c:v>
                </c:pt>
                <c:pt idx="29">
                  <c:v>101.96870515774</c:v>
                </c:pt>
                <c:pt idx="30">
                  <c:v>102.06830738583</c:v>
                </c:pt>
                <c:pt idx="31">
                  <c:v>102.176701327789</c:v>
                </c:pt>
                <c:pt idx="32">
                  <c:v>102.273844771529</c:v>
                </c:pt>
                <c:pt idx="33">
                  <c:v>102.342563599597</c:v>
                </c:pt>
                <c:pt idx="34">
                  <c:v>102.36939251734699</c:v>
                </c:pt>
                <c:pt idx="35">
                  <c:v>102.351956135574</c:v>
                </c:pt>
                <c:pt idx="36">
                  <c:v>102.305135390742</c:v>
                </c:pt>
                <c:pt idx="37">
                  <c:v>102.264494933714</c:v>
                </c:pt>
                <c:pt idx="38">
                  <c:v>102.276260499446</c:v>
                </c:pt>
                <c:pt idx="39">
                  <c:v>102.363720953886</c:v>
                </c:pt>
                <c:pt idx="40">
                  <c:v>102.497705192089</c:v>
                </c:pt>
                <c:pt idx="41">
                  <c:v>102.636626194558</c:v>
                </c:pt>
                <c:pt idx="42">
                  <c:v>102.760607028697</c:v>
                </c:pt>
                <c:pt idx="43">
                  <c:v>102.87411534743001</c:v>
                </c:pt>
                <c:pt idx="44">
                  <c:v>102.96865382755099</c:v>
                </c:pt>
                <c:pt idx="45">
                  <c:v>103.05807215585899</c:v>
                </c:pt>
                <c:pt idx="46">
                  <c:v>103.164393160489</c:v>
                </c:pt>
                <c:pt idx="47">
                  <c:v>103.282098012159</c:v>
                </c:pt>
                <c:pt idx="48">
                  <c:v>103.361951144527</c:v>
                </c:pt>
                <c:pt idx="49">
                  <c:v>103.341353442779</c:v>
                </c:pt>
                <c:pt idx="50">
                  <c:v>103.20056487196899</c:v>
                </c:pt>
                <c:pt idx="51">
                  <c:v>102.97227819141899</c:v>
                </c:pt>
                <c:pt idx="52">
                  <c:v>102.72558124998</c:v>
                </c:pt>
                <c:pt idx="53">
                  <c:v>102.525213326535</c:v>
                </c:pt>
                <c:pt idx="54">
                  <c:v>102.405764248133</c:v>
                </c:pt>
                <c:pt idx="55">
                  <c:v>102.366855785498</c:v>
                </c:pt>
                <c:pt idx="56">
                  <c:v>102.386028251095</c:v>
                </c:pt>
                <c:pt idx="57">
                  <c:v>102.410505370164</c:v>
                </c:pt>
                <c:pt idx="58">
                  <c:v>102.413563060312</c:v>
                </c:pt>
                <c:pt idx="59">
                  <c:v>102.41089692358</c:v>
                </c:pt>
                <c:pt idx="60">
                  <c:v>102.434791958223</c:v>
                </c:pt>
                <c:pt idx="61">
                  <c:v>102.511033625509</c:v>
                </c:pt>
                <c:pt idx="62">
                  <c:v>102.61476958407999</c:v>
                </c:pt>
                <c:pt idx="63">
                  <c:v>102.700497486429</c:v>
                </c:pt>
                <c:pt idx="64">
                  <c:v>102.73808091107399</c:v>
                </c:pt>
                <c:pt idx="65">
                  <c:v>102.70630480794399</c:v>
                </c:pt>
                <c:pt idx="66">
                  <c:v>102.607257151653</c:v>
                </c:pt>
              </c:numCache>
            </c:numRef>
          </c:val>
          <c:smooth val="0"/>
          <c:extLst>
            <c:ext xmlns:c16="http://schemas.microsoft.com/office/drawing/2014/chart" uri="{C3380CC4-5D6E-409C-BE32-E72D297353CC}">
              <c16:uniqueId val="{00000001-D34C-4A64-8A65-457790BC4A75}"/>
            </c:ext>
          </c:extLst>
        </c:ser>
        <c:dLbls>
          <c:showLegendKey val="0"/>
          <c:showVal val="1"/>
          <c:showCatName val="0"/>
          <c:showSerName val="0"/>
          <c:showPercent val="0"/>
          <c:showBubbleSize val="0"/>
        </c:dLbls>
        <c:marker val="1"/>
        <c:smooth val="0"/>
        <c:axId val="205144656"/>
        <c:axId val="205149360"/>
      </c:lineChart>
      <c:catAx>
        <c:axId val="205144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5149360"/>
        <c:crossesAt val="60"/>
        <c:auto val="1"/>
        <c:lblAlgn val="ctr"/>
        <c:lblOffset val="0"/>
        <c:tickLblSkip val="1"/>
        <c:tickMarkSkip val="12"/>
        <c:noMultiLvlLbl val="1"/>
      </c:catAx>
      <c:valAx>
        <c:axId val="205149360"/>
        <c:scaling>
          <c:orientation val="minMax"/>
          <c:max val="105"/>
          <c:min val="97"/>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5144656"/>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'!$G$137:$G$203</c:f>
              <c:numCache>
                <c:formatCode>0.0_)</c:formatCode>
                <c:ptCount val="67"/>
                <c:pt idx="0">
                  <c:v>99.798980023704701</c:v>
                </c:pt>
                <c:pt idx="1">
                  <c:v>100.10269418287101</c:v>
                </c:pt>
                <c:pt idx="2">
                  <c:v>103.86033487112</c:v>
                </c:pt>
                <c:pt idx="3">
                  <c:v>103.507391133312</c:v>
                </c:pt>
                <c:pt idx="4">
                  <c:v>101.165203922804</c:v>
                </c:pt>
                <c:pt idx="5">
                  <c:v>94.445996997148001</c:v>
                </c:pt>
                <c:pt idx="6">
                  <c:v>99.737509703993794</c:v>
                </c:pt>
                <c:pt idx="7">
                  <c:v>100.174565579138</c:v>
                </c:pt>
                <c:pt idx="8">
                  <c:v>99.396520150776993</c:v>
                </c:pt>
                <c:pt idx="9">
                  <c:v>101.663802646807</c:v>
                </c:pt>
                <c:pt idx="10">
                  <c:v>102.260457973554</c:v>
                </c:pt>
                <c:pt idx="11">
                  <c:v>99.246626215300196</c:v>
                </c:pt>
                <c:pt idx="12">
                  <c:v>101.68051064913701</c:v>
                </c:pt>
                <c:pt idx="13">
                  <c:v>102.614788440182</c:v>
                </c:pt>
                <c:pt idx="14">
                  <c:v>103.551941039501</c:v>
                </c:pt>
                <c:pt idx="15">
                  <c:v>104.746798253649</c:v>
                </c:pt>
                <c:pt idx="16">
                  <c:v>104.165972110197</c:v>
                </c:pt>
                <c:pt idx="17">
                  <c:v>105.748334684708</c:v>
                </c:pt>
                <c:pt idx="18">
                  <c:v>105.801301208474</c:v>
                </c:pt>
                <c:pt idx="19">
                  <c:v>106.598934861675</c:v>
                </c:pt>
                <c:pt idx="20">
                  <c:v>106.197620498742</c:v>
                </c:pt>
                <c:pt idx="21">
                  <c:v>105.680551471928</c:v>
                </c:pt>
                <c:pt idx="22">
                  <c:v>105.808107059687</c:v>
                </c:pt>
                <c:pt idx="23">
                  <c:v>106.206369434737</c:v>
                </c:pt>
                <c:pt idx="24">
                  <c:v>106.268203791803</c:v>
                </c:pt>
                <c:pt idx="25">
                  <c:v>108.16689031768</c:v>
                </c:pt>
                <c:pt idx="26">
                  <c:v>107.83300451658801</c:v>
                </c:pt>
                <c:pt idx="27">
                  <c:v>107.31886695586699</c:v>
                </c:pt>
                <c:pt idx="28">
                  <c:v>109.87905896664</c:v>
                </c:pt>
                <c:pt idx="29">
                  <c:v>109.113236702162</c:v>
                </c:pt>
                <c:pt idx="30">
                  <c:v>106.603104035699</c:v>
                </c:pt>
                <c:pt idx="31">
                  <c:v>112.816885385327</c:v>
                </c:pt>
                <c:pt idx="32">
                  <c:v>111.633551163289</c:v>
                </c:pt>
                <c:pt idx="33">
                  <c:v>112.667849989546</c:v>
                </c:pt>
                <c:pt idx="34">
                  <c:v>106.46249777681901</c:v>
                </c:pt>
                <c:pt idx="35">
                  <c:v>111.598731232551</c:v>
                </c:pt>
                <c:pt idx="36">
                  <c:v>115.788885630626</c:v>
                </c:pt>
                <c:pt idx="37">
                  <c:v>113.52897011292799</c:v>
                </c:pt>
                <c:pt idx="38">
                  <c:v>114.11024680498301</c:v>
                </c:pt>
                <c:pt idx="39">
                  <c:v>115.471932069126</c:v>
                </c:pt>
                <c:pt idx="40">
                  <c:v>114.950171399393</c:v>
                </c:pt>
                <c:pt idx="41">
                  <c:v>115.16473646399101</c:v>
                </c:pt>
                <c:pt idx="42">
                  <c:v>115.423412726284</c:v>
                </c:pt>
                <c:pt idx="43">
                  <c:v>114.41045550459999</c:v>
                </c:pt>
                <c:pt idx="44">
                  <c:v>114.812917435979</c:v>
                </c:pt>
                <c:pt idx="45">
                  <c:v>110.633581344173</c:v>
                </c:pt>
                <c:pt idx="46">
                  <c:v>115.493671557737</c:v>
                </c:pt>
                <c:pt idx="47">
                  <c:v>117.032890045071</c:v>
                </c:pt>
                <c:pt idx="48">
                  <c:v>117.264463540424</c:v>
                </c:pt>
                <c:pt idx="49">
                  <c:v>117.579886813332</c:v>
                </c:pt>
                <c:pt idx="50">
                  <c:v>116.61904312459301</c:v>
                </c:pt>
                <c:pt idx="51">
                  <c:v>116.354205241065</c:v>
                </c:pt>
                <c:pt idx="52">
                  <c:v>122.850462491009</c:v>
                </c:pt>
                <c:pt idx="53">
                  <c:v>121.364006782175</c:v>
                </c:pt>
                <c:pt idx="54">
                  <c:v>119.648143852335</c:v>
                </c:pt>
                <c:pt idx="55">
                  <c:v>114.38300072280001</c:v>
                </c:pt>
                <c:pt idx="56">
                  <c:v>120.475598984375</c:v>
                </c:pt>
                <c:pt idx="57">
                  <c:v>119.832243965704</c:v>
                </c:pt>
                <c:pt idx="58">
                  <c:v>120.37763618062201</c:v>
                </c:pt>
                <c:pt idx="59">
                  <c:v>125.33883820598599</c:v>
                </c:pt>
                <c:pt idx="60">
                  <c:v>116.114080157286</c:v>
                </c:pt>
                <c:pt idx="61">
                  <c:v>114.506386447984</c:v>
                </c:pt>
                <c:pt idx="62">
                  <c:v>117.374191853703</c:v>
                </c:pt>
                <c:pt idx="63">
                  <c:v>117.50718429537901</c:v>
                </c:pt>
                <c:pt idx="64">
                  <c:v>114.428546821033</c:v>
                </c:pt>
                <c:pt idx="65">
                  <c:v>114.138441392015</c:v>
                </c:pt>
                <c:pt idx="66">
                  <c:v>117.294955053663</c:v>
                </c:pt>
              </c:numCache>
            </c:numRef>
          </c:val>
          <c:extLst>
            <c:ext xmlns:c16="http://schemas.microsoft.com/office/drawing/2014/chart" uri="{C3380CC4-5D6E-409C-BE32-E72D297353CC}">
              <c16:uniqueId val="{00000000-B220-4CC5-B702-C6E8CA9ABE38}"/>
            </c:ext>
          </c:extLst>
        </c:ser>
        <c:dLbls>
          <c:showLegendKey val="0"/>
          <c:showVal val="1"/>
          <c:showCatName val="0"/>
          <c:showSerName val="0"/>
          <c:showPercent val="0"/>
          <c:showBubbleSize val="0"/>
        </c:dLbls>
        <c:gapWidth val="40"/>
        <c:axId val="205145440"/>
        <c:axId val="205143088"/>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numRef>
              <c:f>'Datos '!$A$137:$A$203</c:f>
              <c:numCache>
                <c:formatCode>General</c:formatCode>
                <c:ptCount val="67"/>
                <c:pt idx="0">
                  <c:v>2014</c:v>
                </c:pt>
                <c:pt idx="12">
                  <c:v>2015</c:v>
                </c:pt>
                <c:pt idx="24">
                  <c:v>2016</c:v>
                </c:pt>
                <c:pt idx="36">
                  <c:v>2017</c:v>
                </c:pt>
                <c:pt idx="48">
                  <c:v>2018</c:v>
                </c:pt>
                <c:pt idx="60">
                  <c:v>2019</c:v>
                </c:pt>
              </c:numCache>
            </c:numRef>
          </c:cat>
          <c:val>
            <c:numRef>
              <c:f>'Datos '!$H$137:$H$203</c:f>
              <c:numCache>
                <c:formatCode>0.0_)</c:formatCode>
                <c:ptCount val="67"/>
                <c:pt idx="0">
                  <c:v>100.783718952519</c:v>
                </c:pt>
                <c:pt idx="1">
                  <c:v>101.02748019277099</c:v>
                </c:pt>
                <c:pt idx="2">
                  <c:v>101.240006487049</c:v>
                </c:pt>
                <c:pt idx="3">
                  <c:v>101.290353023405</c:v>
                </c:pt>
                <c:pt idx="4">
                  <c:v>101.062475072632</c:v>
                </c:pt>
                <c:pt idx="5">
                  <c:v>100.683034526086</c:v>
                </c:pt>
                <c:pt idx="6">
                  <c:v>100.34627296797299</c:v>
                </c:pt>
                <c:pt idx="7">
                  <c:v>100.213957003454</c:v>
                </c:pt>
                <c:pt idx="8">
                  <c:v>100.356488935172</c:v>
                </c:pt>
                <c:pt idx="9">
                  <c:v>100.697223166577</c:v>
                </c:pt>
                <c:pt idx="10">
                  <c:v>101.12916007526</c:v>
                </c:pt>
                <c:pt idx="11">
                  <c:v>101.59137828602999</c:v>
                </c:pt>
                <c:pt idx="12">
                  <c:v>102.10200577188</c:v>
                </c:pt>
                <c:pt idx="13">
                  <c:v>102.685793470912</c:v>
                </c:pt>
                <c:pt idx="14">
                  <c:v>103.370985576769</c:v>
                </c:pt>
                <c:pt idx="15">
                  <c:v>104.138307029142</c:v>
                </c:pt>
                <c:pt idx="16">
                  <c:v>104.89941937274899</c:v>
                </c:pt>
                <c:pt idx="17">
                  <c:v>105.485813639291</c:v>
                </c:pt>
                <c:pt idx="18">
                  <c:v>105.849568895334</c:v>
                </c:pt>
                <c:pt idx="19">
                  <c:v>106.011022294323</c:v>
                </c:pt>
                <c:pt idx="20">
                  <c:v>106.033264056316</c:v>
                </c:pt>
                <c:pt idx="21">
                  <c:v>106.04651846419701</c:v>
                </c:pt>
                <c:pt idx="22">
                  <c:v>106.11017148590599</c:v>
                </c:pt>
                <c:pt idx="23">
                  <c:v>106.313198815771</c:v>
                </c:pt>
                <c:pt idx="24">
                  <c:v>106.69933937205499</c:v>
                </c:pt>
                <c:pt idx="25">
                  <c:v>107.17408605209999</c:v>
                </c:pt>
                <c:pt idx="26">
                  <c:v>107.72691657113999</c:v>
                </c:pt>
                <c:pt idx="27">
                  <c:v>108.337622415044</c:v>
                </c:pt>
                <c:pt idx="28">
                  <c:v>109.039930395119</c:v>
                </c:pt>
                <c:pt idx="29">
                  <c:v>109.849037531999</c:v>
                </c:pt>
                <c:pt idx="30">
                  <c:v>110.636511194386</c:v>
                </c:pt>
                <c:pt idx="31">
                  <c:v>111.325232377326</c:v>
                </c:pt>
                <c:pt idx="32">
                  <c:v>111.867759976158</c:v>
                </c:pt>
                <c:pt idx="33">
                  <c:v>112.23239028662201</c:v>
                </c:pt>
                <c:pt idx="34">
                  <c:v>112.53802943001899</c:v>
                </c:pt>
                <c:pt idx="35">
                  <c:v>112.89682518241</c:v>
                </c:pt>
                <c:pt idx="36">
                  <c:v>113.33239208988201</c:v>
                </c:pt>
                <c:pt idx="37">
                  <c:v>113.884899817817</c:v>
                </c:pt>
                <c:pt idx="38">
                  <c:v>114.440017123169</c:v>
                </c:pt>
                <c:pt idx="39">
                  <c:v>114.844788219827</c:v>
                </c:pt>
                <c:pt idx="40">
                  <c:v>115.056275203437</c:v>
                </c:pt>
                <c:pt idx="41">
                  <c:v>115.056419777145</c:v>
                </c:pt>
                <c:pt idx="42">
                  <c:v>114.964956629456</c:v>
                </c:pt>
                <c:pt idx="43">
                  <c:v>114.92420776025401</c:v>
                </c:pt>
                <c:pt idx="44">
                  <c:v>115.039912848588</c:v>
                </c:pt>
                <c:pt idx="45">
                  <c:v>115.404324887459</c:v>
                </c:pt>
                <c:pt idx="46">
                  <c:v>115.893482510833</c:v>
                </c:pt>
                <c:pt idx="47">
                  <c:v>116.323614774863</c:v>
                </c:pt>
                <c:pt idx="48">
                  <c:v>116.703356675515</c:v>
                </c:pt>
                <c:pt idx="49">
                  <c:v>117.084559508488</c:v>
                </c:pt>
                <c:pt idx="50">
                  <c:v>117.533282134625</c:v>
                </c:pt>
                <c:pt idx="51">
                  <c:v>118.123671861342</c:v>
                </c:pt>
                <c:pt idx="52">
                  <c:v>118.810544347223</c:v>
                </c:pt>
                <c:pt idx="53">
                  <c:v>119.510662512689</c:v>
                </c:pt>
                <c:pt idx="54">
                  <c:v>120.125055662767</c:v>
                </c:pt>
                <c:pt idx="55">
                  <c:v>120.47498193094501</c:v>
                </c:pt>
                <c:pt idx="56">
                  <c:v>120.425173828524</c:v>
                </c:pt>
                <c:pt idx="57">
                  <c:v>119.982057543995</c:v>
                </c:pt>
                <c:pt idx="58">
                  <c:v>119.363790818338</c:v>
                </c:pt>
                <c:pt idx="59">
                  <c:v>118.71073801745899</c:v>
                </c:pt>
                <c:pt idx="60">
                  <c:v>117.961197061533</c:v>
                </c:pt>
                <c:pt idx="61">
                  <c:v>117.19454829780901</c:v>
                </c:pt>
                <c:pt idx="62">
                  <c:v>116.522166489019</c:v>
                </c:pt>
                <c:pt idx="63">
                  <c:v>116.017102076341</c:v>
                </c:pt>
                <c:pt idx="64">
                  <c:v>115.70566859873099</c:v>
                </c:pt>
                <c:pt idx="65">
                  <c:v>115.540197806577</c:v>
                </c:pt>
                <c:pt idx="66">
                  <c:v>115.557358748224</c:v>
                </c:pt>
              </c:numCache>
            </c:numRef>
          </c:val>
          <c:smooth val="0"/>
          <c:extLst>
            <c:ext xmlns:c16="http://schemas.microsoft.com/office/drawing/2014/chart" uri="{C3380CC4-5D6E-409C-BE32-E72D297353CC}">
              <c16:uniqueId val="{00000001-B220-4CC5-B702-C6E8CA9ABE38}"/>
            </c:ext>
          </c:extLst>
        </c:ser>
        <c:dLbls>
          <c:showLegendKey val="0"/>
          <c:showVal val="1"/>
          <c:showCatName val="0"/>
          <c:showSerName val="0"/>
          <c:showPercent val="0"/>
          <c:showBubbleSize val="0"/>
        </c:dLbls>
        <c:marker val="1"/>
        <c:smooth val="0"/>
        <c:axId val="205145440"/>
        <c:axId val="205143088"/>
      </c:lineChart>
      <c:catAx>
        <c:axId val="205145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5143088"/>
        <c:crossesAt val="60"/>
        <c:auto val="1"/>
        <c:lblAlgn val="ctr"/>
        <c:lblOffset val="0"/>
        <c:tickLblSkip val="1"/>
        <c:tickMarkSkip val="12"/>
        <c:noMultiLvlLbl val="1"/>
      </c:catAx>
      <c:valAx>
        <c:axId val="205143088"/>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51454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'!$I$137:$I$203</c:f>
              <c:numCache>
                <c:formatCode>0.0_)</c:formatCode>
                <c:ptCount val="67"/>
                <c:pt idx="0">
                  <c:v>99.689142653151094</c:v>
                </c:pt>
                <c:pt idx="1">
                  <c:v>99.411244989796799</c:v>
                </c:pt>
                <c:pt idx="2">
                  <c:v>100.411323651733</c:v>
                </c:pt>
                <c:pt idx="3">
                  <c:v>100.465087162156</c:v>
                </c:pt>
                <c:pt idx="4">
                  <c:v>98.184392031062202</c:v>
                </c:pt>
                <c:pt idx="5">
                  <c:v>99.266843212842005</c:v>
                </c:pt>
                <c:pt idx="6">
                  <c:v>99.520772506793605</c:v>
                </c:pt>
                <c:pt idx="7">
                  <c:v>98.080991893076003</c:v>
                </c:pt>
                <c:pt idx="8">
                  <c:v>98.233035315390396</c:v>
                </c:pt>
                <c:pt idx="9">
                  <c:v>97.733401041906802</c:v>
                </c:pt>
                <c:pt idx="10">
                  <c:v>99.081412832823702</c:v>
                </c:pt>
                <c:pt idx="11">
                  <c:v>99.907142652265406</c:v>
                </c:pt>
                <c:pt idx="12">
                  <c:v>99.149686476367705</c:v>
                </c:pt>
                <c:pt idx="13">
                  <c:v>99.645844973738207</c:v>
                </c:pt>
                <c:pt idx="14">
                  <c:v>98.649923971898701</c:v>
                </c:pt>
                <c:pt idx="15">
                  <c:v>99.6100602404331</c:v>
                </c:pt>
                <c:pt idx="16">
                  <c:v>102.297870402402</c:v>
                </c:pt>
                <c:pt idx="17">
                  <c:v>100.627854811663</c:v>
                </c:pt>
                <c:pt idx="18">
                  <c:v>100.86808099061</c:v>
                </c:pt>
                <c:pt idx="19">
                  <c:v>100.470319703464</c:v>
                </c:pt>
                <c:pt idx="20">
                  <c:v>101.083539866546</c:v>
                </c:pt>
                <c:pt idx="21">
                  <c:v>101.857462600086</c:v>
                </c:pt>
                <c:pt idx="22">
                  <c:v>101.616068396087</c:v>
                </c:pt>
                <c:pt idx="23">
                  <c:v>100.642858293465</c:v>
                </c:pt>
                <c:pt idx="24">
                  <c:v>101.80998715849201</c:v>
                </c:pt>
                <c:pt idx="25">
                  <c:v>101.903364624755</c:v>
                </c:pt>
                <c:pt idx="26">
                  <c:v>101.79628039607</c:v>
                </c:pt>
                <c:pt idx="27">
                  <c:v>101.344814926331</c:v>
                </c:pt>
                <c:pt idx="28">
                  <c:v>100.823804611245</c:v>
                </c:pt>
                <c:pt idx="29">
                  <c:v>101.542253237257</c:v>
                </c:pt>
                <c:pt idx="30">
                  <c:v>101.673981240888</c:v>
                </c:pt>
                <c:pt idx="31">
                  <c:v>101.75118622142</c:v>
                </c:pt>
                <c:pt idx="32">
                  <c:v>102.65073109356101</c:v>
                </c:pt>
                <c:pt idx="33">
                  <c:v>101.228890863587</c:v>
                </c:pt>
                <c:pt idx="34">
                  <c:v>101.430371194328</c:v>
                </c:pt>
                <c:pt idx="35">
                  <c:v>102.05657068796999</c:v>
                </c:pt>
                <c:pt idx="36">
                  <c:v>99.895689842788897</c:v>
                </c:pt>
                <c:pt idx="37">
                  <c:v>98.886320943666206</c:v>
                </c:pt>
                <c:pt idx="38">
                  <c:v>99.999973979240906</c:v>
                </c:pt>
                <c:pt idx="39">
                  <c:v>98.607100355197602</c:v>
                </c:pt>
                <c:pt idx="40">
                  <c:v>98.111362763306701</c:v>
                </c:pt>
                <c:pt idx="41">
                  <c:v>100.188016990813</c:v>
                </c:pt>
                <c:pt idx="42">
                  <c:v>98.712277282375396</c:v>
                </c:pt>
                <c:pt idx="43">
                  <c:v>98.301540898269494</c:v>
                </c:pt>
                <c:pt idx="44">
                  <c:v>98.537359270227398</c:v>
                </c:pt>
                <c:pt idx="45">
                  <c:v>98.258114967488396</c:v>
                </c:pt>
                <c:pt idx="46">
                  <c:v>98.463123049951903</c:v>
                </c:pt>
                <c:pt idx="47">
                  <c:v>98.587843344792304</c:v>
                </c:pt>
                <c:pt idx="48">
                  <c:v>98.959723760090498</c:v>
                </c:pt>
                <c:pt idx="49">
                  <c:v>99.236829329303504</c:v>
                </c:pt>
                <c:pt idx="50">
                  <c:v>99.040059701675403</c:v>
                </c:pt>
                <c:pt idx="51">
                  <c:v>99.952356941425094</c:v>
                </c:pt>
                <c:pt idx="52">
                  <c:v>99.065900792207302</c:v>
                </c:pt>
                <c:pt idx="53">
                  <c:v>99.407379383362297</c:v>
                </c:pt>
                <c:pt idx="54">
                  <c:v>99.716159492202806</c:v>
                </c:pt>
                <c:pt idx="55">
                  <c:v>100.08296210589801</c:v>
                </c:pt>
                <c:pt idx="56">
                  <c:v>99.273202134306601</c:v>
                </c:pt>
                <c:pt idx="57">
                  <c:v>100.149306841994</c:v>
                </c:pt>
                <c:pt idx="58">
                  <c:v>99.948767135478704</c:v>
                </c:pt>
                <c:pt idx="59">
                  <c:v>100.39803121836</c:v>
                </c:pt>
                <c:pt idx="60">
                  <c:v>100.770204668666</c:v>
                </c:pt>
                <c:pt idx="61">
                  <c:v>101.06751796614</c:v>
                </c:pt>
                <c:pt idx="62">
                  <c:v>101.639545425162</c:v>
                </c:pt>
                <c:pt idx="63">
                  <c:v>101.708850051846</c:v>
                </c:pt>
                <c:pt idx="64">
                  <c:v>103.015619121141</c:v>
                </c:pt>
                <c:pt idx="65">
                  <c:v>102.402863750227</c:v>
                </c:pt>
                <c:pt idx="66">
                  <c:v>102.145851372037</c:v>
                </c:pt>
              </c:numCache>
            </c:numRef>
          </c:val>
          <c:extLst>
            <c:ext xmlns:c16="http://schemas.microsoft.com/office/drawing/2014/chart" uri="{C3380CC4-5D6E-409C-BE32-E72D297353CC}">
              <c16:uniqueId val="{00000000-FD2C-44A4-9CAD-87122EF8785B}"/>
            </c:ext>
          </c:extLst>
        </c:ser>
        <c:dLbls>
          <c:showLegendKey val="0"/>
          <c:showVal val="1"/>
          <c:showCatName val="0"/>
          <c:showSerName val="0"/>
          <c:showPercent val="0"/>
          <c:showBubbleSize val="0"/>
        </c:dLbls>
        <c:gapWidth val="40"/>
        <c:axId val="207792312"/>
        <c:axId val="20778800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 '!$J$137:$J$203</c:f>
              <c:numCache>
                <c:formatCode>0.0_)</c:formatCode>
                <c:ptCount val="67"/>
                <c:pt idx="0">
                  <c:v>99.786096165135902</c:v>
                </c:pt>
                <c:pt idx="1">
                  <c:v>99.7550340516582</c:v>
                </c:pt>
                <c:pt idx="2">
                  <c:v>99.733456545675296</c:v>
                </c:pt>
                <c:pt idx="3">
                  <c:v>99.633010996306993</c:v>
                </c:pt>
                <c:pt idx="4">
                  <c:v>99.385601087534695</c:v>
                </c:pt>
                <c:pt idx="5">
                  <c:v>99.003566804100302</c:v>
                </c:pt>
                <c:pt idx="6">
                  <c:v>98.631010253782705</c:v>
                </c:pt>
                <c:pt idx="7">
                  <c:v>98.394894760814097</c:v>
                </c:pt>
                <c:pt idx="8">
                  <c:v>98.377364397956001</c:v>
                </c:pt>
                <c:pt idx="9">
                  <c:v>98.551904894311804</c:v>
                </c:pt>
                <c:pt idx="10">
                  <c:v>98.761183896288102</c:v>
                </c:pt>
                <c:pt idx="11">
                  <c:v>98.9912846358623</c:v>
                </c:pt>
                <c:pt idx="12">
                  <c:v>99.276875597711395</c:v>
                </c:pt>
                <c:pt idx="13">
                  <c:v>99.588374432818199</c:v>
                </c:pt>
                <c:pt idx="14">
                  <c:v>99.909473877122906</c:v>
                </c:pt>
                <c:pt idx="15">
                  <c:v>100.22724070874099</c:v>
                </c:pt>
                <c:pt idx="16">
                  <c:v>100.527102067594</c:v>
                </c:pt>
                <c:pt idx="17">
                  <c:v>100.815017799505</c:v>
                </c:pt>
                <c:pt idx="18">
                  <c:v>101.013046269014</c:v>
                </c:pt>
                <c:pt idx="19">
                  <c:v>101.10318869755601</c:v>
                </c:pt>
                <c:pt idx="20">
                  <c:v>101.15244240585299</c:v>
                </c:pt>
                <c:pt idx="21">
                  <c:v>101.232429795584</c:v>
                </c:pt>
                <c:pt idx="22">
                  <c:v>101.390787260626</c:v>
                </c:pt>
                <c:pt idx="23">
                  <c:v>101.54230571139099</c:v>
                </c:pt>
                <c:pt idx="24">
                  <c:v>101.587341703192</c:v>
                </c:pt>
                <c:pt idx="25">
                  <c:v>101.562603258083</c:v>
                </c:pt>
                <c:pt idx="26">
                  <c:v>101.48641239662101</c:v>
                </c:pt>
                <c:pt idx="27">
                  <c:v>101.44256296738401</c:v>
                </c:pt>
                <c:pt idx="28">
                  <c:v>101.45617156414301</c:v>
                </c:pt>
                <c:pt idx="29">
                  <c:v>101.50852522613501</c:v>
                </c:pt>
                <c:pt idx="30">
                  <c:v>101.63754871361699</c:v>
                </c:pt>
                <c:pt idx="31">
                  <c:v>101.815762715525</c:v>
                </c:pt>
                <c:pt idx="32">
                  <c:v>101.89895410429899</c:v>
                </c:pt>
                <c:pt idx="33">
                  <c:v>101.81485289624101</c:v>
                </c:pt>
                <c:pt idx="34">
                  <c:v>101.547201955191</c:v>
                </c:pt>
                <c:pt idx="35">
                  <c:v>101.11076115018101</c:v>
                </c:pt>
                <c:pt idx="36">
                  <c:v>100.554246000446</c:v>
                </c:pt>
                <c:pt idx="37">
                  <c:v>99.950357796371605</c:v>
                </c:pt>
                <c:pt idx="38">
                  <c:v>99.385824088570104</c:v>
                </c:pt>
                <c:pt idx="39">
                  <c:v>98.933341975933402</c:v>
                </c:pt>
                <c:pt idx="40">
                  <c:v>98.621835962550804</c:v>
                </c:pt>
                <c:pt idx="41">
                  <c:v>98.467398297940207</c:v>
                </c:pt>
                <c:pt idx="42">
                  <c:v>98.402383400081902</c:v>
                </c:pt>
                <c:pt idx="43">
                  <c:v>98.370386483803301</c:v>
                </c:pt>
                <c:pt idx="44">
                  <c:v>98.391526634398701</c:v>
                </c:pt>
                <c:pt idx="45">
                  <c:v>98.435353281426202</c:v>
                </c:pt>
                <c:pt idx="46">
                  <c:v>98.519195580975804</c:v>
                </c:pt>
                <c:pt idx="47">
                  <c:v>98.6807666684293</c:v>
                </c:pt>
                <c:pt idx="48">
                  <c:v>98.893147630029205</c:v>
                </c:pt>
                <c:pt idx="49">
                  <c:v>99.091059061425398</c:v>
                </c:pt>
                <c:pt idx="50">
                  <c:v>99.262127919318104</c:v>
                </c:pt>
                <c:pt idx="51">
                  <c:v>99.389987903837806</c:v>
                </c:pt>
                <c:pt idx="52">
                  <c:v>99.476620936491102</c:v>
                </c:pt>
                <c:pt idx="53">
                  <c:v>99.541461680587403</c:v>
                </c:pt>
                <c:pt idx="54">
                  <c:v>99.599937655580405</c:v>
                </c:pt>
                <c:pt idx="55">
                  <c:v>99.672840057054401</c:v>
                </c:pt>
                <c:pt idx="56">
                  <c:v>99.771623669943907</c:v>
                </c:pt>
                <c:pt idx="57">
                  <c:v>99.920011461663407</c:v>
                </c:pt>
                <c:pt idx="58">
                  <c:v>100.11537965447801</c:v>
                </c:pt>
                <c:pt idx="59">
                  <c:v>100.377591252288</c:v>
                </c:pt>
                <c:pt idx="60">
                  <c:v>100.749462278371</c:v>
                </c:pt>
                <c:pt idx="61">
                  <c:v>101.179476934378</c:v>
                </c:pt>
                <c:pt idx="62">
                  <c:v>101.60745512801201</c:v>
                </c:pt>
                <c:pt idx="63">
                  <c:v>101.965000828858</c:v>
                </c:pt>
                <c:pt idx="64">
                  <c:v>102.24129551147099</c:v>
                </c:pt>
                <c:pt idx="65">
                  <c:v>102.43932451719</c:v>
                </c:pt>
                <c:pt idx="66">
                  <c:v>102.609189256159</c:v>
                </c:pt>
              </c:numCache>
            </c:numRef>
          </c:val>
          <c:smooth val="0"/>
          <c:extLst>
            <c:ext xmlns:c16="http://schemas.microsoft.com/office/drawing/2014/chart" uri="{C3380CC4-5D6E-409C-BE32-E72D297353CC}">
              <c16:uniqueId val="{00000001-FD2C-44A4-9CAD-87122EF8785B}"/>
            </c:ext>
          </c:extLst>
        </c:ser>
        <c:dLbls>
          <c:showLegendKey val="0"/>
          <c:showVal val="1"/>
          <c:showCatName val="0"/>
          <c:showSerName val="0"/>
          <c:showPercent val="0"/>
          <c:showBubbleSize val="0"/>
        </c:dLbls>
        <c:marker val="1"/>
        <c:smooth val="0"/>
        <c:axId val="207792312"/>
        <c:axId val="207788000"/>
      </c:lineChart>
      <c:catAx>
        <c:axId val="207792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788000"/>
        <c:crossesAt val="60"/>
        <c:auto val="1"/>
        <c:lblAlgn val="ctr"/>
        <c:lblOffset val="0"/>
        <c:tickLblSkip val="1"/>
        <c:tickMarkSkip val="12"/>
        <c:noMultiLvlLbl val="1"/>
      </c:catAx>
      <c:valAx>
        <c:axId val="207788000"/>
        <c:scaling>
          <c:orientation val="minMax"/>
          <c:max val="105"/>
          <c:min val="9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792312"/>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6839-418B-4848-A480-64CC873C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CARRASCO SANTOS NORMA ALEJANDRA</cp:lastModifiedBy>
  <cp:revision>115</cp:revision>
  <cp:lastPrinted>2019-08-19T14:24:00Z</cp:lastPrinted>
  <dcterms:created xsi:type="dcterms:W3CDTF">2019-06-21T17:23:00Z</dcterms:created>
  <dcterms:modified xsi:type="dcterms:W3CDTF">2019-09-21T18:50:00Z</dcterms:modified>
  <cp:category>Encuesta Nacional de Ocupación y Empleo</cp:category>
  <cp:version>1</cp:version>
</cp:coreProperties>
</file>