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30" w:rsidRDefault="00444F30" w:rsidP="00444F30">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05604BD3" wp14:editId="5A498EE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444F30" w:rsidRPr="00265B8C" w:rsidRDefault="00444F30" w:rsidP="00444F3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604BD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444F30" w:rsidRPr="00265B8C" w:rsidRDefault="00444F30" w:rsidP="00444F3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rsidR="00444F30" w:rsidRDefault="00444F30" w:rsidP="00444F30">
      <w:pPr>
        <w:tabs>
          <w:tab w:val="left" w:pos="8789"/>
        </w:tabs>
        <w:ind w:right="51"/>
        <w:jc w:val="center"/>
        <w:rPr>
          <w:b/>
          <w:sz w:val="28"/>
        </w:rPr>
      </w:pPr>
    </w:p>
    <w:p w:rsidR="00444F30" w:rsidRPr="00892096" w:rsidRDefault="00444F30" w:rsidP="00444F30">
      <w:pPr>
        <w:pStyle w:val="Ttulo"/>
        <w:widowControl w:val="0"/>
        <w:tabs>
          <w:tab w:val="left" w:pos="1134"/>
        </w:tabs>
        <w:rPr>
          <w:caps/>
          <w:snapToGrid w:val="0"/>
          <w:spacing w:val="25"/>
          <w:sz w:val="28"/>
          <w:szCs w:val="28"/>
        </w:rPr>
      </w:pPr>
    </w:p>
    <w:p w:rsidR="00444F30" w:rsidRDefault="00444F30" w:rsidP="00444F30">
      <w:pPr>
        <w:pStyle w:val="Profesin"/>
        <w:outlineLvl w:val="0"/>
        <w:rPr>
          <w:lang w:val="es-MX"/>
        </w:rPr>
      </w:pPr>
      <w:r>
        <w:rPr>
          <w:lang w:val="es-MX"/>
        </w:rPr>
        <w:t>INDICADOR GLOBAL DE LA ACTIVIDAD ECONÓMICA</w:t>
      </w:r>
      <w:r w:rsidRPr="00757C3A">
        <w:rPr>
          <w:szCs w:val="22"/>
          <w:vertAlign w:val="superscript"/>
        </w:rPr>
        <w:footnoteReference w:id="1"/>
      </w:r>
    </w:p>
    <w:p w:rsidR="00444F30" w:rsidRDefault="00444F30" w:rsidP="00444F30">
      <w:pPr>
        <w:jc w:val="center"/>
        <w:rPr>
          <w:b/>
          <w:spacing w:val="25"/>
          <w:sz w:val="26"/>
          <w:lang w:val="es-MX"/>
        </w:rPr>
      </w:pPr>
      <w:r>
        <w:rPr>
          <w:b/>
          <w:spacing w:val="25"/>
          <w:sz w:val="26"/>
          <w:lang w:val="es-MX"/>
        </w:rPr>
        <w:t>DURANTE JUNIO DE 2019</w:t>
      </w:r>
    </w:p>
    <w:p w:rsidR="00444F30" w:rsidRPr="006B0791" w:rsidRDefault="00444F30" w:rsidP="00444F30">
      <w:pPr>
        <w:jc w:val="center"/>
        <w:rPr>
          <w:b/>
          <w:spacing w:val="25"/>
          <w:lang w:val="es-MX"/>
        </w:rPr>
      </w:pPr>
      <w:r w:rsidRPr="006B0791">
        <w:rPr>
          <w:b/>
          <w:spacing w:val="25"/>
          <w:lang w:val="es-MX"/>
        </w:rPr>
        <w:t>(</w:t>
      </w:r>
      <w:r w:rsidRPr="006B0791">
        <w:rPr>
          <w:b/>
          <w:i/>
          <w:spacing w:val="25"/>
          <w:lang w:val="es-MX"/>
        </w:rPr>
        <w:t>Cifras desestacionalizadas</w:t>
      </w:r>
      <w:r w:rsidRPr="006B0791">
        <w:rPr>
          <w:b/>
          <w:spacing w:val="25"/>
          <w:lang w:val="es-MX"/>
        </w:rPr>
        <w:t>)</w:t>
      </w:r>
    </w:p>
    <w:p w:rsidR="00444F30" w:rsidRPr="002E2BA0" w:rsidRDefault="00444F30" w:rsidP="00444F30">
      <w:pPr>
        <w:pStyle w:val="bullet"/>
        <w:keepLines w:val="0"/>
        <w:spacing w:after="0"/>
        <w:ind w:left="-284" w:right="-263" w:firstLine="0"/>
        <w:rPr>
          <w:b w:val="0"/>
          <w:color w:val="auto"/>
          <w:szCs w:val="24"/>
        </w:rPr>
      </w:pPr>
      <w:r w:rsidRPr="002E2BA0">
        <w:rPr>
          <w:b w:val="0"/>
          <w:color w:val="auto"/>
          <w:szCs w:val="24"/>
        </w:rPr>
        <w:t>El INEGI informa que el Indicador Global de la Actividad Económica (IGAE) creció 0.2% en  términos reales en el sexto mes del presente año respecto al mes previo, con cifras desestacionalizadas</w:t>
      </w:r>
      <w:r w:rsidRPr="002E2BA0">
        <w:rPr>
          <w:b w:val="0"/>
          <w:color w:val="auto"/>
          <w:szCs w:val="24"/>
          <w:vertAlign w:val="superscript"/>
        </w:rPr>
        <w:footnoteReference w:id="2"/>
      </w:r>
      <w:r w:rsidRPr="002E2BA0">
        <w:rPr>
          <w:b w:val="0"/>
          <w:color w:val="auto"/>
          <w:szCs w:val="24"/>
        </w:rPr>
        <w:t>.</w:t>
      </w:r>
    </w:p>
    <w:p w:rsidR="00444F30" w:rsidRPr="004C050A" w:rsidRDefault="00444F30" w:rsidP="00444F30">
      <w:pPr>
        <w:pStyle w:val="p02"/>
        <w:keepNext/>
        <w:widowControl w:val="0"/>
        <w:spacing w:before="0"/>
        <w:ind w:left="-284" w:right="-263"/>
        <w:rPr>
          <w:rFonts w:ascii="Arial" w:hAnsi="Arial" w:cs="Arial"/>
          <w:smallCaps/>
          <w:color w:val="auto"/>
          <w:szCs w:val="24"/>
        </w:rPr>
      </w:pPr>
    </w:p>
    <w:p w:rsidR="00444F30" w:rsidRDefault="00444F30" w:rsidP="00444F30">
      <w:pPr>
        <w:pStyle w:val="p02"/>
        <w:keepNext/>
        <w:widowControl w:val="0"/>
        <w:spacing w:before="120"/>
        <w:ind w:right="23"/>
        <w:jc w:val="center"/>
        <w:rPr>
          <w:rFonts w:ascii="Arial" w:hAnsi="Arial" w:cs="Arial"/>
          <w:b/>
          <w:smallCaps/>
          <w:color w:val="auto"/>
          <w:sz w:val="22"/>
        </w:rPr>
      </w:pPr>
    </w:p>
    <w:p w:rsidR="00444F30" w:rsidRDefault="00444F30" w:rsidP="00444F30">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junio </w:t>
      </w:r>
      <w:r>
        <w:rPr>
          <w:rFonts w:ascii="Arial" w:hAnsi="Arial" w:cs="Arial"/>
          <w:b/>
          <w:smallCaps/>
          <w:color w:val="000000"/>
          <w:sz w:val="22"/>
          <w:szCs w:val="22"/>
          <w:lang w:val="es-MX"/>
        </w:rPr>
        <w:t>de 2019</w:t>
      </w:r>
    </w:p>
    <w:p w:rsidR="00444F30" w:rsidRPr="00961776" w:rsidRDefault="00444F30" w:rsidP="00444F30">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444F30" w:rsidRPr="009B388F" w:rsidRDefault="00444F30" w:rsidP="00444F30">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444F30" w:rsidRPr="000B1975" w:rsidRDefault="00444F30" w:rsidP="00444F30">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52FB348A" wp14:editId="0A1B7411">
            <wp:extent cx="4680000" cy="2565164"/>
            <wp:effectExtent l="0" t="0" r="25400" b="26035"/>
            <wp:docPr id="13" name="Gráfico 1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4F30" w:rsidRPr="00AA768F" w:rsidRDefault="00444F30" w:rsidP="00444F30">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rsidR="00444F30" w:rsidRDefault="00444F30" w:rsidP="00444F30">
      <w:pPr>
        <w:pStyle w:val="bullet"/>
        <w:keepLines w:val="0"/>
        <w:spacing w:after="0"/>
        <w:ind w:left="-142" w:right="-263" w:firstLine="0"/>
        <w:rPr>
          <w:b w:val="0"/>
          <w:color w:val="auto"/>
          <w:szCs w:val="24"/>
        </w:rPr>
      </w:pPr>
    </w:p>
    <w:p w:rsidR="00444F30" w:rsidRPr="004C050A" w:rsidRDefault="00444F30" w:rsidP="00444F30">
      <w:pPr>
        <w:pStyle w:val="bullet"/>
        <w:keepLines w:val="0"/>
        <w:spacing w:before="360" w:after="0"/>
        <w:ind w:left="-284" w:right="-263" w:firstLine="0"/>
        <w:rPr>
          <w:b w:val="0"/>
          <w:color w:val="auto"/>
          <w:szCs w:val="24"/>
        </w:rPr>
      </w:pPr>
      <w:r w:rsidRPr="004C050A">
        <w:rPr>
          <w:b w:val="0"/>
          <w:color w:val="auto"/>
          <w:szCs w:val="24"/>
        </w:rPr>
        <w:t>Por grandes grupos de actividades, las Secundarias aumentaron 1.1%, en tanto que las actividades Primarias disminuyeron (-)1.7 por ciento. Por su parte, las Terciarias no mostraron variación durante junio de 2019 frente al mes precedente.</w:t>
      </w:r>
    </w:p>
    <w:p w:rsidR="00444F30" w:rsidRPr="004C050A" w:rsidRDefault="00444F30" w:rsidP="00444F30">
      <w:pPr>
        <w:pStyle w:val="bullet"/>
        <w:keepLines w:val="0"/>
        <w:spacing w:before="0" w:after="480"/>
        <w:ind w:left="-284" w:right="-263" w:firstLine="142"/>
        <w:rPr>
          <w:b w:val="0"/>
          <w:color w:val="auto"/>
          <w:szCs w:val="24"/>
        </w:rPr>
      </w:pPr>
    </w:p>
    <w:p w:rsidR="00444F30" w:rsidRDefault="00444F30" w:rsidP="00444F30">
      <w:pPr>
        <w:pStyle w:val="bullet"/>
        <w:keepLines w:val="0"/>
        <w:spacing w:before="360" w:after="0"/>
        <w:ind w:left="-142" w:right="-263" w:firstLine="0"/>
        <w:rPr>
          <w:b w:val="0"/>
          <w:color w:val="auto"/>
          <w:szCs w:val="24"/>
        </w:rPr>
      </w:pPr>
    </w:p>
    <w:p w:rsidR="00444F30" w:rsidRDefault="00444F30" w:rsidP="00444F30">
      <w:pPr>
        <w:pStyle w:val="bullet"/>
        <w:keepLines w:val="0"/>
        <w:spacing w:before="360" w:after="0"/>
        <w:ind w:left="-284" w:right="-263" w:firstLine="0"/>
        <w:rPr>
          <w:b w:val="0"/>
          <w:color w:val="auto"/>
          <w:szCs w:val="24"/>
        </w:rPr>
      </w:pPr>
    </w:p>
    <w:p w:rsidR="00444F30" w:rsidRPr="00F42871" w:rsidRDefault="00444F30" w:rsidP="00444F30">
      <w:pPr>
        <w:pStyle w:val="bullet"/>
        <w:keepLines w:val="0"/>
        <w:spacing w:before="360" w:after="0"/>
        <w:ind w:left="-284" w:right="-263" w:firstLine="0"/>
        <w:rPr>
          <w:rFonts w:cs="Arial"/>
          <w:b w:val="0"/>
          <w:smallCaps/>
          <w:szCs w:val="24"/>
        </w:rPr>
      </w:pPr>
      <w:r w:rsidRPr="00F42871">
        <w:rPr>
          <w:b w:val="0"/>
          <w:color w:val="auto"/>
          <w:szCs w:val="24"/>
        </w:rPr>
        <w:t>En términos anuales</w:t>
      </w:r>
      <w:r w:rsidRPr="00F42871">
        <w:rPr>
          <w:b w:val="0"/>
          <w:color w:val="auto"/>
          <w:szCs w:val="24"/>
          <w:vertAlign w:val="superscript"/>
        </w:rPr>
        <w:footnoteReference w:id="3"/>
      </w:r>
      <w:r w:rsidRPr="00F42871">
        <w:rPr>
          <w:b w:val="0"/>
          <w:color w:val="auto"/>
          <w:szCs w:val="24"/>
        </w:rPr>
        <w:t xml:space="preserve">, el IGAE registró un alza real de 0.2% en el mes de referencia. Por grandes grupos de actividades, las Primarias se incrementaron 2.8% y las actividades Terciarias 1%, mientras que las Secundarias descendieron (-)2.1% con relación a igual mes de 2018. </w:t>
      </w:r>
    </w:p>
    <w:p w:rsidR="00444F30" w:rsidRDefault="00444F30" w:rsidP="00444F30">
      <w:pPr>
        <w:pStyle w:val="bullet"/>
        <w:keepLines w:val="0"/>
        <w:spacing w:after="0"/>
        <w:ind w:left="0" w:right="0" w:firstLine="0"/>
        <w:jc w:val="center"/>
        <w:rPr>
          <w:rFonts w:cs="Arial"/>
          <w:smallCaps/>
          <w:color w:val="auto"/>
          <w:spacing w:val="0"/>
          <w:sz w:val="22"/>
        </w:rPr>
      </w:pPr>
    </w:p>
    <w:p w:rsidR="00444F30" w:rsidRDefault="00444F30" w:rsidP="00444F30">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junio de 2019</w:t>
      </w:r>
    </w:p>
    <w:p w:rsidR="00444F30" w:rsidRPr="0082401B" w:rsidRDefault="00444F30" w:rsidP="00444F30">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444F30" w:rsidTr="008F0130">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rsidR="00444F30" w:rsidRPr="008F66F2" w:rsidRDefault="00444F30" w:rsidP="008F0130">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rsidR="00444F30" w:rsidRPr="008F66F2" w:rsidRDefault="00444F30" w:rsidP="008F0130">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rsidR="00444F30" w:rsidRPr="008F66F2" w:rsidRDefault="00444F30" w:rsidP="008F0130">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8</w:t>
            </w:r>
          </w:p>
        </w:tc>
      </w:tr>
      <w:tr w:rsidR="00444F30" w:rsidRPr="00901570" w:rsidTr="008F0130">
        <w:trPr>
          <w:jc w:val="center"/>
        </w:trPr>
        <w:tc>
          <w:tcPr>
            <w:tcW w:w="2977" w:type="dxa"/>
            <w:tcBorders>
              <w:top w:val="single" w:sz="4" w:space="0" w:color="auto"/>
              <w:left w:val="double" w:sz="4" w:space="0" w:color="auto"/>
              <w:bottom w:val="nil"/>
              <w:right w:val="single" w:sz="4" w:space="0" w:color="000000"/>
            </w:tcBorders>
            <w:vAlign w:val="center"/>
            <w:hideMark/>
          </w:tcPr>
          <w:p w:rsidR="00444F30" w:rsidRPr="00901570" w:rsidRDefault="00444F30" w:rsidP="008F0130">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rsidR="00444F30" w:rsidRPr="002B306E" w:rsidRDefault="00444F30" w:rsidP="008F0130">
            <w:pPr>
              <w:pStyle w:val="p0"/>
              <w:spacing w:before="120"/>
              <w:ind w:right="818"/>
              <w:jc w:val="right"/>
              <w:rPr>
                <w:rFonts w:ascii="Arial" w:hAnsi="Arial"/>
                <w:b/>
                <w:color w:val="auto"/>
                <w:sz w:val="18"/>
              </w:rPr>
            </w:pPr>
            <w:r w:rsidRPr="002B306E">
              <w:rPr>
                <w:rFonts w:ascii="Arial" w:hAnsi="Arial"/>
                <w:b/>
                <w:color w:val="auto"/>
                <w:sz w:val="18"/>
              </w:rPr>
              <w:t xml:space="preserve">  0.</w:t>
            </w:r>
            <w:r>
              <w:rPr>
                <w:rFonts w:ascii="Arial" w:hAnsi="Arial"/>
                <w:b/>
                <w:color w:val="auto"/>
                <w:sz w:val="18"/>
              </w:rPr>
              <w:t>2</w:t>
            </w:r>
          </w:p>
        </w:tc>
        <w:tc>
          <w:tcPr>
            <w:tcW w:w="2410" w:type="dxa"/>
            <w:tcBorders>
              <w:top w:val="single" w:sz="4" w:space="0" w:color="auto"/>
              <w:left w:val="single" w:sz="4" w:space="0" w:color="000000"/>
              <w:bottom w:val="nil"/>
              <w:right w:val="double" w:sz="4" w:space="0" w:color="auto"/>
            </w:tcBorders>
            <w:vAlign w:val="center"/>
            <w:hideMark/>
          </w:tcPr>
          <w:p w:rsidR="00444F30" w:rsidRPr="002B306E" w:rsidRDefault="00444F30" w:rsidP="008F0130">
            <w:pPr>
              <w:pStyle w:val="p0"/>
              <w:spacing w:before="120"/>
              <w:ind w:right="1021"/>
              <w:jc w:val="right"/>
              <w:rPr>
                <w:rFonts w:ascii="Arial" w:hAnsi="Arial"/>
                <w:b/>
                <w:color w:val="auto"/>
                <w:sz w:val="18"/>
              </w:rPr>
            </w:pPr>
            <w:r w:rsidRPr="002B306E">
              <w:rPr>
                <w:rFonts w:ascii="Arial" w:hAnsi="Arial"/>
                <w:b/>
                <w:color w:val="auto"/>
                <w:sz w:val="18"/>
              </w:rPr>
              <w:t xml:space="preserve">  0.</w:t>
            </w:r>
            <w:r>
              <w:rPr>
                <w:rFonts w:ascii="Arial" w:hAnsi="Arial"/>
                <w:b/>
                <w:color w:val="auto"/>
                <w:sz w:val="18"/>
              </w:rPr>
              <w:t>2</w:t>
            </w:r>
          </w:p>
        </w:tc>
      </w:tr>
      <w:tr w:rsidR="00444F30" w:rsidRPr="00901570" w:rsidTr="008F0130">
        <w:trPr>
          <w:jc w:val="center"/>
        </w:trPr>
        <w:tc>
          <w:tcPr>
            <w:tcW w:w="2977" w:type="dxa"/>
            <w:tcBorders>
              <w:top w:val="nil"/>
              <w:left w:val="double" w:sz="4" w:space="0" w:color="auto"/>
              <w:bottom w:val="nil"/>
              <w:right w:val="single" w:sz="4" w:space="0" w:color="000000"/>
            </w:tcBorders>
            <w:vAlign w:val="center"/>
            <w:hideMark/>
          </w:tcPr>
          <w:p w:rsidR="00444F30" w:rsidRPr="00901570" w:rsidRDefault="00444F30" w:rsidP="008F0130">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rsidR="00444F30" w:rsidRPr="002B306E" w:rsidRDefault="00444F30" w:rsidP="008F0130">
            <w:pPr>
              <w:pStyle w:val="p0"/>
              <w:spacing w:before="120"/>
              <w:ind w:right="818"/>
              <w:jc w:val="right"/>
              <w:rPr>
                <w:rFonts w:ascii="Arial" w:hAnsi="Arial"/>
                <w:color w:val="auto"/>
                <w:sz w:val="18"/>
              </w:rPr>
            </w:pPr>
            <w:r>
              <w:rPr>
                <w:rFonts w:ascii="Arial" w:hAnsi="Arial"/>
                <w:color w:val="auto"/>
                <w:sz w:val="18"/>
              </w:rPr>
              <w:t>(-)  1</w:t>
            </w:r>
            <w:r w:rsidRPr="002B306E">
              <w:rPr>
                <w:rFonts w:ascii="Arial" w:hAnsi="Arial"/>
                <w:color w:val="auto"/>
                <w:sz w:val="18"/>
              </w:rPr>
              <w:t>.7</w:t>
            </w:r>
          </w:p>
        </w:tc>
        <w:tc>
          <w:tcPr>
            <w:tcW w:w="2410" w:type="dxa"/>
            <w:tcBorders>
              <w:top w:val="nil"/>
              <w:left w:val="single" w:sz="4" w:space="0" w:color="000000"/>
              <w:bottom w:val="nil"/>
              <w:right w:val="double" w:sz="4" w:space="0" w:color="auto"/>
            </w:tcBorders>
            <w:vAlign w:val="center"/>
            <w:hideMark/>
          </w:tcPr>
          <w:p w:rsidR="00444F30" w:rsidRPr="002B306E" w:rsidRDefault="00444F30" w:rsidP="008F0130">
            <w:pPr>
              <w:pStyle w:val="p0"/>
              <w:spacing w:before="120"/>
              <w:ind w:right="1021"/>
              <w:jc w:val="right"/>
              <w:rPr>
                <w:rFonts w:ascii="Arial" w:hAnsi="Arial"/>
                <w:color w:val="auto"/>
                <w:sz w:val="18"/>
              </w:rPr>
            </w:pPr>
            <w:r>
              <w:rPr>
                <w:rFonts w:ascii="Arial" w:hAnsi="Arial"/>
                <w:color w:val="auto"/>
                <w:sz w:val="18"/>
              </w:rPr>
              <w:t>2</w:t>
            </w:r>
            <w:r w:rsidRPr="002B306E">
              <w:rPr>
                <w:rFonts w:ascii="Arial" w:hAnsi="Arial"/>
                <w:color w:val="auto"/>
                <w:sz w:val="18"/>
              </w:rPr>
              <w:t>.</w:t>
            </w:r>
            <w:r>
              <w:rPr>
                <w:rFonts w:ascii="Arial" w:hAnsi="Arial"/>
                <w:color w:val="auto"/>
                <w:sz w:val="18"/>
              </w:rPr>
              <w:t>8</w:t>
            </w:r>
          </w:p>
        </w:tc>
      </w:tr>
      <w:tr w:rsidR="00444F30" w:rsidRPr="00901570" w:rsidTr="008F0130">
        <w:trPr>
          <w:jc w:val="center"/>
        </w:trPr>
        <w:tc>
          <w:tcPr>
            <w:tcW w:w="2977" w:type="dxa"/>
            <w:tcBorders>
              <w:top w:val="nil"/>
              <w:left w:val="double" w:sz="4" w:space="0" w:color="auto"/>
              <w:bottom w:val="nil"/>
              <w:right w:val="single" w:sz="4" w:space="0" w:color="000000"/>
            </w:tcBorders>
            <w:vAlign w:val="center"/>
            <w:hideMark/>
          </w:tcPr>
          <w:p w:rsidR="00444F30" w:rsidRPr="00901570" w:rsidRDefault="00444F30" w:rsidP="008F0130">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rsidR="00444F30" w:rsidRPr="002B306E" w:rsidRDefault="00444F30" w:rsidP="008F0130">
            <w:pPr>
              <w:pStyle w:val="p0"/>
              <w:spacing w:before="120"/>
              <w:ind w:right="818"/>
              <w:jc w:val="right"/>
              <w:rPr>
                <w:rFonts w:ascii="Arial" w:hAnsi="Arial"/>
                <w:color w:val="auto"/>
                <w:sz w:val="18"/>
              </w:rPr>
            </w:pPr>
            <w:r w:rsidRPr="002B306E">
              <w:rPr>
                <w:rFonts w:ascii="Arial" w:hAnsi="Arial"/>
                <w:color w:val="auto"/>
                <w:sz w:val="18"/>
              </w:rPr>
              <w:t xml:space="preserve">  </w:t>
            </w:r>
            <w:r>
              <w:rPr>
                <w:rFonts w:ascii="Arial" w:hAnsi="Arial"/>
                <w:color w:val="auto"/>
                <w:sz w:val="18"/>
              </w:rPr>
              <w:t>1</w:t>
            </w:r>
            <w:r w:rsidRPr="002B306E">
              <w:rPr>
                <w:rFonts w:ascii="Arial" w:hAnsi="Arial"/>
                <w:color w:val="auto"/>
                <w:sz w:val="18"/>
              </w:rPr>
              <w:t>.1</w:t>
            </w:r>
          </w:p>
        </w:tc>
        <w:tc>
          <w:tcPr>
            <w:tcW w:w="2410" w:type="dxa"/>
            <w:tcBorders>
              <w:top w:val="nil"/>
              <w:left w:val="single" w:sz="4" w:space="0" w:color="000000"/>
              <w:bottom w:val="nil"/>
              <w:right w:val="double" w:sz="4" w:space="0" w:color="auto"/>
            </w:tcBorders>
            <w:vAlign w:val="center"/>
            <w:hideMark/>
          </w:tcPr>
          <w:p w:rsidR="00444F30" w:rsidRPr="002B306E" w:rsidRDefault="00444F30" w:rsidP="008F0130">
            <w:pPr>
              <w:pStyle w:val="p0"/>
              <w:spacing w:before="120"/>
              <w:ind w:right="1021"/>
              <w:jc w:val="right"/>
              <w:rPr>
                <w:rFonts w:ascii="Arial" w:hAnsi="Arial"/>
                <w:color w:val="auto"/>
                <w:sz w:val="18"/>
              </w:rPr>
            </w:pPr>
            <w:r w:rsidRPr="002B306E">
              <w:rPr>
                <w:rFonts w:ascii="Arial" w:hAnsi="Arial"/>
                <w:color w:val="auto"/>
                <w:sz w:val="18"/>
              </w:rPr>
              <w:t xml:space="preserve">(-)  </w:t>
            </w:r>
            <w:r>
              <w:rPr>
                <w:rFonts w:ascii="Arial" w:hAnsi="Arial"/>
                <w:color w:val="auto"/>
                <w:sz w:val="18"/>
              </w:rPr>
              <w:t>2</w:t>
            </w:r>
            <w:r w:rsidRPr="002B306E">
              <w:rPr>
                <w:rFonts w:ascii="Arial" w:hAnsi="Arial"/>
                <w:color w:val="auto"/>
                <w:sz w:val="18"/>
              </w:rPr>
              <w:t>.1</w:t>
            </w:r>
          </w:p>
        </w:tc>
      </w:tr>
      <w:tr w:rsidR="00444F30" w:rsidRPr="00901570" w:rsidTr="008F0130">
        <w:trPr>
          <w:jc w:val="center"/>
        </w:trPr>
        <w:tc>
          <w:tcPr>
            <w:tcW w:w="2977" w:type="dxa"/>
            <w:tcBorders>
              <w:top w:val="nil"/>
              <w:left w:val="double" w:sz="4" w:space="0" w:color="auto"/>
              <w:bottom w:val="double" w:sz="4" w:space="0" w:color="auto"/>
              <w:right w:val="single" w:sz="4" w:space="0" w:color="000000"/>
            </w:tcBorders>
            <w:vAlign w:val="center"/>
            <w:hideMark/>
          </w:tcPr>
          <w:p w:rsidR="00444F30" w:rsidRPr="00901570" w:rsidRDefault="00444F30" w:rsidP="008F0130">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rsidR="00444F30" w:rsidRPr="002B306E" w:rsidRDefault="00444F30" w:rsidP="008F0130">
            <w:pPr>
              <w:pStyle w:val="p0"/>
              <w:spacing w:before="120" w:after="120"/>
              <w:ind w:right="818"/>
              <w:jc w:val="right"/>
              <w:rPr>
                <w:rFonts w:ascii="Arial" w:hAnsi="Arial"/>
                <w:color w:val="auto"/>
                <w:sz w:val="18"/>
              </w:rPr>
            </w:pPr>
            <w:r w:rsidRPr="002B306E">
              <w:rPr>
                <w:rFonts w:ascii="Arial" w:hAnsi="Arial"/>
                <w:color w:val="auto"/>
                <w:sz w:val="18"/>
              </w:rPr>
              <w:t>0.</w:t>
            </w:r>
            <w:r>
              <w:rPr>
                <w:rFonts w:ascii="Arial" w:hAnsi="Arial"/>
                <w:color w:val="auto"/>
                <w:sz w:val="18"/>
              </w:rPr>
              <w:t>0</w:t>
            </w:r>
          </w:p>
        </w:tc>
        <w:tc>
          <w:tcPr>
            <w:tcW w:w="2410" w:type="dxa"/>
            <w:tcBorders>
              <w:top w:val="nil"/>
              <w:left w:val="single" w:sz="4" w:space="0" w:color="000000"/>
              <w:bottom w:val="double" w:sz="4" w:space="0" w:color="auto"/>
              <w:right w:val="double" w:sz="4" w:space="0" w:color="auto"/>
            </w:tcBorders>
            <w:vAlign w:val="center"/>
            <w:hideMark/>
          </w:tcPr>
          <w:p w:rsidR="00444F30" w:rsidRPr="002B306E" w:rsidRDefault="00444F30" w:rsidP="008F0130">
            <w:pPr>
              <w:pStyle w:val="p0"/>
              <w:spacing w:before="120" w:after="120"/>
              <w:ind w:right="1021"/>
              <w:jc w:val="right"/>
              <w:rPr>
                <w:rFonts w:ascii="Arial" w:hAnsi="Arial"/>
                <w:color w:val="auto"/>
                <w:sz w:val="18"/>
              </w:rPr>
            </w:pPr>
            <w:r w:rsidRPr="002B306E">
              <w:rPr>
                <w:rFonts w:ascii="Arial" w:hAnsi="Arial"/>
                <w:color w:val="auto"/>
                <w:sz w:val="18"/>
              </w:rPr>
              <w:t>1.</w:t>
            </w:r>
            <w:r>
              <w:rPr>
                <w:rFonts w:ascii="Arial" w:hAnsi="Arial"/>
                <w:color w:val="auto"/>
                <w:sz w:val="18"/>
              </w:rPr>
              <w:t>0</w:t>
            </w:r>
          </w:p>
        </w:tc>
      </w:tr>
    </w:tbl>
    <w:p w:rsidR="00444F30" w:rsidRPr="0082401B" w:rsidRDefault="00444F30" w:rsidP="006222A1">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rsidR="00444F30" w:rsidRPr="0082401B" w:rsidRDefault="00444F30" w:rsidP="006222A1">
      <w:pPr>
        <w:tabs>
          <w:tab w:val="num" w:pos="1843"/>
        </w:tabs>
        <w:spacing w:after="240"/>
        <w:ind w:left="709" w:right="729"/>
        <w:rPr>
          <w:lang w:val="es-MX"/>
        </w:rPr>
      </w:pPr>
      <w:r w:rsidRPr="0082401B">
        <w:rPr>
          <w:sz w:val="16"/>
          <w:szCs w:val="16"/>
        </w:rPr>
        <w:t>Fuente: INEGI.</w:t>
      </w:r>
    </w:p>
    <w:p w:rsidR="00444F30" w:rsidRDefault="00444F30" w:rsidP="00444F30">
      <w:pPr>
        <w:pStyle w:val="bullet"/>
        <w:keepLines w:val="0"/>
        <w:spacing w:after="0"/>
        <w:ind w:left="0" w:right="0" w:firstLine="0"/>
        <w:jc w:val="center"/>
        <w:rPr>
          <w:rFonts w:cs="Arial"/>
          <w:smallCaps/>
          <w:color w:val="auto"/>
          <w:spacing w:val="0"/>
          <w:sz w:val="22"/>
        </w:rPr>
      </w:pPr>
    </w:p>
    <w:p w:rsidR="00444F30" w:rsidRDefault="00444F30" w:rsidP="00444F30">
      <w:pPr>
        <w:jc w:val="center"/>
        <w:rPr>
          <w:b/>
          <w:color w:val="000000"/>
        </w:rPr>
      </w:pPr>
    </w:p>
    <w:p w:rsidR="00444F30" w:rsidRDefault="00444F30" w:rsidP="00444F30">
      <w:pPr>
        <w:jc w:val="center"/>
        <w:rPr>
          <w:b/>
          <w:color w:val="000000"/>
        </w:rPr>
      </w:pPr>
    </w:p>
    <w:p w:rsidR="00444F30" w:rsidRDefault="00444F30" w:rsidP="00444F30">
      <w:pPr>
        <w:jc w:val="center"/>
        <w:rPr>
          <w:b/>
          <w:color w:val="000000"/>
        </w:rPr>
      </w:pPr>
      <w:r w:rsidRPr="003B1ACA">
        <w:rPr>
          <w:b/>
          <w:color w:val="000000"/>
        </w:rPr>
        <w:t>Se anexa Nota Técnica</w:t>
      </w:r>
    </w:p>
    <w:p w:rsidR="00444F30" w:rsidRDefault="00444F30" w:rsidP="00444F30">
      <w:pPr>
        <w:pStyle w:val="p0"/>
        <w:jc w:val="cente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Pr="00745B1D" w:rsidRDefault="00444F30" w:rsidP="00444F30">
      <w:pPr>
        <w:pStyle w:val="NormalWeb"/>
        <w:spacing w:before="0" w:beforeAutospacing="0" w:after="0" w:afterAutospacing="0"/>
        <w:ind w:left="-426" w:right="-518"/>
        <w:contextualSpacing/>
        <w:jc w:val="center"/>
        <w:rPr>
          <w:rFonts w:ascii="Arial" w:hAnsi="Arial" w:cs="Arial"/>
          <w:sz w:val="22"/>
          <w:szCs w:val="22"/>
        </w:rPr>
      </w:pPr>
    </w:p>
    <w:p w:rsidR="00444F30" w:rsidRPr="00892096" w:rsidRDefault="00444F30" w:rsidP="00444F30">
      <w:pPr>
        <w:pStyle w:val="NormalWeb"/>
        <w:spacing w:before="0" w:beforeAutospacing="0" w:after="0" w:afterAutospacing="0"/>
        <w:ind w:left="-426" w:right="-518"/>
        <w:contextualSpacing/>
        <w:jc w:val="center"/>
        <w:rPr>
          <w:rFonts w:ascii="Arial" w:hAnsi="Arial" w:cs="Arial"/>
          <w:sz w:val="22"/>
          <w:szCs w:val="22"/>
        </w:rPr>
      </w:pPr>
      <w:r w:rsidRPr="00892096">
        <w:rPr>
          <w:rFonts w:ascii="Arial" w:hAnsi="Arial" w:cs="Arial"/>
          <w:sz w:val="22"/>
          <w:szCs w:val="22"/>
        </w:rPr>
        <w:t xml:space="preserve">Para consultas de medios y periodistas, contactar a: </w:t>
      </w:r>
      <w:hyperlink r:id="rId9" w:history="1">
        <w:r w:rsidRPr="00892096">
          <w:rPr>
            <w:rStyle w:val="Hipervnculo"/>
            <w:rFonts w:ascii="Arial" w:hAnsi="Arial" w:cs="Arial"/>
            <w:sz w:val="22"/>
            <w:szCs w:val="22"/>
          </w:rPr>
          <w:t>comunicacionsocial@inegi.org.mx</w:t>
        </w:r>
      </w:hyperlink>
      <w:r w:rsidRPr="00892096">
        <w:rPr>
          <w:rFonts w:ascii="Arial" w:hAnsi="Arial" w:cs="Arial"/>
          <w:sz w:val="22"/>
          <w:szCs w:val="22"/>
        </w:rPr>
        <w:t xml:space="preserve"> </w:t>
      </w:r>
    </w:p>
    <w:p w:rsidR="00444F30" w:rsidRPr="00892096" w:rsidRDefault="00444F30" w:rsidP="00444F30">
      <w:pPr>
        <w:pStyle w:val="NormalWeb"/>
        <w:spacing w:before="0" w:beforeAutospacing="0" w:after="0" w:afterAutospacing="0"/>
        <w:ind w:left="-426" w:right="-518"/>
        <w:contextualSpacing/>
        <w:jc w:val="center"/>
        <w:rPr>
          <w:rFonts w:ascii="Arial" w:hAnsi="Arial" w:cs="Arial"/>
          <w:sz w:val="22"/>
          <w:szCs w:val="22"/>
        </w:rPr>
      </w:pPr>
      <w:r w:rsidRPr="00892096">
        <w:rPr>
          <w:rFonts w:ascii="Arial" w:hAnsi="Arial" w:cs="Arial"/>
          <w:sz w:val="22"/>
          <w:szCs w:val="22"/>
        </w:rPr>
        <w:t xml:space="preserve">o llamar al teléfono (55) 52-78-10-00, </w:t>
      </w:r>
      <w:proofErr w:type="spellStart"/>
      <w:r w:rsidRPr="00892096">
        <w:rPr>
          <w:rFonts w:ascii="Arial" w:hAnsi="Arial" w:cs="Arial"/>
          <w:sz w:val="22"/>
          <w:szCs w:val="22"/>
        </w:rPr>
        <w:t>exts</w:t>
      </w:r>
      <w:proofErr w:type="spellEnd"/>
      <w:r w:rsidRPr="00892096">
        <w:rPr>
          <w:rFonts w:ascii="Arial" w:hAnsi="Arial" w:cs="Arial"/>
          <w:sz w:val="22"/>
          <w:szCs w:val="22"/>
        </w:rPr>
        <w:t>. 1134, 1260 y 1241.</w:t>
      </w:r>
    </w:p>
    <w:p w:rsidR="00444F30" w:rsidRPr="00892096" w:rsidRDefault="00444F30" w:rsidP="00444F30">
      <w:pPr>
        <w:ind w:left="-426" w:right="-518"/>
        <w:contextualSpacing/>
        <w:jc w:val="center"/>
        <w:rPr>
          <w:sz w:val="22"/>
          <w:szCs w:val="22"/>
        </w:rPr>
      </w:pPr>
    </w:p>
    <w:p w:rsidR="00444F30" w:rsidRPr="00892096" w:rsidRDefault="00444F30" w:rsidP="00444F30">
      <w:pPr>
        <w:ind w:left="-426" w:right="-518"/>
        <w:contextualSpacing/>
        <w:jc w:val="center"/>
        <w:rPr>
          <w:sz w:val="22"/>
          <w:szCs w:val="22"/>
        </w:rPr>
      </w:pPr>
      <w:r w:rsidRPr="00892096">
        <w:rPr>
          <w:sz w:val="22"/>
          <w:szCs w:val="22"/>
        </w:rPr>
        <w:t xml:space="preserve">Dirección de Atención a Medios / Dirección General Adjunta de Comunicación </w:t>
      </w:r>
    </w:p>
    <w:p w:rsidR="00444F30" w:rsidRPr="00970597" w:rsidRDefault="00444F30" w:rsidP="00444F30">
      <w:pPr>
        <w:ind w:left="-426" w:right="-518"/>
        <w:contextualSpacing/>
        <w:jc w:val="center"/>
        <w:rPr>
          <w:sz w:val="22"/>
          <w:szCs w:val="22"/>
        </w:rPr>
      </w:pPr>
    </w:p>
    <w:p w:rsidR="00444F30" w:rsidRPr="003C537A" w:rsidRDefault="00444F30" w:rsidP="00444F30">
      <w:pPr>
        <w:ind w:left="-425" w:right="-516"/>
        <w:contextualSpacing/>
        <w:jc w:val="center"/>
        <w:rPr>
          <w:strike/>
          <w:sz w:val="8"/>
          <w:szCs w:val="8"/>
        </w:rPr>
      </w:pPr>
      <w:r w:rsidRPr="00FF1218">
        <w:rPr>
          <w:noProof/>
          <w:lang w:val="es-MX" w:eastAsia="es-MX"/>
        </w:rPr>
        <w:drawing>
          <wp:inline distT="0" distB="0" distL="0" distR="0" wp14:anchorId="5A407329" wp14:editId="758ED491">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7DB55E" wp14:editId="08A37FD7">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6C006C" wp14:editId="6158F43E">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9ED387" wp14:editId="6425B630">
            <wp:extent cx="365760" cy="36576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5CB289B" wp14:editId="2DE17BA1">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444F30" w:rsidRDefault="00444F30" w:rsidP="00444F30">
      <w:pPr>
        <w:pStyle w:val="NormalWeb"/>
        <w:spacing w:before="0" w:beforeAutospacing="0" w:after="0" w:afterAutospacing="0"/>
        <w:ind w:left="-426" w:right="-518"/>
        <w:contextualSpacing/>
        <w:jc w:val="center"/>
        <w:rPr>
          <w:rFonts w:ascii="Arial" w:hAnsi="Arial" w:cs="Arial"/>
          <w:sz w:val="18"/>
          <w:szCs w:val="18"/>
        </w:rPr>
      </w:pPr>
    </w:p>
    <w:p w:rsidR="00444F30" w:rsidRPr="00157C43" w:rsidRDefault="00444F30" w:rsidP="00444F30">
      <w:pPr>
        <w:pStyle w:val="bullet"/>
        <w:tabs>
          <w:tab w:val="left" w:pos="8789"/>
        </w:tabs>
        <w:spacing w:before="0"/>
        <w:ind w:left="0" w:right="51" w:firstLine="0"/>
        <w:jc w:val="center"/>
        <w:rPr>
          <w:rFonts w:cs="Arial"/>
          <w:szCs w:val="24"/>
        </w:rPr>
        <w:sectPr w:rsidR="00444F30"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444F30" w:rsidRDefault="00444F30" w:rsidP="00444F30">
      <w:pPr>
        <w:tabs>
          <w:tab w:val="left" w:pos="8789"/>
        </w:tabs>
        <w:ind w:right="51"/>
        <w:jc w:val="center"/>
        <w:rPr>
          <w:b/>
          <w:sz w:val="28"/>
          <w:szCs w:val="28"/>
        </w:rPr>
      </w:pPr>
      <w:r w:rsidRPr="001F1169">
        <w:lastRenderedPageBreak/>
        <w:t xml:space="preserve"> </w:t>
      </w:r>
      <w:r>
        <w:t xml:space="preserve">  </w:t>
      </w:r>
      <w:r w:rsidRPr="00BF3D60">
        <w:rPr>
          <w:b/>
          <w:sz w:val="28"/>
          <w:szCs w:val="28"/>
        </w:rPr>
        <w:t>NOTA TÉCNICA</w:t>
      </w:r>
    </w:p>
    <w:p w:rsidR="00444F30" w:rsidRPr="00444F30" w:rsidRDefault="00444F30" w:rsidP="00444F30">
      <w:pPr>
        <w:tabs>
          <w:tab w:val="left" w:pos="8789"/>
        </w:tabs>
        <w:ind w:right="51"/>
        <w:jc w:val="center"/>
        <w:rPr>
          <w:b/>
          <w:sz w:val="16"/>
          <w:szCs w:val="16"/>
        </w:rPr>
      </w:pPr>
    </w:p>
    <w:p w:rsidR="0082401B" w:rsidRDefault="0082401B" w:rsidP="0082401B">
      <w:pPr>
        <w:pStyle w:val="Profesin"/>
        <w:outlineLvl w:val="0"/>
        <w:rPr>
          <w:lang w:val="es-MX"/>
        </w:rPr>
      </w:pPr>
      <w:r>
        <w:rPr>
          <w:lang w:val="es-MX"/>
        </w:rPr>
        <w:t>INDICADOR GLOBAL DE LA ACTIVIDAD ECONÓMICA</w:t>
      </w:r>
      <w:r w:rsidR="00524FC0" w:rsidRPr="00757C3A">
        <w:rPr>
          <w:szCs w:val="22"/>
          <w:vertAlign w:val="superscript"/>
        </w:rPr>
        <w:footnoteReference w:id="4"/>
      </w:r>
    </w:p>
    <w:p w:rsidR="0082401B" w:rsidRDefault="0082401B" w:rsidP="0082401B">
      <w:pPr>
        <w:jc w:val="center"/>
        <w:rPr>
          <w:b/>
          <w:spacing w:val="25"/>
          <w:sz w:val="26"/>
          <w:lang w:val="es-MX"/>
        </w:rPr>
      </w:pPr>
      <w:r>
        <w:rPr>
          <w:b/>
          <w:spacing w:val="25"/>
          <w:sz w:val="26"/>
          <w:lang w:val="es-MX"/>
        </w:rPr>
        <w:t xml:space="preserve">DURANTE </w:t>
      </w:r>
      <w:r w:rsidR="00FE3FC5">
        <w:rPr>
          <w:b/>
          <w:spacing w:val="25"/>
          <w:sz w:val="26"/>
          <w:lang w:val="es-MX"/>
        </w:rPr>
        <w:t>JUNI</w:t>
      </w:r>
      <w:r w:rsidR="002029DF">
        <w:rPr>
          <w:b/>
          <w:spacing w:val="25"/>
          <w:sz w:val="26"/>
          <w:lang w:val="es-MX"/>
        </w:rPr>
        <w:t>O</w:t>
      </w:r>
      <w:r w:rsidR="00662155">
        <w:rPr>
          <w:b/>
          <w:spacing w:val="25"/>
          <w:sz w:val="26"/>
          <w:lang w:val="es-MX"/>
        </w:rPr>
        <w:t xml:space="preserve"> DE 201</w:t>
      </w:r>
      <w:r w:rsidR="00387C8E">
        <w:rPr>
          <w:b/>
          <w:spacing w:val="25"/>
          <w:sz w:val="26"/>
          <w:lang w:val="es-MX"/>
        </w:rPr>
        <w:t>9</w:t>
      </w:r>
    </w:p>
    <w:p w:rsidR="0082401B" w:rsidRPr="00444F30" w:rsidRDefault="0082401B" w:rsidP="0082401B">
      <w:pPr>
        <w:jc w:val="center"/>
        <w:rPr>
          <w:b/>
          <w:spacing w:val="25"/>
          <w:lang w:val="es-MX"/>
        </w:rPr>
      </w:pPr>
      <w:r w:rsidRPr="00444F30">
        <w:rPr>
          <w:b/>
          <w:spacing w:val="25"/>
          <w:lang w:val="es-MX"/>
        </w:rPr>
        <w:t>(</w:t>
      </w:r>
      <w:r w:rsidRPr="00444F30">
        <w:rPr>
          <w:b/>
          <w:i/>
          <w:spacing w:val="25"/>
          <w:lang w:val="es-MX"/>
        </w:rPr>
        <w:t>Cifras desestacionalizadas</w:t>
      </w:r>
      <w:r w:rsidRPr="00444F30">
        <w:rPr>
          <w:b/>
          <w:spacing w:val="25"/>
          <w:lang w:val="es-MX"/>
        </w:rPr>
        <w:t>)</w:t>
      </w:r>
    </w:p>
    <w:p w:rsidR="008D74D3" w:rsidRDefault="008D74D3" w:rsidP="000A06B1">
      <w:pPr>
        <w:rPr>
          <w:lang w:val="es-MX"/>
        </w:rPr>
      </w:pPr>
    </w:p>
    <w:p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2B306E">
        <w:rPr>
          <w:lang w:val="es-MX"/>
        </w:rPr>
        <w:t>creció 0.2%</w:t>
      </w:r>
      <w:r w:rsidR="008E15B0">
        <w:rPr>
          <w:lang w:val="es-MX"/>
        </w:rPr>
        <w:t xml:space="preserve">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FE3FC5">
        <w:rPr>
          <w:lang w:val="es-MX"/>
        </w:rPr>
        <w:t>sex</w:t>
      </w:r>
      <w:r w:rsidR="002029DF">
        <w:rPr>
          <w:lang w:val="es-MX"/>
        </w:rPr>
        <w:t>to</w:t>
      </w:r>
      <w:r w:rsidR="000D0825">
        <w:rPr>
          <w:lang w:val="es-MX"/>
        </w:rPr>
        <w:t xml:space="preserve"> mes </w:t>
      </w:r>
      <w:r w:rsidR="00365D38">
        <w:rPr>
          <w:lang w:val="es-MX"/>
        </w:rPr>
        <w:t>de 201</w:t>
      </w:r>
      <w:r w:rsidR="00387C8E">
        <w:rPr>
          <w:lang w:val="es-MX"/>
        </w:rPr>
        <w:t>9</w:t>
      </w:r>
      <w:r>
        <w:t xml:space="preserve"> </w:t>
      </w:r>
      <w:r>
        <w:rPr>
          <w:lang w:val="es-MX"/>
        </w:rPr>
        <w:t xml:space="preserve">con relación al mes inmediato </w:t>
      </w:r>
      <w:r w:rsidR="00DA405C">
        <w:rPr>
          <w:lang w:val="es-MX"/>
        </w:rPr>
        <w:t>a</w:t>
      </w:r>
      <w:r>
        <w:rPr>
          <w:lang w:val="es-MX"/>
        </w:rPr>
        <w:t>nterior</w:t>
      </w:r>
      <w:r w:rsidR="00CE01E2">
        <w:rPr>
          <w:lang w:val="es-MX"/>
        </w:rPr>
        <w:t>.</w:t>
      </w:r>
    </w:p>
    <w:p w:rsidR="001F1169" w:rsidRPr="003B6473" w:rsidRDefault="001F1169" w:rsidP="000A06B1">
      <w:pPr>
        <w:keepNext/>
        <w:keepLines/>
        <w:widowControl w:val="0"/>
        <w:spacing w:before="600"/>
        <w:jc w:val="center"/>
      </w:pPr>
      <w:r w:rsidRPr="00B90B81">
        <w:rPr>
          <w:color w:val="000000"/>
          <w:sz w:val="20"/>
          <w:lang w:val="es-MX"/>
        </w:rPr>
        <w:t>Gráfica 1</w:t>
      </w:r>
    </w:p>
    <w:p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 xml:space="preserve">a </w:t>
      </w:r>
      <w:r w:rsidR="00FE3FC5">
        <w:rPr>
          <w:rFonts w:ascii="Arial" w:hAnsi="Arial" w:cs="Arial"/>
          <w:b/>
          <w:smallCaps/>
          <w:color w:val="auto"/>
          <w:sz w:val="22"/>
        </w:rPr>
        <w:t>juni</w:t>
      </w:r>
      <w:r w:rsidR="002029DF">
        <w:rPr>
          <w:rFonts w:ascii="Arial" w:hAnsi="Arial" w:cs="Arial"/>
          <w:b/>
          <w:smallCaps/>
          <w:color w:val="auto"/>
          <w:sz w:val="22"/>
        </w:rPr>
        <w:t>o</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201</w:t>
      </w:r>
      <w:r w:rsidR="00387C8E">
        <w:rPr>
          <w:rFonts w:ascii="Arial" w:hAnsi="Arial" w:cs="Arial"/>
          <w:b/>
          <w:smallCaps/>
          <w:color w:val="000000"/>
          <w:sz w:val="22"/>
          <w:szCs w:val="22"/>
          <w:lang w:val="es-MX"/>
        </w:rPr>
        <w:t>9</w:t>
      </w:r>
    </w:p>
    <w:p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1F1169" w:rsidRPr="000B1975" w:rsidRDefault="00B85302"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28708AC7" wp14:editId="44983072">
            <wp:extent cx="4680000" cy="2565164"/>
            <wp:effectExtent l="0" t="0" r="25400" b="26035"/>
            <wp:docPr id="3" name="Gráfic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rsidR="003C2C17" w:rsidRPr="00AA768F" w:rsidRDefault="003C2C17" w:rsidP="003C2C17">
      <w:pPr>
        <w:rPr>
          <w:szCs w:val="16"/>
          <w:lang w:val="es-MX"/>
        </w:rPr>
      </w:pPr>
    </w:p>
    <w:p w:rsidR="006915F9" w:rsidRDefault="003C2C17" w:rsidP="00C36B3D">
      <w:pPr>
        <w:spacing w:before="120"/>
      </w:pPr>
      <w:r w:rsidRPr="003C2C17">
        <w:rPr>
          <w:lang w:val="es-MX"/>
        </w:rPr>
        <w:t>Por grandes grupos de actividades</w:t>
      </w:r>
      <w:r w:rsidRPr="00C36B3D">
        <w:rPr>
          <w:lang w:val="es-MX"/>
        </w:rPr>
        <w:t>,</w:t>
      </w:r>
      <w:r w:rsidR="00224B4A" w:rsidRPr="00224B4A">
        <w:rPr>
          <w:lang w:val="es-MX"/>
        </w:rPr>
        <w:t xml:space="preserve"> </w:t>
      </w:r>
      <w:r w:rsidR="00A65B7D" w:rsidRPr="00A65B7D">
        <w:t xml:space="preserve">las Secundarias aumentaron 1.1%, en tanto que las actividades Primarias disminuyeron (-)1.7 por ciento. Por su parte, las Terciarias no mostraron variación durante junio de </w:t>
      </w:r>
      <w:r w:rsidR="00D60959">
        <w:t>este año</w:t>
      </w:r>
      <w:r w:rsidR="00A65B7D" w:rsidRPr="00A65B7D">
        <w:t xml:space="preserve"> frente al mes precedente.</w:t>
      </w:r>
    </w:p>
    <w:p w:rsidR="00022D8E" w:rsidRDefault="00022D8E" w:rsidP="00C36B3D">
      <w:pPr>
        <w:spacing w:before="120"/>
        <w:rPr>
          <w:color w:val="000000"/>
          <w:sz w:val="20"/>
          <w:lang w:val="es-MX"/>
        </w:rPr>
      </w:pPr>
      <w:r>
        <w:rPr>
          <w:color w:val="000000"/>
          <w:sz w:val="20"/>
          <w:lang w:val="es-MX"/>
        </w:rPr>
        <w:br w:type="page"/>
      </w:r>
    </w:p>
    <w:p w:rsidR="002C2517" w:rsidRPr="002C2517" w:rsidRDefault="002C2517" w:rsidP="00022D8E">
      <w:pPr>
        <w:spacing w:before="120"/>
        <w:ind w:left="3540" w:firstLine="708"/>
        <w:rPr>
          <w:color w:val="000000"/>
          <w:sz w:val="28"/>
          <w:szCs w:val="28"/>
          <w:lang w:val="es-MX"/>
        </w:rPr>
      </w:pPr>
    </w:p>
    <w:p w:rsidR="001F1169" w:rsidRPr="00022D8E" w:rsidRDefault="001F1169" w:rsidP="00022D8E">
      <w:pPr>
        <w:spacing w:before="120"/>
        <w:ind w:left="3540" w:firstLine="708"/>
        <w:rPr>
          <w:szCs w:val="22"/>
        </w:rPr>
      </w:pPr>
      <w:r>
        <w:rPr>
          <w:color w:val="000000"/>
          <w:sz w:val="20"/>
          <w:lang w:val="es-MX"/>
        </w:rPr>
        <w:t>Grá</w:t>
      </w:r>
      <w:r w:rsidRPr="00E07EB7">
        <w:rPr>
          <w:color w:val="000000"/>
          <w:sz w:val="20"/>
          <w:lang w:val="es-MX"/>
        </w:rPr>
        <w:t>fica</w:t>
      </w:r>
      <w:r>
        <w:rPr>
          <w:color w:val="000000"/>
          <w:sz w:val="20"/>
          <w:lang w:val="es-MX"/>
        </w:rPr>
        <w:t xml:space="preserve"> 2</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 xml:space="preserve">a </w:t>
      </w:r>
      <w:r w:rsidR="00FE3FC5">
        <w:rPr>
          <w:b/>
          <w:smallCaps/>
          <w:color w:val="auto"/>
          <w:sz w:val="22"/>
          <w:szCs w:val="22"/>
        </w:rPr>
        <w:t>juni</w:t>
      </w:r>
      <w:r w:rsidR="002029DF">
        <w:rPr>
          <w:b/>
          <w:smallCaps/>
          <w:color w:val="auto"/>
          <w:sz w:val="22"/>
          <w:szCs w:val="22"/>
        </w:rPr>
        <w:t>o</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201</w:t>
      </w:r>
      <w:r w:rsidR="00387C8E">
        <w:rPr>
          <w:b/>
          <w:smallCaps/>
          <w:color w:val="auto"/>
          <w:sz w:val="22"/>
          <w:szCs w:val="22"/>
        </w:rPr>
        <w:t>9</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1F1169" w:rsidRDefault="00B85302" w:rsidP="001F1169">
      <w:pPr>
        <w:pStyle w:val="p0"/>
        <w:spacing w:before="0"/>
        <w:ind w:left="992" w:right="1021"/>
        <w:jc w:val="center"/>
      </w:pPr>
      <w:r>
        <w:rPr>
          <w:noProof/>
          <w:lang w:val="es-MX" w:eastAsia="es-MX"/>
        </w:rPr>
        <w:drawing>
          <wp:inline distT="0" distB="0" distL="0" distR="0" wp14:anchorId="3ACDAA96" wp14:editId="2DB797D3">
            <wp:extent cx="4680000" cy="2563200"/>
            <wp:effectExtent l="0" t="0" r="25400" b="27940"/>
            <wp:docPr id="7" name="Gráfico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rsidR="00525C4D" w:rsidRDefault="00525C4D" w:rsidP="00525C4D">
      <w:pPr>
        <w:ind w:left="2127"/>
        <w:jc w:val="left"/>
        <w:rPr>
          <w:sz w:val="16"/>
        </w:rPr>
      </w:pPr>
    </w:p>
    <w:p w:rsidR="001F1169" w:rsidRDefault="001F1169" w:rsidP="00525C4D">
      <w:pPr>
        <w:ind w:left="2127"/>
        <w:jc w:val="left"/>
        <w:rPr>
          <w:sz w:val="16"/>
        </w:rPr>
      </w:pPr>
    </w:p>
    <w:p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 xml:space="preserve">a </w:t>
      </w:r>
      <w:r w:rsidR="00FE3FC5">
        <w:rPr>
          <w:b/>
          <w:smallCaps/>
          <w:color w:val="auto"/>
          <w:sz w:val="22"/>
          <w:szCs w:val="22"/>
        </w:rPr>
        <w:t>juni</w:t>
      </w:r>
      <w:r w:rsidR="002029DF">
        <w:rPr>
          <w:b/>
          <w:smallCaps/>
          <w:color w:val="auto"/>
          <w:sz w:val="22"/>
          <w:szCs w:val="22"/>
        </w:rPr>
        <w:t>o</w:t>
      </w:r>
      <w:r w:rsidR="00936782">
        <w:rPr>
          <w:b/>
          <w:smallCaps/>
          <w:color w:val="auto"/>
          <w:sz w:val="22"/>
          <w:szCs w:val="22"/>
        </w:rPr>
        <w:t xml:space="preserve"> </w:t>
      </w:r>
      <w:r w:rsidR="00365D38">
        <w:rPr>
          <w:b/>
          <w:smallCaps/>
          <w:color w:val="auto"/>
          <w:sz w:val="22"/>
          <w:szCs w:val="22"/>
        </w:rPr>
        <w:t>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Default="001F1169" w:rsidP="00B90B81">
      <w:pPr>
        <w:pStyle w:val="p0"/>
        <w:spacing w:before="0"/>
        <w:ind w:left="992" w:right="1021"/>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1F1169" w:rsidRDefault="00B85302" w:rsidP="001F1169">
      <w:pPr>
        <w:pStyle w:val="p0"/>
        <w:spacing w:before="0"/>
        <w:ind w:left="992" w:right="1021"/>
        <w:jc w:val="center"/>
      </w:pPr>
      <w:r>
        <w:rPr>
          <w:noProof/>
          <w:lang w:val="es-MX" w:eastAsia="es-MX"/>
        </w:rPr>
        <w:drawing>
          <wp:inline distT="0" distB="0" distL="0" distR="0" wp14:anchorId="17928875" wp14:editId="55A09778">
            <wp:extent cx="4680000" cy="2563200"/>
            <wp:effectExtent l="0" t="0" r="25400" b="27940"/>
            <wp:docPr id="8" name="Gráfico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rsidR="001F1169" w:rsidRDefault="001F1169" w:rsidP="00525C4D">
      <w:pPr>
        <w:pStyle w:val="p0"/>
        <w:spacing w:before="0"/>
        <w:ind w:left="567"/>
        <w:jc w:val="center"/>
        <w:rPr>
          <w:rFonts w:ascii="Arial" w:hAnsi="Arial"/>
          <w:b/>
          <w:smallCaps/>
          <w:color w:val="auto"/>
          <w:sz w:val="22"/>
        </w:rPr>
      </w:pPr>
    </w:p>
    <w:p w:rsidR="002C2517" w:rsidRDefault="002C2517">
      <w:pPr>
        <w:jc w:val="left"/>
        <w:rPr>
          <w:b/>
          <w:smallCaps/>
          <w:snapToGrid w:val="0"/>
          <w:sz w:val="22"/>
        </w:rPr>
      </w:pPr>
      <w:r>
        <w:rPr>
          <w:b/>
          <w:smallCaps/>
          <w:sz w:val="22"/>
        </w:rPr>
        <w:br w:type="page"/>
      </w:r>
    </w:p>
    <w:p w:rsidR="00D20150" w:rsidRPr="002C2517" w:rsidRDefault="00D20150" w:rsidP="00525C4D">
      <w:pPr>
        <w:pStyle w:val="p0"/>
        <w:spacing w:before="0"/>
        <w:ind w:left="567"/>
        <w:jc w:val="center"/>
        <w:rPr>
          <w:rFonts w:ascii="Arial" w:hAnsi="Arial"/>
          <w:b/>
          <w:smallCaps/>
          <w:color w:val="auto"/>
          <w:sz w:val="28"/>
          <w:szCs w:val="28"/>
        </w:rPr>
      </w:pPr>
    </w:p>
    <w:p w:rsidR="001F1169" w:rsidRDefault="001F1169" w:rsidP="00B90B81">
      <w:pPr>
        <w:pStyle w:val="Textoindependiente"/>
        <w:keepNext/>
        <w:keepLines/>
        <w:spacing w:before="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4</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FE3FC5">
        <w:rPr>
          <w:b/>
          <w:smallCaps/>
          <w:color w:val="auto"/>
          <w:sz w:val="22"/>
          <w:szCs w:val="22"/>
        </w:rPr>
        <w:t>juni</w:t>
      </w:r>
      <w:r w:rsidR="002029DF">
        <w:rPr>
          <w:b/>
          <w:smallCaps/>
          <w:color w:val="auto"/>
          <w:sz w:val="22"/>
          <w:szCs w:val="22"/>
        </w:rPr>
        <w:t>o</w:t>
      </w:r>
      <w:r w:rsidR="00365D38">
        <w:rPr>
          <w:b/>
          <w:smallCaps/>
          <w:color w:val="auto"/>
          <w:sz w:val="22"/>
          <w:szCs w:val="22"/>
        </w:rPr>
        <w:t xml:space="preserve"> 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Pr="00191064" w:rsidRDefault="001F1169" w:rsidP="00B90B81">
      <w:pPr>
        <w:pStyle w:val="n0"/>
        <w:keepLines w:val="0"/>
        <w:spacing w:before="0"/>
        <w:ind w:left="0" w:right="0" w:firstLine="0"/>
        <w:jc w:val="center"/>
        <w:rPr>
          <w:b/>
          <w:smallCaps/>
          <w:color w:val="auto"/>
          <w:sz w:val="22"/>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EC70AF" w:rsidRDefault="00B85302" w:rsidP="00EC70AF">
      <w:pPr>
        <w:pStyle w:val="p02"/>
        <w:keepLines w:val="0"/>
        <w:widowControl w:val="0"/>
        <w:spacing w:before="0"/>
        <w:jc w:val="center"/>
        <w:rPr>
          <w:sz w:val="16"/>
          <w:szCs w:val="16"/>
        </w:rPr>
      </w:pPr>
      <w:r>
        <w:rPr>
          <w:noProof/>
          <w:lang w:val="es-MX" w:eastAsia="es-MX"/>
        </w:rPr>
        <w:drawing>
          <wp:inline distT="0" distB="0" distL="0" distR="0" wp14:anchorId="3B860795" wp14:editId="39F6AEB1">
            <wp:extent cx="4680000" cy="2562565"/>
            <wp:effectExtent l="0" t="0" r="25400" b="9525"/>
            <wp:docPr id="11" name="Gráfico 1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rsidR="001F1169" w:rsidRPr="001A449E" w:rsidRDefault="001F1169" w:rsidP="00127CE3">
      <w:pPr>
        <w:spacing w:before="120"/>
        <w:rPr>
          <w:b/>
          <w:i/>
          <w:lang w:val="es-MX"/>
        </w:rPr>
      </w:pPr>
      <w:r>
        <w:rPr>
          <w:b/>
          <w:i/>
          <w:lang w:val="es-MX"/>
        </w:rPr>
        <w:t>Cifras</w:t>
      </w:r>
      <w:r w:rsidRPr="001A449E">
        <w:rPr>
          <w:b/>
          <w:i/>
          <w:lang w:val="es-MX"/>
        </w:rPr>
        <w:t xml:space="preserve"> Originales</w:t>
      </w:r>
    </w:p>
    <w:p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FE3FC5">
        <w:rPr>
          <w:rFonts w:ascii="Arial" w:hAnsi="Arial" w:cs="Arial"/>
          <w:b/>
          <w:smallCaps/>
          <w:color w:val="auto"/>
          <w:sz w:val="22"/>
          <w:szCs w:val="22"/>
        </w:rPr>
        <w:t>juni</w:t>
      </w:r>
      <w:r w:rsidR="002029DF">
        <w:rPr>
          <w:rFonts w:ascii="Arial" w:hAnsi="Arial" w:cs="Arial"/>
          <w:b/>
          <w:smallCaps/>
          <w:color w:val="auto"/>
          <w:sz w:val="22"/>
          <w:szCs w:val="22"/>
        </w:rPr>
        <w:t>o</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201</w:t>
      </w:r>
      <w:r w:rsidR="00387C8E">
        <w:rPr>
          <w:rFonts w:ascii="Arial" w:hAnsi="Arial" w:cs="Arial"/>
          <w:b/>
          <w:smallCaps/>
          <w:color w:val="auto"/>
          <w:sz w:val="22"/>
          <w:szCs w:val="22"/>
        </w:rPr>
        <w:t>9</w:t>
      </w:r>
    </w:p>
    <w:p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rsidR="001F1169" w:rsidRDefault="005E73EC" w:rsidP="001F1169">
      <w:pPr>
        <w:pStyle w:val="p0"/>
        <w:spacing w:before="0"/>
        <w:jc w:val="center"/>
      </w:pPr>
      <w:r>
        <w:rPr>
          <w:noProof/>
          <w:lang w:val="es-MX" w:eastAsia="es-MX"/>
        </w:rPr>
        <w:drawing>
          <wp:inline distT="0" distB="0" distL="0" distR="0" wp14:anchorId="25B4E982" wp14:editId="16EEBF3C">
            <wp:extent cx="4644000" cy="2376000"/>
            <wp:effectExtent l="0" t="0" r="23495" b="2476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rsidR="001F1169" w:rsidRPr="00D128F7" w:rsidRDefault="00F91052" w:rsidP="00E71D9F">
      <w:pPr>
        <w:tabs>
          <w:tab w:val="num" w:pos="1843"/>
          <w:tab w:val="left" w:pos="7939"/>
        </w:tabs>
        <w:spacing w:before="120"/>
        <w:ind w:right="51"/>
        <w:rPr>
          <w:b/>
          <w:bCs/>
          <w:iCs/>
          <w:smallCaps/>
        </w:rPr>
      </w:pPr>
      <w:r w:rsidRPr="00D128F7">
        <w:rPr>
          <w:b/>
          <w:bCs/>
          <w:iCs/>
          <w:smallCaps/>
        </w:rPr>
        <w:lastRenderedPageBreak/>
        <w:t>Nota metodológica</w:t>
      </w:r>
    </w:p>
    <w:p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w:t>
      </w:r>
      <w:proofErr w:type="spellEnd"/>
      <w:r w:rsidRPr="00DE1840">
        <w:rPr>
          <w:rFonts w:ascii="Arial" w:hAnsi="Arial"/>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rsidR="00406A35" w:rsidRPr="00DE1840" w:rsidRDefault="00101234" w:rsidP="00CD47B8">
      <w:pPr>
        <w:widowControl w:val="0"/>
        <w:spacing w:before="120"/>
        <w:rPr>
          <w:color w:val="1F497D"/>
          <w:sz w:val="22"/>
          <w:szCs w:val="20"/>
          <w:lang w:val="es-MX" w:eastAsia="en-US"/>
        </w:rPr>
      </w:pPr>
      <w:hyperlink r:id="rId31" w:history="1">
        <w:r w:rsidR="00A74BF9" w:rsidRPr="00DD63A0">
          <w:rPr>
            <w:rStyle w:val="Hipervnculo"/>
            <w:szCs w:val="20"/>
            <w:lang w:val="es-MX" w:eastAsia="en-US"/>
          </w:rPr>
          <w:t>http://www.inegi.org.mx/app/biblioteca/ficha.html?upc=702825099060</w:t>
        </w:r>
      </w:hyperlink>
    </w:p>
    <w:p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rsidR="0067385F" w:rsidRPr="00DE1840" w:rsidRDefault="0067385F" w:rsidP="00CD47B8">
      <w:pPr>
        <w:pStyle w:val="Textoindependiente"/>
        <w:spacing w:before="120"/>
        <w:ind w:right="51"/>
        <w:rPr>
          <w:color w:val="auto"/>
          <w:lang w:val="es-MX"/>
        </w:rPr>
      </w:pPr>
      <w:r w:rsidRPr="00DE1840">
        <w:rPr>
          <w:color w:val="auto"/>
        </w:rPr>
        <w:lastRenderedPageBreak/>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Pr="00DE1840">
        <w:rPr>
          <w:color w:val="auto"/>
        </w:rPr>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rsidR="00593F5A" w:rsidRPr="001F1169" w:rsidRDefault="00101234" w:rsidP="007300E1">
      <w:pPr>
        <w:pStyle w:val="texto0"/>
        <w:rPr>
          <w:color w:val="auto"/>
        </w:rPr>
      </w:pPr>
      <w:hyperlink r:id="rId34" w:history="1">
        <w:r w:rsidR="00E60138" w:rsidRPr="00260B48">
          <w:rPr>
            <w:rFonts w:cs="Arial"/>
            <w:color w:val="0000FF"/>
            <w:u w:val="single"/>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87" w:rsidRDefault="00353987">
      <w:r>
        <w:separator/>
      </w:r>
    </w:p>
  </w:endnote>
  <w:endnote w:type="continuationSeparator" w:id="0">
    <w:p w:rsidR="00353987" w:rsidRDefault="0035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34" w:rsidRDefault="0010123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F30" w:rsidRPr="00B824C9" w:rsidRDefault="00444F30"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34" w:rsidRDefault="0010123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87" w:rsidRDefault="00353987">
      <w:r>
        <w:separator/>
      </w:r>
    </w:p>
  </w:footnote>
  <w:footnote w:type="continuationSeparator" w:id="0">
    <w:p w:rsidR="00353987" w:rsidRDefault="00353987">
      <w:r>
        <w:continuationSeparator/>
      </w:r>
    </w:p>
  </w:footnote>
  <w:footnote w:id="1">
    <w:p w:rsidR="00444F30" w:rsidRPr="00C07AE5" w:rsidRDefault="00444F30" w:rsidP="00444F30">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rsidR="00444F30" w:rsidRDefault="00444F30" w:rsidP="00444F30">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rsidR="00444F30" w:rsidRPr="00C07AE5" w:rsidRDefault="00444F30" w:rsidP="00444F30">
      <w:pPr>
        <w:pStyle w:val="Textonotapie"/>
        <w:ind w:left="142" w:hanging="142"/>
        <w:rPr>
          <w:sz w:val="16"/>
          <w:szCs w:val="16"/>
        </w:rPr>
      </w:pPr>
    </w:p>
  </w:footnote>
  <w:footnote w:id="3">
    <w:p w:rsidR="00444F30" w:rsidRDefault="00444F30" w:rsidP="00444F3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rsidR="00444F30" w:rsidRPr="00C07AE5" w:rsidRDefault="00444F30" w:rsidP="00444F30">
      <w:pPr>
        <w:pStyle w:val="Textonotapie"/>
        <w:ind w:left="142" w:hanging="142"/>
        <w:rPr>
          <w:sz w:val="16"/>
          <w:szCs w:val="16"/>
        </w:rPr>
      </w:pPr>
    </w:p>
  </w:footnote>
  <w:footnote w:id="4">
    <w:p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34" w:rsidRDefault="0010123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F30" w:rsidRPr="00265B8C" w:rsidRDefault="00444F30" w:rsidP="00101234">
    <w:pPr>
      <w:pStyle w:val="Encabezado"/>
      <w:framePr w:w="5379" w:hSpace="141" w:wrap="auto" w:vAnchor="text" w:hAnchor="page" w:x="5720" w:y="42"/>
      <w:ind w:left="567" w:hanging="11"/>
      <w:jc w:val="right"/>
      <w:rPr>
        <w:b/>
        <w:color w:val="002060"/>
      </w:rPr>
    </w:pPr>
    <w:bookmarkStart w:id="0" w:name="_GoBack"/>
    <w:r w:rsidRPr="00265B8C">
      <w:rPr>
        <w:b/>
        <w:color w:val="002060"/>
      </w:rPr>
      <w:t xml:space="preserve">COMUNICADO DE PRENSA NÚM. </w:t>
    </w:r>
    <w:r w:rsidR="00101234">
      <w:rPr>
        <w:b/>
        <w:color w:val="002060"/>
      </w:rPr>
      <w:t>437</w:t>
    </w:r>
    <w:r w:rsidRPr="00265B8C">
      <w:rPr>
        <w:b/>
        <w:color w:val="002060"/>
      </w:rPr>
      <w:t>/1</w:t>
    </w:r>
    <w:r>
      <w:rPr>
        <w:b/>
        <w:color w:val="002060"/>
      </w:rPr>
      <w:t>9</w:t>
    </w:r>
  </w:p>
  <w:p w:rsidR="00444F30" w:rsidRPr="00265B8C" w:rsidRDefault="00444F30" w:rsidP="00101234">
    <w:pPr>
      <w:pStyle w:val="Encabezado"/>
      <w:framePr w:w="5379" w:hSpace="141" w:wrap="auto" w:vAnchor="text" w:hAnchor="page" w:x="5720" w:y="42"/>
      <w:ind w:left="567" w:hanging="11"/>
      <w:jc w:val="right"/>
      <w:rPr>
        <w:b/>
        <w:color w:val="002060"/>
        <w:lang w:val="pt-BR"/>
      </w:rPr>
    </w:pPr>
    <w:r>
      <w:rPr>
        <w:b/>
        <w:color w:val="002060"/>
        <w:lang w:val="pt-BR"/>
      </w:rPr>
      <w:t xml:space="preserve">23 DE AGOSTO </w:t>
    </w:r>
    <w:r w:rsidRPr="00265B8C">
      <w:rPr>
        <w:b/>
        <w:color w:val="002060"/>
        <w:lang w:val="pt-BR"/>
      </w:rPr>
      <w:t>DE 201</w:t>
    </w:r>
    <w:r>
      <w:rPr>
        <w:b/>
        <w:color w:val="002060"/>
        <w:lang w:val="pt-BR"/>
      </w:rPr>
      <w:t>9</w:t>
    </w:r>
  </w:p>
  <w:p w:rsidR="00444F30" w:rsidRPr="00265B8C" w:rsidRDefault="00444F30" w:rsidP="00101234">
    <w:pPr>
      <w:pStyle w:val="Encabezado"/>
      <w:framePr w:w="5379" w:hSpace="141" w:wrap="auto" w:vAnchor="text" w:hAnchor="page" w:x="5720"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101234">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0"/>
  <w:p w:rsidR="00444F30" w:rsidRDefault="00444F30" w:rsidP="004C150C">
    <w:pPr>
      <w:pStyle w:val="Encabezado"/>
      <w:ind w:left="-993"/>
    </w:pPr>
    <w:r>
      <w:rPr>
        <w:noProof/>
        <w:lang w:val="es-MX" w:eastAsia="es-MX"/>
      </w:rPr>
      <w:drawing>
        <wp:inline distT="0" distB="0" distL="0" distR="0" wp14:anchorId="2A885E64" wp14:editId="4C99EE15">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34" w:rsidRDefault="00101234">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E463F2" w:rsidP="00444F30">
    <w:pPr>
      <w:pStyle w:val="Encabezado"/>
      <w:jc w:val="center"/>
      <w:rPr>
        <w:noProof/>
        <w:lang w:val="es-MX" w:eastAsia="es-MX"/>
      </w:rPr>
    </w:pPr>
    <w:r>
      <w:rPr>
        <w:noProof/>
        <w:lang w:val="es-MX" w:eastAsia="es-MX"/>
      </w:rPr>
      <w:drawing>
        <wp:inline distT="0" distB="0" distL="0" distR="0">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228A"/>
    <w:rsid w:val="00063614"/>
    <w:rsid w:val="00063838"/>
    <w:rsid w:val="00063D4B"/>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EC"/>
    <w:rsid w:val="00101234"/>
    <w:rsid w:val="001017C1"/>
    <w:rsid w:val="00101A87"/>
    <w:rsid w:val="00101E92"/>
    <w:rsid w:val="00101F40"/>
    <w:rsid w:val="00102206"/>
    <w:rsid w:val="00102729"/>
    <w:rsid w:val="00102B59"/>
    <w:rsid w:val="00103847"/>
    <w:rsid w:val="00103913"/>
    <w:rsid w:val="00105234"/>
    <w:rsid w:val="00105E2B"/>
    <w:rsid w:val="0010619C"/>
    <w:rsid w:val="0010664D"/>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7EC"/>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C0144"/>
    <w:rsid w:val="002C0CAC"/>
    <w:rsid w:val="002C1F28"/>
    <w:rsid w:val="002C2517"/>
    <w:rsid w:val="002C254B"/>
    <w:rsid w:val="002C25DE"/>
    <w:rsid w:val="002C27E8"/>
    <w:rsid w:val="002C2ACB"/>
    <w:rsid w:val="002C2F60"/>
    <w:rsid w:val="002C414C"/>
    <w:rsid w:val="002C41CB"/>
    <w:rsid w:val="002C4201"/>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BA0"/>
    <w:rsid w:val="002E2C3B"/>
    <w:rsid w:val="002E3C37"/>
    <w:rsid w:val="002E4BA7"/>
    <w:rsid w:val="002E4D3D"/>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DA5"/>
    <w:rsid w:val="003201D0"/>
    <w:rsid w:val="003205E0"/>
    <w:rsid w:val="00321386"/>
    <w:rsid w:val="00321788"/>
    <w:rsid w:val="00321848"/>
    <w:rsid w:val="00321CB3"/>
    <w:rsid w:val="00322341"/>
    <w:rsid w:val="00322D22"/>
    <w:rsid w:val="0032345B"/>
    <w:rsid w:val="003235F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4F4"/>
    <w:rsid w:val="00352775"/>
    <w:rsid w:val="00352F14"/>
    <w:rsid w:val="003530B3"/>
    <w:rsid w:val="00353987"/>
    <w:rsid w:val="0035546F"/>
    <w:rsid w:val="003554BD"/>
    <w:rsid w:val="003554CE"/>
    <w:rsid w:val="00356392"/>
    <w:rsid w:val="00356586"/>
    <w:rsid w:val="00356792"/>
    <w:rsid w:val="003571E2"/>
    <w:rsid w:val="00360A82"/>
    <w:rsid w:val="00361062"/>
    <w:rsid w:val="003610F5"/>
    <w:rsid w:val="003616F4"/>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F30"/>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A1"/>
    <w:rsid w:val="0047430D"/>
    <w:rsid w:val="00474FDF"/>
    <w:rsid w:val="004750E3"/>
    <w:rsid w:val="00475688"/>
    <w:rsid w:val="004758F6"/>
    <w:rsid w:val="004759E3"/>
    <w:rsid w:val="00475C51"/>
    <w:rsid w:val="00476161"/>
    <w:rsid w:val="0047664F"/>
    <w:rsid w:val="00476658"/>
    <w:rsid w:val="00476E34"/>
    <w:rsid w:val="00476EE1"/>
    <w:rsid w:val="00477163"/>
    <w:rsid w:val="00477B0E"/>
    <w:rsid w:val="00477DA0"/>
    <w:rsid w:val="00481688"/>
    <w:rsid w:val="004820E0"/>
    <w:rsid w:val="004822CA"/>
    <w:rsid w:val="00482E54"/>
    <w:rsid w:val="00483F95"/>
    <w:rsid w:val="004842A2"/>
    <w:rsid w:val="00484D20"/>
    <w:rsid w:val="004850C1"/>
    <w:rsid w:val="00485565"/>
    <w:rsid w:val="00486F54"/>
    <w:rsid w:val="004871B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6B4B"/>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E00"/>
    <w:rsid w:val="0052439F"/>
    <w:rsid w:val="005243EB"/>
    <w:rsid w:val="00524FC0"/>
    <w:rsid w:val="00525789"/>
    <w:rsid w:val="00525890"/>
    <w:rsid w:val="00525C4D"/>
    <w:rsid w:val="005260BC"/>
    <w:rsid w:val="00526452"/>
    <w:rsid w:val="00526816"/>
    <w:rsid w:val="00526AE3"/>
    <w:rsid w:val="00526F09"/>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DD0"/>
    <w:rsid w:val="00575051"/>
    <w:rsid w:val="005758E3"/>
    <w:rsid w:val="00576D35"/>
    <w:rsid w:val="005777C8"/>
    <w:rsid w:val="00577AD5"/>
    <w:rsid w:val="00577F23"/>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2A1"/>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57F2"/>
    <w:rsid w:val="00635AEB"/>
    <w:rsid w:val="00636EF8"/>
    <w:rsid w:val="00636FEF"/>
    <w:rsid w:val="0063715F"/>
    <w:rsid w:val="006377DB"/>
    <w:rsid w:val="00637E6F"/>
    <w:rsid w:val="006405A2"/>
    <w:rsid w:val="00640699"/>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B"/>
    <w:rsid w:val="007A61E4"/>
    <w:rsid w:val="007A704A"/>
    <w:rsid w:val="007A7242"/>
    <w:rsid w:val="007B12B0"/>
    <w:rsid w:val="007B1392"/>
    <w:rsid w:val="007B1785"/>
    <w:rsid w:val="007B215A"/>
    <w:rsid w:val="007B22DC"/>
    <w:rsid w:val="007B24F0"/>
    <w:rsid w:val="007B2E1A"/>
    <w:rsid w:val="007B34DC"/>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E43"/>
    <w:rsid w:val="00807F69"/>
    <w:rsid w:val="00810368"/>
    <w:rsid w:val="008108B5"/>
    <w:rsid w:val="00810BE7"/>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1E4"/>
    <w:rsid w:val="008D6A6E"/>
    <w:rsid w:val="008D74D3"/>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453D"/>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776E"/>
    <w:rsid w:val="00A00F42"/>
    <w:rsid w:val="00A01519"/>
    <w:rsid w:val="00A0195A"/>
    <w:rsid w:val="00A02D3C"/>
    <w:rsid w:val="00A032EA"/>
    <w:rsid w:val="00A0408F"/>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D9E"/>
    <w:rsid w:val="00B372C8"/>
    <w:rsid w:val="00B37311"/>
    <w:rsid w:val="00B373FB"/>
    <w:rsid w:val="00B37975"/>
    <w:rsid w:val="00B37D5F"/>
    <w:rsid w:val="00B400A4"/>
    <w:rsid w:val="00B4106F"/>
    <w:rsid w:val="00B41BE7"/>
    <w:rsid w:val="00B424F7"/>
    <w:rsid w:val="00B42568"/>
    <w:rsid w:val="00B4316E"/>
    <w:rsid w:val="00B4339F"/>
    <w:rsid w:val="00B4381B"/>
    <w:rsid w:val="00B4383C"/>
    <w:rsid w:val="00B4403D"/>
    <w:rsid w:val="00B44D7B"/>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696"/>
    <w:rsid w:val="00C006F6"/>
    <w:rsid w:val="00C00838"/>
    <w:rsid w:val="00C008C4"/>
    <w:rsid w:val="00C008C6"/>
    <w:rsid w:val="00C00BE6"/>
    <w:rsid w:val="00C00F80"/>
    <w:rsid w:val="00C01250"/>
    <w:rsid w:val="00C01619"/>
    <w:rsid w:val="00C03041"/>
    <w:rsid w:val="00C03815"/>
    <w:rsid w:val="00C041F4"/>
    <w:rsid w:val="00C04248"/>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BCD"/>
    <w:rsid w:val="00C66E74"/>
    <w:rsid w:val="00C67029"/>
    <w:rsid w:val="00C67A4B"/>
    <w:rsid w:val="00C70B38"/>
    <w:rsid w:val="00C70B43"/>
    <w:rsid w:val="00C71A56"/>
    <w:rsid w:val="00C724BD"/>
    <w:rsid w:val="00C730CC"/>
    <w:rsid w:val="00C7532A"/>
    <w:rsid w:val="00C75721"/>
    <w:rsid w:val="00C760A6"/>
    <w:rsid w:val="00C762B7"/>
    <w:rsid w:val="00C76825"/>
    <w:rsid w:val="00C77C4B"/>
    <w:rsid w:val="00C77D50"/>
    <w:rsid w:val="00C80DC6"/>
    <w:rsid w:val="00C815E4"/>
    <w:rsid w:val="00C817F9"/>
    <w:rsid w:val="00C81C15"/>
    <w:rsid w:val="00C82276"/>
    <w:rsid w:val="00C8290C"/>
    <w:rsid w:val="00C84D89"/>
    <w:rsid w:val="00C8512B"/>
    <w:rsid w:val="00C858C8"/>
    <w:rsid w:val="00C85A79"/>
    <w:rsid w:val="00C86242"/>
    <w:rsid w:val="00C86D64"/>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DD5"/>
    <w:rsid w:val="00E3751A"/>
    <w:rsid w:val="00E377A6"/>
    <w:rsid w:val="00E4005E"/>
    <w:rsid w:val="00E40A1E"/>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812"/>
    <w:rsid w:val="00E61A51"/>
    <w:rsid w:val="00E62CF0"/>
    <w:rsid w:val="00E62E5D"/>
    <w:rsid w:val="00E64F58"/>
    <w:rsid w:val="00E65073"/>
    <w:rsid w:val="00E65E8C"/>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940"/>
    <w:rsid w:val="00EE6A20"/>
    <w:rsid w:val="00EE7503"/>
    <w:rsid w:val="00EE7636"/>
    <w:rsid w:val="00EE7F14"/>
    <w:rsid w:val="00EE7F43"/>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818AB"/>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PiedepginaCar">
    <w:name w:val="Pie de página Car"/>
    <w:basedOn w:val="Fuentedeprrafopredeter"/>
    <w:link w:val="Piedepgina"/>
    <w:uiPriority w:val="99"/>
    <w:rsid w:val="00444F3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ACTIVIDAD%20ECONOMICA%20IGAE\Notas\Boletin\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Datos!$C$67:$C$132</c:f>
              <c:numCache>
                <c:formatCode>0.0</c:formatCode>
                <c:ptCount val="66"/>
                <c:pt idx="0">
                  <c:v>100.213726994458</c:v>
                </c:pt>
                <c:pt idx="1">
                  <c:v>101.50777273709301</c:v>
                </c:pt>
                <c:pt idx="2">
                  <c:v>101.362250194859</c:v>
                </c:pt>
                <c:pt idx="3">
                  <c:v>102.317909196804</c:v>
                </c:pt>
                <c:pt idx="4">
                  <c:v>102.89995041992999</c:v>
                </c:pt>
                <c:pt idx="5">
                  <c:v>102.49729750533101</c:v>
                </c:pt>
                <c:pt idx="6">
                  <c:v>102.89863230428899</c:v>
                </c:pt>
                <c:pt idx="7">
                  <c:v>102.713706458678</c:v>
                </c:pt>
                <c:pt idx="8">
                  <c:v>102.775699250283</c:v>
                </c:pt>
                <c:pt idx="9">
                  <c:v>103.88271585441299</c:v>
                </c:pt>
                <c:pt idx="10">
                  <c:v>103.861794408078</c:v>
                </c:pt>
                <c:pt idx="11">
                  <c:v>103.99956354711</c:v>
                </c:pt>
                <c:pt idx="12">
                  <c:v>104.12379351174999</c:v>
                </c:pt>
                <c:pt idx="13">
                  <c:v>104.465189941528</c:v>
                </c:pt>
                <c:pt idx="14">
                  <c:v>104.413334204227</c:v>
                </c:pt>
                <c:pt idx="15">
                  <c:v>106.10632876648999</c:v>
                </c:pt>
                <c:pt idx="16">
                  <c:v>105.176725938597</c:v>
                </c:pt>
                <c:pt idx="17">
                  <c:v>105.373884448249</c:v>
                </c:pt>
                <c:pt idx="18">
                  <c:v>106.37100522267799</c:v>
                </c:pt>
                <c:pt idx="19">
                  <c:v>106.56504693995301</c:v>
                </c:pt>
                <c:pt idx="20">
                  <c:v>107.701258089989</c:v>
                </c:pt>
                <c:pt idx="21">
                  <c:v>106.758353453151</c:v>
                </c:pt>
                <c:pt idx="22">
                  <c:v>105.94770299005999</c:v>
                </c:pt>
                <c:pt idx="23">
                  <c:v>106.59515696577201</c:v>
                </c:pt>
                <c:pt idx="24">
                  <c:v>107.19260782185501</c:v>
                </c:pt>
                <c:pt idx="25">
                  <c:v>108.01259678010599</c:v>
                </c:pt>
                <c:pt idx="26">
                  <c:v>107.504411883975</c:v>
                </c:pt>
                <c:pt idx="27">
                  <c:v>107.512074767775</c:v>
                </c:pt>
                <c:pt idx="28">
                  <c:v>107.824340510691</c:v>
                </c:pt>
                <c:pt idx="29">
                  <c:v>108.535941611567</c:v>
                </c:pt>
                <c:pt idx="30">
                  <c:v>108.514464511074</c:v>
                </c:pt>
                <c:pt idx="31">
                  <c:v>108.55989660860899</c:v>
                </c:pt>
                <c:pt idx="32">
                  <c:v>109.37276029445</c:v>
                </c:pt>
                <c:pt idx="33">
                  <c:v>109.73585452097301</c:v>
                </c:pt>
                <c:pt idx="34">
                  <c:v>109.582758814453</c:v>
                </c:pt>
                <c:pt idx="35">
                  <c:v>110.558498613023</c:v>
                </c:pt>
                <c:pt idx="36">
                  <c:v>110.73941959192901</c:v>
                </c:pt>
                <c:pt idx="37">
                  <c:v>110.09072854131701</c:v>
                </c:pt>
                <c:pt idx="38">
                  <c:v>110.58734117382799</c:v>
                </c:pt>
                <c:pt idx="39">
                  <c:v>110.952090562679</c:v>
                </c:pt>
                <c:pt idx="40">
                  <c:v>110.59174168462199</c:v>
                </c:pt>
                <c:pt idx="41">
                  <c:v>111.097342726637</c:v>
                </c:pt>
                <c:pt idx="42">
                  <c:v>110.178104927397</c:v>
                </c:pt>
                <c:pt idx="43">
                  <c:v>111.247040439437</c:v>
                </c:pt>
                <c:pt idx="44">
                  <c:v>110.22416586378699</c:v>
                </c:pt>
                <c:pt idx="45">
                  <c:v>110.88505264244399</c:v>
                </c:pt>
                <c:pt idx="46">
                  <c:v>111.531462799455</c:v>
                </c:pt>
                <c:pt idx="47">
                  <c:v>112.722101283762</c:v>
                </c:pt>
                <c:pt idx="48">
                  <c:v>111.833636106946</c:v>
                </c:pt>
                <c:pt idx="49">
                  <c:v>112.348829215029</c:v>
                </c:pt>
                <c:pt idx="50">
                  <c:v>113.32122275794499</c:v>
                </c:pt>
                <c:pt idx="51">
                  <c:v>112.577932424944</c:v>
                </c:pt>
                <c:pt idx="52">
                  <c:v>113.080587358522</c:v>
                </c:pt>
                <c:pt idx="53">
                  <c:v>112.871909353772</c:v>
                </c:pt>
                <c:pt idx="54">
                  <c:v>113.311576958713</c:v>
                </c:pt>
                <c:pt idx="55">
                  <c:v>113.275501709229</c:v>
                </c:pt>
                <c:pt idx="56">
                  <c:v>113.600994946192</c:v>
                </c:pt>
                <c:pt idx="57">
                  <c:v>113.080273585566</c:v>
                </c:pt>
                <c:pt idx="58">
                  <c:v>113.38903941404099</c:v>
                </c:pt>
                <c:pt idx="59">
                  <c:v>112.919768485901</c:v>
                </c:pt>
                <c:pt idx="60">
                  <c:v>113.068981010868</c:v>
                </c:pt>
                <c:pt idx="61">
                  <c:v>113.27855510444699</c:v>
                </c:pt>
                <c:pt idx="62">
                  <c:v>112.70777487385899</c:v>
                </c:pt>
                <c:pt idx="63">
                  <c:v>112.82101626166499</c:v>
                </c:pt>
                <c:pt idx="64">
                  <c:v>112.818530083628</c:v>
                </c:pt>
                <c:pt idx="65">
                  <c:v>113.077625333615</c:v>
                </c:pt>
              </c:numCache>
            </c:numRef>
          </c:val>
          <c:extLst>
            <c:ext xmlns:c16="http://schemas.microsoft.com/office/drawing/2014/chart" uri="{C3380CC4-5D6E-409C-BE32-E72D297353CC}">
              <c16:uniqueId val="{00000000-EF3A-4826-98AB-2E5999FDED31}"/>
            </c:ext>
          </c:extLst>
        </c:ser>
        <c:dLbls>
          <c:showLegendKey val="0"/>
          <c:showVal val="1"/>
          <c:showCatName val="0"/>
          <c:showSerName val="0"/>
          <c:showPercent val="0"/>
          <c:showBubbleSize val="0"/>
        </c:dLbls>
        <c:gapWidth val="50"/>
        <c:axId val="137452344"/>
        <c:axId val="137453520"/>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Datos!$D$67:$D$132</c:f>
              <c:numCache>
                <c:formatCode>0.0</c:formatCode>
                <c:ptCount val="66"/>
                <c:pt idx="0">
                  <c:v>101.12913868522</c:v>
                </c:pt>
                <c:pt idx="1">
                  <c:v>101.423158690421</c:v>
                </c:pt>
                <c:pt idx="2">
                  <c:v>101.772477032914</c:v>
                </c:pt>
                <c:pt idx="3">
                  <c:v>102.102149559311</c:v>
                </c:pt>
                <c:pt idx="4">
                  <c:v>102.376005146145</c:v>
                </c:pt>
                <c:pt idx="5">
                  <c:v>102.595891297113</c:v>
                </c:pt>
                <c:pt idx="6">
                  <c:v>102.790892498818</c:v>
                </c:pt>
                <c:pt idx="7">
                  <c:v>102.987142522244</c:v>
                </c:pt>
                <c:pt idx="8">
                  <c:v>103.217287813578</c:v>
                </c:pt>
                <c:pt idx="9">
                  <c:v>103.477370856528</c:v>
                </c:pt>
                <c:pt idx="10">
                  <c:v>103.751442621563</c:v>
                </c:pt>
                <c:pt idx="11">
                  <c:v>103.999768069608</c:v>
                </c:pt>
                <c:pt idx="12">
                  <c:v>104.199430762044</c:v>
                </c:pt>
                <c:pt idx="13">
                  <c:v>104.380729990368</c:v>
                </c:pt>
                <c:pt idx="14">
                  <c:v>104.59109995799299</c:v>
                </c:pt>
                <c:pt idx="15">
                  <c:v>104.885872006673</c:v>
                </c:pt>
                <c:pt idx="16">
                  <c:v>105.266214620613</c:v>
                </c:pt>
                <c:pt idx="17">
                  <c:v>105.688442834049</c:v>
                </c:pt>
                <c:pt idx="18">
                  <c:v>106.09247928743901</c:v>
                </c:pt>
                <c:pt idx="19">
                  <c:v>106.415968021822</c:v>
                </c:pt>
                <c:pt idx="20">
                  <c:v>106.63896127190699</c:v>
                </c:pt>
                <c:pt idx="21">
                  <c:v>106.781814848761</c:v>
                </c:pt>
                <c:pt idx="22">
                  <c:v>106.887016121062</c:v>
                </c:pt>
                <c:pt idx="23">
                  <c:v>106.98147297338799</c:v>
                </c:pt>
                <c:pt idx="24">
                  <c:v>107.108795013549</c:v>
                </c:pt>
                <c:pt idx="25">
                  <c:v>107.29168412754601</c:v>
                </c:pt>
                <c:pt idx="26">
                  <c:v>107.500252222481</c:v>
                </c:pt>
                <c:pt idx="27">
                  <c:v>107.72024748294901</c:v>
                </c:pt>
                <c:pt idx="28">
                  <c:v>107.96192411263</c:v>
                </c:pt>
                <c:pt idx="29">
                  <c:v>108.225400307222</c:v>
                </c:pt>
                <c:pt idx="30">
                  <c:v>108.519587373327</c:v>
                </c:pt>
                <c:pt idx="31">
                  <c:v>108.871010597187</c:v>
                </c:pt>
                <c:pt idx="32">
                  <c:v>109.248169436712</c:v>
                </c:pt>
                <c:pt idx="33">
                  <c:v>109.607919394303</c:v>
                </c:pt>
                <c:pt idx="34">
                  <c:v>109.936000353355</c:v>
                </c:pt>
                <c:pt idx="35">
                  <c:v>110.206959481749</c:v>
                </c:pt>
                <c:pt idx="36">
                  <c:v>110.420231654425</c:v>
                </c:pt>
                <c:pt idx="37">
                  <c:v>110.554420348066</c:v>
                </c:pt>
                <c:pt idx="38">
                  <c:v>110.640162802365</c:v>
                </c:pt>
                <c:pt idx="39">
                  <c:v>110.701043758851</c:v>
                </c:pt>
                <c:pt idx="40">
                  <c:v>110.730558736072</c:v>
                </c:pt>
                <c:pt idx="41">
                  <c:v>110.743703585983</c:v>
                </c:pt>
                <c:pt idx="42">
                  <c:v>110.771687714473</c:v>
                </c:pt>
                <c:pt idx="43">
                  <c:v>110.821195315423</c:v>
                </c:pt>
                <c:pt idx="44">
                  <c:v>110.91860100954899</c:v>
                </c:pt>
                <c:pt idx="45">
                  <c:v>111.111037625664</c:v>
                </c:pt>
                <c:pt idx="46">
                  <c:v>111.381160963692</c:v>
                </c:pt>
                <c:pt idx="47">
                  <c:v>111.703588792872</c:v>
                </c:pt>
                <c:pt idx="48">
                  <c:v>112.03907083412</c:v>
                </c:pt>
                <c:pt idx="49">
                  <c:v>112.34465447440201</c:v>
                </c:pt>
                <c:pt idx="50">
                  <c:v>112.60304646293</c:v>
                </c:pt>
                <c:pt idx="51">
                  <c:v>112.804779091904</c:v>
                </c:pt>
                <c:pt idx="52">
                  <c:v>112.97194570475099</c:v>
                </c:pt>
                <c:pt idx="53">
                  <c:v>113.116172973988</c:v>
                </c:pt>
                <c:pt idx="54">
                  <c:v>113.226056599949</c:v>
                </c:pt>
                <c:pt idx="55">
                  <c:v>113.29124018752201</c:v>
                </c:pt>
                <c:pt idx="56">
                  <c:v>113.320131811797</c:v>
                </c:pt>
                <c:pt idx="57">
                  <c:v>113.302696025567</c:v>
                </c:pt>
                <c:pt idx="58">
                  <c:v>113.238920517191</c:v>
                </c:pt>
                <c:pt idx="59">
                  <c:v>113.149359312065</c:v>
                </c:pt>
                <c:pt idx="60">
                  <c:v>113.042623218844</c:v>
                </c:pt>
                <c:pt idx="61">
                  <c:v>112.95122202905</c:v>
                </c:pt>
                <c:pt idx="62">
                  <c:v>112.89834597961899</c:v>
                </c:pt>
                <c:pt idx="63">
                  <c:v>112.898898367972</c:v>
                </c:pt>
                <c:pt idx="64">
                  <c:v>112.959662803735</c:v>
                </c:pt>
                <c:pt idx="65">
                  <c:v>113.080738679622</c:v>
                </c:pt>
              </c:numCache>
            </c:numRef>
          </c:val>
          <c:smooth val="0"/>
          <c:extLst>
            <c:ext xmlns:c16="http://schemas.microsoft.com/office/drawing/2014/chart" uri="{C3380CC4-5D6E-409C-BE32-E72D297353CC}">
              <c16:uniqueId val="{00000001-EF3A-4826-98AB-2E5999FDED31}"/>
            </c:ext>
          </c:extLst>
        </c:ser>
        <c:dLbls>
          <c:showLegendKey val="0"/>
          <c:showVal val="1"/>
          <c:showCatName val="0"/>
          <c:showSerName val="0"/>
          <c:showPercent val="0"/>
          <c:showBubbleSize val="0"/>
        </c:dLbls>
        <c:marker val="1"/>
        <c:smooth val="0"/>
        <c:axId val="137452344"/>
        <c:axId val="137453520"/>
      </c:lineChart>
      <c:catAx>
        <c:axId val="137452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3520"/>
        <c:crosses val="autoZero"/>
        <c:auto val="1"/>
        <c:lblAlgn val="ctr"/>
        <c:lblOffset val="0"/>
        <c:tickLblSkip val="1"/>
        <c:tickMarkSkip val="12"/>
        <c:noMultiLvlLbl val="1"/>
      </c:catAx>
      <c:valAx>
        <c:axId val="137453520"/>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2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Datos!$C$67:$C$132</c:f>
              <c:numCache>
                <c:formatCode>0.0</c:formatCode>
                <c:ptCount val="66"/>
                <c:pt idx="0">
                  <c:v>100.213726994458</c:v>
                </c:pt>
                <c:pt idx="1">
                  <c:v>101.50777273709301</c:v>
                </c:pt>
                <c:pt idx="2">
                  <c:v>101.362250194859</c:v>
                </c:pt>
                <c:pt idx="3">
                  <c:v>102.317909196804</c:v>
                </c:pt>
                <c:pt idx="4">
                  <c:v>102.89995041992999</c:v>
                </c:pt>
                <c:pt idx="5">
                  <c:v>102.49729750533101</c:v>
                </c:pt>
                <c:pt idx="6">
                  <c:v>102.89863230428899</c:v>
                </c:pt>
                <c:pt idx="7">
                  <c:v>102.713706458678</c:v>
                </c:pt>
                <c:pt idx="8">
                  <c:v>102.775699250283</c:v>
                </c:pt>
                <c:pt idx="9">
                  <c:v>103.88271585441299</c:v>
                </c:pt>
                <c:pt idx="10">
                  <c:v>103.861794408078</c:v>
                </c:pt>
                <c:pt idx="11">
                  <c:v>103.99956354711</c:v>
                </c:pt>
                <c:pt idx="12">
                  <c:v>104.12379351174999</c:v>
                </c:pt>
                <c:pt idx="13">
                  <c:v>104.465189941528</c:v>
                </c:pt>
                <c:pt idx="14">
                  <c:v>104.413334204227</c:v>
                </c:pt>
                <c:pt idx="15">
                  <c:v>106.10632876648999</c:v>
                </c:pt>
                <c:pt idx="16">
                  <c:v>105.176725938597</c:v>
                </c:pt>
                <c:pt idx="17">
                  <c:v>105.373884448249</c:v>
                </c:pt>
                <c:pt idx="18">
                  <c:v>106.37100522267799</c:v>
                </c:pt>
                <c:pt idx="19">
                  <c:v>106.56504693995301</c:v>
                </c:pt>
                <c:pt idx="20">
                  <c:v>107.701258089989</c:v>
                </c:pt>
                <c:pt idx="21">
                  <c:v>106.758353453151</c:v>
                </c:pt>
                <c:pt idx="22">
                  <c:v>105.94770299005999</c:v>
                </c:pt>
                <c:pt idx="23">
                  <c:v>106.59515696577201</c:v>
                </c:pt>
                <c:pt idx="24">
                  <c:v>107.19260782185501</c:v>
                </c:pt>
                <c:pt idx="25">
                  <c:v>108.01259678010599</c:v>
                </c:pt>
                <c:pt idx="26">
                  <c:v>107.504411883975</c:v>
                </c:pt>
                <c:pt idx="27">
                  <c:v>107.512074767775</c:v>
                </c:pt>
                <c:pt idx="28">
                  <c:v>107.824340510691</c:v>
                </c:pt>
                <c:pt idx="29">
                  <c:v>108.535941611567</c:v>
                </c:pt>
                <c:pt idx="30">
                  <c:v>108.514464511074</c:v>
                </c:pt>
                <c:pt idx="31">
                  <c:v>108.55989660860899</c:v>
                </c:pt>
                <c:pt idx="32">
                  <c:v>109.37276029445</c:v>
                </c:pt>
                <c:pt idx="33">
                  <c:v>109.73585452097301</c:v>
                </c:pt>
                <c:pt idx="34">
                  <c:v>109.582758814453</c:v>
                </c:pt>
                <c:pt idx="35">
                  <c:v>110.558498613023</c:v>
                </c:pt>
                <c:pt idx="36">
                  <c:v>110.73941959192901</c:v>
                </c:pt>
                <c:pt idx="37">
                  <c:v>110.09072854131701</c:v>
                </c:pt>
                <c:pt idx="38">
                  <c:v>110.58734117382799</c:v>
                </c:pt>
                <c:pt idx="39">
                  <c:v>110.952090562679</c:v>
                </c:pt>
                <c:pt idx="40">
                  <c:v>110.59174168462199</c:v>
                </c:pt>
                <c:pt idx="41">
                  <c:v>111.097342726637</c:v>
                </c:pt>
                <c:pt idx="42">
                  <c:v>110.178104927397</c:v>
                </c:pt>
                <c:pt idx="43">
                  <c:v>111.247040439437</c:v>
                </c:pt>
                <c:pt idx="44">
                  <c:v>110.22416586378699</c:v>
                </c:pt>
                <c:pt idx="45">
                  <c:v>110.88505264244399</c:v>
                </c:pt>
                <c:pt idx="46">
                  <c:v>111.531462799455</c:v>
                </c:pt>
                <c:pt idx="47">
                  <c:v>112.722101283762</c:v>
                </c:pt>
                <c:pt idx="48">
                  <c:v>111.833636106946</c:v>
                </c:pt>
                <c:pt idx="49">
                  <c:v>112.348829215029</c:v>
                </c:pt>
                <c:pt idx="50">
                  <c:v>113.32122275794499</c:v>
                </c:pt>
                <c:pt idx="51">
                  <c:v>112.577932424944</c:v>
                </c:pt>
                <c:pt idx="52">
                  <c:v>113.080587358522</c:v>
                </c:pt>
                <c:pt idx="53">
                  <c:v>112.871909353772</c:v>
                </c:pt>
                <c:pt idx="54">
                  <c:v>113.311576958713</c:v>
                </c:pt>
                <c:pt idx="55">
                  <c:v>113.275501709229</c:v>
                </c:pt>
                <c:pt idx="56">
                  <c:v>113.600994946192</c:v>
                </c:pt>
                <c:pt idx="57">
                  <c:v>113.080273585566</c:v>
                </c:pt>
                <c:pt idx="58">
                  <c:v>113.38903941404099</c:v>
                </c:pt>
                <c:pt idx="59">
                  <c:v>112.919768485901</c:v>
                </c:pt>
                <c:pt idx="60">
                  <c:v>113.068981010868</c:v>
                </c:pt>
                <c:pt idx="61">
                  <c:v>113.27855510444699</c:v>
                </c:pt>
                <c:pt idx="62">
                  <c:v>112.70777487385899</c:v>
                </c:pt>
                <c:pt idx="63">
                  <c:v>112.82101626166499</c:v>
                </c:pt>
                <c:pt idx="64">
                  <c:v>112.818530083628</c:v>
                </c:pt>
                <c:pt idx="65">
                  <c:v>113.077625333615</c:v>
                </c:pt>
              </c:numCache>
            </c:numRef>
          </c:val>
          <c:extLst>
            <c:ext xmlns:c16="http://schemas.microsoft.com/office/drawing/2014/chart" uri="{C3380CC4-5D6E-409C-BE32-E72D297353CC}">
              <c16:uniqueId val="{00000000-3F65-4EB0-A2DA-E801FE588D86}"/>
            </c:ext>
          </c:extLst>
        </c:ser>
        <c:dLbls>
          <c:showLegendKey val="0"/>
          <c:showVal val="1"/>
          <c:showCatName val="0"/>
          <c:showSerName val="0"/>
          <c:showPercent val="0"/>
          <c:showBubbleSize val="0"/>
        </c:dLbls>
        <c:gapWidth val="50"/>
        <c:axId val="137452344"/>
        <c:axId val="137453520"/>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Datos!$D$67:$D$132</c:f>
              <c:numCache>
                <c:formatCode>0.0</c:formatCode>
                <c:ptCount val="66"/>
                <c:pt idx="0">
                  <c:v>101.12913868522</c:v>
                </c:pt>
                <c:pt idx="1">
                  <c:v>101.423158690421</c:v>
                </c:pt>
                <c:pt idx="2">
                  <c:v>101.772477032914</c:v>
                </c:pt>
                <c:pt idx="3">
                  <c:v>102.102149559311</c:v>
                </c:pt>
                <c:pt idx="4">
                  <c:v>102.376005146145</c:v>
                </c:pt>
                <c:pt idx="5">
                  <c:v>102.595891297113</c:v>
                </c:pt>
                <c:pt idx="6">
                  <c:v>102.790892498818</c:v>
                </c:pt>
                <c:pt idx="7">
                  <c:v>102.987142522244</c:v>
                </c:pt>
                <c:pt idx="8">
                  <c:v>103.217287813578</c:v>
                </c:pt>
                <c:pt idx="9">
                  <c:v>103.477370856528</c:v>
                </c:pt>
                <c:pt idx="10">
                  <c:v>103.751442621563</c:v>
                </c:pt>
                <c:pt idx="11">
                  <c:v>103.999768069608</c:v>
                </c:pt>
                <c:pt idx="12">
                  <c:v>104.199430762044</c:v>
                </c:pt>
                <c:pt idx="13">
                  <c:v>104.380729990368</c:v>
                </c:pt>
                <c:pt idx="14">
                  <c:v>104.59109995799299</c:v>
                </c:pt>
                <c:pt idx="15">
                  <c:v>104.885872006673</c:v>
                </c:pt>
                <c:pt idx="16">
                  <c:v>105.266214620613</c:v>
                </c:pt>
                <c:pt idx="17">
                  <c:v>105.688442834049</c:v>
                </c:pt>
                <c:pt idx="18">
                  <c:v>106.09247928743901</c:v>
                </c:pt>
                <c:pt idx="19">
                  <c:v>106.415968021822</c:v>
                </c:pt>
                <c:pt idx="20">
                  <c:v>106.63896127190699</c:v>
                </c:pt>
                <c:pt idx="21">
                  <c:v>106.781814848761</c:v>
                </c:pt>
                <c:pt idx="22">
                  <c:v>106.887016121062</c:v>
                </c:pt>
                <c:pt idx="23">
                  <c:v>106.98147297338799</c:v>
                </c:pt>
                <c:pt idx="24">
                  <c:v>107.108795013549</c:v>
                </c:pt>
                <c:pt idx="25">
                  <c:v>107.29168412754601</c:v>
                </c:pt>
                <c:pt idx="26">
                  <c:v>107.500252222481</c:v>
                </c:pt>
                <c:pt idx="27">
                  <c:v>107.72024748294901</c:v>
                </c:pt>
                <c:pt idx="28">
                  <c:v>107.96192411263</c:v>
                </c:pt>
                <c:pt idx="29">
                  <c:v>108.225400307222</c:v>
                </c:pt>
                <c:pt idx="30">
                  <c:v>108.519587373327</c:v>
                </c:pt>
                <c:pt idx="31">
                  <c:v>108.871010597187</c:v>
                </c:pt>
                <c:pt idx="32">
                  <c:v>109.248169436712</c:v>
                </c:pt>
                <c:pt idx="33">
                  <c:v>109.607919394303</c:v>
                </c:pt>
                <c:pt idx="34">
                  <c:v>109.936000353355</c:v>
                </c:pt>
                <c:pt idx="35">
                  <c:v>110.206959481749</c:v>
                </c:pt>
                <c:pt idx="36">
                  <c:v>110.420231654425</c:v>
                </c:pt>
                <c:pt idx="37">
                  <c:v>110.554420348066</c:v>
                </c:pt>
                <c:pt idx="38">
                  <c:v>110.640162802365</c:v>
                </c:pt>
                <c:pt idx="39">
                  <c:v>110.701043758851</c:v>
                </c:pt>
                <c:pt idx="40">
                  <c:v>110.730558736072</c:v>
                </c:pt>
                <c:pt idx="41">
                  <c:v>110.743703585983</c:v>
                </c:pt>
                <c:pt idx="42">
                  <c:v>110.771687714473</c:v>
                </c:pt>
                <c:pt idx="43">
                  <c:v>110.821195315423</c:v>
                </c:pt>
                <c:pt idx="44">
                  <c:v>110.91860100954899</c:v>
                </c:pt>
                <c:pt idx="45">
                  <c:v>111.111037625664</c:v>
                </c:pt>
                <c:pt idx="46">
                  <c:v>111.381160963692</c:v>
                </c:pt>
                <c:pt idx="47">
                  <c:v>111.703588792872</c:v>
                </c:pt>
                <c:pt idx="48">
                  <c:v>112.03907083412</c:v>
                </c:pt>
                <c:pt idx="49">
                  <c:v>112.34465447440201</c:v>
                </c:pt>
                <c:pt idx="50">
                  <c:v>112.60304646293</c:v>
                </c:pt>
                <c:pt idx="51">
                  <c:v>112.804779091904</c:v>
                </c:pt>
                <c:pt idx="52">
                  <c:v>112.97194570475099</c:v>
                </c:pt>
                <c:pt idx="53">
                  <c:v>113.116172973988</c:v>
                </c:pt>
                <c:pt idx="54">
                  <c:v>113.226056599949</c:v>
                </c:pt>
                <c:pt idx="55">
                  <c:v>113.29124018752201</c:v>
                </c:pt>
                <c:pt idx="56">
                  <c:v>113.320131811797</c:v>
                </c:pt>
                <c:pt idx="57">
                  <c:v>113.302696025567</c:v>
                </c:pt>
                <c:pt idx="58">
                  <c:v>113.238920517191</c:v>
                </c:pt>
                <c:pt idx="59">
                  <c:v>113.149359312065</c:v>
                </c:pt>
                <c:pt idx="60">
                  <c:v>113.042623218844</c:v>
                </c:pt>
                <c:pt idx="61">
                  <c:v>112.95122202905</c:v>
                </c:pt>
                <c:pt idx="62">
                  <c:v>112.89834597961899</c:v>
                </c:pt>
                <c:pt idx="63">
                  <c:v>112.898898367972</c:v>
                </c:pt>
                <c:pt idx="64">
                  <c:v>112.959662803735</c:v>
                </c:pt>
                <c:pt idx="65">
                  <c:v>113.080738679622</c:v>
                </c:pt>
              </c:numCache>
            </c:numRef>
          </c:val>
          <c:smooth val="0"/>
          <c:extLst>
            <c:ext xmlns:c16="http://schemas.microsoft.com/office/drawing/2014/chart" uri="{C3380CC4-5D6E-409C-BE32-E72D297353CC}">
              <c16:uniqueId val="{00000001-3F65-4EB0-A2DA-E801FE588D86}"/>
            </c:ext>
          </c:extLst>
        </c:ser>
        <c:dLbls>
          <c:showLegendKey val="0"/>
          <c:showVal val="1"/>
          <c:showCatName val="0"/>
          <c:showSerName val="0"/>
          <c:showPercent val="0"/>
          <c:showBubbleSize val="0"/>
        </c:dLbls>
        <c:marker val="1"/>
        <c:smooth val="0"/>
        <c:axId val="137452344"/>
        <c:axId val="137453520"/>
      </c:lineChart>
      <c:catAx>
        <c:axId val="137452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3520"/>
        <c:crosses val="autoZero"/>
        <c:auto val="1"/>
        <c:lblAlgn val="ctr"/>
        <c:lblOffset val="0"/>
        <c:tickLblSkip val="1"/>
        <c:tickMarkSkip val="12"/>
        <c:noMultiLvlLbl val="1"/>
      </c:catAx>
      <c:valAx>
        <c:axId val="137453520"/>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2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Datos!$E$67:$E$132</c:f>
              <c:numCache>
                <c:formatCode>0.0</c:formatCode>
                <c:ptCount val="66"/>
                <c:pt idx="0">
                  <c:v>95.059532575885299</c:v>
                </c:pt>
                <c:pt idx="1">
                  <c:v>104.92965509164399</c:v>
                </c:pt>
                <c:pt idx="2">
                  <c:v>104.466745429128</c:v>
                </c:pt>
                <c:pt idx="3">
                  <c:v>100.67587432483499</c:v>
                </c:pt>
                <c:pt idx="4">
                  <c:v>105.715854864378</c:v>
                </c:pt>
                <c:pt idx="5">
                  <c:v>100.769126152985</c:v>
                </c:pt>
                <c:pt idx="6">
                  <c:v>107.593700816759</c:v>
                </c:pt>
                <c:pt idx="7">
                  <c:v>103.364295808428</c:v>
                </c:pt>
                <c:pt idx="8">
                  <c:v>104.00724377463899</c:v>
                </c:pt>
                <c:pt idx="9">
                  <c:v>104.118600721546</c:v>
                </c:pt>
                <c:pt idx="10">
                  <c:v>103.970656140144</c:v>
                </c:pt>
                <c:pt idx="11">
                  <c:v>105.513831425221</c:v>
                </c:pt>
                <c:pt idx="12">
                  <c:v>105.72284998791</c:v>
                </c:pt>
                <c:pt idx="13">
                  <c:v>104.292558701581</c:v>
                </c:pt>
                <c:pt idx="14">
                  <c:v>104.551419359118</c:v>
                </c:pt>
                <c:pt idx="15">
                  <c:v>105.87413648838699</c:v>
                </c:pt>
                <c:pt idx="16">
                  <c:v>111.35865403007</c:v>
                </c:pt>
                <c:pt idx="17">
                  <c:v>97.644307484175599</c:v>
                </c:pt>
                <c:pt idx="18">
                  <c:v>102.10207272628701</c:v>
                </c:pt>
                <c:pt idx="19">
                  <c:v>105.92876788077299</c:v>
                </c:pt>
                <c:pt idx="20">
                  <c:v>107.033553623107</c:v>
                </c:pt>
                <c:pt idx="21">
                  <c:v>106.059834486927</c:v>
                </c:pt>
                <c:pt idx="22">
                  <c:v>100.851746163548</c:v>
                </c:pt>
                <c:pt idx="23">
                  <c:v>107.40089811240399</c:v>
                </c:pt>
                <c:pt idx="24">
                  <c:v>105.74511909957999</c:v>
                </c:pt>
                <c:pt idx="25">
                  <c:v>107.47698357621</c:v>
                </c:pt>
                <c:pt idx="26">
                  <c:v>103.87687806829901</c:v>
                </c:pt>
                <c:pt idx="27">
                  <c:v>107.02311736244501</c:v>
                </c:pt>
                <c:pt idx="28">
                  <c:v>105.65124523634999</c:v>
                </c:pt>
                <c:pt idx="29">
                  <c:v>111.91104679417801</c:v>
                </c:pt>
                <c:pt idx="30">
                  <c:v>106.881269949783</c:v>
                </c:pt>
                <c:pt idx="31">
                  <c:v>113.99662402241201</c:v>
                </c:pt>
                <c:pt idx="32">
                  <c:v>110.174219252539</c:v>
                </c:pt>
                <c:pt idx="33">
                  <c:v>109.547482963341</c:v>
                </c:pt>
                <c:pt idx="34">
                  <c:v>108.445885203936</c:v>
                </c:pt>
                <c:pt idx="35">
                  <c:v>111.23376123654501</c:v>
                </c:pt>
                <c:pt idx="36">
                  <c:v>117.216218532667</c:v>
                </c:pt>
                <c:pt idx="37">
                  <c:v>103.195542536278</c:v>
                </c:pt>
                <c:pt idx="38">
                  <c:v>109.661620495191</c:v>
                </c:pt>
                <c:pt idx="39">
                  <c:v>110.540249436156</c:v>
                </c:pt>
                <c:pt idx="40">
                  <c:v>107.75531499946101</c:v>
                </c:pt>
                <c:pt idx="41">
                  <c:v>117.49575162431201</c:v>
                </c:pt>
                <c:pt idx="42">
                  <c:v>111.37318599239801</c:v>
                </c:pt>
                <c:pt idx="43">
                  <c:v>111.383906908932</c:v>
                </c:pt>
                <c:pt idx="44">
                  <c:v>113.58992907176599</c:v>
                </c:pt>
                <c:pt idx="45">
                  <c:v>113.662965043623</c:v>
                </c:pt>
                <c:pt idx="46">
                  <c:v>115.689818046224</c:v>
                </c:pt>
                <c:pt idx="47">
                  <c:v>112.631825012539</c:v>
                </c:pt>
                <c:pt idx="48">
                  <c:v>114.94733785319001</c:v>
                </c:pt>
                <c:pt idx="49">
                  <c:v>110.760088151849</c:v>
                </c:pt>
                <c:pt idx="50">
                  <c:v>114.76399395689</c:v>
                </c:pt>
                <c:pt idx="51">
                  <c:v>114.739484156245</c:v>
                </c:pt>
                <c:pt idx="52">
                  <c:v>116.83111882977001</c:v>
                </c:pt>
                <c:pt idx="53">
                  <c:v>112.44570286456999</c:v>
                </c:pt>
                <c:pt idx="54">
                  <c:v>115.439995212504</c:v>
                </c:pt>
                <c:pt idx="55">
                  <c:v>115.227319480109</c:v>
                </c:pt>
                <c:pt idx="56">
                  <c:v>115.924913258551</c:v>
                </c:pt>
                <c:pt idx="57">
                  <c:v>110.991185912202</c:v>
                </c:pt>
                <c:pt idx="58">
                  <c:v>120.98111758482899</c:v>
                </c:pt>
                <c:pt idx="59">
                  <c:v>118.02584331353999</c:v>
                </c:pt>
                <c:pt idx="60">
                  <c:v>117.299246857583</c:v>
                </c:pt>
                <c:pt idx="61">
                  <c:v>122.47470215397399</c:v>
                </c:pt>
                <c:pt idx="62">
                  <c:v>120.006036208732</c:v>
                </c:pt>
                <c:pt idx="63">
                  <c:v>116.777772228744</c:v>
                </c:pt>
                <c:pt idx="64">
                  <c:v>117.661538377334</c:v>
                </c:pt>
                <c:pt idx="65">
                  <c:v>115.626806684386</c:v>
                </c:pt>
              </c:numCache>
            </c:numRef>
          </c:val>
          <c:extLst>
            <c:ext xmlns:c16="http://schemas.microsoft.com/office/drawing/2014/chart" uri="{C3380CC4-5D6E-409C-BE32-E72D297353CC}">
              <c16:uniqueId val="{00000000-27CA-4D07-85D2-AA05BA098952}"/>
            </c:ext>
          </c:extLst>
        </c:ser>
        <c:dLbls>
          <c:showLegendKey val="0"/>
          <c:showVal val="1"/>
          <c:showCatName val="0"/>
          <c:showSerName val="0"/>
          <c:showPercent val="0"/>
          <c:showBubbleSize val="0"/>
        </c:dLbls>
        <c:gapWidth val="50"/>
        <c:axId val="137455088"/>
        <c:axId val="13745430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Datos!$F$67:$F$132</c:f>
              <c:numCache>
                <c:formatCode>0.0</c:formatCode>
                <c:ptCount val="66"/>
                <c:pt idx="0">
                  <c:v>102.940997314383</c:v>
                </c:pt>
                <c:pt idx="1">
                  <c:v>103.235917889259</c:v>
                </c:pt>
                <c:pt idx="2">
                  <c:v>103.473933616992</c:v>
                </c:pt>
                <c:pt idx="3">
                  <c:v>103.664184289546</c:v>
                </c:pt>
                <c:pt idx="4">
                  <c:v>103.806845556745</c:v>
                </c:pt>
                <c:pt idx="5">
                  <c:v>103.92075184021699</c:v>
                </c:pt>
                <c:pt idx="6">
                  <c:v>104.032097202063</c:v>
                </c:pt>
                <c:pt idx="7">
                  <c:v>104.17732970026501</c:v>
                </c:pt>
                <c:pt idx="8">
                  <c:v>104.35442446155599</c:v>
                </c:pt>
                <c:pt idx="9">
                  <c:v>104.52065510712799</c:v>
                </c:pt>
                <c:pt idx="10">
                  <c:v>104.65411022321901</c:v>
                </c:pt>
                <c:pt idx="11">
                  <c:v>104.778305651765</c:v>
                </c:pt>
                <c:pt idx="12">
                  <c:v>104.879469595291</c:v>
                </c:pt>
                <c:pt idx="13">
                  <c:v>104.951041867131</c:v>
                </c:pt>
                <c:pt idx="14">
                  <c:v>104.98386250118701</c:v>
                </c:pt>
                <c:pt idx="15">
                  <c:v>105.008957861615</c:v>
                </c:pt>
                <c:pt idx="16">
                  <c:v>105.039358617273</c:v>
                </c:pt>
                <c:pt idx="17">
                  <c:v>105.072458648976</c:v>
                </c:pt>
                <c:pt idx="18">
                  <c:v>105.09725725043501</c:v>
                </c:pt>
                <c:pt idx="19">
                  <c:v>105.113427550943</c:v>
                </c:pt>
                <c:pt idx="20">
                  <c:v>105.136830963108</c:v>
                </c:pt>
                <c:pt idx="21">
                  <c:v>105.18638401104199</c:v>
                </c:pt>
                <c:pt idx="22">
                  <c:v>105.295149074246</c:v>
                </c:pt>
                <c:pt idx="23">
                  <c:v>105.497300878516</c:v>
                </c:pt>
                <c:pt idx="24">
                  <c:v>105.80078400369101</c:v>
                </c:pt>
                <c:pt idx="25">
                  <c:v>106.21099079204301</c:v>
                </c:pt>
                <c:pt idx="26">
                  <c:v>106.720087687236</c:v>
                </c:pt>
                <c:pt idx="27">
                  <c:v>107.29832518817901</c:v>
                </c:pt>
                <c:pt idx="28">
                  <c:v>107.904017169117</c:v>
                </c:pt>
                <c:pt idx="29">
                  <c:v>108.51146272251199</c:v>
                </c:pt>
                <c:pt idx="30">
                  <c:v>109.077019371125</c:v>
                </c:pt>
                <c:pt idx="31">
                  <c:v>109.54764771105999</c:v>
                </c:pt>
                <c:pt idx="32">
                  <c:v>109.87331122665999</c:v>
                </c:pt>
                <c:pt idx="33">
                  <c:v>110.0417395114</c:v>
                </c:pt>
                <c:pt idx="34">
                  <c:v>110.07662452377301</c:v>
                </c:pt>
                <c:pt idx="35">
                  <c:v>110.01182554738899</c:v>
                </c:pt>
                <c:pt idx="36">
                  <c:v>109.900914658866</c:v>
                </c:pt>
                <c:pt idx="37">
                  <c:v>109.824628754242</c:v>
                </c:pt>
                <c:pt idx="38">
                  <c:v>109.867988788616</c:v>
                </c:pt>
                <c:pt idx="39">
                  <c:v>110.074886661853</c:v>
                </c:pt>
                <c:pt idx="40">
                  <c:v>110.43057926392601</c:v>
                </c:pt>
                <c:pt idx="41">
                  <c:v>110.892354015297</c:v>
                </c:pt>
                <c:pt idx="42">
                  <c:v>111.417754326996</c:v>
                </c:pt>
                <c:pt idx="43">
                  <c:v>111.97185631769899</c:v>
                </c:pt>
                <c:pt idx="44">
                  <c:v>112.498643065076</c:v>
                </c:pt>
                <c:pt idx="45">
                  <c:v>112.979133717241</c:v>
                </c:pt>
                <c:pt idx="46">
                  <c:v>113.391164924826</c:v>
                </c:pt>
                <c:pt idx="47">
                  <c:v>113.69814219286501</c:v>
                </c:pt>
                <c:pt idx="48">
                  <c:v>113.897629583713</c:v>
                </c:pt>
                <c:pt idx="49">
                  <c:v>114.03496871137099</c:v>
                </c:pt>
                <c:pt idx="50">
                  <c:v>114.146306567965</c:v>
                </c:pt>
                <c:pt idx="51">
                  <c:v>114.28245510489</c:v>
                </c:pt>
                <c:pt idx="52">
                  <c:v>114.509408900441</c:v>
                </c:pt>
                <c:pt idx="53">
                  <c:v>114.87044501610301</c:v>
                </c:pt>
                <c:pt idx="54">
                  <c:v>115.368858129438</c:v>
                </c:pt>
                <c:pt idx="55">
                  <c:v>115.97587229537299</c:v>
                </c:pt>
                <c:pt idx="56">
                  <c:v>116.643199552171</c:v>
                </c:pt>
                <c:pt idx="57">
                  <c:v>117.295748622695</c:v>
                </c:pt>
                <c:pt idx="58">
                  <c:v>117.86031697817501</c:v>
                </c:pt>
                <c:pt idx="59">
                  <c:v>118.273977748711</c:v>
                </c:pt>
                <c:pt idx="60">
                  <c:v>118.501646285744</c:v>
                </c:pt>
                <c:pt idx="61">
                  <c:v>118.51807505845601</c:v>
                </c:pt>
                <c:pt idx="62">
                  <c:v>118.344956262202</c:v>
                </c:pt>
                <c:pt idx="63">
                  <c:v>118.027840833193</c:v>
                </c:pt>
                <c:pt idx="64">
                  <c:v>117.652020884712</c:v>
                </c:pt>
                <c:pt idx="65">
                  <c:v>117.307829063575</c:v>
                </c:pt>
              </c:numCache>
            </c:numRef>
          </c:val>
          <c:smooth val="0"/>
          <c:extLst>
            <c:ext xmlns:c16="http://schemas.microsoft.com/office/drawing/2014/chart" uri="{C3380CC4-5D6E-409C-BE32-E72D297353CC}">
              <c16:uniqueId val="{00000001-27CA-4D07-85D2-AA05BA098952}"/>
            </c:ext>
          </c:extLst>
        </c:ser>
        <c:dLbls>
          <c:showLegendKey val="0"/>
          <c:showVal val="1"/>
          <c:showCatName val="0"/>
          <c:showSerName val="0"/>
          <c:showPercent val="0"/>
          <c:showBubbleSize val="0"/>
        </c:dLbls>
        <c:marker val="1"/>
        <c:smooth val="0"/>
        <c:axId val="137455088"/>
        <c:axId val="137454304"/>
      </c:lineChart>
      <c:catAx>
        <c:axId val="137455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4304"/>
        <c:crosses val="autoZero"/>
        <c:auto val="1"/>
        <c:lblAlgn val="ctr"/>
        <c:lblOffset val="0"/>
        <c:tickLblSkip val="1"/>
        <c:tickMarkSkip val="12"/>
        <c:noMultiLvlLbl val="1"/>
      </c:catAx>
      <c:valAx>
        <c:axId val="137454304"/>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50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Datos!$G$67:$G$132</c:f>
              <c:numCache>
                <c:formatCode>0.0</c:formatCode>
                <c:ptCount val="66"/>
                <c:pt idx="0">
                  <c:v>101.023776683094</c:v>
                </c:pt>
                <c:pt idx="1">
                  <c:v>101.513336333181</c:v>
                </c:pt>
                <c:pt idx="2">
                  <c:v>101.820171212727</c:v>
                </c:pt>
                <c:pt idx="3">
                  <c:v>102.70086154326999</c:v>
                </c:pt>
                <c:pt idx="4">
                  <c:v>103.02868338094299</c:v>
                </c:pt>
                <c:pt idx="5">
                  <c:v>102.782586389529</c:v>
                </c:pt>
                <c:pt idx="6">
                  <c:v>102.231734648894</c:v>
                </c:pt>
                <c:pt idx="7">
                  <c:v>102.66387113214201</c:v>
                </c:pt>
                <c:pt idx="8">
                  <c:v>102.761524556542</c:v>
                </c:pt>
                <c:pt idx="9">
                  <c:v>104.051225761494</c:v>
                </c:pt>
                <c:pt idx="10">
                  <c:v>103.157530305667</c:v>
                </c:pt>
                <c:pt idx="11">
                  <c:v>103.541865965534</c:v>
                </c:pt>
                <c:pt idx="12">
                  <c:v>102.92672572341</c:v>
                </c:pt>
                <c:pt idx="13">
                  <c:v>103.197279945007</c:v>
                </c:pt>
                <c:pt idx="14">
                  <c:v>102.921435978475</c:v>
                </c:pt>
                <c:pt idx="15">
                  <c:v>104.461930756486</c:v>
                </c:pt>
                <c:pt idx="16">
                  <c:v>103.02314664311299</c:v>
                </c:pt>
                <c:pt idx="17">
                  <c:v>102.930088693195</c:v>
                </c:pt>
                <c:pt idx="18">
                  <c:v>104.83373202298</c:v>
                </c:pt>
                <c:pt idx="19">
                  <c:v>104.82444683865999</c:v>
                </c:pt>
                <c:pt idx="20">
                  <c:v>106.017100698226</c:v>
                </c:pt>
                <c:pt idx="21">
                  <c:v>104.313831889377</c:v>
                </c:pt>
                <c:pt idx="22">
                  <c:v>103.323074867579</c:v>
                </c:pt>
                <c:pt idx="23">
                  <c:v>104.036501741035</c:v>
                </c:pt>
                <c:pt idx="24">
                  <c:v>104.384574527391</c:v>
                </c:pt>
                <c:pt idx="25">
                  <c:v>104.35451032579</c:v>
                </c:pt>
                <c:pt idx="26">
                  <c:v>103.99007127716099</c:v>
                </c:pt>
                <c:pt idx="27">
                  <c:v>103.98025616066801</c:v>
                </c:pt>
                <c:pt idx="28">
                  <c:v>103.99714291218601</c:v>
                </c:pt>
                <c:pt idx="29">
                  <c:v>103.741249311937</c:v>
                </c:pt>
                <c:pt idx="30">
                  <c:v>103.819709405472</c:v>
                </c:pt>
                <c:pt idx="31">
                  <c:v>103.736240728844</c:v>
                </c:pt>
                <c:pt idx="32">
                  <c:v>104.239585352424</c:v>
                </c:pt>
                <c:pt idx="33">
                  <c:v>104.348036903471</c:v>
                </c:pt>
                <c:pt idx="34">
                  <c:v>104.971993860452</c:v>
                </c:pt>
                <c:pt idx="35">
                  <c:v>104.39691555036801</c:v>
                </c:pt>
                <c:pt idx="36">
                  <c:v>104.774228759812</c:v>
                </c:pt>
                <c:pt idx="37">
                  <c:v>104.09173970956</c:v>
                </c:pt>
                <c:pt idx="38">
                  <c:v>104.86923253739501</c:v>
                </c:pt>
                <c:pt idx="39">
                  <c:v>104.07038067379</c:v>
                </c:pt>
                <c:pt idx="40">
                  <c:v>104.267103790436</c:v>
                </c:pt>
                <c:pt idx="41">
                  <c:v>103.982907323348</c:v>
                </c:pt>
                <c:pt idx="42">
                  <c:v>103.430904437096</c:v>
                </c:pt>
                <c:pt idx="43">
                  <c:v>103.903895540476</c:v>
                </c:pt>
                <c:pt idx="44">
                  <c:v>103.120231841795</c:v>
                </c:pt>
                <c:pt idx="45">
                  <c:v>103.655590331431</c:v>
                </c:pt>
                <c:pt idx="46">
                  <c:v>103.919376377643</c:v>
                </c:pt>
                <c:pt idx="47">
                  <c:v>105.04835364534701</c:v>
                </c:pt>
                <c:pt idx="48">
                  <c:v>104.32311087424</c:v>
                </c:pt>
                <c:pt idx="49">
                  <c:v>104.48452763223401</c:v>
                </c:pt>
                <c:pt idx="50">
                  <c:v>104.768513235873</c:v>
                </c:pt>
                <c:pt idx="51">
                  <c:v>104.17077235646801</c:v>
                </c:pt>
                <c:pt idx="52">
                  <c:v>104.476124660027</c:v>
                </c:pt>
                <c:pt idx="53">
                  <c:v>104.561182110922</c:v>
                </c:pt>
                <c:pt idx="54">
                  <c:v>104.620314121889</c:v>
                </c:pt>
                <c:pt idx="55">
                  <c:v>104.174709316153</c:v>
                </c:pt>
                <c:pt idx="56">
                  <c:v>105.668718575493</c:v>
                </c:pt>
                <c:pt idx="57">
                  <c:v>103.607150624985</c:v>
                </c:pt>
                <c:pt idx="58">
                  <c:v>103.128057473471</c:v>
                </c:pt>
                <c:pt idx="59">
                  <c:v>102.47092412035499</c:v>
                </c:pt>
                <c:pt idx="60">
                  <c:v>103.14108871614199</c:v>
                </c:pt>
                <c:pt idx="61">
                  <c:v>103.269530243498</c:v>
                </c:pt>
                <c:pt idx="62">
                  <c:v>102.312600322653</c:v>
                </c:pt>
                <c:pt idx="63">
                  <c:v>103.778250836586</c:v>
                </c:pt>
                <c:pt idx="64">
                  <c:v>101.190832945351</c:v>
                </c:pt>
                <c:pt idx="65">
                  <c:v>102.340517175663</c:v>
                </c:pt>
              </c:numCache>
            </c:numRef>
          </c:val>
          <c:extLst>
            <c:ext xmlns:c16="http://schemas.microsoft.com/office/drawing/2014/chart" uri="{C3380CC4-5D6E-409C-BE32-E72D297353CC}">
              <c16:uniqueId val="{00000000-AC69-4EDB-85D3-FE41E2EDA656}"/>
            </c:ext>
          </c:extLst>
        </c:ser>
        <c:dLbls>
          <c:showLegendKey val="0"/>
          <c:showVal val="1"/>
          <c:showCatName val="0"/>
          <c:showSerName val="0"/>
          <c:showPercent val="0"/>
          <c:showBubbleSize val="0"/>
        </c:dLbls>
        <c:gapWidth val="50"/>
        <c:axId val="137452736"/>
        <c:axId val="137451952"/>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Datos!$H$67:$H$132</c:f>
              <c:numCache>
                <c:formatCode>0.0</c:formatCode>
                <c:ptCount val="66"/>
                <c:pt idx="0">
                  <c:v>101.142700305647</c:v>
                </c:pt>
                <c:pt idx="1">
                  <c:v>101.57627448975801</c:v>
                </c:pt>
                <c:pt idx="2">
                  <c:v>102.014977953844</c:v>
                </c:pt>
                <c:pt idx="3">
                  <c:v>102.366792712069</c:v>
                </c:pt>
                <c:pt idx="4">
                  <c:v>102.59448954638999</c:v>
                </c:pt>
                <c:pt idx="5">
                  <c:v>102.689052245619</c:v>
                </c:pt>
                <c:pt idx="6">
                  <c:v>102.730900761283</c:v>
                </c:pt>
                <c:pt idx="7">
                  <c:v>102.78516599192599</c:v>
                </c:pt>
                <c:pt idx="8">
                  <c:v>102.88967794306799</c:v>
                </c:pt>
                <c:pt idx="9">
                  <c:v>103.024425708903</c:v>
                </c:pt>
                <c:pt idx="10">
                  <c:v>103.151268985673</c:v>
                </c:pt>
                <c:pt idx="11">
                  <c:v>103.20115785775801</c:v>
                </c:pt>
                <c:pt idx="12">
                  <c:v>103.159030074415</c:v>
                </c:pt>
                <c:pt idx="13">
                  <c:v>103.101088973023</c:v>
                </c:pt>
                <c:pt idx="14">
                  <c:v>103.13673028989101</c:v>
                </c:pt>
                <c:pt idx="15">
                  <c:v>103.323579775201</c:v>
                </c:pt>
                <c:pt idx="16">
                  <c:v>103.653942544318</c:v>
                </c:pt>
                <c:pt idx="17">
                  <c:v>104.037756833302</c:v>
                </c:pt>
                <c:pt idx="18">
                  <c:v>104.35740143839</c:v>
                </c:pt>
                <c:pt idx="19">
                  <c:v>104.52456031771599</c:v>
                </c:pt>
                <c:pt idx="20">
                  <c:v>104.540647899722</c:v>
                </c:pt>
                <c:pt idx="21">
                  <c:v>104.444532478299</c:v>
                </c:pt>
                <c:pt idx="22">
                  <c:v>104.31113885999901</c:v>
                </c:pt>
                <c:pt idx="23">
                  <c:v>104.206504223461</c:v>
                </c:pt>
                <c:pt idx="24">
                  <c:v>104.16372238070799</c:v>
                </c:pt>
                <c:pt idx="25">
                  <c:v>104.144424275608</c:v>
                </c:pt>
                <c:pt idx="26">
                  <c:v>104.09347777002699</c:v>
                </c:pt>
                <c:pt idx="27">
                  <c:v>104.000866517258</c:v>
                </c:pt>
                <c:pt idx="28">
                  <c:v>103.888249206099</c:v>
                </c:pt>
                <c:pt idx="29">
                  <c:v>103.825708682911</c:v>
                </c:pt>
                <c:pt idx="30">
                  <c:v>103.857750590424</c:v>
                </c:pt>
                <c:pt idx="31">
                  <c:v>103.99608799127</c:v>
                </c:pt>
                <c:pt idx="32">
                  <c:v>104.18265579554701</c:v>
                </c:pt>
                <c:pt idx="33">
                  <c:v>104.376633904049</c:v>
                </c:pt>
                <c:pt idx="34">
                  <c:v>104.53126657999</c:v>
                </c:pt>
                <c:pt idx="35">
                  <c:v>104.60990308680201</c:v>
                </c:pt>
                <c:pt idx="36">
                  <c:v>104.61164165144601</c:v>
                </c:pt>
                <c:pt idx="37">
                  <c:v>104.540431486106</c:v>
                </c:pt>
                <c:pt idx="38">
                  <c:v>104.424109022176</c:v>
                </c:pt>
                <c:pt idx="39">
                  <c:v>104.277935704749</c:v>
                </c:pt>
                <c:pt idx="40">
                  <c:v>104.10077214691501</c:v>
                </c:pt>
                <c:pt idx="41">
                  <c:v>103.898181418234</c:v>
                </c:pt>
                <c:pt idx="42">
                  <c:v>103.71315630634599</c:v>
                </c:pt>
                <c:pt idx="43">
                  <c:v>103.614128127635</c:v>
                </c:pt>
                <c:pt idx="44">
                  <c:v>103.62691594229599</c:v>
                </c:pt>
                <c:pt idx="45">
                  <c:v>103.769472608963</c:v>
                </c:pt>
                <c:pt idx="46">
                  <c:v>103.98327992799</c:v>
                </c:pt>
                <c:pt idx="47">
                  <c:v>104.211900441707</c:v>
                </c:pt>
                <c:pt idx="48">
                  <c:v>104.38635911635301</c:v>
                </c:pt>
                <c:pt idx="49">
                  <c:v>104.49136954286</c:v>
                </c:pt>
                <c:pt idx="50">
                  <c:v>104.535273335792</c:v>
                </c:pt>
                <c:pt idx="51">
                  <c:v>104.536792971606</c:v>
                </c:pt>
                <c:pt idx="52">
                  <c:v>104.531630681999</c:v>
                </c:pt>
                <c:pt idx="53">
                  <c:v>104.504533669458</c:v>
                </c:pt>
                <c:pt idx="54">
                  <c:v>104.408605400537</c:v>
                </c:pt>
                <c:pt idx="55">
                  <c:v>104.20693965090599</c:v>
                </c:pt>
                <c:pt idx="56">
                  <c:v>103.940802105016</c:v>
                </c:pt>
                <c:pt idx="57">
                  <c:v>103.645098523672</c:v>
                </c:pt>
                <c:pt idx="58">
                  <c:v>103.362394480511</c:v>
                </c:pt>
                <c:pt idx="59">
                  <c:v>103.1353184188</c:v>
                </c:pt>
                <c:pt idx="60">
                  <c:v>102.959064579094</c:v>
                </c:pt>
                <c:pt idx="61">
                  <c:v>102.81464221006399</c:v>
                </c:pt>
                <c:pt idx="62">
                  <c:v>102.676658010846</c:v>
                </c:pt>
                <c:pt idx="63">
                  <c:v>102.548781310382</c:v>
                </c:pt>
                <c:pt idx="64">
                  <c:v>102.447398591386</c:v>
                </c:pt>
                <c:pt idx="65">
                  <c:v>102.395450147077</c:v>
                </c:pt>
              </c:numCache>
            </c:numRef>
          </c:val>
          <c:smooth val="0"/>
          <c:extLst>
            <c:ext xmlns:c16="http://schemas.microsoft.com/office/drawing/2014/chart" uri="{C3380CC4-5D6E-409C-BE32-E72D297353CC}">
              <c16:uniqueId val="{00000001-AC69-4EDB-85D3-FE41E2EDA656}"/>
            </c:ext>
          </c:extLst>
        </c:ser>
        <c:dLbls>
          <c:showLegendKey val="0"/>
          <c:showVal val="1"/>
          <c:showCatName val="0"/>
          <c:showSerName val="0"/>
          <c:showPercent val="0"/>
          <c:showBubbleSize val="0"/>
        </c:dLbls>
        <c:marker val="1"/>
        <c:smooth val="0"/>
        <c:axId val="137452736"/>
        <c:axId val="137451952"/>
      </c:lineChart>
      <c:catAx>
        <c:axId val="137452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1952"/>
        <c:crosses val="autoZero"/>
        <c:auto val="1"/>
        <c:lblAlgn val="ctr"/>
        <c:lblOffset val="0"/>
        <c:tickLblSkip val="1"/>
        <c:tickMarkSkip val="12"/>
        <c:noMultiLvlLbl val="1"/>
      </c:catAx>
      <c:valAx>
        <c:axId val="137451952"/>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7452736"/>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Datos!$A$67:$B$132</c:f>
              <c:multiLvlStrCache>
                <c:ptCount val="6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Datos!$I$67:$I$132</c:f>
              <c:numCache>
                <c:formatCode>0.0</c:formatCode>
                <c:ptCount val="66"/>
                <c:pt idx="0">
                  <c:v>100.215521886126</c:v>
                </c:pt>
                <c:pt idx="1">
                  <c:v>101.427785795951</c:v>
                </c:pt>
                <c:pt idx="2">
                  <c:v>101.22511595407001</c:v>
                </c:pt>
                <c:pt idx="3">
                  <c:v>101.95979669627999</c:v>
                </c:pt>
                <c:pt idx="4">
                  <c:v>102.838412614939</c:v>
                </c:pt>
                <c:pt idx="5">
                  <c:v>102.18906388658</c:v>
                </c:pt>
                <c:pt idx="6">
                  <c:v>103.02513608501</c:v>
                </c:pt>
                <c:pt idx="7">
                  <c:v>102.857677694163</c:v>
                </c:pt>
                <c:pt idx="8">
                  <c:v>102.43556208189101</c:v>
                </c:pt>
                <c:pt idx="9">
                  <c:v>103.77343550945101</c:v>
                </c:pt>
                <c:pt idx="10">
                  <c:v>104.282852067205</c:v>
                </c:pt>
                <c:pt idx="11">
                  <c:v>104.05033993427099</c:v>
                </c:pt>
                <c:pt idx="12">
                  <c:v>104.94156659019799</c:v>
                </c:pt>
                <c:pt idx="13">
                  <c:v>105.191190396332</c:v>
                </c:pt>
                <c:pt idx="14">
                  <c:v>105.52859030936401</c:v>
                </c:pt>
                <c:pt idx="15">
                  <c:v>106.605920588796</c:v>
                </c:pt>
                <c:pt idx="16">
                  <c:v>106.24114399899</c:v>
                </c:pt>
                <c:pt idx="17">
                  <c:v>107.01710473484501</c:v>
                </c:pt>
                <c:pt idx="18">
                  <c:v>107.34550041505101</c:v>
                </c:pt>
                <c:pt idx="19">
                  <c:v>107.611809524896</c:v>
                </c:pt>
                <c:pt idx="20">
                  <c:v>108.361468914971</c:v>
                </c:pt>
                <c:pt idx="21">
                  <c:v>108.239633008998</c:v>
                </c:pt>
                <c:pt idx="22">
                  <c:v>107.909878191582</c:v>
                </c:pt>
                <c:pt idx="23">
                  <c:v>107.661028140431</c:v>
                </c:pt>
                <c:pt idx="24">
                  <c:v>108.979053831394</c:v>
                </c:pt>
                <c:pt idx="25">
                  <c:v>109.869010635134</c:v>
                </c:pt>
                <c:pt idx="26">
                  <c:v>109.66599165682599</c:v>
                </c:pt>
                <c:pt idx="27">
                  <c:v>109.397708744425</c:v>
                </c:pt>
                <c:pt idx="28">
                  <c:v>110.13442765068601</c:v>
                </c:pt>
                <c:pt idx="29">
                  <c:v>110.743923854938</c:v>
                </c:pt>
                <c:pt idx="30">
                  <c:v>111.121149456387</c:v>
                </c:pt>
                <c:pt idx="31">
                  <c:v>111.233368617191</c:v>
                </c:pt>
                <c:pt idx="32">
                  <c:v>112.164046000444</c:v>
                </c:pt>
                <c:pt idx="33">
                  <c:v>112.635344523097</c:v>
                </c:pt>
                <c:pt idx="34">
                  <c:v>112.433029072569</c:v>
                </c:pt>
                <c:pt idx="35">
                  <c:v>113.670342986759</c:v>
                </c:pt>
                <c:pt idx="36">
                  <c:v>113.684246812756</c:v>
                </c:pt>
                <c:pt idx="37">
                  <c:v>113.523748042252</c:v>
                </c:pt>
                <c:pt idx="38">
                  <c:v>113.72711462263899</c:v>
                </c:pt>
                <c:pt idx="39">
                  <c:v>114.56262717902101</c:v>
                </c:pt>
                <c:pt idx="40">
                  <c:v>114.176514467701</c:v>
                </c:pt>
                <c:pt idx="41">
                  <c:v>114.650803044157</c:v>
                </c:pt>
                <c:pt idx="42">
                  <c:v>113.72888990227899</c:v>
                </c:pt>
                <c:pt idx="43">
                  <c:v>115.362496836712</c:v>
                </c:pt>
                <c:pt idx="44">
                  <c:v>114.317193490688</c:v>
                </c:pt>
                <c:pt idx="45">
                  <c:v>114.72119722708401</c:v>
                </c:pt>
                <c:pt idx="46">
                  <c:v>115.490527364553</c:v>
                </c:pt>
                <c:pt idx="47">
                  <c:v>116.64526258108501</c:v>
                </c:pt>
                <c:pt idx="48">
                  <c:v>115.76030050854</c:v>
                </c:pt>
                <c:pt idx="49">
                  <c:v>116.568621435236</c:v>
                </c:pt>
                <c:pt idx="50">
                  <c:v>117.89767169817399</c:v>
                </c:pt>
                <c:pt idx="51">
                  <c:v>117.07462423160599</c:v>
                </c:pt>
                <c:pt idx="52">
                  <c:v>117.389664651353</c:v>
                </c:pt>
                <c:pt idx="53">
                  <c:v>117.558304052224</c:v>
                </c:pt>
                <c:pt idx="54">
                  <c:v>117.874143600762</c:v>
                </c:pt>
                <c:pt idx="55">
                  <c:v>118.313367730815</c:v>
                </c:pt>
                <c:pt idx="56">
                  <c:v>118.169636098802</c:v>
                </c:pt>
                <c:pt idx="57">
                  <c:v>118.264187390269</c:v>
                </c:pt>
                <c:pt idx="58">
                  <c:v>118.595242900241</c:v>
                </c:pt>
                <c:pt idx="59">
                  <c:v>117.94888850106901</c:v>
                </c:pt>
                <c:pt idx="60">
                  <c:v>118.19737644244201</c:v>
                </c:pt>
                <c:pt idx="61">
                  <c:v>118.214254541092</c:v>
                </c:pt>
                <c:pt idx="62">
                  <c:v>118.119593453229</c:v>
                </c:pt>
                <c:pt idx="63">
                  <c:v>117.743544552232</c:v>
                </c:pt>
                <c:pt idx="64">
                  <c:v>118.690010284509</c:v>
                </c:pt>
                <c:pt idx="65">
                  <c:v>118.702983429353</c:v>
                </c:pt>
              </c:numCache>
            </c:numRef>
          </c:val>
          <c:extLst>
            <c:ext xmlns:c16="http://schemas.microsoft.com/office/drawing/2014/chart" uri="{C3380CC4-5D6E-409C-BE32-E72D297353CC}">
              <c16:uniqueId val="{00000000-A8BF-4DA2-8CE5-0A374ADEA9FF}"/>
            </c:ext>
          </c:extLst>
        </c:ser>
        <c:dLbls>
          <c:showLegendKey val="0"/>
          <c:showVal val="1"/>
          <c:showCatName val="0"/>
          <c:showSerName val="0"/>
          <c:showPercent val="0"/>
          <c:showBubbleSize val="0"/>
        </c:dLbls>
        <c:gapWidth val="50"/>
        <c:axId val="138009624"/>
        <c:axId val="13800805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2013</c:v>
                  </c:pt>
                  <c:pt idx="12">
                    <c:v>2014</c:v>
                  </c:pt>
                  <c:pt idx="24">
                    <c:v>2015</c:v>
                  </c:pt>
                  <c:pt idx="36">
                    <c:v>2016</c:v>
                  </c:pt>
                  <c:pt idx="48">
                    <c:v>2017</c:v>
                  </c:pt>
                  <c:pt idx="60">
                    <c:v>2018</c:v>
                  </c:pt>
                  <c:pt idx="72">
                    <c:v>2019</c:v>
                  </c:pt>
                </c:lvl>
              </c:multiLvlStrCache>
            </c:multiLvlStrRef>
          </c:cat>
          <c:val>
            <c:numRef>
              <c:f>Datos!$J$67:$J$132</c:f>
              <c:numCache>
                <c:formatCode>0.0</c:formatCode>
                <c:ptCount val="66"/>
                <c:pt idx="0">
                  <c:v>100.979988553863</c:v>
                </c:pt>
                <c:pt idx="1">
                  <c:v>101.223315378823</c:v>
                </c:pt>
                <c:pt idx="2">
                  <c:v>101.522912629659</c:v>
                </c:pt>
                <c:pt idx="3">
                  <c:v>101.881416850037</c:v>
                </c:pt>
                <c:pt idx="4">
                  <c:v>102.24660295293</c:v>
                </c:pt>
                <c:pt idx="5">
                  <c:v>102.52021379547</c:v>
                </c:pt>
                <c:pt idx="6">
                  <c:v>102.722400548246</c:v>
                </c:pt>
                <c:pt idx="7">
                  <c:v>102.95188742062901</c:v>
                </c:pt>
                <c:pt idx="8">
                  <c:v>103.26760877784599</c:v>
                </c:pt>
                <c:pt idx="9">
                  <c:v>103.63512082451901</c:v>
                </c:pt>
                <c:pt idx="10">
                  <c:v>104.019003808923</c:v>
                </c:pt>
                <c:pt idx="11">
                  <c:v>104.39304745855701</c:v>
                </c:pt>
                <c:pt idx="12">
                  <c:v>104.782692683503</c:v>
                </c:pt>
                <c:pt idx="13">
                  <c:v>105.22688263854199</c:v>
                </c:pt>
                <c:pt idx="14">
                  <c:v>105.712537620147</c:v>
                </c:pt>
                <c:pt idx="15">
                  <c:v>106.16890843538199</c:v>
                </c:pt>
                <c:pt idx="16">
                  <c:v>106.55024586578</c:v>
                </c:pt>
                <c:pt idx="17">
                  <c:v>106.94340861355199</c:v>
                </c:pt>
                <c:pt idx="18">
                  <c:v>107.36813942804901</c:v>
                </c:pt>
                <c:pt idx="19">
                  <c:v>107.764725509011</c:v>
                </c:pt>
                <c:pt idx="20">
                  <c:v>108.0293851471</c:v>
                </c:pt>
                <c:pt idx="21">
                  <c:v>108.126529347377</c:v>
                </c:pt>
                <c:pt idx="22">
                  <c:v>108.246951074485</c:v>
                </c:pt>
                <c:pt idx="23">
                  <c:v>108.521618339314</c:v>
                </c:pt>
                <c:pt idx="24">
                  <c:v>108.915432529128</c:v>
                </c:pt>
                <c:pt idx="25">
                  <c:v>109.292603135527</c:v>
                </c:pt>
                <c:pt idx="26">
                  <c:v>109.554104522912</c:v>
                </c:pt>
                <c:pt idx="27">
                  <c:v>109.797118691382</c:v>
                </c:pt>
                <c:pt idx="28">
                  <c:v>110.121148374458</c:v>
                </c:pt>
                <c:pt idx="29">
                  <c:v>110.548370704028</c:v>
                </c:pt>
                <c:pt idx="30">
                  <c:v>111.065065781664</c:v>
                </c:pt>
                <c:pt idx="31">
                  <c:v>111.534159441791</c:v>
                </c:pt>
                <c:pt idx="32">
                  <c:v>111.969804765744</c:v>
                </c:pt>
                <c:pt idx="33">
                  <c:v>112.457752736348</c:v>
                </c:pt>
                <c:pt idx="34">
                  <c:v>112.934937596198</c:v>
                </c:pt>
                <c:pt idx="35">
                  <c:v>113.281467749104</c:v>
                </c:pt>
                <c:pt idx="36">
                  <c:v>113.53815065738</c:v>
                </c:pt>
                <c:pt idx="37">
                  <c:v>113.755786564282</c:v>
                </c:pt>
                <c:pt idx="38">
                  <c:v>113.963355758383</c:v>
                </c:pt>
                <c:pt idx="39">
                  <c:v>114.168576274752</c:v>
                </c:pt>
                <c:pt idx="40">
                  <c:v>114.387043603675</c:v>
                </c:pt>
                <c:pt idx="41">
                  <c:v>114.482497206734</c:v>
                </c:pt>
                <c:pt idx="42">
                  <c:v>114.44929320316599</c:v>
                </c:pt>
                <c:pt idx="43">
                  <c:v>114.427644227296</c:v>
                </c:pt>
                <c:pt idx="44">
                  <c:v>114.570553541515</c:v>
                </c:pt>
                <c:pt idx="45">
                  <c:v>114.874101073574</c:v>
                </c:pt>
                <c:pt idx="46">
                  <c:v>115.308348030755</c:v>
                </c:pt>
                <c:pt idx="47">
                  <c:v>115.77190181209301</c:v>
                </c:pt>
                <c:pt idx="48">
                  <c:v>116.19905391252</c:v>
                </c:pt>
                <c:pt idx="49">
                  <c:v>116.549039827812</c:v>
                </c:pt>
                <c:pt idx="50">
                  <c:v>116.862783441012</c:v>
                </c:pt>
                <c:pt idx="51">
                  <c:v>117.137982669672</c:v>
                </c:pt>
                <c:pt idx="52">
                  <c:v>117.38899415500001</c:v>
                </c:pt>
                <c:pt idx="53">
                  <c:v>117.640592861527</c:v>
                </c:pt>
                <c:pt idx="54">
                  <c:v>117.894369444888</c:v>
                </c:pt>
                <c:pt idx="55">
                  <c:v>118.134324254335</c:v>
                </c:pt>
                <c:pt idx="56">
                  <c:v>118.287415220371</c:v>
                </c:pt>
                <c:pt idx="57">
                  <c:v>118.330992370857</c:v>
                </c:pt>
                <c:pt idx="58">
                  <c:v>118.292431271612</c:v>
                </c:pt>
                <c:pt idx="59">
                  <c:v>118.245860974241</c:v>
                </c:pt>
                <c:pt idx="60">
                  <c:v>118.158447979728</c:v>
                </c:pt>
                <c:pt idx="61">
                  <c:v>118.06692559841601</c:v>
                </c:pt>
                <c:pt idx="62">
                  <c:v>118.058167743615</c:v>
                </c:pt>
                <c:pt idx="63">
                  <c:v>118.174771229257</c:v>
                </c:pt>
                <c:pt idx="64">
                  <c:v>118.39641315746999</c:v>
                </c:pt>
                <c:pt idx="65">
                  <c:v>118.726757784886</c:v>
                </c:pt>
              </c:numCache>
            </c:numRef>
          </c:val>
          <c:smooth val="0"/>
          <c:extLst>
            <c:ext xmlns:c16="http://schemas.microsoft.com/office/drawing/2014/chart" uri="{C3380CC4-5D6E-409C-BE32-E72D297353CC}">
              <c16:uniqueId val="{00000001-A8BF-4DA2-8CE5-0A374ADEA9FF}"/>
            </c:ext>
          </c:extLst>
        </c:ser>
        <c:dLbls>
          <c:showLegendKey val="0"/>
          <c:showVal val="1"/>
          <c:showCatName val="0"/>
          <c:showSerName val="0"/>
          <c:showPercent val="0"/>
          <c:showBubbleSize val="0"/>
        </c:dLbls>
        <c:marker val="1"/>
        <c:smooth val="0"/>
        <c:axId val="138009624"/>
        <c:axId val="138008056"/>
      </c:lineChart>
      <c:catAx>
        <c:axId val="1380096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8008056"/>
        <c:crosses val="autoZero"/>
        <c:auto val="1"/>
        <c:lblAlgn val="ctr"/>
        <c:lblOffset val="0"/>
        <c:tickLblSkip val="1"/>
        <c:tickMarkSkip val="12"/>
        <c:noMultiLvlLbl val="1"/>
      </c:catAx>
      <c:valAx>
        <c:axId val="13800805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38009624"/>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96B5-4E1A-A2A5-03BD3A34724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96B5-4E1A-A2A5-03BD3A34724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96B5-4E1A-A2A5-03BD3A34724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96B5-4E1A-A2A5-03BD3A347245}"/>
              </c:ext>
            </c:extLst>
          </c:dPt>
          <c:dLbls>
            <c:dLbl>
              <c:idx val="0"/>
              <c:layout>
                <c:manualLayout>
                  <c:x val="-1.1024305555555556E-2"/>
                  <c:y val="5.85037774092500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6B5-4E1A-A2A5-03BD3A3472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6B5-4E1A-A2A5-03BD3A347245}"/>
                </c:ext>
              </c:extLst>
            </c:dLbl>
            <c:dLbl>
              <c:idx val="2"/>
              <c:layout>
                <c:manualLayout>
                  <c:x val="-2.7347114556416884E-3"/>
                  <c:y val="5.345117845117845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6B5-4E1A-A2A5-03BD3A34724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6B5-4E1A-A2A5-03BD3A34724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2.5349674955560002</c:v>
                </c:pt>
                <c:pt idx="1">
                  <c:v>-0.10930289883700001</c:v>
                </c:pt>
                <c:pt idx="2">
                  <c:v>-2.9065042721499998</c:v>
                </c:pt>
                <c:pt idx="3">
                  <c:v>-0.89626135235299997</c:v>
                </c:pt>
              </c:numCache>
            </c:numRef>
          </c:val>
          <c:extLst>
            <c:ext xmlns:c16="http://schemas.microsoft.com/office/drawing/2014/chart" uri="{C3380CC4-5D6E-409C-BE32-E72D297353CC}">
              <c16:uniqueId val="{0000000B-96B5-4E1A-A2A5-03BD3A347245}"/>
            </c:ext>
          </c:extLst>
        </c:ser>
        <c:dLbls>
          <c:showLegendKey val="0"/>
          <c:showVal val="0"/>
          <c:showCatName val="0"/>
          <c:showSerName val="0"/>
          <c:showPercent val="0"/>
          <c:showBubbleSize val="0"/>
        </c:dLbls>
        <c:gapWidth val="30"/>
        <c:axId val="138011976"/>
        <c:axId val="138008448"/>
      </c:barChart>
      <c:catAx>
        <c:axId val="138011976"/>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138008448"/>
        <c:crosses val="autoZero"/>
        <c:auto val="1"/>
        <c:lblAlgn val="ctr"/>
        <c:lblOffset val="100"/>
        <c:tickLblSkip val="1"/>
        <c:tickMarkSkip val="12"/>
        <c:noMultiLvlLbl val="1"/>
      </c:catAx>
      <c:valAx>
        <c:axId val="138008448"/>
        <c:scaling>
          <c:orientation val="minMax"/>
          <c:max val="4"/>
          <c:min val="-4"/>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138011976"/>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5A04-DC44-4657-ADAA-8E8C94C1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1255</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SALA DE PRENSA</cp:lastModifiedBy>
  <cp:revision>23</cp:revision>
  <cp:lastPrinted>2019-08-21T16:01:00Z</cp:lastPrinted>
  <dcterms:created xsi:type="dcterms:W3CDTF">2019-08-20T17:50:00Z</dcterms:created>
  <dcterms:modified xsi:type="dcterms:W3CDTF">2019-08-23T00:01:00Z</dcterms:modified>
  <cp:category>Encuesta Nacional de Ocupación y Empleo</cp:category>
  <cp:version>1</cp:version>
</cp:coreProperties>
</file>