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4F0" w:rsidRDefault="006734F0" w:rsidP="006734F0">
      <w:pPr>
        <w:tabs>
          <w:tab w:val="left" w:pos="1985"/>
          <w:tab w:val="left" w:pos="8789"/>
        </w:tabs>
        <w:ind w:right="51"/>
        <w:jc w:val="center"/>
        <w:rPr>
          <w:b/>
          <w:sz w:val="28"/>
        </w:rPr>
      </w:pPr>
      <w:r>
        <w:rPr>
          <w:noProof/>
          <w:sz w:val="20"/>
          <w:lang w:val="en-US" w:eastAsia="en-US"/>
        </w:rPr>
        <mc:AlternateContent>
          <mc:Choice Requires="wps">
            <w:drawing>
              <wp:anchor distT="45720" distB="45720" distL="114300" distR="114300" simplePos="0" relativeHeight="251659264" behindDoc="0" locked="0" layoutInCell="1" allowOverlap="1" wp14:anchorId="402D5ED8" wp14:editId="279C6DE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6734F0" w:rsidRPr="00265B8C" w:rsidRDefault="006734F0" w:rsidP="006734F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2D5ED8"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6734F0" w:rsidRPr="00265B8C" w:rsidRDefault="006734F0" w:rsidP="006734F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v:textbox>
                <w10:wrap type="square"/>
              </v:shape>
            </w:pict>
          </mc:Fallback>
        </mc:AlternateContent>
      </w:r>
    </w:p>
    <w:p w:rsidR="006734F0" w:rsidRDefault="006734F0" w:rsidP="006734F0">
      <w:pPr>
        <w:tabs>
          <w:tab w:val="left" w:pos="8789"/>
        </w:tabs>
        <w:ind w:right="51"/>
        <w:jc w:val="center"/>
        <w:rPr>
          <w:b/>
          <w:sz w:val="28"/>
        </w:rPr>
      </w:pPr>
    </w:p>
    <w:p w:rsidR="006734F0" w:rsidRPr="00892096" w:rsidRDefault="006734F0" w:rsidP="006734F0">
      <w:pPr>
        <w:pStyle w:val="Ttulo"/>
        <w:widowControl w:val="0"/>
        <w:tabs>
          <w:tab w:val="left" w:pos="1134"/>
        </w:tabs>
        <w:rPr>
          <w:caps/>
          <w:snapToGrid w:val="0"/>
          <w:spacing w:val="25"/>
          <w:sz w:val="28"/>
          <w:szCs w:val="28"/>
        </w:rPr>
      </w:pPr>
    </w:p>
    <w:p w:rsidR="006734F0" w:rsidRDefault="006734F0" w:rsidP="006734F0">
      <w:pPr>
        <w:pStyle w:val="Profesin"/>
        <w:outlineLvl w:val="0"/>
        <w:rPr>
          <w:lang w:val="es-MX"/>
        </w:rPr>
      </w:pPr>
      <w:r>
        <w:rPr>
          <w:lang w:val="es-MX"/>
        </w:rPr>
        <w:t>INDICADOR GLOBAL DE LA ACTIVIDAD ECONÓMICA</w:t>
      </w:r>
      <w:r w:rsidRPr="00757C3A">
        <w:rPr>
          <w:szCs w:val="22"/>
          <w:vertAlign w:val="superscript"/>
        </w:rPr>
        <w:footnoteReference w:id="1"/>
      </w:r>
    </w:p>
    <w:p w:rsidR="006734F0" w:rsidRDefault="006734F0" w:rsidP="006734F0">
      <w:pPr>
        <w:jc w:val="center"/>
        <w:rPr>
          <w:b/>
          <w:spacing w:val="25"/>
          <w:sz w:val="26"/>
          <w:lang w:val="es-MX"/>
        </w:rPr>
      </w:pPr>
      <w:r>
        <w:rPr>
          <w:b/>
          <w:spacing w:val="25"/>
          <w:sz w:val="26"/>
          <w:lang w:val="es-MX"/>
        </w:rPr>
        <w:t>DURANTE OCTUBRE DE 2019</w:t>
      </w:r>
      <w:bookmarkStart w:id="0" w:name="_GoBack"/>
      <w:bookmarkEnd w:id="0"/>
    </w:p>
    <w:p w:rsidR="006734F0" w:rsidRPr="004C00E9" w:rsidRDefault="006734F0" w:rsidP="006734F0">
      <w:pPr>
        <w:jc w:val="center"/>
        <w:rPr>
          <w:b/>
          <w:spacing w:val="25"/>
          <w:lang w:val="es-MX"/>
        </w:rPr>
      </w:pPr>
      <w:r w:rsidRPr="004C00E9">
        <w:rPr>
          <w:b/>
          <w:spacing w:val="25"/>
          <w:lang w:val="es-MX"/>
        </w:rPr>
        <w:t>(</w:t>
      </w:r>
      <w:r w:rsidRPr="004C00E9">
        <w:rPr>
          <w:b/>
          <w:i/>
          <w:spacing w:val="25"/>
          <w:lang w:val="es-MX"/>
        </w:rPr>
        <w:t>Cifras desestacionalizadas</w:t>
      </w:r>
      <w:r w:rsidRPr="004C00E9">
        <w:rPr>
          <w:b/>
          <w:spacing w:val="25"/>
          <w:lang w:val="es-MX"/>
        </w:rPr>
        <w:t>)</w:t>
      </w:r>
    </w:p>
    <w:p w:rsidR="006734F0" w:rsidRPr="004C00E9" w:rsidRDefault="006734F0" w:rsidP="006734F0">
      <w:pPr>
        <w:pStyle w:val="bullet"/>
        <w:keepLines w:val="0"/>
        <w:spacing w:before="360" w:after="0"/>
        <w:ind w:left="-284" w:right="-405" w:firstLine="0"/>
        <w:rPr>
          <w:b w:val="0"/>
          <w:color w:val="auto"/>
          <w:szCs w:val="24"/>
        </w:rPr>
      </w:pPr>
      <w:r w:rsidRPr="004C00E9">
        <w:rPr>
          <w:b w:val="0"/>
          <w:color w:val="auto"/>
          <w:szCs w:val="24"/>
        </w:rPr>
        <w:t>El INEGI informa que el Indicador Global de la Actividad Económica (IGAE) disminuyó (-)0.5% en términos reales en el décimo mes del presente año respecto al mes previo, con cifras desestacionalizadas</w:t>
      </w:r>
      <w:r w:rsidRPr="004C00E9">
        <w:rPr>
          <w:b w:val="0"/>
          <w:color w:val="auto"/>
          <w:szCs w:val="24"/>
          <w:vertAlign w:val="superscript"/>
        </w:rPr>
        <w:footnoteReference w:id="2"/>
      </w:r>
      <w:r w:rsidRPr="004C00E9">
        <w:rPr>
          <w:b w:val="0"/>
          <w:color w:val="auto"/>
          <w:szCs w:val="24"/>
        </w:rPr>
        <w:t>.</w:t>
      </w:r>
    </w:p>
    <w:p w:rsidR="006734F0" w:rsidRPr="00DD7540" w:rsidRDefault="006734F0" w:rsidP="006734F0">
      <w:pPr>
        <w:pStyle w:val="p02"/>
        <w:keepNext/>
        <w:widowControl w:val="0"/>
        <w:spacing w:before="0"/>
        <w:ind w:left="-284" w:right="-263"/>
        <w:rPr>
          <w:rFonts w:ascii="Arial" w:hAnsi="Arial" w:cs="Arial"/>
          <w:smallCaps/>
          <w:color w:val="auto"/>
          <w:szCs w:val="24"/>
        </w:rPr>
      </w:pPr>
    </w:p>
    <w:p w:rsidR="006734F0" w:rsidRDefault="006734F0" w:rsidP="006734F0">
      <w:pPr>
        <w:pStyle w:val="p02"/>
        <w:keepNext/>
        <w:widowControl w:val="0"/>
        <w:spacing w:before="120"/>
        <w:ind w:right="23"/>
        <w:jc w:val="center"/>
        <w:rPr>
          <w:rFonts w:ascii="Arial" w:hAnsi="Arial" w:cs="Arial"/>
          <w:b/>
          <w:smallCaps/>
          <w:color w:val="auto"/>
          <w:sz w:val="22"/>
        </w:rPr>
      </w:pPr>
    </w:p>
    <w:p w:rsidR="006734F0" w:rsidRDefault="006734F0" w:rsidP="006734F0">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octubre </w:t>
      </w:r>
      <w:r>
        <w:rPr>
          <w:rFonts w:ascii="Arial" w:hAnsi="Arial" w:cs="Arial"/>
          <w:b/>
          <w:smallCaps/>
          <w:color w:val="000000"/>
          <w:sz w:val="22"/>
          <w:szCs w:val="22"/>
          <w:lang w:val="es-MX"/>
        </w:rPr>
        <w:t>de 2019</w:t>
      </w:r>
    </w:p>
    <w:p w:rsidR="006734F0" w:rsidRPr="00961776" w:rsidRDefault="006734F0" w:rsidP="006734F0">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rsidR="006734F0" w:rsidRPr="009B388F" w:rsidRDefault="006734F0" w:rsidP="006734F0">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rsidR="006734F0" w:rsidRPr="000B1975" w:rsidRDefault="006734F0" w:rsidP="006734F0">
      <w:pPr>
        <w:pStyle w:val="p02"/>
        <w:keepLines w:val="0"/>
        <w:widowControl w:val="0"/>
        <w:spacing w:before="0"/>
        <w:ind w:right="21"/>
        <w:jc w:val="center"/>
        <w:rPr>
          <w:rFonts w:ascii="Arial" w:hAnsi="Arial" w:cs="Arial"/>
          <w:color w:val="000000"/>
          <w:sz w:val="18"/>
        </w:rPr>
      </w:pPr>
      <w:r>
        <w:rPr>
          <w:noProof/>
          <w:lang w:val="en-US" w:eastAsia="en-US"/>
        </w:rPr>
        <w:drawing>
          <wp:inline distT="0" distB="0" distL="0" distR="0" wp14:anchorId="3730B379" wp14:editId="6261F528">
            <wp:extent cx="4680000" cy="2472800"/>
            <wp:effectExtent l="0" t="0" r="25400" b="22860"/>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734F0" w:rsidRPr="00AA768F" w:rsidRDefault="006734F0" w:rsidP="006734F0">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rsidR="006734F0" w:rsidRDefault="006734F0" w:rsidP="006734F0">
      <w:pPr>
        <w:rPr>
          <w:szCs w:val="16"/>
          <w:lang w:val="es-MX"/>
        </w:rPr>
      </w:pPr>
    </w:p>
    <w:p w:rsidR="006734F0" w:rsidRDefault="006734F0" w:rsidP="006734F0">
      <w:pPr>
        <w:rPr>
          <w:szCs w:val="16"/>
          <w:lang w:val="es-MX"/>
        </w:rPr>
      </w:pPr>
    </w:p>
    <w:p w:rsidR="006734F0" w:rsidRPr="004C00E9" w:rsidRDefault="006734F0" w:rsidP="006734F0">
      <w:pPr>
        <w:pStyle w:val="bullet"/>
        <w:keepLines w:val="0"/>
        <w:spacing w:after="0"/>
        <w:ind w:left="-284" w:right="-405" w:firstLine="0"/>
        <w:rPr>
          <w:b w:val="0"/>
          <w:color w:val="auto"/>
          <w:szCs w:val="24"/>
        </w:rPr>
      </w:pPr>
      <w:r w:rsidRPr="004C00E9">
        <w:rPr>
          <w:b w:val="0"/>
          <w:color w:val="auto"/>
          <w:szCs w:val="24"/>
        </w:rPr>
        <w:t>Por grandes grupos de actividades, las Primarias descendieron (</w:t>
      </w:r>
      <w:r w:rsidRPr="004C00E9">
        <w:rPr>
          <w:b w:val="0"/>
          <w:color w:val="auto"/>
          <w:szCs w:val="24"/>
        </w:rPr>
        <w:noBreakHyphen/>
        <w:t>)1.6%, las Secundarias se redujeron (-)1.1% y las Terciarias lo hicieron en (-)0.1%, durante octubre de 2019 frente al mes precedente.</w:t>
      </w:r>
    </w:p>
    <w:p w:rsidR="006734F0" w:rsidRPr="004C00E9" w:rsidRDefault="006734F0" w:rsidP="006734F0">
      <w:pPr>
        <w:pStyle w:val="bullet"/>
        <w:keepLines w:val="0"/>
        <w:spacing w:after="0"/>
        <w:ind w:left="-284" w:right="-405" w:firstLine="0"/>
        <w:rPr>
          <w:b w:val="0"/>
          <w:color w:val="auto"/>
          <w:szCs w:val="24"/>
        </w:rPr>
      </w:pPr>
    </w:p>
    <w:p w:rsidR="006734F0" w:rsidRDefault="006734F0" w:rsidP="006734F0">
      <w:pPr>
        <w:pStyle w:val="bullet"/>
        <w:keepLines w:val="0"/>
        <w:spacing w:after="0"/>
        <w:ind w:left="-567" w:right="-405" w:firstLine="0"/>
        <w:rPr>
          <w:b w:val="0"/>
          <w:color w:val="auto"/>
          <w:szCs w:val="24"/>
        </w:rPr>
      </w:pPr>
    </w:p>
    <w:p w:rsidR="006734F0" w:rsidRDefault="006734F0" w:rsidP="006734F0">
      <w:pPr>
        <w:pStyle w:val="bullet"/>
        <w:keepLines w:val="0"/>
        <w:spacing w:after="0"/>
        <w:ind w:left="-567" w:right="-405" w:firstLine="0"/>
        <w:rPr>
          <w:b w:val="0"/>
          <w:color w:val="auto"/>
          <w:szCs w:val="24"/>
        </w:rPr>
      </w:pPr>
    </w:p>
    <w:p w:rsidR="006734F0" w:rsidRPr="004C00E9" w:rsidRDefault="006734F0" w:rsidP="006734F0">
      <w:pPr>
        <w:pStyle w:val="bullet"/>
        <w:keepLines w:val="0"/>
        <w:spacing w:before="360" w:after="0"/>
        <w:ind w:left="-567" w:right="-405" w:firstLine="0"/>
        <w:rPr>
          <w:rFonts w:cs="Arial"/>
          <w:b w:val="0"/>
          <w:smallCaps/>
          <w:szCs w:val="24"/>
        </w:rPr>
      </w:pPr>
      <w:r w:rsidRPr="004C00E9">
        <w:rPr>
          <w:b w:val="0"/>
          <w:color w:val="auto"/>
          <w:szCs w:val="24"/>
        </w:rPr>
        <w:t>En términos anuales</w:t>
      </w:r>
      <w:r w:rsidRPr="004C00E9">
        <w:rPr>
          <w:b w:val="0"/>
          <w:color w:val="auto"/>
          <w:szCs w:val="24"/>
          <w:vertAlign w:val="superscript"/>
        </w:rPr>
        <w:footnoteReference w:id="3"/>
      </w:r>
      <w:r w:rsidRPr="004C00E9">
        <w:rPr>
          <w:b w:val="0"/>
          <w:color w:val="auto"/>
          <w:szCs w:val="24"/>
        </w:rPr>
        <w:t>, el IGAE registró una caída real de (-)0.7% en el mes de referencia. Por grandes grupos de actividades, las Secundarias decrecieron (-)2.8% y las Terciarias retrocedieron (</w:t>
      </w:r>
      <w:r w:rsidRPr="004C00E9">
        <w:rPr>
          <w:b w:val="0"/>
          <w:color w:val="auto"/>
          <w:szCs w:val="24"/>
        </w:rPr>
        <w:noBreakHyphen/>
        <w:t xml:space="preserve">)0.1%, mientras que las Primarias se incrementaron 9.3% con relación al mismo mes de 2018. </w:t>
      </w:r>
    </w:p>
    <w:p w:rsidR="006734F0" w:rsidRDefault="006734F0" w:rsidP="006734F0">
      <w:pPr>
        <w:pStyle w:val="bullet"/>
        <w:keepLines w:val="0"/>
        <w:spacing w:before="600"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octubre de 2019</w:t>
      </w:r>
    </w:p>
    <w:p w:rsidR="006734F0" w:rsidRPr="0082401B" w:rsidRDefault="006734F0" w:rsidP="006734F0">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6734F0" w:rsidTr="007F33ED">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rsidR="006734F0" w:rsidRPr="008F66F2" w:rsidRDefault="006734F0" w:rsidP="007F33ED">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rsidR="006734F0" w:rsidRPr="008F66F2" w:rsidRDefault="006734F0" w:rsidP="007F33ED">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rsidR="006734F0" w:rsidRPr="008F66F2" w:rsidRDefault="006734F0" w:rsidP="007F33ED">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201</w:t>
            </w:r>
            <w:r>
              <w:rPr>
                <w:rFonts w:ascii="Arial" w:hAnsi="Arial"/>
                <w:b/>
                <w:color w:val="000000" w:themeColor="text1"/>
                <w:sz w:val="16"/>
              </w:rPr>
              <w:t>8</w:t>
            </w:r>
          </w:p>
        </w:tc>
      </w:tr>
      <w:tr w:rsidR="006734F0" w:rsidRPr="00901570" w:rsidTr="007F33ED">
        <w:trPr>
          <w:jc w:val="center"/>
        </w:trPr>
        <w:tc>
          <w:tcPr>
            <w:tcW w:w="2977" w:type="dxa"/>
            <w:tcBorders>
              <w:top w:val="single" w:sz="4" w:space="0" w:color="auto"/>
              <w:left w:val="double" w:sz="4" w:space="0" w:color="auto"/>
              <w:bottom w:val="nil"/>
              <w:right w:val="single" w:sz="4" w:space="0" w:color="000000"/>
            </w:tcBorders>
            <w:vAlign w:val="center"/>
            <w:hideMark/>
          </w:tcPr>
          <w:p w:rsidR="006734F0" w:rsidRPr="00901570" w:rsidRDefault="006734F0" w:rsidP="007F33ED">
            <w:pPr>
              <w:pStyle w:val="p0"/>
              <w:spacing w:before="120"/>
              <w:ind w:left="161"/>
              <w:rPr>
                <w:rFonts w:ascii="Arial" w:hAnsi="Arial"/>
                <w:b/>
                <w:color w:val="auto"/>
                <w:sz w:val="18"/>
              </w:rPr>
            </w:pPr>
            <w:r w:rsidRPr="00901570">
              <w:rPr>
                <w:rFonts w:ascii="Arial" w:hAnsi="Arial"/>
                <w:b/>
                <w:color w:val="auto"/>
                <w:sz w:val="18"/>
                <w:szCs w:val="18"/>
              </w:rPr>
              <w:t xml:space="preserve"> IGAE</w:t>
            </w:r>
          </w:p>
        </w:tc>
        <w:tc>
          <w:tcPr>
            <w:tcW w:w="2268" w:type="dxa"/>
            <w:tcBorders>
              <w:top w:val="single" w:sz="4" w:space="0" w:color="auto"/>
              <w:left w:val="single" w:sz="4" w:space="0" w:color="000000"/>
              <w:bottom w:val="nil"/>
              <w:right w:val="single" w:sz="4" w:space="0" w:color="000000"/>
            </w:tcBorders>
            <w:vAlign w:val="center"/>
            <w:hideMark/>
          </w:tcPr>
          <w:p w:rsidR="006734F0" w:rsidRPr="00B0477D" w:rsidRDefault="006734F0" w:rsidP="007F33ED">
            <w:pPr>
              <w:pStyle w:val="p0"/>
              <w:spacing w:before="120"/>
              <w:ind w:right="818"/>
              <w:jc w:val="right"/>
              <w:rPr>
                <w:rFonts w:ascii="Arial" w:hAnsi="Arial"/>
                <w:b/>
                <w:color w:val="auto"/>
                <w:sz w:val="18"/>
              </w:rPr>
            </w:pPr>
            <w:r>
              <w:rPr>
                <w:rFonts w:ascii="Arial" w:hAnsi="Arial"/>
                <w:b/>
                <w:color w:val="auto"/>
                <w:sz w:val="18"/>
              </w:rPr>
              <w:t>(-)</w:t>
            </w:r>
            <w:r w:rsidRPr="00B0477D">
              <w:rPr>
                <w:rFonts w:ascii="Arial" w:hAnsi="Arial"/>
                <w:b/>
                <w:color w:val="auto"/>
                <w:sz w:val="18"/>
              </w:rPr>
              <w:t xml:space="preserve">  0.</w:t>
            </w:r>
            <w:r>
              <w:rPr>
                <w:rFonts w:ascii="Arial" w:hAnsi="Arial"/>
                <w:b/>
                <w:color w:val="auto"/>
                <w:sz w:val="18"/>
              </w:rPr>
              <w:t>5</w:t>
            </w:r>
          </w:p>
        </w:tc>
        <w:tc>
          <w:tcPr>
            <w:tcW w:w="2410" w:type="dxa"/>
            <w:tcBorders>
              <w:top w:val="single" w:sz="4" w:space="0" w:color="auto"/>
              <w:left w:val="single" w:sz="4" w:space="0" w:color="000000"/>
              <w:bottom w:val="nil"/>
              <w:right w:val="double" w:sz="4" w:space="0" w:color="auto"/>
            </w:tcBorders>
            <w:vAlign w:val="center"/>
            <w:hideMark/>
          </w:tcPr>
          <w:p w:rsidR="006734F0" w:rsidRPr="00B0477D" w:rsidRDefault="006734F0" w:rsidP="007F33ED">
            <w:pPr>
              <w:pStyle w:val="p0"/>
              <w:spacing w:before="120"/>
              <w:ind w:right="1021"/>
              <w:jc w:val="right"/>
              <w:rPr>
                <w:rFonts w:ascii="Arial" w:hAnsi="Arial"/>
                <w:b/>
                <w:color w:val="auto"/>
                <w:sz w:val="18"/>
              </w:rPr>
            </w:pPr>
            <w:r w:rsidRPr="00B0477D">
              <w:rPr>
                <w:rFonts w:ascii="Arial" w:hAnsi="Arial"/>
                <w:b/>
                <w:color w:val="auto"/>
                <w:sz w:val="18"/>
              </w:rPr>
              <w:t>(-)  0.</w:t>
            </w:r>
            <w:r>
              <w:rPr>
                <w:rFonts w:ascii="Arial" w:hAnsi="Arial"/>
                <w:b/>
                <w:color w:val="auto"/>
                <w:sz w:val="18"/>
              </w:rPr>
              <w:t>7</w:t>
            </w:r>
          </w:p>
        </w:tc>
      </w:tr>
      <w:tr w:rsidR="006734F0" w:rsidRPr="00901570" w:rsidTr="007F33ED">
        <w:trPr>
          <w:jc w:val="center"/>
        </w:trPr>
        <w:tc>
          <w:tcPr>
            <w:tcW w:w="2977" w:type="dxa"/>
            <w:tcBorders>
              <w:top w:val="nil"/>
              <w:left w:val="double" w:sz="4" w:space="0" w:color="auto"/>
              <w:bottom w:val="nil"/>
              <w:right w:val="single" w:sz="4" w:space="0" w:color="000000"/>
            </w:tcBorders>
            <w:vAlign w:val="center"/>
            <w:hideMark/>
          </w:tcPr>
          <w:p w:rsidR="006734F0" w:rsidRPr="00901570" w:rsidRDefault="006734F0" w:rsidP="007F33ED">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rsidR="006734F0" w:rsidRPr="00B0477D" w:rsidRDefault="006734F0" w:rsidP="007F33ED">
            <w:pPr>
              <w:pStyle w:val="p0"/>
              <w:spacing w:before="120"/>
              <w:ind w:right="818"/>
              <w:jc w:val="right"/>
              <w:rPr>
                <w:rFonts w:ascii="Arial" w:hAnsi="Arial"/>
                <w:color w:val="auto"/>
                <w:sz w:val="18"/>
              </w:rPr>
            </w:pPr>
            <w:r>
              <w:rPr>
                <w:rFonts w:ascii="Arial" w:hAnsi="Arial"/>
                <w:color w:val="auto"/>
                <w:sz w:val="18"/>
              </w:rPr>
              <w:t xml:space="preserve">(-) </w:t>
            </w:r>
            <w:r w:rsidRPr="00B0477D">
              <w:rPr>
                <w:rFonts w:ascii="Arial" w:hAnsi="Arial"/>
                <w:color w:val="auto"/>
                <w:sz w:val="18"/>
              </w:rPr>
              <w:t xml:space="preserve"> 1</w:t>
            </w:r>
            <w:r>
              <w:rPr>
                <w:rFonts w:ascii="Arial" w:hAnsi="Arial"/>
                <w:color w:val="auto"/>
                <w:sz w:val="18"/>
              </w:rPr>
              <w:t>.6</w:t>
            </w:r>
          </w:p>
        </w:tc>
        <w:tc>
          <w:tcPr>
            <w:tcW w:w="2410" w:type="dxa"/>
            <w:tcBorders>
              <w:top w:val="nil"/>
              <w:left w:val="single" w:sz="4" w:space="0" w:color="000000"/>
              <w:bottom w:val="nil"/>
              <w:right w:val="double" w:sz="4" w:space="0" w:color="auto"/>
            </w:tcBorders>
            <w:vAlign w:val="center"/>
            <w:hideMark/>
          </w:tcPr>
          <w:p w:rsidR="006734F0" w:rsidRPr="00B0477D" w:rsidRDefault="006734F0" w:rsidP="007F33ED">
            <w:pPr>
              <w:pStyle w:val="p0"/>
              <w:spacing w:before="120"/>
              <w:ind w:right="1021"/>
              <w:jc w:val="right"/>
              <w:rPr>
                <w:rFonts w:ascii="Arial" w:hAnsi="Arial"/>
                <w:color w:val="auto"/>
                <w:sz w:val="18"/>
              </w:rPr>
            </w:pPr>
            <w:r>
              <w:rPr>
                <w:rFonts w:ascii="Arial" w:hAnsi="Arial"/>
                <w:color w:val="auto"/>
                <w:sz w:val="18"/>
              </w:rPr>
              <w:t>9</w:t>
            </w:r>
            <w:r w:rsidRPr="00B0477D">
              <w:rPr>
                <w:rFonts w:ascii="Arial" w:hAnsi="Arial"/>
                <w:color w:val="auto"/>
                <w:sz w:val="18"/>
              </w:rPr>
              <w:t>.</w:t>
            </w:r>
            <w:r>
              <w:rPr>
                <w:rFonts w:ascii="Arial" w:hAnsi="Arial"/>
                <w:color w:val="auto"/>
                <w:sz w:val="18"/>
              </w:rPr>
              <w:t>3</w:t>
            </w:r>
          </w:p>
        </w:tc>
      </w:tr>
      <w:tr w:rsidR="006734F0" w:rsidRPr="00901570" w:rsidTr="007F33ED">
        <w:trPr>
          <w:jc w:val="center"/>
        </w:trPr>
        <w:tc>
          <w:tcPr>
            <w:tcW w:w="2977" w:type="dxa"/>
            <w:tcBorders>
              <w:top w:val="nil"/>
              <w:left w:val="double" w:sz="4" w:space="0" w:color="auto"/>
              <w:bottom w:val="nil"/>
              <w:right w:val="single" w:sz="4" w:space="0" w:color="000000"/>
            </w:tcBorders>
            <w:vAlign w:val="center"/>
            <w:hideMark/>
          </w:tcPr>
          <w:p w:rsidR="006734F0" w:rsidRPr="00901570" w:rsidRDefault="006734F0" w:rsidP="007F33ED">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rsidR="006734F0" w:rsidRPr="00B0477D" w:rsidRDefault="006734F0" w:rsidP="007F33ED">
            <w:pPr>
              <w:pStyle w:val="p0"/>
              <w:spacing w:before="120"/>
              <w:ind w:right="818"/>
              <w:jc w:val="right"/>
              <w:rPr>
                <w:rFonts w:ascii="Arial" w:hAnsi="Arial"/>
                <w:color w:val="auto"/>
                <w:sz w:val="18"/>
              </w:rPr>
            </w:pPr>
            <w:r>
              <w:rPr>
                <w:rFonts w:ascii="Arial" w:hAnsi="Arial"/>
                <w:color w:val="auto"/>
                <w:sz w:val="18"/>
              </w:rPr>
              <w:t>(-)</w:t>
            </w:r>
            <w:r w:rsidRPr="00B0477D">
              <w:rPr>
                <w:rFonts w:ascii="Arial" w:hAnsi="Arial"/>
                <w:color w:val="auto"/>
                <w:sz w:val="18"/>
              </w:rPr>
              <w:t xml:space="preserve">  </w:t>
            </w:r>
            <w:r>
              <w:rPr>
                <w:rFonts w:ascii="Arial" w:hAnsi="Arial"/>
                <w:color w:val="auto"/>
                <w:sz w:val="18"/>
              </w:rPr>
              <w:t>1</w:t>
            </w:r>
            <w:r w:rsidRPr="00B0477D">
              <w:rPr>
                <w:rFonts w:ascii="Arial" w:hAnsi="Arial"/>
                <w:color w:val="auto"/>
                <w:sz w:val="18"/>
              </w:rPr>
              <w:t>.</w:t>
            </w:r>
            <w:r>
              <w:rPr>
                <w:rFonts w:ascii="Arial" w:hAnsi="Arial"/>
                <w:color w:val="auto"/>
                <w:sz w:val="18"/>
              </w:rPr>
              <w:t>1</w:t>
            </w:r>
          </w:p>
        </w:tc>
        <w:tc>
          <w:tcPr>
            <w:tcW w:w="2410" w:type="dxa"/>
            <w:tcBorders>
              <w:top w:val="nil"/>
              <w:left w:val="single" w:sz="4" w:space="0" w:color="000000"/>
              <w:bottom w:val="nil"/>
              <w:right w:val="double" w:sz="4" w:space="0" w:color="auto"/>
            </w:tcBorders>
            <w:vAlign w:val="center"/>
            <w:hideMark/>
          </w:tcPr>
          <w:p w:rsidR="006734F0" w:rsidRPr="00B0477D" w:rsidRDefault="006734F0" w:rsidP="007F33ED">
            <w:pPr>
              <w:pStyle w:val="p0"/>
              <w:spacing w:before="120"/>
              <w:ind w:right="1021"/>
              <w:jc w:val="right"/>
              <w:rPr>
                <w:rFonts w:ascii="Arial" w:hAnsi="Arial"/>
                <w:color w:val="auto"/>
                <w:sz w:val="18"/>
              </w:rPr>
            </w:pPr>
            <w:r w:rsidRPr="00B0477D">
              <w:rPr>
                <w:rFonts w:ascii="Arial" w:hAnsi="Arial"/>
                <w:color w:val="auto"/>
                <w:sz w:val="18"/>
              </w:rPr>
              <w:t>(-)  2.</w:t>
            </w:r>
            <w:r>
              <w:rPr>
                <w:rFonts w:ascii="Arial" w:hAnsi="Arial"/>
                <w:color w:val="auto"/>
                <w:sz w:val="18"/>
              </w:rPr>
              <w:t>8</w:t>
            </w:r>
          </w:p>
        </w:tc>
      </w:tr>
      <w:tr w:rsidR="006734F0" w:rsidRPr="00901570" w:rsidTr="007F33ED">
        <w:trPr>
          <w:jc w:val="center"/>
        </w:trPr>
        <w:tc>
          <w:tcPr>
            <w:tcW w:w="2977" w:type="dxa"/>
            <w:tcBorders>
              <w:top w:val="nil"/>
              <w:left w:val="double" w:sz="4" w:space="0" w:color="auto"/>
              <w:bottom w:val="double" w:sz="4" w:space="0" w:color="auto"/>
              <w:right w:val="single" w:sz="4" w:space="0" w:color="000000"/>
            </w:tcBorders>
            <w:vAlign w:val="center"/>
            <w:hideMark/>
          </w:tcPr>
          <w:p w:rsidR="006734F0" w:rsidRPr="00901570" w:rsidRDefault="006734F0" w:rsidP="007F33ED">
            <w:pPr>
              <w:pStyle w:val="p0"/>
              <w:spacing w:before="120" w:after="120"/>
              <w:ind w:left="171"/>
              <w:jc w:val="left"/>
              <w:rPr>
                <w:rFonts w:ascii="Arial" w:hAnsi="Arial"/>
                <w:color w:val="auto"/>
                <w:sz w:val="18"/>
              </w:rPr>
            </w:pP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rsidR="006734F0" w:rsidRPr="00B0477D" w:rsidRDefault="006734F0" w:rsidP="007F33ED">
            <w:pPr>
              <w:pStyle w:val="p0"/>
              <w:spacing w:before="120" w:after="120"/>
              <w:ind w:right="818"/>
              <w:jc w:val="right"/>
              <w:rPr>
                <w:rFonts w:ascii="Arial" w:hAnsi="Arial"/>
                <w:color w:val="auto"/>
                <w:sz w:val="18"/>
              </w:rPr>
            </w:pPr>
            <w:r>
              <w:rPr>
                <w:rFonts w:ascii="Arial" w:hAnsi="Arial"/>
                <w:color w:val="auto"/>
                <w:sz w:val="18"/>
              </w:rPr>
              <w:t>(-)</w:t>
            </w:r>
            <w:r w:rsidRPr="00B0477D">
              <w:rPr>
                <w:rFonts w:ascii="Arial" w:hAnsi="Arial"/>
                <w:color w:val="auto"/>
                <w:sz w:val="18"/>
              </w:rPr>
              <w:t xml:space="preserve">  0.</w:t>
            </w:r>
            <w:r>
              <w:rPr>
                <w:rFonts w:ascii="Arial" w:hAnsi="Arial"/>
                <w:color w:val="auto"/>
                <w:sz w:val="18"/>
              </w:rPr>
              <w:t>1</w:t>
            </w:r>
          </w:p>
        </w:tc>
        <w:tc>
          <w:tcPr>
            <w:tcW w:w="2410" w:type="dxa"/>
            <w:tcBorders>
              <w:top w:val="nil"/>
              <w:left w:val="single" w:sz="4" w:space="0" w:color="000000"/>
              <w:bottom w:val="double" w:sz="4" w:space="0" w:color="auto"/>
              <w:right w:val="double" w:sz="4" w:space="0" w:color="auto"/>
            </w:tcBorders>
            <w:vAlign w:val="center"/>
            <w:hideMark/>
          </w:tcPr>
          <w:p w:rsidR="006734F0" w:rsidRPr="00B0477D" w:rsidRDefault="006734F0" w:rsidP="007F33ED">
            <w:pPr>
              <w:pStyle w:val="p0"/>
              <w:spacing w:before="120" w:after="120"/>
              <w:ind w:right="1021"/>
              <w:jc w:val="right"/>
              <w:rPr>
                <w:rFonts w:ascii="Arial" w:hAnsi="Arial"/>
                <w:color w:val="auto"/>
                <w:sz w:val="18"/>
              </w:rPr>
            </w:pPr>
            <w:r>
              <w:rPr>
                <w:rFonts w:ascii="Arial" w:hAnsi="Arial"/>
                <w:color w:val="auto"/>
                <w:sz w:val="18"/>
              </w:rPr>
              <w:t>(-)</w:t>
            </w:r>
            <w:r w:rsidRPr="00B0477D">
              <w:rPr>
                <w:rFonts w:ascii="Arial" w:hAnsi="Arial"/>
                <w:color w:val="auto"/>
                <w:sz w:val="18"/>
              </w:rPr>
              <w:t xml:space="preserve">  0.</w:t>
            </w:r>
            <w:r>
              <w:rPr>
                <w:rFonts w:ascii="Arial" w:hAnsi="Arial"/>
                <w:color w:val="auto"/>
                <w:sz w:val="18"/>
              </w:rPr>
              <w:t>1</w:t>
            </w:r>
          </w:p>
        </w:tc>
      </w:tr>
    </w:tbl>
    <w:p w:rsidR="006734F0" w:rsidRPr="0082401B" w:rsidRDefault="006734F0" w:rsidP="00145DF2">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rsidR="006734F0" w:rsidRPr="0082401B" w:rsidRDefault="006734F0" w:rsidP="00145DF2">
      <w:pPr>
        <w:tabs>
          <w:tab w:val="num" w:pos="1843"/>
          <w:tab w:val="left" w:pos="8050"/>
        </w:tabs>
        <w:spacing w:after="240"/>
        <w:ind w:left="709"/>
        <w:rPr>
          <w:lang w:val="es-MX"/>
        </w:rPr>
      </w:pPr>
      <w:r w:rsidRPr="0082401B">
        <w:rPr>
          <w:sz w:val="16"/>
          <w:szCs w:val="16"/>
        </w:rPr>
        <w:t>Fuente: INEGI.</w:t>
      </w:r>
    </w:p>
    <w:p w:rsidR="006734F0" w:rsidRDefault="006734F0" w:rsidP="006734F0">
      <w:pPr>
        <w:jc w:val="center"/>
        <w:rPr>
          <w:b/>
          <w:color w:val="000000"/>
        </w:rPr>
      </w:pPr>
    </w:p>
    <w:p w:rsidR="006734F0" w:rsidRDefault="006734F0" w:rsidP="006734F0">
      <w:pPr>
        <w:jc w:val="center"/>
        <w:rPr>
          <w:b/>
          <w:color w:val="000000"/>
        </w:rPr>
      </w:pPr>
    </w:p>
    <w:p w:rsidR="006734F0" w:rsidRDefault="006734F0" w:rsidP="006734F0">
      <w:pPr>
        <w:jc w:val="center"/>
        <w:rPr>
          <w:b/>
          <w:color w:val="000000"/>
        </w:rPr>
      </w:pPr>
    </w:p>
    <w:p w:rsidR="006734F0" w:rsidRDefault="006734F0" w:rsidP="006734F0">
      <w:pPr>
        <w:jc w:val="center"/>
        <w:rPr>
          <w:b/>
          <w:color w:val="000000"/>
        </w:rPr>
      </w:pPr>
      <w:r w:rsidRPr="003B1ACA">
        <w:rPr>
          <w:b/>
          <w:color w:val="000000"/>
        </w:rPr>
        <w:t>Se anexa Nota Técnica</w:t>
      </w:r>
    </w:p>
    <w:p w:rsidR="006734F0" w:rsidRDefault="006734F0" w:rsidP="006734F0">
      <w:pPr>
        <w:pStyle w:val="p0"/>
        <w:jc w:val="center"/>
      </w:pPr>
    </w:p>
    <w:p w:rsidR="006734F0" w:rsidRDefault="006734F0" w:rsidP="006734F0">
      <w:pPr>
        <w:pStyle w:val="NormalWeb"/>
        <w:spacing w:before="0" w:beforeAutospacing="0" w:after="0" w:afterAutospacing="0"/>
        <w:ind w:left="-426" w:right="-518"/>
        <w:contextualSpacing/>
        <w:jc w:val="center"/>
        <w:rPr>
          <w:rFonts w:ascii="Arial" w:hAnsi="Arial" w:cs="Arial"/>
          <w:sz w:val="22"/>
          <w:szCs w:val="22"/>
        </w:rPr>
      </w:pPr>
    </w:p>
    <w:p w:rsidR="006734F0" w:rsidRDefault="006734F0" w:rsidP="006734F0">
      <w:pPr>
        <w:pStyle w:val="NormalWeb"/>
        <w:spacing w:before="0" w:beforeAutospacing="0" w:after="0" w:afterAutospacing="0"/>
        <w:ind w:left="-426" w:right="-518"/>
        <w:contextualSpacing/>
        <w:jc w:val="center"/>
        <w:rPr>
          <w:rFonts w:ascii="Arial" w:hAnsi="Arial" w:cs="Arial"/>
          <w:sz w:val="22"/>
          <w:szCs w:val="22"/>
        </w:rPr>
      </w:pPr>
    </w:p>
    <w:p w:rsidR="006734F0" w:rsidRDefault="006734F0" w:rsidP="006734F0">
      <w:pPr>
        <w:pStyle w:val="NormalWeb"/>
        <w:spacing w:before="0" w:beforeAutospacing="0" w:after="0" w:afterAutospacing="0"/>
        <w:ind w:left="-426" w:right="-518"/>
        <w:contextualSpacing/>
        <w:jc w:val="center"/>
        <w:rPr>
          <w:rFonts w:ascii="Arial" w:hAnsi="Arial" w:cs="Arial"/>
          <w:sz w:val="22"/>
          <w:szCs w:val="22"/>
        </w:rPr>
      </w:pPr>
    </w:p>
    <w:p w:rsidR="006734F0" w:rsidRDefault="006734F0" w:rsidP="006734F0">
      <w:pPr>
        <w:pStyle w:val="NormalWeb"/>
        <w:spacing w:before="0" w:beforeAutospacing="0" w:after="0" w:afterAutospacing="0"/>
        <w:ind w:left="-426" w:right="-518"/>
        <w:contextualSpacing/>
        <w:jc w:val="center"/>
        <w:rPr>
          <w:rFonts w:ascii="Arial" w:hAnsi="Arial" w:cs="Arial"/>
          <w:sz w:val="22"/>
          <w:szCs w:val="22"/>
        </w:rPr>
      </w:pPr>
    </w:p>
    <w:p w:rsidR="006734F0" w:rsidRDefault="006734F0" w:rsidP="006734F0">
      <w:pPr>
        <w:pStyle w:val="NormalWeb"/>
        <w:spacing w:before="0" w:beforeAutospacing="0" w:after="0" w:afterAutospacing="0"/>
        <w:ind w:left="-426" w:right="-518"/>
        <w:contextualSpacing/>
        <w:jc w:val="center"/>
        <w:rPr>
          <w:rFonts w:ascii="Arial" w:hAnsi="Arial" w:cs="Arial"/>
          <w:sz w:val="22"/>
          <w:szCs w:val="22"/>
        </w:rPr>
      </w:pPr>
    </w:p>
    <w:p w:rsidR="006734F0" w:rsidRDefault="006734F0" w:rsidP="006734F0">
      <w:pPr>
        <w:pStyle w:val="NormalWeb"/>
        <w:spacing w:before="0" w:beforeAutospacing="0" w:after="0" w:afterAutospacing="0"/>
        <w:ind w:left="-426" w:right="-518"/>
        <w:contextualSpacing/>
        <w:jc w:val="center"/>
        <w:rPr>
          <w:rFonts w:ascii="Arial" w:hAnsi="Arial" w:cs="Arial"/>
          <w:sz w:val="22"/>
          <w:szCs w:val="22"/>
        </w:rPr>
      </w:pPr>
    </w:p>
    <w:p w:rsidR="006734F0" w:rsidRDefault="006734F0" w:rsidP="006734F0">
      <w:pPr>
        <w:pStyle w:val="NormalWeb"/>
        <w:spacing w:before="0" w:beforeAutospacing="0" w:after="0" w:afterAutospacing="0"/>
        <w:ind w:left="-426" w:right="-518"/>
        <w:contextualSpacing/>
        <w:jc w:val="center"/>
        <w:rPr>
          <w:rFonts w:ascii="Arial" w:hAnsi="Arial" w:cs="Arial"/>
          <w:sz w:val="22"/>
          <w:szCs w:val="22"/>
        </w:rPr>
      </w:pPr>
    </w:p>
    <w:p w:rsidR="006734F0" w:rsidRDefault="006734F0" w:rsidP="006734F0">
      <w:pPr>
        <w:pStyle w:val="NormalWeb"/>
        <w:spacing w:before="0" w:beforeAutospacing="0" w:after="0" w:afterAutospacing="0"/>
        <w:ind w:left="-426" w:right="-518"/>
        <w:contextualSpacing/>
        <w:jc w:val="center"/>
        <w:rPr>
          <w:rFonts w:ascii="Arial" w:hAnsi="Arial" w:cs="Arial"/>
          <w:sz w:val="22"/>
          <w:szCs w:val="22"/>
        </w:rPr>
      </w:pPr>
    </w:p>
    <w:p w:rsidR="006734F0" w:rsidRPr="00745B1D" w:rsidRDefault="006734F0" w:rsidP="006734F0">
      <w:pPr>
        <w:pStyle w:val="NormalWeb"/>
        <w:spacing w:before="0" w:beforeAutospacing="0" w:after="0" w:afterAutospacing="0"/>
        <w:ind w:left="-426" w:right="-518"/>
        <w:contextualSpacing/>
        <w:jc w:val="center"/>
        <w:rPr>
          <w:rFonts w:ascii="Arial" w:hAnsi="Arial" w:cs="Arial"/>
          <w:sz w:val="22"/>
          <w:szCs w:val="22"/>
        </w:rPr>
      </w:pPr>
    </w:p>
    <w:p w:rsidR="006734F0" w:rsidRPr="00AE4A42" w:rsidRDefault="006734F0" w:rsidP="006734F0">
      <w:pPr>
        <w:pStyle w:val="NormalWeb"/>
        <w:spacing w:before="0" w:beforeAutospacing="0" w:after="0" w:afterAutospacing="0"/>
        <w:ind w:left="-426" w:right="-518"/>
        <w:contextualSpacing/>
        <w:jc w:val="center"/>
        <w:rPr>
          <w:rFonts w:ascii="Arial" w:hAnsi="Arial" w:cs="Arial"/>
          <w:sz w:val="22"/>
          <w:szCs w:val="22"/>
        </w:rPr>
      </w:pPr>
      <w:r w:rsidRPr="00AE4A42">
        <w:rPr>
          <w:rFonts w:ascii="Arial" w:hAnsi="Arial" w:cs="Arial"/>
          <w:sz w:val="22"/>
          <w:szCs w:val="22"/>
        </w:rPr>
        <w:t xml:space="preserve">Para consultas de medios y periodistas, contactar a: </w:t>
      </w:r>
      <w:hyperlink r:id="rId9" w:history="1">
        <w:r w:rsidRPr="00AE4A42">
          <w:rPr>
            <w:rStyle w:val="Hipervnculo"/>
            <w:rFonts w:ascii="Arial" w:hAnsi="Arial" w:cs="Arial"/>
            <w:sz w:val="22"/>
            <w:szCs w:val="22"/>
          </w:rPr>
          <w:t>comunicacionsocial@inegi.org.mx</w:t>
        </w:r>
      </w:hyperlink>
      <w:r w:rsidRPr="00AE4A42">
        <w:rPr>
          <w:rFonts w:ascii="Arial" w:hAnsi="Arial" w:cs="Arial"/>
          <w:sz w:val="22"/>
          <w:szCs w:val="22"/>
        </w:rPr>
        <w:t xml:space="preserve"> </w:t>
      </w:r>
    </w:p>
    <w:p w:rsidR="006734F0" w:rsidRPr="00AE4A42" w:rsidRDefault="006734F0" w:rsidP="006734F0">
      <w:pPr>
        <w:pStyle w:val="NormalWeb"/>
        <w:spacing w:before="0" w:beforeAutospacing="0" w:after="0" w:afterAutospacing="0"/>
        <w:ind w:left="-426" w:right="-518"/>
        <w:contextualSpacing/>
        <w:jc w:val="center"/>
        <w:rPr>
          <w:rFonts w:ascii="Arial" w:hAnsi="Arial" w:cs="Arial"/>
          <w:sz w:val="22"/>
          <w:szCs w:val="22"/>
        </w:rPr>
      </w:pPr>
      <w:r w:rsidRPr="00AE4A42">
        <w:rPr>
          <w:rFonts w:ascii="Arial" w:hAnsi="Arial" w:cs="Arial"/>
          <w:sz w:val="22"/>
          <w:szCs w:val="22"/>
        </w:rPr>
        <w:t xml:space="preserve">o llamar al teléfono (55) 52-78-10-00, </w:t>
      </w:r>
      <w:proofErr w:type="spellStart"/>
      <w:r w:rsidRPr="00AE4A42">
        <w:rPr>
          <w:rFonts w:ascii="Arial" w:hAnsi="Arial" w:cs="Arial"/>
          <w:sz w:val="22"/>
          <w:szCs w:val="22"/>
        </w:rPr>
        <w:t>exts</w:t>
      </w:r>
      <w:proofErr w:type="spellEnd"/>
      <w:r w:rsidRPr="00AE4A42">
        <w:rPr>
          <w:rFonts w:ascii="Arial" w:hAnsi="Arial" w:cs="Arial"/>
          <w:sz w:val="22"/>
          <w:szCs w:val="22"/>
        </w:rPr>
        <w:t>. 1134, 1260 y 1241.</w:t>
      </w:r>
    </w:p>
    <w:p w:rsidR="006734F0" w:rsidRPr="00AE4A42" w:rsidRDefault="006734F0" w:rsidP="006734F0">
      <w:pPr>
        <w:ind w:left="-426" w:right="-518"/>
        <w:contextualSpacing/>
        <w:jc w:val="center"/>
        <w:rPr>
          <w:sz w:val="22"/>
          <w:szCs w:val="22"/>
        </w:rPr>
      </w:pPr>
    </w:p>
    <w:p w:rsidR="006734F0" w:rsidRPr="00AE4A42" w:rsidRDefault="006734F0" w:rsidP="006734F0">
      <w:pPr>
        <w:ind w:left="-426" w:right="-518"/>
        <w:contextualSpacing/>
        <w:jc w:val="center"/>
        <w:rPr>
          <w:sz w:val="22"/>
          <w:szCs w:val="22"/>
        </w:rPr>
      </w:pPr>
      <w:r w:rsidRPr="00AE4A42">
        <w:rPr>
          <w:sz w:val="22"/>
          <w:szCs w:val="22"/>
        </w:rPr>
        <w:t xml:space="preserve">Dirección de Atención a Medios / Dirección General Adjunta de Comunicación </w:t>
      </w:r>
    </w:p>
    <w:p w:rsidR="006734F0" w:rsidRPr="006F4700" w:rsidRDefault="006734F0" w:rsidP="006734F0">
      <w:pPr>
        <w:ind w:left="-426" w:right="-518"/>
        <w:contextualSpacing/>
        <w:jc w:val="center"/>
        <w:rPr>
          <w:sz w:val="22"/>
          <w:szCs w:val="22"/>
        </w:rPr>
      </w:pPr>
    </w:p>
    <w:p w:rsidR="006734F0" w:rsidRPr="003C537A" w:rsidRDefault="006734F0" w:rsidP="006734F0">
      <w:pPr>
        <w:ind w:left="-425" w:right="-516"/>
        <w:contextualSpacing/>
        <w:jc w:val="center"/>
        <w:rPr>
          <w:strike/>
          <w:sz w:val="8"/>
          <w:szCs w:val="8"/>
        </w:rPr>
      </w:pPr>
      <w:r w:rsidRPr="00FF1218">
        <w:rPr>
          <w:noProof/>
          <w:lang w:val="en-US" w:eastAsia="en-US"/>
        </w:rPr>
        <w:drawing>
          <wp:inline distT="0" distB="0" distL="0" distR="0" wp14:anchorId="6306F551" wp14:editId="1CFE12F3">
            <wp:extent cx="274320" cy="365760"/>
            <wp:effectExtent l="0" t="0" r="0" b="0"/>
            <wp:docPr id="1" name="Imagen 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5A29A4AE" wp14:editId="0A9F8E17">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261ACAE5" wp14:editId="6CE6720E">
            <wp:extent cx="365760" cy="365760"/>
            <wp:effectExtent l="0" t="0" r="0" b="0"/>
            <wp:docPr id="10" name="Imagen 10"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5FB26C22" wp14:editId="5AEB47AA">
            <wp:extent cx="365760" cy="365760"/>
            <wp:effectExtent l="0" t="0" r="0" b="0"/>
            <wp:docPr id="11" name="Imagen 11"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n-US" w:eastAsia="en-US"/>
        </w:rPr>
        <w:drawing>
          <wp:inline distT="0" distB="0" distL="0" distR="0" wp14:anchorId="0F293381" wp14:editId="3AA9A12C">
            <wp:extent cx="2286000" cy="274320"/>
            <wp:effectExtent l="0" t="0" r="0" b="0"/>
            <wp:docPr id="12" name="Imagen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6734F0" w:rsidRDefault="006734F0" w:rsidP="006734F0">
      <w:pPr>
        <w:pStyle w:val="NormalWeb"/>
        <w:spacing w:before="0" w:beforeAutospacing="0" w:after="0" w:afterAutospacing="0"/>
        <w:ind w:left="-426" w:right="-518"/>
        <w:contextualSpacing/>
        <w:jc w:val="center"/>
        <w:rPr>
          <w:rFonts w:ascii="Arial" w:hAnsi="Arial" w:cs="Arial"/>
          <w:sz w:val="18"/>
          <w:szCs w:val="18"/>
        </w:rPr>
      </w:pPr>
    </w:p>
    <w:p w:rsidR="006734F0" w:rsidRPr="00157C43" w:rsidRDefault="006734F0" w:rsidP="006734F0">
      <w:pPr>
        <w:pStyle w:val="bullet"/>
        <w:tabs>
          <w:tab w:val="left" w:pos="8789"/>
        </w:tabs>
        <w:spacing w:before="0"/>
        <w:ind w:left="0" w:right="51" w:firstLine="0"/>
        <w:jc w:val="center"/>
        <w:rPr>
          <w:rFonts w:cs="Arial"/>
          <w:szCs w:val="24"/>
        </w:rPr>
        <w:sectPr w:rsidR="006734F0" w:rsidRPr="00157C43" w:rsidSect="004C150C">
          <w:headerReference w:type="default" r:id="rId20"/>
          <w:footerReference w:type="default" r:id="rId21"/>
          <w:pgSz w:w="12240" w:h="15840" w:code="1"/>
          <w:pgMar w:top="1" w:right="1701" w:bottom="0" w:left="1588" w:header="510" w:footer="510" w:gutter="0"/>
          <w:cols w:space="720"/>
          <w:docGrid w:linePitch="272"/>
        </w:sectPr>
      </w:pPr>
    </w:p>
    <w:p w:rsidR="006734F0" w:rsidRDefault="006734F0" w:rsidP="006734F0">
      <w:pPr>
        <w:tabs>
          <w:tab w:val="left" w:pos="8789"/>
        </w:tabs>
        <w:ind w:right="51"/>
        <w:jc w:val="center"/>
      </w:pPr>
      <w:r w:rsidRPr="001F1169">
        <w:lastRenderedPageBreak/>
        <w:t xml:space="preserve"> </w:t>
      </w:r>
      <w:r>
        <w:t xml:space="preserve"> </w:t>
      </w:r>
    </w:p>
    <w:p w:rsidR="006734F0" w:rsidRDefault="006734F0" w:rsidP="006734F0">
      <w:pPr>
        <w:tabs>
          <w:tab w:val="left" w:pos="8789"/>
        </w:tabs>
        <w:ind w:right="51"/>
        <w:jc w:val="center"/>
        <w:rPr>
          <w:b/>
          <w:sz w:val="28"/>
          <w:szCs w:val="28"/>
        </w:rPr>
      </w:pPr>
      <w:r>
        <w:t xml:space="preserve"> </w:t>
      </w:r>
      <w:r w:rsidRPr="00BF3D60">
        <w:rPr>
          <w:b/>
          <w:sz w:val="28"/>
          <w:szCs w:val="28"/>
        </w:rPr>
        <w:t>NOTA TÉCNICA</w:t>
      </w:r>
    </w:p>
    <w:p w:rsidR="006734F0" w:rsidRPr="006734F0" w:rsidRDefault="006734F0" w:rsidP="006734F0">
      <w:pPr>
        <w:tabs>
          <w:tab w:val="left" w:pos="8789"/>
        </w:tabs>
        <w:ind w:right="51"/>
        <w:jc w:val="center"/>
        <w:rPr>
          <w:b/>
          <w:sz w:val="16"/>
          <w:szCs w:val="16"/>
        </w:rPr>
      </w:pPr>
    </w:p>
    <w:p w:rsidR="0082401B" w:rsidRDefault="0082401B" w:rsidP="0082401B">
      <w:pPr>
        <w:pStyle w:val="Profesin"/>
        <w:outlineLvl w:val="0"/>
        <w:rPr>
          <w:lang w:val="es-MX"/>
        </w:rPr>
      </w:pPr>
      <w:r>
        <w:rPr>
          <w:lang w:val="es-MX"/>
        </w:rPr>
        <w:t>INDICADOR GLOBAL DE LA ACTIVIDAD ECONÓMICA</w:t>
      </w:r>
      <w:r w:rsidR="00524FC0" w:rsidRPr="00757C3A">
        <w:rPr>
          <w:szCs w:val="22"/>
          <w:vertAlign w:val="superscript"/>
        </w:rPr>
        <w:footnoteReference w:id="4"/>
      </w:r>
    </w:p>
    <w:p w:rsidR="0082401B" w:rsidRDefault="0082401B" w:rsidP="0082401B">
      <w:pPr>
        <w:jc w:val="center"/>
        <w:rPr>
          <w:b/>
          <w:spacing w:val="25"/>
          <w:sz w:val="26"/>
          <w:lang w:val="es-MX"/>
        </w:rPr>
      </w:pPr>
      <w:r>
        <w:rPr>
          <w:b/>
          <w:spacing w:val="25"/>
          <w:sz w:val="26"/>
          <w:lang w:val="es-MX"/>
        </w:rPr>
        <w:t xml:space="preserve">DURANTE </w:t>
      </w:r>
      <w:r w:rsidR="00CD7642">
        <w:rPr>
          <w:b/>
          <w:spacing w:val="25"/>
          <w:sz w:val="26"/>
          <w:lang w:val="es-MX"/>
        </w:rPr>
        <w:t>OCTU</w:t>
      </w:r>
      <w:r w:rsidR="009E155E">
        <w:rPr>
          <w:b/>
          <w:spacing w:val="25"/>
          <w:sz w:val="26"/>
          <w:lang w:val="es-MX"/>
        </w:rPr>
        <w:t>BRE</w:t>
      </w:r>
      <w:r w:rsidR="00662155">
        <w:rPr>
          <w:b/>
          <w:spacing w:val="25"/>
          <w:sz w:val="26"/>
          <w:lang w:val="es-MX"/>
        </w:rPr>
        <w:t xml:space="preserve"> DE 201</w:t>
      </w:r>
      <w:r w:rsidR="00387C8E">
        <w:rPr>
          <w:b/>
          <w:spacing w:val="25"/>
          <w:sz w:val="26"/>
          <w:lang w:val="es-MX"/>
        </w:rPr>
        <w:t>9</w:t>
      </w:r>
    </w:p>
    <w:p w:rsidR="0082401B" w:rsidRPr="006734F0" w:rsidRDefault="0082401B" w:rsidP="0082401B">
      <w:pPr>
        <w:jc w:val="center"/>
        <w:rPr>
          <w:b/>
          <w:spacing w:val="25"/>
          <w:lang w:val="es-MX"/>
        </w:rPr>
      </w:pPr>
      <w:r w:rsidRPr="006734F0">
        <w:rPr>
          <w:b/>
          <w:spacing w:val="25"/>
          <w:lang w:val="es-MX"/>
        </w:rPr>
        <w:t>(</w:t>
      </w:r>
      <w:r w:rsidRPr="006734F0">
        <w:rPr>
          <w:b/>
          <w:i/>
          <w:spacing w:val="25"/>
          <w:lang w:val="es-MX"/>
        </w:rPr>
        <w:t>Cifras desestacionalizadas</w:t>
      </w:r>
      <w:r w:rsidRPr="006734F0">
        <w:rPr>
          <w:b/>
          <w:spacing w:val="25"/>
          <w:lang w:val="es-MX"/>
        </w:rPr>
        <w:t>)</w:t>
      </w:r>
    </w:p>
    <w:p w:rsidR="00C97043" w:rsidRDefault="00C97043" w:rsidP="00525C4D">
      <w:pPr>
        <w:spacing w:before="120"/>
        <w:rPr>
          <w:sz w:val="28"/>
          <w:szCs w:val="28"/>
          <w:lang w:val="es-MX"/>
        </w:rPr>
      </w:pPr>
    </w:p>
    <w:p w:rsidR="00525C4D" w:rsidRDefault="001F1169" w:rsidP="000A06B1">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sidR="00A10D11">
        <w:rPr>
          <w:lang w:val="es-MX"/>
        </w:rPr>
        <w:t xml:space="preserve"> que</w:t>
      </w:r>
      <w:r>
        <w:rPr>
          <w:lang w:val="es-MX"/>
        </w:rPr>
        <w:t>,</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sidR="007A4F73">
        <w:rPr>
          <w:lang w:val="es-MX"/>
        </w:rPr>
        <w:t>disminuy</w:t>
      </w:r>
      <w:r w:rsidR="002B306E">
        <w:rPr>
          <w:lang w:val="es-MX"/>
        </w:rPr>
        <w:t xml:space="preserve">ó </w:t>
      </w:r>
      <w:r w:rsidR="007A4F73">
        <w:rPr>
          <w:lang w:val="es-MX"/>
        </w:rPr>
        <w:t>(</w:t>
      </w:r>
      <w:r w:rsidR="007A4F73">
        <w:rPr>
          <w:lang w:val="es-MX"/>
        </w:rPr>
        <w:noBreakHyphen/>
        <w:t>)0.5</w:t>
      </w:r>
      <w:r w:rsidR="002B306E">
        <w:rPr>
          <w:lang w:val="es-MX"/>
        </w:rPr>
        <w:t>%</w:t>
      </w:r>
      <w:r w:rsidR="008E15B0">
        <w:rPr>
          <w:lang w:val="es-MX"/>
        </w:rPr>
        <w:t xml:space="preserve"> e</w:t>
      </w:r>
      <w:r w:rsidR="004461DF">
        <w:rPr>
          <w:lang w:val="es-MX"/>
        </w:rPr>
        <w:t>n</w:t>
      </w:r>
      <w:r w:rsidR="00ED49E2">
        <w:rPr>
          <w:lang w:val="es-MX"/>
        </w:rPr>
        <w:t xml:space="preserve"> </w:t>
      </w:r>
      <w:r w:rsidR="008E15B0">
        <w:rPr>
          <w:lang w:val="es-MX"/>
        </w:rPr>
        <w:t xml:space="preserve">términos </w:t>
      </w:r>
      <w:r w:rsidR="00ED49E2">
        <w:rPr>
          <w:lang w:val="es-MX"/>
        </w:rPr>
        <w:t>real</w:t>
      </w:r>
      <w:r w:rsidR="008E15B0">
        <w:rPr>
          <w:lang w:val="es-MX"/>
        </w:rPr>
        <w:t>es</w:t>
      </w:r>
      <w:r w:rsidR="004461DF">
        <w:rPr>
          <w:lang w:val="es-MX"/>
        </w:rPr>
        <w:t xml:space="preserve"> </w:t>
      </w:r>
      <w:r w:rsidRPr="005D7C37">
        <w:rPr>
          <w:lang w:val="es-MX"/>
        </w:rPr>
        <w:t>e</w:t>
      </w:r>
      <w:r w:rsidR="009A0A3A">
        <w:rPr>
          <w:lang w:val="es-MX"/>
        </w:rPr>
        <w:t>n</w:t>
      </w:r>
      <w:r w:rsidRPr="005D7C37">
        <w:rPr>
          <w:lang w:val="es-MX"/>
        </w:rPr>
        <w:t xml:space="preserve"> </w:t>
      </w:r>
      <w:r w:rsidR="000D0825">
        <w:rPr>
          <w:lang w:val="es-MX"/>
        </w:rPr>
        <w:t xml:space="preserve">el </w:t>
      </w:r>
      <w:r w:rsidR="00B54245">
        <w:rPr>
          <w:lang w:val="es-MX"/>
        </w:rPr>
        <w:t>décim</w:t>
      </w:r>
      <w:r w:rsidR="002029DF">
        <w:rPr>
          <w:lang w:val="es-MX"/>
        </w:rPr>
        <w:t>o</w:t>
      </w:r>
      <w:r w:rsidR="000D0825">
        <w:rPr>
          <w:lang w:val="es-MX"/>
        </w:rPr>
        <w:t xml:space="preserve"> mes </w:t>
      </w:r>
      <w:r w:rsidR="00365D38">
        <w:rPr>
          <w:lang w:val="es-MX"/>
        </w:rPr>
        <w:t>de 201</w:t>
      </w:r>
      <w:r w:rsidR="00387C8E">
        <w:rPr>
          <w:lang w:val="es-MX"/>
        </w:rPr>
        <w:t>9</w:t>
      </w:r>
      <w:r>
        <w:t xml:space="preserve"> </w:t>
      </w:r>
      <w:r>
        <w:rPr>
          <w:lang w:val="es-MX"/>
        </w:rPr>
        <w:t xml:space="preserve">con relación al mes inmediato </w:t>
      </w:r>
      <w:r w:rsidR="00DA405C">
        <w:rPr>
          <w:lang w:val="es-MX"/>
        </w:rPr>
        <w:t>a</w:t>
      </w:r>
      <w:r>
        <w:rPr>
          <w:lang w:val="es-MX"/>
        </w:rPr>
        <w:t>nterior</w:t>
      </w:r>
      <w:r w:rsidR="00CE01E2">
        <w:rPr>
          <w:lang w:val="es-MX"/>
        </w:rPr>
        <w:t>.</w:t>
      </w:r>
    </w:p>
    <w:p w:rsidR="001F1169" w:rsidRPr="003B6473" w:rsidRDefault="001F1169" w:rsidP="000A06B1">
      <w:pPr>
        <w:keepNext/>
        <w:keepLines/>
        <w:widowControl w:val="0"/>
        <w:spacing w:before="600"/>
        <w:jc w:val="center"/>
      </w:pPr>
      <w:r w:rsidRPr="00B90B81">
        <w:rPr>
          <w:color w:val="000000"/>
          <w:sz w:val="20"/>
          <w:lang w:val="es-MX"/>
        </w:rPr>
        <w:t>Gráfica 1</w:t>
      </w:r>
    </w:p>
    <w:p w:rsidR="001F1169" w:rsidRDefault="001F1169" w:rsidP="001F116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A81251">
        <w:rPr>
          <w:rFonts w:ascii="Arial" w:hAnsi="Arial" w:cs="Arial"/>
          <w:b/>
          <w:smallCaps/>
          <w:color w:val="auto"/>
          <w:sz w:val="22"/>
        </w:rPr>
        <w:t>G</w:t>
      </w:r>
      <w:r w:rsidRPr="00156EF2">
        <w:rPr>
          <w:rFonts w:ascii="Arial" w:hAnsi="Arial" w:cs="Arial"/>
          <w:b/>
          <w:smallCaps/>
          <w:color w:val="auto"/>
          <w:sz w:val="22"/>
        </w:rPr>
        <w:t xml:space="preserve">lobal de la </w:t>
      </w:r>
      <w:r w:rsidR="00A81251">
        <w:rPr>
          <w:rFonts w:ascii="Arial" w:hAnsi="Arial" w:cs="Arial"/>
          <w:b/>
          <w:smallCaps/>
          <w:color w:val="auto"/>
          <w:sz w:val="22"/>
        </w:rPr>
        <w:t>A</w:t>
      </w:r>
      <w:r w:rsidRPr="00156EF2">
        <w:rPr>
          <w:rFonts w:ascii="Arial" w:hAnsi="Arial" w:cs="Arial"/>
          <w:b/>
          <w:smallCaps/>
          <w:color w:val="auto"/>
          <w:sz w:val="22"/>
        </w:rPr>
        <w:t xml:space="preserve">ctividad </w:t>
      </w:r>
      <w:r w:rsidR="00A81251">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w:t>
      </w:r>
      <w:r w:rsidR="002029DF">
        <w:rPr>
          <w:rFonts w:ascii="Arial" w:hAnsi="Arial" w:cs="Arial"/>
          <w:b/>
          <w:smallCaps/>
          <w:color w:val="auto"/>
          <w:sz w:val="22"/>
        </w:rPr>
        <w:t>a</w:t>
      </w:r>
      <w:r w:rsidR="007E0FD3">
        <w:rPr>
          <w:rFonts w:ascii="Arial" w:hAnsi="Arial" w:cs="Arial"/>
          <w:b/>
          <w:smallCaps/>
          <w:color w:val="auto"/>
          <w:sz w:val="22"/>
        </w:rPr>
        <w:t xml:space="preserve"> </w:t>
      </w:r>
      <w:r w:rsidR="00B54245">
        <w:rPr>
          <w:rFonts w:ascii="Arial" w:hAnsi="Arial" w:cs="Arial"/>
          <w:b/>
          <w:smallCaps/>
          <w:color w:val="auto"/>
          <w:sz w:val="22"/>
        </w:rPr>
        <w:t>octu</w:t>
      </w:r>
      <w:r w:rsidR="009E155E">
        <w:rPr>
          <w:rFonts w:ascii="Arial" w:hAnsi="Arial" w:cs="Arial"/>
          <w:b/>
          <w:smallCaps/>
          <w:color w:val="auto"/>
          <w:sz w:val="22"/>
        </w:rPr>
        <w:t>bre</w:t>
      </w:r>
      <w:r w:rsidR="00414080">
        <w:rPr>
          <w:rFonts w:ascii="Arial" w:hAnsi="Arial" w:cs="Arial"/>
          <w:b/>
          <w:smallCaps/>
          <w:color w:val="auto"/>
          <w:sz w:val="22"/>
        </w:rPr>
        <w:t xml:space="preserve"> </w:t>
      </w:r>
      <w:r w:rsidR="00365D38">
        <w:rPr>
          <w:rFonts w:ascii="Arial" w:hAnsi="Arial" w:cs="Arial"/>
          <w:b/>
          <w:smallCaps/>
          <w:color w:val="000000"/>
          <w:sz w:val="22"/>
          <w:szCs w:val="22"/>
          <w:lang w:val="es-MX"/>
        </w:rPr>
        <w:t>de 201</w:t>
      </w:r>
      <w:r w:rsidR="00387C8E">
        <w:rPr>
          <w:rFonts w:ascii="Arial" w:hAnsi="Arial" w:cs="Arial"/>
          <w:b/>
          <w:smallCaps/>
          <w:color w:val="000000"/>
          <w:sz w:val="22"/>
          <w:szCs w:val="22"/>
          <w:lang w:val="es-MX"/>
        </w:rPr>
        <w:t>9</w:t>
      </w:r>
    </w:p>
    <w:p w:rsidR="001F1169" w:rsidRPr="00961776" w:rsidRDefault="001F1169" w:rsidP="001F116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rsidR="001F1169" w:rsidRPr="009B388F" w:rsidRDefault="001F1169" w:rsidP="001F116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w:t>
      </w:r>
      <w:r w:rsidR="0067385F">
        <w:rPr>
          <w:rFonts w:ascii="Arial" w:hAnsi="Arial" w:cs="Arial"/>
          <w:color w:val="000000"/>
          <w:sz w:val="18"/>
          <w:lang w:val="es-MX"/>
        </w:rPr>
        <w:t>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rsidR="001F1169" w:rsidRPr="000B1975" w:rsidRDefault="00F86A1E" w:rsidP="001F1169">
      <w:pPr>
        <w:pStyle w:val="p02"/>
        <w:keepLines w:val="0"/>
        <w:widowControl w:val="0"/>
        <w:spacing w:before="0"/>
        <w:ind w:right="21"/>
        <w:jc w:val="center"/>
        <w:rPr>
          <w:rFonts w:ascii="Arial" w:hAnsi="Arial" w:cs="Arial"/>
          <w:color w:val="000000"/>
          <w:sz w:val="18"/>
        </w:rPr>
      </w:pPr>
      <w:r>
        <w:rPr>
          <w:noProof/>
          <w:lang w:val="en-US" w:eastAsia="en-US"/>
        </w:rPr>
        <w:drawing>
          <wp:inline distT="0" distB="0" distL="0" distR="0" wp14:anchorId="51B7424C" wp14:editId="084A8EBA">
            <wp:extent cx="4680000" cy="2472800"/>
            <wp:effectExtent l="0" t="0" r="25400" b="22860"/>
            <wp:docPr id="3" name="Gráfico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F1169" w:rsidRPr="00AA768F" w:rsidRDefault="001F1169" w:rsidP="00FF7692">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sidR="00FF7692">
        <w:rPr>
          <w:color w:val="auto"/>
          <w:sz w:val="16"/>
          <w:szCs w:val="16"/>
        </w:rPr>
        <w:tab/>
      </w:r>
    </w:p>
    <w:p w:rsidR="003C2C17" w:rsidRPr="00AA768F" w:rsidRDefault="003C2C17" w:rsidP="003C2C17">
      <w:pPr>
        <w:rPr>
          <w:szCs w:val="16"/>
          <w:lang w:val="es-MX"/>
        </w:rPr>
      </w:pPr>
    </w:p>
    <w:p w:rsidR="007A4F73" w:rsidRPr="007A4F73" w:rsidRDefault="007A4F73" w:rsidP="005842B6">
      <w:pPr>
        <w:spacing w:before="240"/>
        <w:rPr>
          <w:lang w:val="es-MX"/>
        </w:rPr>
      </w:pPr>
      <w:r w:rsidRPr="007A4F73">
        <w:rPr>
          <w:lang w:val="es-MX"/>
        </w:rPr>
        <w:t xml:space="preserve">Por grandes grupos de actividades, las Primarias </w:t>
      </w:r>
      <w:r>
        <w:rPr>
          <w:lang w:val="es-MX"/>
        </w:rPr>
        <w:t>descendie</w:t>
      </w:r>
      <w:r w:rsidRPr="007A4F73">
        <w:rPr>
          <w:lang w:val="es-MX"/>
        </w:rPr>
        <w:t>ron (</w:t>
      </w:r>
      <w:r w:rsidRPr="007A4F73">
        <w:rPr>
          <w:lang w:val="es-MX"/>
        </w:rPr>
        <w:noBreakHyphen/>
        <w:t xml:space="preserve">)1.6%, las Secundarias </w:t>
      </w:r>
      <w:r w:rsidR="003C69CF">
        <w:rPr>
          <w:lang w:val="es-MX"/>
        </w:rPr>
        <w:t>se redujeron</w:t>
      </w:r>
      <w:r w:rsidRPr="007A4F73">
        <w:rPr>
          <w:lang w:val="es-MX"/>
        </w:rPr>
        <w:t xml:space="preserve"> (-)1.1% y las Terciarias lo hicieron en (-)0.1</w:t>
      </w:r>
      <w:r w:rsidR="002573A3">
        <w:rPr>
          <w:lang w:val="es-MX"/>
        </w:rPr>
        <w:t>%</w:t>
      </w:r>
      <w:r w:rsidRPr="007A4F73">
        <w:rPr>
          <w:lang w:val="es-MX"/>
        </w:rPr>
        <w:t>, durante octubre de 2019 frente al mes precedente.</w:t>
      </w:r>
    </w:p>
    <w:p w:rsidR="002C2517" w:rsidRPr="002C2517" w:rsidRDefault="00270419" w:rsidP="005842B6">
      <w:pPr>
        <w:spacing w:before="120"/>
        <w:rPr>
          <w:color w:val="000000"/>
          <w:sz w:val="28"/>
          <w:szCs w:val="28"/>
          <w:lang w:val="es-MX"/>
        </w:rPr>
      </w:pPr>
      <w:r>
        <w:rPr>
          <w:color w:val="000000"/>
          <w:sz w:val="20"/>
          <w:lang w:val="es-MX"/>
        </w:rPr>
        <w:t xml:space="preserve"> </w:t>
      </w:r>
      <w:r w:rsidR="00022D8E">
        <w:rPr>
          <w:color w:val="000000"/>
          <w:sz w:val="20"/>
          <w:lang w:val="es-MX"/>
        </w:rPr>
        <w:br w:type="page"/>
      </w:r>
      <w:r>
        <w:rPr>
          <w:color w:val="000000"/>
          <w:sz w:val="20"/>
          <w:lang w:val="es-MX"/>
        </w:rPr>
        <w:lastRenderedPageBreak/>
        <w:t xml:space="preserve"> </w:t>
      </w:r>
    </w:p>
    <w:p w:rsidR="001F1169" w:rsidRPr="00022D8E" w:rsidRDefault="001F1169" w:rsidP="00022D8E">
      <w:pPr>
        <w:spacing w:before="120"/>
        <w:ind w:left="3540" w:firstLine="708"/>
        <w:rPr>
          <w:szCs w:val="22"/>
        </w:rPr>
      </w:pPr>
      <w:r>
        <w:rPr>
          <w:color w:val="000000"/>
          <w:sz w:val="20"/>
          <w:lang w:val="es-MX"/>
        </w:rPr>
        <w:t>Grá</w:t>
      </w:r>
      <w:r w:rsidRPr="00E07EB7">
        <w:rPr>
          <w:color w:val="000000"/>
          <w:sz w:val="20"/>
          <w:lang w:val="es-MX"/>
        </w:rPr>
        <w:t>fica</w:t>
      </w:r>
      <w:r>
        <w:rPr>
          <w:color w:val="000000"/>
          <w:sz w:val="20"/>
          <w:lang w:val="es-MX"/>
        </w:rPr>
        <w:t xml:space="preserve"> 2</w:t>
      </w:r>
    </w:p>
    <w:p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sidR="002029DF">
        <w:rPr>
          <w:b/>
          <w:smallCaps/>
          <w:color w:val="auto"/>
          <w:sz w:val="22"/>
          <w:szCs w:val="22"/>
        </w:rPr>
        <w:t>a</w:t>
      </w:r>
      <w:r w:rsidR="007E0FD3">
        <w:rPr>
          <w:b/>
          <w:smallCaps/>
          <w:color w:val="auto"/>
          <w:sz w:val="22"/>
          <w:szCs w:val="22"/>
        </w:rPr>
        <w:t xml:space="preserve"> </w:t>
      </w:r>
      <w:r w:rsidR="00B54245">
        <w:rPr>
          <w:b/>
          <w:smallCaps/>
          <w:color w:val="auto"/>
          <w:sz w:val="22"/>
          <w:szCs w:val="22"/>
        </w:rPr>
        <w:t>octu</w:t>
      </w:r>
      <w:r w:rsidR="009E155E">
        <w:rPr>
          <w:b/>
          <w:smallCaps/>
          <w:color w:val="auto"/>
          <w:sz w:val="22"/>
          <w:szCs w:val="22"/>
        </w:rPr>
        <w:t>bre</w:t>
      </w:r>
      <w:r w:rsidR="00090F4A">
        <w:rPr>
          <w:b/>
          <w:smallCaps/>
          <w:color w:val="auto"/>
          <w:sz w:val="22"/>
          <w:szCs w:val="22"/>
        </w:rPr>
        <w:t xml:space="preserve"> </w:t>
      </w:r>
      <w:r w:rsidRPr="001F1169">
        <w:rPr>
          <w:b/>
          <w:smallCaps/>
          <w:color w:val="auto"/>
          <w:sz w:val="22"/>
          <w:szCs w:val="22"/>
        </w:rPr>
        <w:t xml:space="preserve">de </w:t>
      </w:r>
      <w:r w:rsidR="00365D38">
        <w:rPr>
          <w:b/>
          <w:smallCaps/>
          <w:color w:val="auto"/>
          <w:sz w:val="22"/>
          <w:szCs w:val="22"/>
        </w:rPr>
        <w:t>201</w:t>
      </w:r>
      <w:r w:rsidR="00387C8E">
        <w:rPr>
          <w:b/>
          <w:smallCaps/>
          <w:color w:val="auto"/>
          <w:sz w:val="22"/>
          <w:szCs w:val="22"/>
        </w:rPr>
        <w:t>9</w:t>
      </w:r>
    </w:p>
    <w:p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rsidR="001F1169" w:rsidRDefault="001F1169" w:rsidP="00B90B81">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rsidR="001F1169" w:rsidRDefault="00F86A1E" w:rsidP="001F1169">
      <w:pPr>
        <w:pStyle w:val="p0"/>
        <w:spacing w:before="0"/>
        <w:ind w:left="992" w:right="1021"/>
        <w:jc w:val="center"/>
      </w:pPr>
      <w:r>
        <w:rPr>
          <w:noProof/>
          <w:lang w:val="en-US" w:eastAsia="en-US"/>
        </w:rPr>
        <w:drawing>
          <wp:inline distT="0" distB="0" distL="0" distR="0" wp14:anchorId="2A19E7F3" wp14:editId="1AFE1EE3">
            <wp:extent cx="4680000" cy="2472375"/>
            <wp:effectExtent l="0" t="0" r="25400" b="23495"/>
            <wp:docPr id="7" name="Gráfico 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F1169" w:rsidRPr="00AA768F" w:rsidRDefault="001F1169" w:rsidP="001F1169">
      <w:pPr>
        <w:pStyle w:val="p0"/>
        <w:spacing w:before="0"/>
        <w:ind w:left="1276" w:right="1021"/>
        <w:jc w:val="left"/>
        <w:rPr>
          <w:rFonts w:ascii="Arial" w:hAnsi="Arial"/>
          <w:color w:val="auto"/>
          <w:sz w:val="16"/>
          <w:szCs w:val="16"/>
        </w:rPr>
      </w:pPr>
      <w:r w:rsidRPr="00AA768F">
        <w:rPr>
          <w:rFonts w:ascii="Arial" w:hAnsi="Arial"/>
          <w:color w:val="auto"/>
          <w:sz w:val="16"/>
          <w:szCs w:val="16"/>
        </w:rPr>
        <w:t>Fuente: INEGI.</w:t>
      </w:r>
    </w:p>
    <w:p w:rsidR="00525C4D" w:rsidRDefault="00525C4D" w:rsidP="00525C4D">
      <w:pPr>
        <w:ind w:left="2127"/>
        <w:jc w:val="left"/>
        <w:rPr>
          <w:sz w:val="16"/>
        </w:rPr>
      </w:pPr>
    </w:p>
    <w:p w:rsidR="001F1169" w:rsidRDefault="001F1169" w:rsidP="00525C4D">
      <w:pPr>
        <w:ind w:left="2127"/>
        <w:jc w:val="left"/>
        <w:rPr>
          <w:sz w:val="16"/>
        </w:rPr>
      </w:pPr>
    </w:p>
    <w:p w:rsidR="001F1169" w:rsidRDefault="001F1169" w:rsidP="00B90B81">
      <w:pPr>
        <w:pStyle w:val="Textoindependiente"/>
        <w:spacing w:before="36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rsidR="001F1169" w:rsidRPr="001F1169" w:rsidRDefault="001F1169" w:rsidP="00B90B81">
      <w:pPr>
        <w:pStyle w:val="Textoindependiente"/>
        <w:spacing w:before="0"/>
        <w:jc w:val="center"/>
        <w:rPr>
          <w:b/>
          <w:smallCaps/>
          <w:color w:val="auto"/>
          <w:sz w:val="22"/>
          <w:szCs w:val="22"/>
        </w:rPr>
      </w:pPr>
      <w:r w:rsidRPr="001F1169">
        <w:rPr>
          <w:b/>
          <w:smallCaps/>
          <w:color w:val="auto"/>
          <w:sz w:val="22"/>
          <w:szCs w:val="22"/>
        </w:rPr>
        <w:t xml:space="preserve">Actividades Secundarias </w:t>
      </w:r>
      <w:r w:rsidR="002029DF">
        <w:rPr>
          <w:b/>
          <w:smallCaps/>
          <w:color w:val="auto"/>
          <w:sz w:val="22"/>
          <w:szCs w:val="22"/>
        </w:rPr>
        <w:t>a</w:t>
      </w:r>
      <w:r w:rsidR="007E0FD3">
        <w:rPr>
          <w:b/>
          <w:smallCaps/>
          <w:color w:val="auto"/>
          <w:sz w:val="22"/>
          <w:szCs w:val="22"/>
        </w:rPr>
        <w:t xml:space="preserve"> </w:t>
      </w:r>
      <w:r w:rsidR="00B54245">
        <w:rPr>
          <w:b/>
          <w:smallCaps/>
          <w:color w:val="auto"/>
          <w:sz w:val="22"/>
          <w:szCs w:val="22"/>
        </w:rPr>
        <w:t>octu</w:t>
      </w:r>
      <w:r w:rsidR="009E155E">
        <w:rPr>
          <w:b/>
          <w:smallCaps/>
          <w:color w:val="auto"/>
          <w:sz w:val="22"/>
          <w:szCs w:val="22"/>
        </w:rPr>
        <w:t>bre</w:t>
      </w:r>
      <w:r w:rsidR="00936782">
        <w:rPr>
          <w:b/>
          <w:smallCaps/>
          <w:color w:val="auto"/>
          <w:sz w:val="22"/>
          <w:szCs w:val="22"/>
        </w:rPr>
        <w:t xml:space="preserve"> </w:t>
      </w:r>
      <w:r w:rsidR="00365D38">
        <w:rPr>
          <w:b/>
          <w:smallCaps/>
          <w:color w:val="auto"/>
          <w:sz w:val="22"/>
          <w:szCs w:val="22"/>
        </w:rPr>
        <w:t>de 201</w:t>
      </w:r>
      <w:r w:rsidR="00387C8E">
        <w:rPr>
          <w:b/>
          <w:smallCaps/>
          <w:color w:val="auto"/>
          <w:sz w:val="22"/>
          <w:szCs w:val="22"/>
        </w:rPr>
        <w:t>9</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rsidR="001F1169" w:rsidRDefault="001F1169" w:rsidP="001F1169">
      <w:pPr>
        <w:pStyle w:val="p0"/>
        <w:spacing w:before="0"/>
        <w:ind w:left="992" w:right="1021"/>
        <w:jc w:val="cente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r w:rsidR="00D67363" w:rsidRPr="00D67363">
        <w:rPr>
          <w:noProof/>
          <w:lang w:val="es-MX" w:eastAsia="es-MX"/>
        </w:rPr>
        <w:t xml:space="preserve"> </w:t>
      </w:r>
      <w:r w:rsidR="00F86A1E">
        <w:rPr>
          <w:noProof/>
          <w:lang w:val="en-US" w:eastAsia="en-US"/>
        </w:rPr>
        <w:drawing>
          <wp:inline distT="0" distB="0" distL="0" distR="0" wp14:anchorId="7F9FEA01" wp14:editId="3E75E888">
            <wp:extent cx="4680000" cy="2472375"/>
            <wp:effectExtent l="0" t="0" r="25400" b="23495"/>
            <wp:docPr id="8" name="Gráfico 8">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F1169" w:rsidRPr="00AA768F" w:rsidRDefault="001F1169" w:rsidP="001F116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rsidR="001F1169" w:rsidRDefault="001F1169" w:rsidP="00525C4D">
      <w:pPr>
        <w:pStyle w:val="p0"/>
        <w:spacing w:before="0"/>
        <w:ind w:left="567"/>
        <w:jc w:val="center"/>
        <w:rPr>
          <w:rFonts w:ascii="Arial" w:hAnsi="Arial"/>
          <w:b/>
          <w:smallCaps/>
          <w:color w:val="auto"/>
          <w:sz w:val="22"/>
        </w:rPr>
      </w:pPr>
    </w:p>
    <w:p w:rsidR="00D20150" w:rsidRPr="002C2517" w:rsidRDefault="00D20150" w:rsidP="00525C4D">
      <w:pPr>
        <w:pStyle w:val="p0"/>
        <w:spacing w:before="0"/>
        <w:ind w:left="567"/>
        <w:jc w:val="center"/>
        <w:rPr>
          <w:rFonts w:ascii="Arial" w:hAnsi="Arial"/>
          <w:b/>
          <w:smallCaps/>
          <w:color w:val="auto"/>
          <w:sz w:val="28"/>
          <w:szCs w:val="28"/>
        </w:rPr>
      </w:pPr>
    </w:p>
    <w:p w:rsidR="001F1169" w:rsidRDefault="001F1169" w:rsidP="00B90B81">
      <w:pPr>
        <w:pStyle w:val="Textoindependiente"/>
        <w:keepNext/>
        <w:keepLines/>
        <w:spacing w:before="0"/>
        <w:ind w:right="51"/>
        <w:jc w:val="center"/>
        <w:rPr>
          <w:b/>
          <w:smallCaps/>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sidR="002029DF">
        <w:rPr>
          <w:b/>
          <w:smallCaps/>
          <w:color w:val="auto"/>
          <w:sz w:val="22"/>
          <w:szCs w:val="22"/>
        </w:rPr>
        <w:t xml:space="preserve">a </w:t>
      </w:r>
      <w:r w:rsidR="00B54245">
        <w:rPr>
          <w:b/>
          <w:smallCaps/>
          <w:color w:val="auto"/>
          <w:sz w:val="22"/>
          <w:szCs w:val="22"/>
        </w:rPr>
        <w:t>octu</w:t>
      </w:r>
      <w:r w:rsidR="009E155E">
        <w:rPr>
          <w:b/>
          <w:smallCaps/>
          <w:color w:val="auto"/>
          <w:sz w:val="22"/>
          <w:szCs w:val="22"/>
        </w:rPr>
        <w:t>bre</w:t>
      </w:r>
      <w:r w:rsidR="00365D38">
        <w:rPr>
          <w:b/>
          <w:smallCaps/>
          <w:color w:val="auto"/>
          <w:sz w:val="22"/>
          <w:szCs w:val="22"/>
        </w:rPr>
        <w:t xml:space="preserve"> de 201</w:t>
      </w:r>
      <w:r w:rsidR="00387C8E">
        <w:rPr>
          <w:b/>
          <w:smallCaps/>
          <w:color w:val="auto"/>
          <w:sz w:val="22"/>
          <w:szCs w:val="22"/>
        </w:rPr>
        <w:t>9</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rsidR="001F1169" w:rsidRPr="00191064" w:rsidRDefault="001F1169" w:rsidP="00B90B81">
      <w:pPr>
        <w:pStyle w:val="n0"/>
        <w:keepLines w:val="0"/>
        <w:spacing w:before="0"/>
        <w:ind w:left="0" w:right="0" w:firstLine="0"/>
        <w:jc w:val="center"/>
        <w:rPr>
          <w:b/>
          <w:smallCaps/>
          <w:color w:val="auto"/>
          <w:sz w:val="22"/>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rsidR="00EC70AF" w:rsidRDefault="00F86A1E" w:rsidP="00EC70AF">
      <w:pPr>
        <w:pStyle w:val="p02"/>
        <w:keepLines w:val="0"/>
        <w:widowControl w:val="0"/>
        <w:spacing w:before="0"/>
        <w:jc w:val="center"/>
        <w:rPr>
          <w:sz w:val="16"/>
          <w:szCs w:val="16"/>
        </w:rPr>
      </w:pPr>
      <w:r>
        <w:rPr>
          <w:noProof/>
          <w:lang w:val="en-US" w:eastAsia="en-US"/>
        </w:rPr>
        <w:drawing>
          <wp:inline distT="0" distB="0" distL="0" distR="0" wp14:anchorId="14DF8361" wp14:editId="5DCBE280">
            <wp:extent cx="4680000" cy="2475975"/>
            <wp:effectExtent l="0" t="0" r="25400" b="19685"/>
            <wp:docPr id="9" name="Gráfico 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F1169" w:rsidRPr="00E42AC9" w:rsidRDefault="00EC70AF" w:rsidP="00EC70AF">
      <w:pPr>
        <w:pStyle w:val="p02"/>
        <w:keepLines w:val="0"/>
        <w:widowControl w:val="0"/>
        <w:spacing w:before="0"/>
        <w:ind w:left="708"/>
        <w:rPr>
          <w:rFonts w:ascii="Arial" w:hAnsi="Arial" w:cs="Arial"/>
          <w:lang w:val="es-MX"/>
        </w:rPr>
      </w:pPr>
      <w:r w:rsidRPr="00E42AC9">
        <w:rPr>
          <w:rFonts w:ascii="Arial" w:hAnsi="Arial" w:cs="Arial"/>
          <w:sz w:val="16"/>
          <w:szCs w:val="16"/>
        </w:rPr>
        <w:t xml:space="preserve">         </w:t>
      </w:r>
      <w:r w:rsidR="001F1169" w:rsidRPr="00E42AC9">
        <w:rPr>
          <w:rFonts w:ascii="Arial" w:hAnsi="Arial" w:cs="Arial"/>
          <w:color w:val="000000" w:themeColor="text1"/>
          <w:sz w:val="16"/>
          <w:szCs w:val="16"/>
        </w:rPr>
        <w:t>Fuente: INEGI.</w:t>
      </w:r>
    </w:p>
    <w:p w:rsidR="001F1169" w:rsidRPr="001A449E" w:rsidRDefault="001F1169" w:rsidP="00127CE3">
      <w:pPr>
        <w:spacing w:before="120"/>
        <w:rPr>
          <w:b/>
          <w:i/>
          <w:lang w:val="es-MX"/>
        </w:rPr>
      </w:pPr>
      <w:r>
        <w:rPr>
          <w:b/>
          <w:i/>
          <w:lang w:val="es-MX"/>
        </w:rPr>
        <w:t>Cifras</w:t>
      </w:r>
      <w:r w:rsidRPr="001A449E">
        <w:rPr>
          <w:b/>
          <w:i/>
          <w:lang w:val="es-MX"/>
        </w:rPr>
        <w:t xml:space="preserve"> Originales</w:t>
      </w:r>
    </w:p>
    <w:p w:rsidR="00833FE9" w:rsidRDefault="001F1169" w:rsidP="00833FE9">
      <w:pPr>
        <w:tabs>
          <w:tab w:val="num" w:pos="1843"/>
          <w:tab w:val="left" w:pos="7939"/>
        </w:tabs>
        <w:spacing w:before="120"/>
        <w:ind w:right="51"/>
        <w:rPr>
          <w:lang w:val="es-MX"/>
        </w:rPr>
      </w:pPr>
      <w:r>
        <w:rPr>
          <w:lang w:val="es-MX"/>
        </w:rPr>
        <w:t xml:space="preserve">En la siguiente gráfica </w:t>
      </w:r>
      <w:r w:rsidRPr="00743B39">
        <w:rPr>
          <w:lang w:val="es-MX"/>
        </w:rPr>
        <w:t xml:space="preserve">se </w:t>
      </w:r>
      <w:r w:rsidR="00AA768F" w:rsidRPr="00743B39">
        <w:rPr>
          <w:lang w:val="es-MX"/>
        </w:rPr>
        <w:t>muestr</w:t>
      </w:r>
      <w:r w:rsidR="00A83A61">
        <w:rPr>
          <w:lang w:val="es-MX"/>
        </w:rPr>
        <w:t>a la variación</w:t>
      </w:r>
      <w:r>
        <w:rPr>
          <w:lang w:val="es-MX"/>
        </w:rPr>
        <w:t xml:space="preserve"> de los datos originales del IGAE y de los tres grandes grupos de actividades que lo conforman.</w:t>
      </w:r>
    </w:p>
    <w:p w:rsidR="001F1169" w:rsidRDefault="001F1169" w:rsidP="00833FE9">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rsidR="001F1169" w:rsidRPr="006F056B" w:rsidRDefault="001F1169" w:rsidP="001F116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B54245">
        <w:rPr>
          <w:rFonts w:ascii="Arial" w:hAnsi="Arial" w:cs="Arial"/>
          <w:b/>
          <w:smallCaps/>
          <w:color w:val="auto"/>
          <w:sz w:val="22"/>
          <w:szCs w:val="22"/>
        </w:rPr>
        <w:t>octu</w:t>
      </w:r>
      <w:r w:rsidR="009E155E">
        <w:rPr>
          <w:rFonts w:ascii="Arial" w:hAnsi="Arial" w:cs="Arial"/>
          <w:b/>
          <w:smallCaps/>
          <w:color w:val="auto"/>
          <w:sz w:val="22"/>
          <w:szCs w:val="22"/>
        </w:rPr>
        <w:t>bre</w:t>
      </w:r>
      <w:r w:rsidR="00C10633"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sidR="00365D38">
        <w:rPr>
          <w:rFonts w:ascii="Arial" w:hAnsi="Arial" w:cs="Arial"/>
          <w:b/>
          <w:smallCaps/>
          <w:color w:val="auto"/>
          <w:sz w:val="22"/>
          <w:szCs w:val="22"/>
        </w:rPr>
        <w:t>201</w:t>
      </w:r>
      <w:r w:rsidR="00387C8E">
        <w:rPr>
          <w:rFonts w:ascii="Arial" w:hAnsi="Arial" w:cs="Arial"/>
          <w:b/>
          <w:smallCaps/>
          <w:color w:val="auto"/>
          <w:sz w:val="22"/>
          <w:szCs w:val="22"/>
        </w:rPr>
        <w:t>9</w:t>
      </w:r>
    </w:p>
    <w:p w:rsidR="001F1169" w:rsidRDefault="001F1169" w:rsidP="001F116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rsidR="001F1169" w:rsidRDefault="002573A3" w:rsidP="001F1169">
      <w:pPr>
        <w:pStyle w:val="p0"/>
        <w:spacing w:before="0"/>
        <w:jc w:val="center"/>
      </w:pPr>
      <w:r>
        <w:rPr>
          <w:noProof/>
          <w:lang w:val="en-US" w:eastAsia="en-US"/>
        </w:rPr>
        <w:drawing>
          <wp:inline distT="0" distB="0" distL="0" distR="0" wp14:anchorId="31D501D5" wp14:editId="5D494E93">
            <wp:extent cx="4644000" cy="2376000"/>
            <wp:effectExtent l="0" t="0" r="23495" b="24765"/>
            <wp:docPr id="13" name="Gráfico 1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F1169" w:rsidRDefault="00A81951" w:rsidP="00AA768F">
      <w:pPr>
        <w:pStyle w:val="p02"/>
        <w:keepLines w:val="0"/>
        <w:widowControl w:val="0"/>
        <w:spacing w:before="0"/>
        <w:ind w:left="1778" w:right="1077" w:hanging="630"/>
        <w:rPr>
          <w:rFonts w:ascii="Arial" w:hAnsi="Arial" w:cs="Arial"/>
          <w:color w:val="000000"/>
          <w:sz w:val="16"/>
          <w:szCs w:val="16"/>
          <w:lang w:val="es-MX"/>
        </w:rPr>
      </w:pPr>
      <w:r>
        <w:rPr>
          <w:rFonts w:ascii="Arial" w:hAnsi="Arial" w:cs="Arial"/>
          <w:color w:val="000000"/>
          <w:sz w:val="16"/>
          <w:szCs w:val="16"/>
          <w:lang w:val="es-MX"/>
        </w:rPr>
        <w:t>Nota:</w:t>
      </w:r>
      <w:r w:rsidR="00AA768F">
        <w:rPr>
          <w:rFonts w:ascii="Arial" w:hAnsi="Arial" w:cs="Arial"/>
          <w:color w:val="000000"/>
          <w:sz w:val="16"/>
          <w:szCs w:val="16"/>
          <w:lang w:val="es-MX"/>
        </w:rPr>
        <w:tab/>
      </w:r>
      <w:r w:rsidR="001F1169" w:rsidRPr="00C102E2">
        <w:rPr>
          <w:rFonts w:ascii="Arial" w:hAnsi="Arial" w:cs="Arial"/>
          <w:color w:val="000000"/>
          <w:sz w:val="16"/>
          <w:szCs w:val="16"/>
          <w:lang w:val="es-MX"/>
        </w:rPr>
        <w:t>El IGAE no incluye los subsectores d</w:t>
      </w:r>
      <w:r w:rsidR="001F1169">
        <w:rPr>
          <w:rFonts w:ascii="Arial" w:hAnsi="Arial" w:cs="Arial"/>
          <w:color w:val="000000"/>
          <w:sz w:val="16"/>
          <w:szCs w:val="16"/>
          <w:lang w:val="es-MX"/>
        </w:rPr>
        <w:t>e Aprovechamiento forestal, de p</w:t>
      </w:r>
      <w:r w:rsidR="001F1169" w:rsidRPr="00C102E2">
        <w:rPr>
          <w:rFonts w:ascii="Arial" w:hAnsi="Arial" w:cs="Arial"/>
          <w:color w:val="000000"/>
          <w:sz w:val="16"/>
          <w:szCs w:val="16"/>
          <w:lang w:val="es-MX"/>
        </w:rPr>
        <w:t>esca, caza y captura, ni la totalidad de las Actividades Terciarias, por lo que su tasa de crecimiento puede diferir de la que registre el PIB.</w:t>
      </w:r>
      <w:r w:rsidR="001F1169">
        <w:rPr>
          <w:rFonts w:ascii="Arial" w:hAnsi="Arial" w:cs="Arial"/>
          <w:color w:val="000000"/>
          <w:sz w:val="16"/>
          <w:szCs w:val="16"/>
          <w:lang w:val="es-MX"/>
        </w:rPr>
        <w:t xml:space="preserve"> </w:t>
      </w:r>
    </w:p>
    <w:p w:rsidR="001F1169" w:rsidRDefault="00795051" w:rsidP="00AA768F">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AA768F">
        <w:rPr>
          <w:rFonts w:ascii="Arial" w:hAnsi="Arial" w:cs="Arial"/>
          <w:color w:val="auto"/>
          <w:sz w:val="16"/>
          <w:lang w:val="es-MX"/>
        </w:rPr>
        <w:tab/>
      </w:r>
      <w:r w:rsidR="001F1169" w:rsidRPr="00FE5FE0">
        <w:rPr>
          <w:rFonts w:ascii="Arial" w:hAnsi="Arial" w:cs="Arial"/>
          <w:color w:val="auto"/>
          <w:sz w:val="16"/>
          <w:lang w:val="es-MX"/>
        </w:rPr>
        <w:t>Cifras preliminares.</w:t>
      </w:r>
      <w:r w:rsidR="001F1169">
        <w:rPr>
          <w:rFonts w:ascii="Arial" w:hAnsi="Arial" w:cs="Arial"/>
          <w:color w:val="auto"/>
          <w:sz w:val="16"/>
          <w:lang w:val="es-MX"/>
        </w:rPr>
        <w:t xml:space="preserve"> </w:t>
      </w:r>
    </w:p>
    <w:p w:rsidR="001245E3" w:rsidRDefault="00AA768F" w:rsidP="00833FE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001F1169" w:rsidRPr="00FE2019">
        <w:rPr>
          <w:color w:val="000000"/>
          <w:sz w:val="16"/>
          <w:szCs w:val="16"/>
          <w:lang w:val="es-MX"/>
        </w:rPr>
        <w:t>INEGI.</w:t>
      </w:r>
    </w:p>
    <w:p w:rsidR="009B3248" w:rsidRDefault="009B3248" w:rsidP="00760518">
      <w:pPr>
        <w:tabs>
          <w:tab w:val="num" w:pos="1843"/>
          <w:tab w:val="left" w:pos="7939"/>
        </w:tabs>
        <w:spacing w:before="120"/>
        <w:ind w:right="51"/>
        <w:rPr>
          <w:b/>
          <w:bCs/>
          <w:iCs/>
          <w:smallCaps/>
        </w:rPr>
      </w:pPr>
      <w:bookmarkStart w:id="1" w:name="_Hlk24107995"/>
    </w:p>
    <w:bookmarkEnd w:id="1"/>
    <w:p w:rsidR="002573A3" w:rsidRDefault="002573A3" w:rsidP="00E71D9F">
      <w:pPr>
        <w:tabs>
          <w:tab w:val="num" w:pos="1843"/>
          <w:tab w:val="left" w:pos="7939"/>
        </w:tabs>
        <w:spacing w:before="120"/>
        <w:ind w:right="51"/>
        <w:rPr>
          <w:b/>
          <w:bCs/>
          <w:iCs/>
          <w:smallCaps/>
        </w:rPr>
      </w:pPr>
    </w:p>
    <w:p w:rsidR="001F1169" w:rsidRPr="00D128F7" w:rsidRDefault="00F91052" w:rsidP="00E71D9F">
      <w:pPr>
        <w:tabs>
          <w:tab w:val="num" w:pos="1843"/>
          <w:tab w:val="left" w:pos="7939"/>
        </w:tabs>
        <w:spacing w:before="120"/>
        <w:ind w:right="51"/>
        <w:rPr>
          <w:b/>
          <w:bCs/>
          <w:iCs/>
          <w:smallCaps/>
        </w:rPr>
      </w:pPr>
      <w:r w:rsidRPr="00D128F7">
        <w:rPr>
          <w:b/>
          <w:bCs/>
          <w:iCs/>
          <w:smallCaps/>
        </w:rPr>
        <w:t>Nota metodológica</w:t>
      </w:r>
    </w:p>
    <w:p w:rsidR="001F1169" w:rsidRPr="00DE1840" w:rsidRDefault="001F1169" w:rsidP="001F1169">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rsidR="00042909" w:rsidRPr="00DE1840" w:rsidRDefault="00042909" w:rsidP="00B61960">
      <w:pPr>
        <w:pStyle w:val="p0"/>
        <w:rPr>
          <w:rFonts w:ascii="Arial" w:hAnsi="Arial"/>
          <w:color w:val="auto"/>
        </w:rPr>
      </w:pPr>
      <w:r w:rsidRPr="00DE1840">
        <w:rPr>
          <w:rFonts w:ascii="Arial" w:hAnsi="Arial"/>
          <w:color w:val="auto"/>
        </w:rPr>
        <w:t xml:space="preserve">Su cobertura geográfica es nacional y alcanza una representatividad del 94.7% del valor agregado bruto del año 2013, año base de los productos del </w:t>
      </w:r>
      <w:r w:rsidR="005D7E90" w:rsidRPr="00DE1840">
        <w:rPr>
          <w:rFonts w:ascii="Arial" w:hAnsi="Arial"/>
          <w:color w:val="auto"/>
        </w:rPr>
        <w:t>Sistema de Cuentas Nacionales de México (</w:t>
      </w:r>
      <w:r w:rsidRPr="00DE1840">
        <w:rPr>
          <w:rFonts w:ascii="Arial" w:hAnsi="Arial"/>
          <w:color w:val="auto"/>
        </w:rPr>
        <w:t>SCNM</w:t>
      </w:r>
      <w:r w:rsidR="005D7E90" w:rsidRPr="00DE1840">
        <w:rPr>
          <w:rFonts w:ascii="Arial" w:hAnsi="Arial"/>
          <w:color w:val="auto"/>
        </w:rPr>
        <w:t>)</w:t>
      </w:r>
      <w:r w:rsidRPr="00DE1840">
        <w:rPr>
          <w:rFonts w:ascii="Arial" w:hAnsi="Arial"/>
          <w:color w:val="auto"/>
        </w:rPr>
        <w:t>.</w:t>
      </w:r>
    </w:p>
    <w:p w:rsidR="00042909" w:rsidRPr="00DE1840" w:rsidRDefault="00042909" w:rsidP="00B61960">
      <w:pPr>
        <w:pStyle w:val="Textoindependiente"/>
        <w:ind w:right="51"/>
        <w:rPr>
          <w:color w:val="auto"/>
          <w:highlight w:val="yellow"/>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rsidR="001F1169" w:rsidRPr="00DE1840" w:rsidRDefault="005C13A3" w:rsidP="00B61960">
      <w:pPr>
        <w:pStyle w:val="p0"/>
        <w:keepLines w:val="0"/>
        <w:rPr>
          <w:rFonts w:ascii="Arial" w:hAnsi="Arial"/>
          <w:color w:val="auto"/>
        </w:rPr>
      </w:pPr>
      <w:r w:rsidRPr="00DE1840">
        <w:rPr>
          <w:rFonts w:ascii="Arial" w:hAnsi="Arial"/>
          <w:color w:val="auto"/>
        </w:rPr>
        <w:t xml:space="preserve">El </w:t>
      </w:r>
      <w:r w:rsidR="001F1169" w:rsidRPr="00DE1840">
        <w:rPr>
          <w:rFonts w:ascii="Arial" w:hAnsi="Arial"/>
          <w:color w:val="auto"/>
        </w:rPr>
        <w:t xml:space="preserve">presente </w:t>
      </w:r>
      <w:r w:rsidRPr="00DE1840">
        <w:rPr>
          <w:rFonts w:ascii="Arial" w:hAnsi="Arial"/>
          <w:color w:val="auto"/>
        </w:rPr>
        <w:t>documento</w:t>
      </w:r>
      <w:r w:rsidR="001F1169" w:rsidRPr="00DE1840">
        <w:rPr>
          <w:rFonts w:ascii="Arial" w:hAnsi="Arial"/>
          <w:color w:val="auto"/>
        </w:rPr>
        <w:t xml:space="preserve"> destaca las variaciones porcentuales de las series desestacionalizadas o ajustadas estacionalmente, tanto respecto al mes anterior como </w:t>
      </w:r>
      <w:r w:rsidR="002B7DCC">
        <w:rPr>
          <w:rFonts w:ascii="Arial" w:hAnsi="Arial"/>
          <w:color w:val="auto"/>
        </w:rPr>
        <w:t xml:space="preserve">frente </w:t>
      </w:r>
      <w:r w:rsidR="001F1169" w:rsidRPr="00DE1840">
        <w:rPr>
          <w:rFonts w:ascii="Arial" w:hAnsi="Arial"/>
          <w:color w:val="auto"/>
        </w:rPr>
        <w:t>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1F1169" w:rsidRPr="00DE1840" w:rsidRDefault="001F1169" w:rsidP="00B61960">
      <w:pPr>
        <w:pStyle w:val="p0"/>
        <w:keepLines w:val="0"/>
        <w:rPr>
          <w:rFonts w:ascii="Arial" w:hAnsi="Arial"/>
          <w:color w:val="auto"/>
        </w:rPr>
      </w:pPr>
      <w:r w:rsidRPr="00DE1840">
        <w:rPr>
          <w:rFonts w:ascii="Arial" w:hAnsi="Arial"/>
          <w:color w:val="auto"/>
        </w:rPr>
        <w:t xml:space="preserve">En este sentido, la desestacionalización o ajuste estacional de series económicas consiste en remover estas influencias </w:t>
      </w:r>
      <w:proofErr w:type="spellStart"/>
      <w:r w:rsidRPr="00DE1840">
        <w:rPr>
          <w:rFonts w:ascii="Arial" w:hAnsi="Arial"/>
          <w:color w:val="auto"/>
        </w:rPr>
        <w:t>intra</w:t>
      </w:r>
      <w:proofErr w:type="spellEnd"/>
      <w:r w:rsidRPr="00DE1840">
        <w:rPr>
          <w:rFonts w:ascii="Arial" w:hAnsi="Arial"/>
          <w:color w:val="auto"/>
        </w:rPr>
        <w:t>-anuales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Indicador Global de la Actividad Económica se calcula de manera independiente a la de sus componentes.</w:t>
      </w:r>
    </w:p>
    <w:p w:rsidR="00406A35" w:rsidRPr="00DE1840" w:rsidRDefault="00406A35" w:rsidP="00406A35">
      <w:pPr>
        <w:widowControl w:val="0"/>
        <w:spacing w:before="24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rsidR="00406A35" w:rsidRPr="00DE1840" w:rsidRDefault="007D4269" w:rsidP="00CD47B8">
      <w:pPr>
        <w:widowControl w:val="0"/>
        <w:spacing w:before="120"/>
        <w:rPr>
          <w:color w:val="1F497D"/>
          <w:sz w:val="22"/>
          <w:szCs w:val="20"/>
          <w:lang w:val="es-MX" w:eastAsia="en-US"/>
        </w:rPr>
      </w:pPr>
      <w:hyperlink r:id="rId27" w:history="1">
        <w:r w:rsidR="00A74BF9" w:rsidRPr="00DD63A0">
          <w:rPr>
            <w:rStyle w:val="Hipervnculo"/>
            <w:szCs w:val="20"/>
            <w:lang w:val="es-MX" w:eastAsia="en-US"/>
          </w:rPr>
          <w:t>http://www.inegi.org.mx/app/biblioteca/ficha.html?upc=702825099060</w:t>
        </w:r>
      </w:hyperlink>
    </w:p>
    <w:p w:rsidR="008111E3" w:rsidRDefault="008111E3">
      <w:pPr>
        <w:jc w:val="left"/>
      </w:pPr>
      <w:r>
        <w:br w:type="page"/>
      </w:r>
    </w:p>
    <w:p w:rsidR="008111E3" w:rsidRDefault="008111E3" w:rsidP="00B61960">
      <w:pPr>
        <w:spacing w:before="240"/>
      </w:pPr>
    </w:p>
    <w:p w:rsidR="001F1169" w:rsidRPr="00DE1840" w:rsidRDefault="001F1169" w:rsidP="00B61960">
      <w:pPr>
        <w:spacing w:before="240"/>
      </w:pPr>
      <w:r w:rsidRPr="00DE1840">
        <w:t xml:space="preserve">Asimismo, las especificaciones de los modelos utilizados para realizar el ajuste estacional están disponibles en el Banco de Información Económica, seleccionando el icono de información </w:t>
      </w:r>
      <w:r w:rsidRPr="00DE1840">
        <w:rPr>
          <w:noProof/>
          <w:sz w:val="18"/>
          <w:szCs w:val="18"/>
          <w:lang w:val="en-US" w:eastAsia="en-US"/>
        </w:rPr>
        <w:drawing>
          <wp:inline distT="0" distB="0" distL="0" distR="0">
            <wp:extent cx="152400" cy="152400"/>
            <wp:effectExtent l="0" t="0" r="0" b="0"/>
            <wp:docPr id="4" name="Imagen 4"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rsidR="0067385F" w:rsidRPr="00DE1840" w:rsidRDefault="0067385F" w:rsidP="00D50C90">
      <w:pPr>
        <w:pStyle w:val="Textoindependiente"/>
        <w:ind w:right="51"/>
        <w:rPr>
          <w:color w:val="auto"/>
          <w:lang w:val="es-MX"/>
        </w:rPr>
      </w:pPr>
      <w:r w:rsidRPr="00DE1840">
        <w:rPr>
          <w:color w:val="auto"/>
        </w:rPr>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w:t>
      </w:r>
      <w:r w:rsidR="005D7E90" w:rsidRPr="00DE1840">
        <w:rPr>
          <w:color w:val="auto"/>
        </w:rPr>
        <w:t>SCNM</w:t>
      </w:r>
      <w:r w:rsidRPr="00DE1840">
        <w:rPr>
          <w:color w:val="auto"/>
        </w:rPr>
        <w:t xml:space="preserve">, </w:t>
      </w:r>
      <w:r w:rsidRPr="00DE1840">
        <w:rPr>
          <w:color w:val="auto"/>
          <w:lang w:val="es-MX"/>
        </w:rPr>
        <w:t xml:space="preserve">mismo que sigue el cálculo del Producto Interno Bruto Trimestral (PIBT) y del Indicador Mensual de la Actividad Industrial (IMAI). </w:t>
      </w:r>
      <w:r w:rsidRPr="00DE1840">
        <w:rPr>
          <w:color w:val="auto"/>
        </w:rPr>
        <w:t>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rsidR="0067385F" w:rsidRPr="00DE1840" w:rsidRDefault="0067385F" w:rsidP="00B61960">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rsidR="0067385F" w:rsidRPr="00DE1840" w:rsidRDefault="0067385F" w:rsidP="00CD47B8">
      <w:pPr>
        <w:pStyle w:val="Textoindependiente"/>
        <w:spacing w:before="120"/>
        <w:ind w:right="51"/>
        <w:rPr>
          <w:color w:val="auto"/>
          <w:lang w:val="es-MX"/>
        </w:rPr>
      </w:pPr>
      <w:r w:rsidRPr="00DE1840">
        <w:rPr>
          <w:color w:val="auto"/>
          <w:lang w:val="es-MX"/>
        </w:rPr>
        <w:t xml:space="preserve">Las principales fuentes de información para este indicador son: la Estadística de la Industria Minero-Metalúrgica (EMIMM);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rsidR="00E60138" w:rsidRPr="00DE1840" w:rsidRDefault="00E60138" w:rsidP="00B61960">
      <w:pPr>
        <w:pStyle w:val="Textoindependiente"/>
        <w:ind w:right="51"/>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rsidR="00593F5A" w:rsidRDefault="00E60138" w:rsidP="007300E1">
      <w:pPr>
        <w:pStyle w:val="texto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w:t>
      </w:r>
      <w:r w:rsidR="00EC5D93" w:rsidRPr="00DE1840">
        <w:rPr>
          <w:rFonts w:cs="Arial"/>
          <w:color w:val="auto"/>
        </w:rPr>
        <w:t>en Internet</w:t>
      </w:r>
      <w:r w:rsidR="008F6B6E" w:rsidRPr="00DE1840">
        <w:rPr>
          <w:rFonts w:cs="Arial"/>
          <w:color w:val="auto"/>
        </w:rPr>
        <w:t xml:space="preserve">: </w:t>
      </w:r>
    </w:p>
    <w:p w:rsidR="00593F5A" w:rsidRPr="001F1169" w:rsidRDefault="007D4269" w:rsidP="007300E1">
      <w:pPr>
        <w:pStyle w:val="texto0"/>
        <w:rPr>
          <w:color w:val="auto"/>
        </w:rPr>
      </w:pPr>
      <w:hyperlink r:id="rId30" w:history="1">
        <w:r w:rsidR="00E60138" w:rsidRPr="00260B48">
          <w:rPr>
            <w:rFonts w:cs="Arial"/>
            <w:color w:val="0000FF"/>
            <w:u w:val="single"/>
            <w:lang w:eastAsia="en-US"/>
          </w:rPr>
          <w:t>www.inegi.org.mx</w:t>
        </w:r>
      </w:hyperlink>
      <w:r w:rsidR="00E60138" w:rsidRPr="00DE1840">
        <w:rPr>
          <w:rFonts w:cs="Arial"/>
          <w:color w:val="0000FF"/>
          <w:lang w:eastAsia="en-US"/>
        </w:rPr>
        <w:t>.</w:t>
      </w:r>
    </w:p>
    <w:sectPr w:rsidR="00593F5A" w:rsidRPr="001F1169" w:rsidSect="004750E3">
      <w:headerReference w:type="default" r:id="rId31"/>
      <w:footerReference w:type="default" r:id="rId32"/>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B39" w:rsidRDefault="00513B39">
      <w:r>
        <w:separator/>
      </w:r>
    </w:p>
  </w:endnote>
  <w:endnote w:type="continuationSeparator" w:id="0">
    <w:p w:rsidR="00513B39" w:rsidRDefault="0051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4F0" w:rsidRPr="00B824C9" w:rsidRDefault="006734F0"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B39" w:rsidRDefault="00513B39">
      <w:r>
        <w:separator/>
      </w:r>
    </w:p>
  </w:footnote>
  <w:footnote w:type="continuationSeparator" w:id="0">
    <w:p w:rsidR="00513B39" w:rsidRDefault="00513B39">
      <w:r>
        <w:continuationSeparator/>
      </w:r>
    </w:p>
  </w:footnote>
  <w:footnote w:id="1">
    <w:p w:rsidR="006734F0" w:rsidRPr="00C07AE5" w:rsidRDefault="006734F0" w:rsidP="00CC487F">
      <w:pPr>
        <w:pStyle w:val="Textonotapie"/>
        <w:ind w:left="142" w:right="-263"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rsidR="006734F0" w:rsidRDefault="006734F0" w:rsidP="00CC487F">
      <w:pPr>
        <w:pStyle w:val="Textonotapie"/>
        <w:ind w:left="142" w:right="-263"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rsidR="00CC487F" w:rsidRDefault="00CC487F" w:rsidP="00CC487F">
      <w:pPr>
        <w:pStyle w:val="Textonotapie"/>
        <w:ind w:left="142" w:right="-263" w:hanging="142"/>
        <w:rPr>
          <w:sz w:val="16"/>
          <w:szCs w:val="16"/>
        </w:rPr>
      </w:pPr>
    </w:p>
    <w:p w:rsidR="006734F0" w:rsidRPr="00C07AE5" w:rsidRDefault="006734F0" w:rsidP="006734F0">
      <w:pPr>
        <w:pStyle w:val="Textonotapie"/>
        <w:ind w:left="142" w:hanging="142"/>
        <w:rPr>
          <w:sz w:val="16"/>
          <w:szCs w:val="16"/>
        </w:rPr>
      </w:pPr>
    </w:p>
  </w:footnote>
  <w:footnote w:id="3">
    <w:p w:rsidR="006734F0" w:rsidRDefault="006734F0" w:rsidP="006734F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rsidR="006734F0" w:rsidRPr="00C07AE5" w:rsidRDefault="006734F0" w:rsidP="006734F0">
      <w:pPr>
        <w:pStyle w:val="Textonotapie"/>
        <w:ind w:left="142" w:hanging="142"/>
        <w:rPr>
          <w:sz w:val="16"/>
          <w:szCs w:val="16"/>
        </w:rPr>
      </w:pPr>
    </w:p>
  </w:footnote>
  <w:footnote w:id="4">
    <w:p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4F0" w:rsidRPr="00265B8C" w:rsidRDefault="006734F0" w:rsidP="007D4269">
    <w:pPr>
      <w:pStyle w:val="Encabezado"/>
      <w:framePr w:w="5253" w:hSpace="141" w:wrap="auto" w:vAnchor="text" w:hAnchor="page" w:x="5846" w:y="42"/>
      <w:ind w:left="567" w:hanging="11"/>
      <w:jc w:val="right"/>
      <w:rPr>
        <w:b/>
        <w:color w:val="002060"/>
      </w:rPr>
    </w:pPr>
    <w:r w:rsidRPr="00265B8C">
      <w:rPr>
        <w:b/>
        <w:color w:val="002060"/>
      </w:rPr>
      <w:t xml:space="preserve">COMUNICADO DE PRENSA NÚM. </w:t>
    </w:r>
    <w:r w:rsidR="007D4269">
      <w:rPr>
        <w:b/>
        <w:color w:val="002060"/>
      </w:rPr>
      <w:t>709</w:t>
    </w:r>
    <w:r w:rsidRPr="00265B8C">
      <w:rPr>
        <w:b/>
        <w:color w:val="002060"/>
      </w:rPr>
      <w:t>/1</w:t>
    </w:r>
    <w:r>
      <w:rPr>
        <w:b/>
        <w:color w:val="002060"/>
      </w:rPr>
      <w:t>9</w:t>
    </w:r>
  </w:p>
  <w:p w:rsidR="006734F0" w:rsidRPr="00265B8C" w:rsidRDefault="006734F0" w:rsidP="007D4269">
    <w:pPr>
      <w:pStyle w:val="Encabezado"/>
      <w:framePr w:w="5253" w:hSpace="141" w:wrap="auto" w:vAnchor="text" w:hAnchor="page" w:x="5846" w:y="42"/>
      <w:ind w:left="567" w:hanging="11"/>
      <w:jc w:val="right"/>
      <w:rPr>
        <w:b/>
        <w:color w:val="002060"/>
        <w:lang w:val="pt-BR"/>
      </w:rPr>
    </w:pPr>
    <w:r>
      <w:rPr>
        <w:b/>
        <w:color w:val="002060"/>
        <w:lang w:val="pt-BR"/>
      </w:rPr>
      <w:t xml:space="preserve">24 DE DICIEMBRE </w:t>
    </w:r>
    <w:r w:rsidRPr="00265B8C">
      <w:rPr>
        <w:b/>
        <w:color w:val="002060"/>
        <w:lang w:val="pt-BR"/>
      </w:rPr>
      <w:t>DE 201</w:t>
    </w:r>
    <w:r>
      <w:rPr>
        <w:b/>
        <w:color w:val="002060"/>
        <w:lang w:val="pt-BR"/>
      </w:rPr>
      <w:t>9</w:t>
    </w:r>
  </w:p>
  <w:p w:rsidR="006734F0" w:rsidRPr="00265B8C" w:rsidRDefault="006734F0" w:rsidP="007D4269">
    <w:pPr>
      <w:pStyle w:val="Encabezado"/>
      <w:framePr w:w="5253" w:hSpace="141" w:wrap="auto" w:vAnchor="text" w:hAnchor="page" w:x="5846"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7D4269">
      <w:rPr>
        <w:b/>
        <w:noProof/>
        <w:color w:val="002060"/>
        <w:lang w:val="pt-BR"/>
      </w:rPr>
      <w:t>1</w:t>
    </w:r>
    <w:r w:rsidRPr="00265B8C">
      <w:rPr>
        <w:color w:val="002060"/>
      </w:rPr>
      <w:fldChar w:fldCharType="end"/>
    </w:r>
    <w:r w:rsidRPr="00265B8C">
      <w:rPr>
        <w:b/>
        <w:color w:val="002060"/>
        <w:lang w:val="pt-BR"/>
      </w:rPr>
      <w:t>/</w:t>
    </w:r>
    <w:r>
      <w:rPr>
        <w:b/>
        <w:color w:val="002060"/>
        <w:lang w:val="pt-BR"/>
      </w:rPr>
      <w:t>2</w:t>
    </w:r>
  </w:p>
  <w:p w:rsidR="006734F0" w:rsidRDefault="006734F0" w:rsidP="004C150C">
    <w:pPr>
      <w:pStyle w:val="Encabezado"/>
      <w:ind w:left="-993"/>
    </w:pPr>
    <w:r>
      <w:rPr>
        <w:noProof/>
        <w:lang w:val="en-US" w:eastAsia="en-US"/>
      </w:rPr>
      <w:drawing>
        <wp:inline distT="0" distB="0" distL="0" distR="0" wp14:anchorId="42428603" wp14:editId="0D1C0C04">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7" w:rsidRDefault="00E463F2" w:rsidP="006734F0">
    <w:pPr>
      <w:pStyle w:val="Encabezado"/>
      <w:jc w:val="center"/>
      <w:rPr>
        <w:noProof/>
        <w:lang w:val="es-MX" w:eastAsia="es-MX"/>
      </w:rPr>
    </w:pPr>
    <w:r>
      <w:rPr>
        <w:noProof/>
        <w:lang w:val="en-US" w:eastAsia="en-US"/>
      </w:rPr>
      <w:drawing>
        <wp:inline distT="0" distB="0" distL="0" distR="0">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8C4"/>
    <w:rsid w:val="00022CA3"/>
    <w:rsid w:val="00022D8E"/>
    <w:rsid w:val="00024AC7"/>
    <w:rsid w:val="000260EE"/>
    <w:rsid w:val="00026B3C"/>
    <w:rsid w:val="00026B52"/>
    <w:rsid w:val="0002754B"/>
    <w:rsid w:val="000300AA"/>
    <w:rsid w:val="00030480"/>
    <w:rsid w:val="0003065F"/>
    <w:rsid w:val="00030D10"/>
    <w:rsid w:val="00031231"/>
    <w:rsid w:val="000314D3"/>
    <w:rsid w:val="00031BCF"/>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228A"/>
    <w:rsid w:val="00063614"/>
    <w:rsid w:val="00063838"/>
    <w:rsid w:val="00063D4B"/>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8A5"/>
    <w:rsid w:val="000D31C1"/>
    <w:rsid w:val="000D32F1"/>
    <w:rsid w:val="000D33E6"/>
    <w:rsid w:val="000D36B2"/>
    <w:rsid w:val="000D39FD"/>
    <w:rsid w:val="000D4833"/>
    <w:rsid w:val="000D49D2"/>
    <w:rsid w:val="000D4A88"/>
    <w:rsid w:val="000D4BBC"/>
    <w:rsid w:val="000D4D90"/>
    <w:rsid w:val="000D4E26"/>
    <w:rsid w:val="000D5176"/>
    <w:rsid w:val="000D5C44"/>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5D5"/>
    <w:rsid w:val="000F1DEB"/>
    <w:rsid w:val="000F3491"/>
    <w:rsid w:val="000F3DE6"/>
    <w:rsid w:val="000F44E7"/>
    <w:rsid w:val="000F49F1"/>
    <w:rsid w:val="000F4C41"/>
    <w:rsid w:val="000F4E66"/>
    <w:rsid w:val="000F4FA7"/>
    <w:rsid w:val="000F536A"/>
    <w:rsid w:val="000F541D"/>
    <w:rsid w:val="000F5AD1"/>
    <w:rsid w:val="000F649E"/>
    <w:rsid w:val="000F69FA"/>
    <w:rsid w:val="000F7577"/>
    <w:rsid w:val="000F7892"/>
    <w:rsid w:val="000F7974"/>
    <w:rsid w:val="000F7ECD"/>
    <w:rsid w:val="000F7FB5"/>
    <w:rsid w:val="00100317"/>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94B"/>
    <w:rsid w:val="00145DF2"/>
    <w:rsid w:val="00145F65"/>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90180"/>
    <w:rsid w:val="00190A43"/>
    <w:rsid w:val="00190D0B"/>
    <w:rsid w:val="001912FB"/>
    <w:rsid w:val="00191608"/>
    <w:rsid w:val="00191664"/>
    <w:rsid w:val="00192065"/>
    <w:rsid w:val="001941AA"/>
    <w:rsid w:val="00194F73"/>
    <w:rsid w:val="00195EC2"/>
    <w:rsid w:val="00195F99"/>
    <w:rsid w:val="001A016C"/>
    <w:rsid w:val="001A0422"/>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9DF"/>
    <w:rsid w:val="00203367"/>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BA7"/>
    <w:rsid w:val="002E4D3D"/>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341"/>
    <w:rsid w:val="00322D22"/>
    <w:rsid w:val="0032345B"/>
    <w:rsid w:val="003235F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9F2"/>
    <w:rsid w:val="00470535"/>
    <w:rsid w:val="00471183"/>
    <w:rsid w:val="0047123C"/>
    <w:rsid w:val="004714F6"/>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C8C"/>
    <w:rsid w:val="00497FA5"/>
    <w:rsid w:val="004A03B3"/>
    <w:rsid w:val="004A04D5"/>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6B4B"/>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EBE"/>
    <w:rsid w:val="005020EB"/>
    <w:rsid w:val="00503551"/>
    <w:rsid w:val="00503821"/>
    <w:rsid w:val="00503F38"/>
    <w:rsid w:val="005043FC"/>
    <w:rsid w:val="00504A55"/>
    <w:rsid w:val="00505F08"/>
    <w:rsid w:val="00506610"/>
    <w:rsid w:val="0050671D"/>
    <w:rsid w:val="0050672C"/>
    <w:rsid w:val="00506C4C"/>
    <w:rsid w:val="0050700E"/>
    <w:rsid w:val="005075EB"/>
    <w:rsid w:val="005079D7"/>
    <w:rsid w:val="00507B2A"/>
    <w:rsid w:val="005105F5"/>
    <w:rsid w:val="00510892"/>
    <w:rsid w:val="00510A22"/>
    <w:rsid w:val="00510BEA"/>
    <w:rsid w:val="00510D8A"/>
    <w:rsid w:val="00511EBC"/>
    <w:rsid w:val="005125D5"/>
    <w:rsid w:val="00512D51"/>
    <w:rsid w:val="00512E95"/>
    <w:rsid w:val="00513B39"/>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E00"/>
    <w:rsid w:val="0052439F"/>
    <w:rsid w:val="005243EB"/>
    <w:rsid w:val="00524FC0"/>
    <w:rsid w:val="00525789"/>
    <w:rsid w:val="00525890"/>
    <w:rsid w:val="00525C4D"/>
    <w:rsid w:val="005260BC"/>
    <w:rsid w:val="00526452"/>
    <w:rsid w:val="00526816"/>
    <w:rsid w:val="00526AE3"/>
    <w:rsid w:val="00526F09"/>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1307"/>
    <w:rsid w:val="00541B60"/>
    <w:rsid w:val="00541DB8"/>
    <w:rsid w:val="00541F9A"/>
    <w:rsid w:val="00542599"/>
    <w:rsid w:val="00542EB4"/>
    <w:rsid w:val="00544320"/>
    <w:rsid w:val="0054460B"/>
    <w:rsid w:val="005448B9"/>
    <w:rsid w:val="00545136"/>
    <w:rsid w:val="005452C1"/>
    <w:rsid w:val="00545B42"/>
    <w:rsid w:val="0054612B"/>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6"/>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77E"/>
    <w:rsid w:val="005C6B0C"/>
    <w:rsid w:val="005C6CD0"/>
    <w:rsid w:val="005C7072"/>
    <w:rsid w:val="005C785E"/>
    <w:rsid w:val="005C78D5"/>
    <w:rsid w:val="005D00B6"/>
    <w:rsid w:val="005D101F"/>
    <w:rsid w:val="005D1247"/>
    <w:rsid w:val="005D19D4"/>
    <w:rsid w:val="005D1D60"/>
    <w:rsid w:val="005D205D"/>
    <w:rsid w:val="005D2F54"/>
    <w:rsid w:val="005D33D2"/>
    <w:rsid w:val="005D353D"/>
    <w:rsid w:val="005D3FD5"/>
    <w:rsid w:val="005D463B"/>
    <w:rsid w:val="005D593D"/>
    <w:rsid w:val="005D6377"/>
    <w:rsid w:val="005D63A5"/>
    <w:rsid w:val="005D69A4"/>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11A0"/>
    <w:rsid w:val="00602475"/>
    <w:rsid w:val="00602A78"/>
    <w:rsid w:val="00602BCA"/>
    <w:rsid w:val="0060305F"/>
    <w:rsid w:val="006034C7"/>
    <w:rsid w:val="00604617"/>
    <w:rsid w:val="00604710"/>
    <w:rsid w:val="00604730"/>
    <w:rsid w:val="006049CE"/>
    <w:rsid w:val="00604AE3"/>
    <w:rsid w:val="00604D1B"/>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C7D"/>
    <w:rsid w:val="0061735F"/>
    <w:rsid w:val="00617A80"/>
    <w:rsid w:val="006205E1"/>
    <w:rsid w:val="006208EE"/>
    <w:rsid w:val="0062091D"/>
    <w:rsid w:val="00620C44"/>
    <w:rsid w:val="0062100E"/>
    <w:rsid w:val="006211A5"/>
    <w:rsid w:val="006219BC"/>
    <w:rsid w:val="00622789"/>
    <w:rsid w:val="00622F8E"/>
    <w:rsid w:val="006233C1"/>
    <w:rsid w:val="00623E2A"/>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57F2"/>
    <w:rsid w:val="00635AEB"/>
    <w:rsid w:val="00636EF8"/>
    <w:rsid w:val="00636FEF"/>
    <w:rsid w:val="0063715F"/>
    <w:rsid w:val="006377DB"/>
    <w:rsid w:val="00637E6F"/>
    <w:rsid w:val="006405A2"/>
    <w:rsid w:val="00640699"/>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6754"/>
    <w:rsid w:val="00666AEA"/>
    <w:rsid w:val="00667FB2"/>
    <w:rsid w:val="00670009"/>
    <w:rsid w:val="006702EB"/>
    <w:rsid w:val="00670D2E"/>
    <w:rsid w:val="0067269F"/>
    <w:rsid w:val="006726CB"/>
    <w:rsid w:val="0067272F"/>
    <w:rsid w:val="006734F0"/>
    <w:rsid w:val="0067385F"/>
    <w:rsid w:val="00673BA4"/>
    <w:rsid w:val="00674C5D"/>
    <w:rsid w:val="00674ED8"/>
    <w:rsid w:val="006755B4"/>
    <w:rsid w:val="00675793"/>
    <w:rsid w:val="00675AD4"/>
    <w:rsid w:val="00675C5E"/>
    <w:rsid w:val="00675D51"/>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4A8"/>
    <w:rsid w:val="006A182D"/>
    <w:rsid w:val="006A1ADF"/>
    <w:rsid w:val="006A23AC"/>
    <w:rsid w:val="006A2835"/>
    <w:rsid w:val="006A2BDE"/>
    <w:rsid w:val="006A322C"/>
    <w:rsid w:val="006A3878"/>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2121"/>
    <w:rsid w:val="00732732"/>
    <w:rsid w:val="0073397C"/>
    <w:rsid w:val="00734051"/>
    <w:rsid w:val="00734519"/>
    <w:rsid w:val="0073458B"/>
    <w:rsid w:val="00734B84"/>
    <w:rsid w:val="00735EBF"/>
    <w:rsid w:val="007365ED"/>
    <w:rsid w:val="00736927"/>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5D3"/>
    <w:rsid w:val="007746DC"/>
    <w:rsid w:val="0077558B"/>
    <w:rsid w:val="007756E4"/>
    <w:rsid w:val="00776874"/>
    <w:rsid w:val="0077726C"/>
    <w:rsid w:val="00777AAB"/>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C"/>
    <w:rsid w:val="007B24F0"/>
    <w:rsid w:val="007B2E1A"/>
    <w:rsid w:val="007B34DC"/>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21B"/>
    <w:rsid w:val="007D4269"/>
    <w:rsid w:val="007D4490"/>
    <w:rsid w:val="007D4579"/>
    <w:rsid w:val="007D51EB"/>
    <w:rsid w:val="007D58BB"/>
    <w:rsid w:val="007D6835"/>
    <w:rsid w:val="007D6A93"/>
    <w:rsid w:val="007D6EED"/>
    <w:rsid w:val="007D7CDE"/>
    <w:rsid w:val="007D7DC7"/>
    <w:rsid w:val="007E01AF"/>
    <w:rsid w:val="007E0772"/>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81A"/>
    <w:rsid w:val="007F1160"/>
    <w:rsid w:val="007F1F3B"/>
    <w:rsid w:val="007F21B0"/>
    <w:rsid w:val="007F2DE9"/>
    <w:rsid w:val="007F3223"/>
    <w:rsid w:val="007F341B"/>
    <w:rsid w:val="007F3682"/>
    <w:rsid w:val="007F3AA2"/>
    <w:rsid w:val="007F3B45"/>
    <w:rsid w:val="007F3E3E"/>
    <w:rsid w:val="007F4A9E"/>
    <w:rsid w:val="007F4ABC"/>
    <w:rsid w:val="007F4D45"/>
    <w:rsid w:val="007F510F"/>
    <w:rsid w:val="007F5206"/>
    <w:rsid w:val="007F545B"/>
    <w:rsid w:val="007F59B2"/>
    <w:rsid w:val="007F5A1A"/>
    <w:rsid w:val="007F6607"/>
    <w:rsid w:val="007F7865"/>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E43"/>
    <w:rsid w:val="00807F69"/>
    <w:rsid w:val="00810368"/>
    <w:rsid w:val="008108B5"/>
    <w:rsid w:val="00810BE7"/>
    <w:rsid w:val="008111E3"/>
    <w:rsid w:val="00811336"/>
    <w:rsid w:val="0081165D"/>
    <w:rsid w:val="00811B28"/>
    <w:rsid w:val="00811E2C"/>
    <w:rsid w:val="00812862"/>
    <w:rsid w:val="00812A7A"/>
    <w:rsid w:val="0081362B"/>
    <w:rsid w:val="0081450B"/>
    <w:rsid w:val="0081467F"/>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EE1"/>
    <w:rsid w:val="008515AC"/>
    <w:rsid w:val="0085165B"/>
    <w:rsid w:val="0085179C"/>
    <w:rsid w:val="008518FA"/>
    <w:rsid w:val="00851903"/>
    <w:rsid w:val="00851B3F"/>
    <w:rsid w:val="00851DCB"/>
    <w:rsid w:val="00851E0C"/>
    <w:rsid w:val="00851F5F"/>
    <w:rsid w:val="00852142"/>
    <w:rsid w:val="008528CF"/>
    <w:rsid w:val="00853334"/>
    <w:rsid w:val="00853510"/>
    <w:rsid w:val="00853B22"/>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5B0"/>
    <w:rsid w:val="008E20BE"/>
    <w:rsid w:val="008E22F8"/>
    <w:rsid w:val="008E2317"/>
    <w:rsid w:val="008E241B"/>
    <w:rsid w:val="008E3096"/>
    <w:rsid w:val="008E330C"/>
    <w:rsid w:val="008E332F"/>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A6C"/>
    <w:rsid w:val="00924ED4"/>
    <w:rsid w:val="00924F63"/>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6546"/>
    <w:rsid w:val="00976FCF"/>
    <w:rsid w:val="0097768A"/>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AE0"/>
    <w:rsid w:val="009A6621"/>
    <w:rsid w:val="009A6AEA"/>
    <w:rsid w:val="009A6CC5"/>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CF6"/>
    <w:rsid w:val="00A36EC5"/>
    <w:rsid w:val="00A37EDA"/>
    <w:rsid w:val="00A4035D"/>
    <w:rsid w:val="00A413A3"/>
    <w:rsid w:val="00A41DB1"/>
    <w:rsid w:val="00A43270"/>
    <w:rsid w:val="00A436CD"/>
    <w:rsid w:val="00A44299"/>
    <w:rsid w:val="00A4539E"/>
    <w:rsid w:val="00A46080"/>
    <w:rsid w:val="00A461CB"/>
    <w:rsid w:val="00A46C6C"/>
    <w:rsid w:val="00A46EB1"/>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F63"/>
    <w:rsid w:val="00AF4326"/>
    <w:rsid w:val="00AF4345"/>
    <w:rsid w:val="00AF463B"/>
    <w:rsid w:val="00AF4CC5"/>
    <w:rsid w:val="00AF5319"/>
    <w:rsid w:val="00AF608B"/>
    <w:rsid w:val="00AF6A59"/>
    <w:rsid w:val="00AF7A12"/>
    <w:rsid w:val="00AF7BDD"/>
    <w:rsid w:val="00B00F8C"/>
    <w:rsid w:val="00B00FEC"/>
    <w:rsid w:val="00B02145"/>
    <w:rsid w:val="00B02F0C"/>
    <w:rsid w:val="00B03776"/>
    <w:rsid w:val="00B03ED8"/>
    <w:rsid w:val="00B0401D"/>
    <w:rsid w:val="00B042D2"/>
    <w:rsid w:val="00B0477D"/>
    <w:rsid w:val="00B04E8D"/>
    <w:rsid w:val="00B04F50"/>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55F5"/>
    <w:rsid w:val="00B95663"/>
    <w:rsid w:val="00B95A36"/>
    <w:rsid w:val="00B95CCC"/>
    <w:rsid w:val="00B95F44"/>
    <w:rsid w:val="00B96D3C"/>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776"/>
    <w:rsid w:val="00BC3B17"/>
    <w:rsid w:val="00BC3D8E"/>
    <w:rsid w:val="00BC3E7F"/>
    <w:rsid w:val="00BC41B5"/>
    <w:rsid w:val="00BC42AB"/>
    <w:rsid w:val="00BC4C63"/>
    <w:rsid w:val="00BC54D1"/>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F80"/>
    <w:rsid w:val="00C01250"/>
    <w:rsid w:val="00C01619"/>
    <w:rsid w:val="00C03041"/>
    <w:rsid w:val="00C03815"/>
    <w:rsid w:val="00C041F4"/>
    <w:rsid w:val="00C04248"/>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318D"/>
    <w:rsid w:val="00C65030"/>
    <w:rsid w:val="00C6527B"/>
    <w:rsid w:val="00C652A1"/>
    <w:rsid w:val="00C655E4"/>
    <w:rsid w:val="00C65613"/>
    <w:rsid w:val="00C65738"/>
    <w:rsid w:val="00C6590A"/>
    <w:rsid w:val="00C65FFB"/>
    <w:rsid w:val="00C66663"/>
    <w:rsid w:val="00C667A9"/>
    <w:rsid w:val="00C668D8"/>
    <w:rsid w:val="00C66BCD"/>
    <w:rsid w:val="00C66E74"/>
    <w:rsid w:val="00C67029"/>
    <w:rsid w:val="00C67A4B"/>
    <w:rsid w:val="00C70B38"/>
    <w:rsid w:val="00C70B43"/>
    <w:rsid w:val="00C71A56"/>
    <w:rsid w:val="00C724BD"/>
    <w:rsid w:val="00C730CC"/>
    <w:rsid w:val="00C7382E"/>
    <w:rsid w:val="00C7532A"/>
    <w:rsid w:val="00C75721"/>
    <w:rsid w:val="00C760A6"/>
    <w:rsid w:val="00C762B7"/>
    <w:rsid w:val="00C76825"/>
    <w:rsid w:val="00C77C4B"/>
    <w:rsid w:val="00C77D50"/>
    <w:rsid w:val="00C80DC6"/>
    <w:rsid w:val="00C815E4"/>
    <w:rsid w:val="00C817F9"/>
    <w:rsid w:val="00C81C15"/>
    <w:rsid w:val="00C82276"/>
    <w:rsid w:val="00C8290C"/>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043"/>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487F"/>
    <w:rsid w:val="00CC566D"/>
    <w:rsid w:val="00CC6AA6"/>
    <w:rsid w:val="00CC6ACF"/>
    <w:rsid w:val="00CC6B13"/>
    <w:rsid w:val="00CC722F"/>
    <w:rsid w:val="00CC726E"/>
    <w:rsid w:val="00CC7476"/>
    <w:rsid w:val="00CC75EE"/>
    <w:rsid w:val="00CD0BAE"/>
    <w:rsid w:val="00CD1017"/>
    <w:rsid w:val="00CD129C"/>
    <w:rsid w:val="00CD12BA"/>
    <w:rsid w:val="00CD181E"/>
    <w:rsid w:val="00CD22AB"/>
    <w:rsid w:val="00CD2C45"/>
    <w:rsid w:val="00CD387C"/>
    <w:rsid w:val="00CD4727"/>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F1F"/>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886"/>
    <w:rsid w:val="00D2276B"/>
    <w:rsid w:val="00D22E00"/>
    <w:rsid w:val="00D23172"/>
    <w:rsid w:val="00D23E9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E06"/>
    <w:rsid w:val="00D53650"/>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705"/>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C9"/>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A33"/>
    <w:rsid w:val="00DC3214"/>
    <w:rsid w:val="00DC3579"/>
    <w:rsid w:val="00DC3E0F"/>
    <w:rsid w:val="00DC43AE"/>
    <w:rsid w:val="00DC466F"/>
    <w:rsid w:val="00DC4841"/>
    <w:rsid w:val="00DC4912"/>
    <w:rsid w:val="00DC51EE"/>
    <w:rsid w:val="00DC5533"/>
    <w:rsid w:val="00DC5770"/>
    <w:rsid w:val="00DC59D7"/>
    <w:rsid w:val="00DC5EDB"/>
    <w:rsid w:val="00DC6BB0"/>
    <w:rsid w:val="00DC6E13"/>
    <w:rsid w:val="00DC6E1B"/>
    <w:rsid w:val="00DC7EBE"/>
    <w:rsid w:val="00DD12EF"/>
    <w:rsid w:val="00DD158F"/>
    <w:rsid w:val="00DD16FB"/>
    <w:rsid w:val="00DD235A"/>
    <w:rsid w:val="00DD2381"/>
    <w:rsid w:val="00DD2B1D"/>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201E"/>
    <w:rsid w:val="00DE292D"/>
    <w:rsid w:val="00DE2AA3"/>
    <w:rsid w:val="00DE30D1"/>
    <w:rsid w:val="00DE3B74"/>
    <w:rsid w:val="00DE40F7"/>
    <w:rsid w:val="00DE47DF"/>
    <w:rsid w:val="00DE4D21"/>
    <w:rsid w:val="00DE53D4"/>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DD5"/>
    <w:rsid w:val="00E3751A"/>
    <w:rsid w:val="00E377A6"/>
    <w:rsid w:val="00E4005E"/>
    <w:rsid w:val="00E40A1E"/>
    <w:rsid w:val="00E40C4F"/>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7E87"/>
    <w:rsid w:val="00E60138"/>
    <w:rsid w:val="00E60DE1"/>
    <w:rsid w:val="00E61076"/>
    <w:rsid w:val="00E61347"/>
    <w:rsid w:val="00E61812"/>
    <w:rsid w:val="00E61A51"/>
    <w:rsid w:val="00E62CC5"/>
    <w:rsid w:val="00E62CF0"/>
    <w:rsid w:val="00E62E5D"/>
    <w:rsid w:val="00E64F58"/>
    <w:rsid w:val="00E65073"/>
    <w:rsid w:val="00E65E8C"/>
    <w:rsid w:val="00E66800"/>
    <w:rsid w:val="00E66D78"/>
    <w:rsid w:val="00E673C1"/>
    <w:rsid w:val="00E67C5C"/>
    <w:rsid w:val="00E67E55"/>
    <w:rsid w:val="00E70504"/>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11B"/>
    <w:rsid w:val="00E801FE"/>
    <w:rsid w:val="00E80768"/>
    <w:rsid w:val="00E80E1E"/>
    <w:rsid w:val="00E82135"/>
    <w:rsid w:val="00E82258"/>
    <w:rsid w:val="00E82862"/>
    <w:rsid w:val="00E82CA0"/>
    <w:rsid w:val="00E82E17"/>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5D"/>
    <w:rsid w:val="00EA301E"/>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6606"/>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9A7"/>
    <w:rsid w:val="00F06CB2"/>
    <w:rsid w:val="00F06E72"/>
    <w:rsid w:val="00F07C8A"/>
    <w:rsid w:val="00F07D8B"/>
    <w:rsid w:val="00F104D0"/>
    <w:rsid w:val="00F10840"/>
    <w:rsid w:val="00F1089C"/>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19F9"/>
    <w:rsid w:val="00F32AF9"/>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CE9"/>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8B4"/>
    <w:rsid w:val="00F6394E"/>
    <w:rsid w:val="00F643C2"/>
    <w:rsid w:val="00F64A0B"/>
    <w:rsid w:val="00F6557B"/>
    <w:rsid w:val="00F65F2E"/>
    <w:rsid w:val="00F666B5"/>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523E"/>
    <w:rsid w:val="00F759D7"/>
    <w:rsid w:val="00F7609A"/>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0C9"/>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251A3F"/>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PiedepginaCar">
    <w:name w:val="Pie de página Car"/>
    <w:basedOn w:val="Fuentedeprrafopredeter"/>
    <w:link w:val="Piedepgina"/>
    <w:uiPriority w:val="99"/>
    <w:rsid w:val="006734F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www.inegi.org.mx/app/biblioteca/ficha.html?upc=702825099060" TargetMode="External"/><Relationship Id="rId30" Type="http://schemas.openxmlformats.org/officeDocument/2006/relationships/hyperlink" Target="http://www.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342460923727829E-2"/>
          <c:y val="2.458213524542098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Datos!$A$67:$B$136</c:f>
              <c:multiLvlStrCache>
                <c:ptCount val="70"/>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Datos!$C$67:$C$136</c:f>
              <c:numCache>
                <c:formatCode>0.0</c:formatCode>
                <c:ptCount val="70"/>
                <c:pt idx="0">
                  <c:v>100.216830614551</c:v>
                </c:pt>
                <c:pt idx="1">
                  <c:v>101.509378523766</c:v>
                </c:pt>
                <c:pt idx="2">
                  <c:v>101.359191965618</c:v>
                </c:pt>
                <c:pt idx="3">
                  <c:v>102.306548592113</c:v>
                </c:pt>
                <c:pt idx="4">
                  <c:v>102.86720175363099</c:v>
                </c:pt>
                <c:pt idx="5">
                  <c:v>102.484559625302</c:v>
                </c:pt>
                <c:pt idx="6">
                  <c:v>102.899487360733</c:v>
                </c:pt>
                <c:pt idx="7">
                  <c:v>102.72623407365499</c:v>
                </c:pt>
                <c:pt idx="8">
                  <c:v>102.775075258573</c:v>
                </c:pt>
                <c:pt idx="9">
                  <c:v>103.897765175207</c:v>
                </c:pt>
                <c:pt idx="10">
                  <c:v>103.91568784386401</c:v>
                </c:pt>
                <c:pt idx="11">
                  <c:v>104.00299125686399</c:v>
                </c:pt>
                <c:pt idx="12">
                  <c:v>104.130819517261</c:v>
                </c:pt>
                <c:pt idx="13">
                  <c:v>104.46045473913099</c:v>
                </c:pt>
                <c:pt idx="14">
                  <c:v>104.410255739215</c:v>
                </c:pt>
                <c:pt idx="15">
                  <c:v>106.06110758577</c:v>
                </c:pt>
                <c:pt idx="16">
                  <c:v>105.09967687530001</c:v>
                </c:pt>
                <c:pt idx="17">
                  <c:v>105.36015631613201</c:v>
                </c:pt>
                <c:pt idx="18">
                  <c:v>106.37384363322499</c:v>
                </c:pt>
                <c:pt idx="19">
                  <c:v>106.582749085305</c:v>
                </c:pt>
                <c:pt idx="20">
                  <c:v>107.665228046704</c:v>
                </c:pt>
                <c:pt idx="21">
                  <c:v>106.826327554816</c:v>
                </c:pt>
                <c:pt idx="22">
                  <c:v>106.055912526973</c:v>
                </c:pt>
                <c:pt idx="23">
                  <c:v>106.61882743387299</c:v>
                </c:pt>
                <c:pt idx="24">
                  <c:v>107.191233814702</c:v>
                </c:pt>
                <c:pt idx="25">
                  <c:v>108.00678015396301</c:v>
                </c:pt>
                <c:pt idx="26">
                  <c:v>107.502291081086</c:v>
                </c:pt>
                <c:pt idx="27">
                  <c:v>107.481100879279</c:v>
                </c:pt>
                <c:pt idx="28">
                  <c:v>107.667215295612</c:v>
                </c:pt>
                <c:pt idx="29">
                  <c:v>108.51043733896999</c:v>
                </c:pt>
                <c:pt idx="30">
                  <c:v>108.554244805436</c:v>
                </c:pt>
                <c:pt idx="31">
                  <c:v>108.59846497081099</c:v>
                </c:pt>
                <c:pt idx="32">
                  <c:v>109.285718421038</c:v>
                </c:pt>
                <c:pt idx="33">
                  <c:v>109.87663078937599</c:v>
                </c:pt>
                <c:pt idx="34">
                  <c:v>109.734079956269</c:v>
                </c:pt>
                <c:pt idx="35">
                  <c:v>110.615668919402</c:v>
                </c:pt>
                <c:pt idx="36">
                  <c:v>110.662822160177</c:v>
                </c:pt>
                <c:pt idx="37">
                  <c:v>110.06351071647801</c:v>
                </c:pt>
                <c:pt idx="38">
                  <c:v>110.559166210397</c:v>
                </c:pt>
                <c:pt idx="39">
                  <c:v>110.858235734049</c:v>
                </c:pt>
                <c:pt idx="40">
                  <c:v>110.274305987189</c:v>
                </c:pt>
                <c:pt idx="41">
                  <c:v>110.997077683765</c:v>
                </c:pt>
                <c:pt idx="42">
                  <c:v>110.212920604538</c:v>
                </c:pt>
                <c:pt idx="43">
                  <c:v>111.301218915389</c:v>
                </c:pt>
                <c:pt idx="44">
                  <c:v>110.053600828846</c:v>
                </c:pt>
                <c:pt idx="45">
                  <c:v>111.168838122899</c:v>
                </c:pt>
                <c:pt idx="46">
                  <c:v>111.82336524473899</c:v>
                </c:pt>
                <c:pt idx="47">
                  <c:v>112.979562356473</c:v>
                </c:pt>
                <c:pt idx="48">
                  <c:v>112.163897312614</c:v>
                </c:pt>
                <c:pt idx="49">
                  <c:v>112.62479061226</c:v>
                </c:pt>
                <c:pt idx="50">
                  <c:v>113.78803224720799</c:v>
                </c:pt>
                <c:pt idx="51">
                  <c:v>112.849577055005</c:v>
                </c:pt>
                <c:pt idx="52">
                  <c:v>113.546678425767</c:v>
                </c:pt>
                <c:pt idx="53">
                  <c:v>113.017002437496</c:v>
                </c:pt>
                <c:pt idx="54">
                  <c:v>113.359727038111</c:v>
                </c:pt>
                <c:pt idx="55">
                  <c:v>113.380875777176</c:v>
                </c:pt>
                <c:pt idx="56">
                  <c:v>113.328091664995</c:v>
                </c:pt>
                <c:pt idx="57">
                  <c:v>113.216919516359</c:v>
                </c:pt>
                <c:pt idx="58">
                  <c:v>113.46417626860701</c:v>
                </c:pt>
                <c:pt idx="59">
                  <c:v>112.88258210608799</c:v>
                </c:pt>
                <c:pt idx="60">
                  <c:v>113.301178862923</c:v>
                </c:pt>
                <c:pt idx="61">
                  <c:v>113.495226048465</c:v>
                </c:pt>
                <c:pt idx="62">
                  <c:v>112.97709336615701</c:v>
                </c:pt>
                <c:pt idx="63">
                  <c:v>113.02073598565499</c:v>
                </c:pt>
                <c:pt idx="64">
                  <c:v>113.014461017537</c:v>
                </c:pt>
                <c:pt idx="65">
                  <c:v>113.005707327365</c:v>
                </c:pt>
                <c:pt idx="66">
                  <c:v>112.930354590127</c:v>
                </c:pt>
                <c:pt idx="67">
                  <c:v>112.728086988543</c:v>
                </c:pt>
                <c:pt idx="68">
                  <c:v>112.905272187853</c:v>
                </c:pt>
                <c:pt idx="69">
                  <c:v>112.382167114994</c:v>
                </c:pt>
              </c:numCache>
            </c:numRef>
          </c:val>
          <c:extLst>
            <c:ext xmlns:c16="http://schemas.microsoft.com/office/drawing/2014/chart" uri="{C3380CC4-5D6E-409C-BE32-E72D297353CC}">
              <c16:uniqueId val="{00000000-87DC-4334-9641-14C4415EB783}"/>
            </c:ext>
          </c:extLst>
        </c:ser>
        <c:dLbls>
          <c:showLegendKey val="0"/>
          <c:showVal val="1"/>
          <c:showCatName val="0"/>
          <c:showSerName val="0"/>
          <c:showPercent val="0"/>
          <c:showBubbleSize val="0"/>
        </c:dLbls>
        <c:gapWidth val="50"/>
        <c:axId val="106794560"/>
        <c:axId val="106838664"/>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Datos!$A$67:$B$136</c:f>
              <c:multiLvlStrCache>
                <c:ptCount val="70"/>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Datos!$D$67:$D$136</c:f>
              <c:numCache>
                <c:formatCode>0.0</c:formatCode>
                <c:ptCount val="70"/>
                <c:pt idx="0">
                  <c:v>101.129084031875</c:v>
                </c:pt>
                <c:pt idx="1">
                  <c:v>101.422113613419</c:v>
                </c:pt>
                <c:pt idx="2">
                  <c:v>101.772746872607</c:v>
                </c:pt>
                <c:pt idx="3">
                  <c:v>102.104817898684</c:v>
                </c:pt>
                <c:pt idx="4">
                  <c:v>102.37985812155399</c:v>
                </c:pt>
                <c:pt idx="5">
                  <c:v>102.59966028502799</c:v>
                </c:pt>
                <c:pt idx="6">
                  <c:v>102.79422927836001</c:v>
                </c:pt>
                <c:pt idx="7">
                  <c:v>102.991841805391</c:v>
                </c:pt>
                <c:pt idx="8">
                  <c:v>103.225415698163</c:v>
                </c:pt>
                <c:pt idx="9">
                  <c:v>103.489162156994</c:v>
                </c:pt>
                <c:pt idx="10">
                  <c:v>103.767101308181</c:v>
                </c:pt>
                <c:pt idx="11">
                  <c:v>104.015954382041</c:v>
                </c:pt>
                <c:pt idx="12">
                  <c:v>104.20961917934299</c:v>
                </c:pt>
                <c:pt idx="13">
                  <c:v>104.38030413893701</c:v>
                </c:pt>
                <c:pt idx="14">
                  <c:v>104.579130531942</c:v>
                </c:pt>
                <c:pt idx="15">
                  <c:v>104.864866041523</c:v>
                </c:pt>
                <c:pt idx="16">
                  <c:v>105.245983328211</c:v>
                </c:pt>
                <c:pt idx="17">
                  <c:v>105.67513386428401</c:v>
                </c:pt>
                <c:pt idx="18">
                  <c:v>106.087405840706</c:v>
                </c:pt>
                <c:pt idx="19">
                  <c:v>106.417714893027</c:v>
                </c:pt>
                <c:pt idx="20">
                  <c:v>106.64317343441699</c:v>
                </c:pt>
                <c:pt idx="21">
                  <c:v>106.78408829576399</c:v>
                </c:pt>
                <c:pt idx="22">
                  <c:v>106.886746645803</c:v>
                </c:pt>
                <c:pt idx="23">
                  <c:v>106.976909168332</c:v>
                </c:pt>
                <c:pt idx="24">
                  <c:v>107.096680832391</c:v>
                </c:pt>
                <c:pt idx="25">
                  <c:v>107.267716933847</c:v>
                </c:pt>
                <c:pt idx="26">
                  <c:v>107.466212933593</c:v>
                </c:pt>
                <c:pt idx="27">
                  <c:v>107.677488921386</c:v>
                </c:pt>
                <c:pt idx="28">
                  <c:v>107.914175963839</c:v>
                </c:pt>
                <c:pt idx="29">
                  <c:v>108.18366381794399</c:v>
                </c:pt>
                <c:pt idx="30">
                  <c:v>108.50333213708799</c:v>
                </c:pt>
                <c:pt idx="31">
                  <c:v>108.88965130119399</c:v>
                </c:pt>
                <c:pt idx="32">
                  <c:v>109.29815612247999</c:v>
                </c:pt>
                <c:pt idx="33">
                  <c:v>109.67476622989901</c:v>
                </c:pt>
                <c:pt idx="34">
                  <c:v>110.003891826311</c:v>
                </c:pt>
                <c:pt idx="35">
                  <c:v>110.256057625057</c:v>
                </c:pt>
                <c:pt idx="36">
                  <c:v>110.429856768718</c:v>
                </c:pt>
                <c:pt idx="37">
                  <c:v>110.50894667964</c:v>
                </c:pt>
                <c:pt idx="38">
                  <c:v>110.53452598186399</c:v>
                </c:pt>
                <c:pt idx="39">
                  <c:v>110.558214835104</c:v>
                </c:pt>
                <c:pt idx="40">
                  <c:v>110.596670963897</c:v>
                </c:pt>
                <c:pt idx="41">
                  <c:v>110.662102590457</c:v>
                </c:pt>
                <c:pt idx="42">
                  <c:v>110.78044425477999</c:v>
                </c:pt>
                <c:pt idx="43">
                  <c:v>110.94453884616701</c:v>
                </c:pt>
                <c:pt idx="44">
                  <c:v>111.159202391764</c:v>
                </c:pt>
                <c:pt idx="45">
                  <c:v>111.437336271813</c:v>
                </c:pt>
                <c:pt idx="46">
                  <c:v>111.738953400328</c:v>
                </c:pt>
                <c:pt idx="47">
                  <c:v>112.052422863079</c:v>
                </c:pt>
                <c:pt idx="48">
                  <c:v>112.365271068105</c:v>
                </c:pt>
                <c:pt idx="49">
                  <c:v>112.64533379744501</c:v>
                </c:pt>
                <c:pt idx="50">
                  <c:v>112.88762761874401</c:v>
                </c:pt>
                <c:pt idx="51">
                  <c:v>113.06886529341401</c:v>
                </c:pt>
                <c:pt idx="52">
                  <c:v>113.19547764891399</c:v>
                </c:pt>
                <c:pt idx="53">
                  <c:v>113.285560603356</c:v>
                </c:pt>
                <c:pt idx="54">
                  <c:v>113.32897017173001</c:v>
                </c:pt>
                <c:pt idx="55">
                  <c:v>113.326617317253</c:v>
                </c:pt>
                <c:pt idx="56">
                  <c:v>113.311030870202</c:v>
                </c:pt>
                <c:pt idx="57">
                  <c:v>113.29190651740301</c:v>
                </c:pt>
                <c:pt idx="58">
                  <c:v>113.270950775156</c:v>
                </c:pt>
                <c:pt idx="59">
                  <c:v>113.24991739990701</c:v>
                </c:pt>
                <c:pt idx="60">
                  <c:v>113.217482049765</c:v>
                </c:pt>
                <c:pt idx="61">
                  <c:v>113.186316920556</c:v>
                </c:pt>
                <c:pt idx="62">
                  <c:v>113.14130296258899</c:v>
                </c:pt>
                <c:pt idx="63">
                  <c:v>113.08961033259</c:v>
                </c:pt>
                <c:pt idx="64">
                  <c:v>113.031919331073</c:v>
                </c:pt>
                <c:pt idx="65">
                  <c:v>112.958518159083</c:v>
                </c:pt>
                <c:pt idx="66">
                  <c:v>112.86780028712801</c:v>
                </c:pt>
                <c:pt idx="67">
                  <c:v>112.779295279382</c:v>
                </c:pt>
                <c:pt idx="68">
                  <c:v>112.689080236699</c:v>
                </c:pt>
                <c:pt idx="69">
                  <c:v>112.615853579012</c:v>
                </c:pt>
              </c:numCache>
            </c:numRef>
          </c:val>
          <c:smooth val="0"/>
          <c:extLst>
            <c:ext xmlns:c16="http://schemas.microsoft.com/office/drawing/2014/chart" uri="{C3380CC4-5D6E-409C-BE32-E72D297353CC}">
              <c16:uniqueId val="{00000001-87DC-4334-9641-14C4415EB783}"/>
            </c:ext>
          </c:extLst>
        </c:ser>
        <c:dLbls>
          <c:showLegendKey val="0"/>
          <c:showVal val="1"/>
          <c:showCatName val="0"/>
          <c:showSerName val="0"/>
          <c:showPercent val="0"/>
          <c:showBubbleSize val="0"/>
        </c:dLbls>
        <c:marker val="1"/>
        <c:smooth val="0"/>
        <c:axId val="106794560"/>
        <c:axId val="106838664"/>
      </c:lineChart>
      <c:catAx>
        <c:axId val="1067945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106838664"/>
        <c:crosses val="autoZero"/>
        <c:auto val="1"/>
        <c:lblAlgn val="ctr"/>
        <c:lblOffset val="0"/>
        <c:tickLblSkip val="1"/>
        <c:tickMarkSkip val="12"/>
        <c:noMultiLvlLbl val="1"/>
      </c:catAx>
      <c:valAx>
        <c:axId val="106838664"/>
        <c:scaling>
          <c:orientation val="minMax"/>
          <c:max val="11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106794560"/>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n-US"/>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342460923727829E-2"/>
          <c:y val="2.458213524542098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Datos!$A$67:$B$136</c:f>
              <c:multiLvlStrCache>
                <c:ptCount val="70"/>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Datos!$C$67:$C$136</c:f>
              <c:numCache>
                <c:formatCode>0.0</c:formatCode>
                <c:ptCount val="70"/>
                <c:pt idx="0">
                  <c:v>100.216830614551</c:v>
                </c:pt>
                <c:pt idx="1">
                  <c:v>101.509378523766</c:v>
                </c:pt>
                <c:pt idx="2">
                  <c:v>101.359191965618</c:v>
                </c:pt>
                <c:pt idx="3">
                  <c:v>102.306548592113</c:v>
                </c:pt>
                <c:pt idx="4">
                  <c:v>102.86720175363099</c:v>
                </c:pt>
                <c:pt idx="5">
                  <c:v>102.484559625302</c:v>
                </c:pt>
                <c:pt idx="6">
                  <c:v>102.899487360733</c:v>
                </c:pt>
                <c:pt idx="7">
                  <c:v>102.72623407365499</c:v>
                </c:pt>
                <c:pt idx="8">
                  <c:v>102.775075258573</c:v>
                </c:pt>
                <c:pt idx="9">
                  <c:v>103.897765175207</c:v>
                </c:pt>
                <c:pt idx="10">
                  <c:v>103.91568784386401</c:v>
                </c:pt>
                <c:pt idx="11">
                  <c:v>104.00299125686399</c:v>
                </c:pt>
                <c:pt idx="12">
                  <c:v>104.130819517261</c:v>
                </c:pt>
                <c:pt idx="13">
                  <c:v>104.46045473913099</c:v>
                </c:pt>
                <c:pt idx="14">
                  <c:v>104.410255739215</c:v>
                </c:pt>
                <c:pt idx="15">
                  <c:v>106.06110758577</c:v>
                </c:pt>
                <c:pt idx="16">
                  <c:v>105.09967687530001</c:v>
                </c:pt>
                <c:pt idx="17">
                  <c:v>105.36015631613201</c:v>
                </c:pt>
                <c:pt idx="18">
                  <c:v>106.37384363322499</c:v>
                </c:pt>
                <c:pt idx="19">
                  <c:v>106.582749085305</c:v>
                </c:pt>
                <c:pt idx="20">
                  <c:v>107.665228046704</c:v>
                </c:pt>
                <c:pt idx="21">
                  <c:v>106.826327554816</c:v>
                </c:pt>
                <c:pt idx="22">
                  <c:v>106.055912526973</c:v>
                </c:pt>
                <c:pt idx="23">
                  <c:v>106.61882743387299</c:v>
                </c:pt>
                <c:pt idx="24">
                  <c:v>107.191233814702</c:v>
                </c:pt>
                <c:pt idx="25">
                  <c:v>108.00678015396301</c:v>
                </c:pt>
                <c:pt idx="26">
                  <c:v>107.502291081086</c:v>
                </c:pt>
                <c:pt idx="27">
                  <c:v>107.481100879279</c:v>
                </c:pt>
                <c:pt idx="28">
                  <c:v>107.667215295612</c:v>
                </c:pt>
                <c:pt idx="29">
                  <c:v>108.51043733896999</c:v>
                </c:pt>
                <c:pt idx="30">
                  <c:v>108.554244805436</c:v>
                </c:pt>
                <c:pt idx="31">
                  <c:v>108.59846497081099</c:v>
                </c:pt>
                <c:pt idx="32">
                  <c:v>109.285718421038</c:v>
                </c:pt>
                <c:pt idx="33">
                  <c:v>109.87663078937599</c:v>
                </c:pt>
                <c:pt idx="34">
                  <c:v>109.734079956269</c:v>
                </c:pt>
                <c:pt idx="35">
                  <c:v>110.615668919402</c:v>
                </c:pt>
                <c:pt idx="36">
                  <c:v>110.662822160177</c:v>
                </c:pt>
                <c:pt idx="37">
                  <c:v>110.06351071647801</c:v>
                </c:pt>
                <c:pt idx="38">
                  <c:v>110.559166210397</c:v>
                </c:pt>
                <c:pt idx="39">
                  <c:v>110.858235734049</c:v>
                </c:pt>
                <c:pt idx="40">
                  <c:v>110.274305987189</c:v>
                </c:pt>
                <c:pt idx="41">
                  <c:v>110.997077683765</c:v>
                </c:pt>
                <c:pt idx="42">
                  <c:v>110.212920604538</c:v>
                </c:pt>
                <c:pt idx="43">
                  <c:v>111.301218915389</c:v>
                </c:pt>
                <c:pt idx="44">
                  <c:v>110.053600828846</c:v>
                </c:pt>
                <c:pt idx="45">
                  <c:v>111.168838122899</c:v>
                </c:pt>
                <c:pt idx="46">
                  <c:v>111.82336524473899</c:v>
                </c:pt>
                <c:pt idx="47">
                  <c:v>112.979562356473</c:v>
                </c:pt>
                <c:pt idx="48">
                  <c:v>112.163897312614</c:v>
                </c:pt>
                <c:pt idx="49">
                  <c:v>112.62479061226</c:v>
                </c:pt>
                <c:pt idx="50">
                  <c:v>113.78803224720799</c:v>
                </c:pt>
                <c:pt idx="51">
                  <c:v>112.849577055005</c:v>
                </c:pt>
                <c:pt idx="52">
                  <c:v>113.546678425767</c:v>
                </c:pt>
                <c:pt idx="53">
                  <c:v>113.017002437496</c:v>
                </c:pt>
                <c:pt idx="54">
                  <c:v>113.359727038111</c:v>
                </c:pt>
                <c:pt idx="55">
                  <c:v>113.380875777176</c:v>
                </c:pt>
                <c:pt idx="56">
                  <c:v>113.328091664995</c:v>
                </c:pt>
                <c:pt idx="57">
                  <c:v>113.216919516359</c:v>
                </c:pt>
                <c:pt idx="58">
                  <c:v>113.46417626860701</c:v>
                </c:pt>
                <c:pt idx="59">
                  <c:v>112.88258210608799</c:v>
                </c:pt>
                <c:pt idx="60">
                  <c:v>113.301178862923</c:v>
                </c:pt>
                <c:pt idx="61">
                  <c:v>113.495226048465</c:v>
                </c:pt>
                <c:pt idx="62">
                  <c:v>112.97709336615701</c:v>
                </c:pt>
                <c:pt idx="63">
                  <c:v>113.02073598565499</c:v>
                </c:pt>
                <c:pt idx="64">
                  <c:v>113.014461017537</c:v>
                </c:pt>
                <c:pt idx="65">
                  <c:v>113.005707327365</c:v>
                </c:pt>
                <c:pt idx="66">
                  <c:v>112.930354590127</c:v>
                </c:pt>
                <c:pt idx="67">
                  <c:v>112.728086988543</c:v>
                </c:pt>
                <c:pt idx="68">
                  <c:v>112.905272187853</c:v>
                </c:pt>
                <c:pt idx="69">
                  <c:v>112.382167114994</c:v>
                </c:pt>
              </c:numCache>
            </c:numRef>
          </c:val>
          <c:extLst>
            <c:ext xmlns:c16="http://schemas.microsoft.com/office/drawing/2014/chart" uri="{C3380CC4-5D6E-409C-BE32-E72D297353CC}">
              <c16:uniqueId val="{00000000-3F65-4EB0-A2DA-E801FE588D86}"/>
            </c:ext>
          </c:extLst>
        </c:ser>
        <c:dLbls>
          <c:showLegendKey val="0"/>
          <c:showVal val="1"/>
          <c:showCatName val="0"/>
          <c:showSerName val="0"/>
          <c:showPercent val="0"/>
          <c:showBubbleSize val="0"/>
        </c:dLbls>
        <c:gapWidth val="50"/>
        <c:axId val="106794560"/>
        <c:axId val="106838664"/>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Datos!$A$67:$B$136</c:f>
              <c:multiLvlStrCache>
                <c:ptCount val="70"/>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Datos!$D$67:$D$136</c:f>
              <c:numCache>
                <c:formatCode>0.0</c:formatCode>
                <c:ptCount val="70"/>
                <c:pt idx="0">
                  <c:v>101.129084031875</c:v>
                </c:pt>
                <c:pt idx="1">
                  <c:v>101.422113613419</c:v>
                </c:pt>
                <c:pt idx="2">
                  <c:v>101.772746872607</c:v>
                </c:pt>
                <c:pt idx="3">
                  <c:v>102.104817898684</c:v>
                </c:pt>
                <c:pt idx="4">
                  <c:v>102.37985812155399</c:v>
                </c:pt>
                <c:pt idx="5">
                  <c:v>102.59966028502799</c:v>
                </c:pt>
                <c:pt idx="6">
                  <c:v>102.79422927836001</c:v>
                </c:pt>
                <c:pt idx="7">
                  <c:v>102.991841805391</c:v>
                </c:pt>
                <c:pt idx="8">
                  <c:v>103.225415698163</c:v>
                </c:pt>
                <c:pt idx="9">
                  <c:v>103.489162156994</c:v>
                </c:pt>
                <c:pt idx="10">
                  <c:v>103.767101308181</c:v>
                </c:pt>
                <c:pt idx="11">
                  <c:v>104.015954382041</c:v>
                </c:pt>
                <c:pt idx="12">
                  <c:v>104.20961917934299</c:v>
                </c:pt>
                <c:pt idx="13">
                  <c:v>104.38030413893701</c:v>
                </c:pt>
                <c:pt idx="14">
                  <c:v>104.579130531942</c:v>
                </c:pt>
                <c:pt idx="15">
                  <c:v>104.864866041523</c:v>
                </c:pt>
                <c:pt idx="16">
                  <c:v>105.245983328211</c:v>
                </c:pt>
                <c:pt idx="17">
                  <c:v>105.67513386428401</c:v>
                </c:pt>
                <c:pt idx="18">
                  <c:v>106.087405840706</c:v>
                </c:pt>
                <c:pt idx="19">
                  <c:v>106.417714893027</c:v>
                </c:pt>
                <c:pt idx="20">
                  <c:v>106.64317343441699</c:v>
                </c:pt>
                <c:pt idx="21">
                  <c:v>106.78408829576399</c:v>
                </c:pt>
                <c:pt idx="22">
                  <c:v>106.886746645803</c:v>
                </c:pt>
                <c:pt idx="23">
                  <c:v>106.976909168332</c:v>
                </c:pt>
                <c:pt idx="24">
                  <c:v>107.096680832391</c:v>
                </c:pt>
                <c:pt idx="25">
                  <c:v>107.267716933847</c:v>
                </c:pt>
                <c:pt idx="26">
                  <c:v>107.466212933593</c:v>
                </c:pt>
                <c:pt idx="27">
                  <c:v>107.677488921386</c:v>
                </c:pt>
                <c:pt idx="28">
                  <c:v>107.914175963839</c:v>
                </c:pt>
                <c:pt idx="29">
                  <c:v>108.18366381794399</c:v>
                </c:pt>
                <c:pt idx="30">
                  <c:v>108.50333213708799</c:v>
                </c:pt>
                <c:pt idx="31">
                  <c:v>108.88965130119399</c:v>
                </c:pt>
                <c:pt idx="32">
                  <c:v>109.29815612247999</c:v>
                </c:pt>
                <c:pt idx="33">
                  <c:v>109.67476622989901</c:v>
                </c:pt>
                <c:pt idx="34">
                  <c:v>110.003891826311</c:v>
                </c:pt>
                <c:pt idx="35">
                  <c:v>110.256057625057</c:v>
                </c:pt>
                <c:pt idx="36">
                  <c:v>110.429856768718</c:v>
                </c:pt>
                <c:pt idx="37">
                  <c:v>110.50894667964</c:v>
                </c:pt>
                <c:pt idx="38">
                  <c:v>110.53452598186399</c:v>
                </c:pt>
                <c:pt idx="39">
                  <c:v>110.558214835104</c:v>
                </c:pt>
                <c:pt idx="40">
                  <c:v>110.596670963897</c:v>
                </c:pt>
                <c:pt idx="41">
                  <c:v>110.662102590457</c:v>
                </c:pt>
                <c:pt idx="42">
                  <c:v>110.78044425477999</c:v>
                </c:pt>
                <c:pt idx="43">
                  <c:v>110.94453884616701</c:v>
                </c:pt>
                <c:pt idx="44">
                  <c:v>111.159202391764</c:v>
                </c:pt>
                <c:pt idx="45">
                  <c:v>111.437336271813</c:v>
                </c:pt>
                <c:pt idx="46">
                  <c:v>111.738953400328</c:v>
                </c:pt>
                <c:pt idx="47">
                  <c:v>112.052422863079</c:v>
                </c:pt>
                <c:pt idx="48">
                  <c:v>112.365271068105</c:v>
                </c:pt>
                <c:pt idx="49">
                  <c:v>112.64533379744501</c:v>
                </c:pt>
                <c:pt idx="50">
                  <c:v>112.88762761874401</c:v>
                </c:pt>
                <c:pt idx="51">
                  <c:v>113.06886529341401</c:v>
                </c:pt>
                <c:pt idx="52">
                  <c:v>113.19547764891399</c:v>
                </c:pt>
                <c:pt idx="53">
                  <c:v>113.285560603356</c:v>
                </c:pt>
                <c:pt idx="54">
                  <c:v>113.32897017173001</c:v>
                </c:pt>
                <c:pt idx="55">
                  <c:v>113.326617317253</c:v>
                </c:pt>
                <c:pt idx="56">
                  <c:v>113.311030870202</c:v>
                </c:pt>
                <c:pt idx="57">
                  <c:v>113.29190651740301</c:v>
                </c:pt>
                <c:pt idx="58">
                  <c:v>113.270950775156</c:v>
                </c:pt>
                <c:pt idx="59">
                  <c:v>113.24991739990701</c:v>
                </c:pt>
                <c:pt idx="60">
                  <c:v>113.217482049765</c:v>
                </c:pt>
                <c:pt idx="61">
                  <c:v>113.186316920556</c:v>
                </c:pt>
                <c:pt idx="62">
                  <c:v>113.14130296258899</c:v>
                </c:pt>
                <c:pt idx="63">
                  <c:v>113.08961033259</c:v>
                </c:pt>
                <c:pt idx="64">
                  <c:v>113.031919331073</c:v>
                </c:pt>
                <c:pt idx="65">
                  <c:v>112.958518159083</c:v>
                </c:pt>
                <c:pt idx="66">
                  <c:v>112.86780028712801</c:v>
                </c:pt>
                <c:pt idx="67">
                  <c:v>112.779295279382</c:v>
                </c:pt>
                <c:pt idx="68">
                  <c:v>112.689080236699</c:v>
                </c:pt>
                <c:pt idx="69">
                  <c:v>112.615853579012</c:v>
                </c:pt>
              </c:numCache>
            </c:numRef>
          </c:val>
          <c:smooth val="0"/>
          <c:extLst>
            <c:ext xmlns:c16="http://schemas.microsoft.com/office/drawing/2014/chart" uri="{C3380CC4-5D6E-409C-BE32-E72D297353CC}">
              <c16:uniqueId val="{00000001-3F65-4EB0-A2DA-E801FE588D86}"/>
            </c:ext>
          </c:extLst>
        </c:ser>
        <c:dLbls>
          <c:showLegendKey val="0"/>
          <c:showVal val="1"/>
          <c:showCatName val="0"/>
          <c:showSerName val="0"/>
          <c:showPercent val="0"/>
          <c:showBubbleSize val="0"/>
        </c:dLbls>
        <c:marker val="1"/>
        <c:smooth val="0"/>
        <c:axId val="106794560"/>
        <c:axId val="106838664"/>
      </c:lineChart>
      <c:catAx>
        <c:axId val="1067945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106838664"/>
        <c:crosses val="autoZero"/>
        <c:auto val="1"/>
        <c:lblAlgn val="ctr"/>
        <c:lblOffset val="0"/>
        <c:tickLblSkip val="1"/>
        <c:tickMarkSkip val="12"/>
        <c:noMultiLvlLbl val="1"/>
      </c:catAx>
      <c:valAx>
        <c:axId val="106838664"/>
        <c:scaling>
          <c:orientation val="minMax"/>
          <c:max val="11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106794560"/>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n-US"/>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Datos!$A$67:$B$136</c:f>
              <c:multiLvlStrCache>
                <c:ptCount val="70"/>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Datos!$E$67:$E$136</c:f>
              <c:numCache>
                <c:formatCode>0.0</c:formatCode>
                <c:ptCount val="70"/>
                <c:pt idx="0">
                  <c:v>95.055516223619904</c:v>
                </c:pt>
                <c:pt idx="1">
                  <c:v>104.957234752603</c:v>
                </c:pt>
                <c:pt idx="2">
                  <c:v>104.491208474424</c:v>
                </c:pt>
                <c:pt idx="3">
                  <c:v>100.71004493231899</c:v>
                </c:pt>
                <c:pt idx="4">
                  <c:v>105.513469970074</c:v>
                </c:pt>
                <c:pt idx="5">
                  <c:v>100.562329983674</c:v>
                </c:pt>
                <c:pt idx="6">
                  <c:v>107.61057805782499</c:v>
                </c:pt>
                <c:pt idx="7">
                  <c:v>103.343112046778</c:v>
                </c:pt>
                <c:pt idx="8">
                  <c:v>104.036571736794</c:v>
                </c:pt>
                <c:pt idx="9">
                  <c:v>104.212033097107</c:v>
                </c:pt>
                <c:pt idx="10">
                  <c:v>104.24069015179499</c:v>
                </c:pt>
                <c:pt idx="11">
                  <c:v>105.608134947602</c:v>
                </c:pt>
                <c:pt idx="12">
                  <c:v>105.64706642007</c:v>
                </c:pt>
                <c:pt idx="13">
                  <c:v>104.25376862724499</c:v>
                </c:pt>
                <c:pt idx="14">
                  <c:v>104.57178629477799</c:v>
                </c:pt>
                <c:pt idx="15">
                  <c:v>105.867119135214</c:v>
                </c:pt>
                <c:pt idx="16">
                  <c:v>111.030105216995</c:v>
                </c:pt>
                <c:pt idx="17">
                  <c:v>97.340826476505896</c:v>
                </c:pt>
                <c:pt idx="18">
                  <c:v>102.161108965655</c:v>
                </c:pt>
                <c:pt idx="19">
                  <c:v>105.833526031182</c:v>
                </c:pt>
                <c:pt idx="20">
                  <c:v>107.12960832517901</c:v>
                </c:pt>
                <c:pt idx="21">
                  <c:v>106.385893732591</c:v>
                </c:pt>
                <c:pt idx="22">
                  <c:v>101.36193143378</c:v>
                </c:pt>
                <c:pt idx="23">
                  <c:v>107.464665360244</c:v>
                </c:pt>
                <c:pt idx="24">
                  <c:v>105.464921891777</c:v>
                </c:pt>
                <c:pt idx="25">
                  <c:v>107.457361921028</c:v>
                </c:pt>
                <c:pt idx="26">
                  <c:v>103.866932430248</c:v>
                </c:pt>
                <c:pt idx="27">
                  <c:v>107.11949436437401</c:v>
                </c:pt>
                <c:pt idx="28">
                  <c:v>105.351755328461</c:v>
                </c:pt>
                <c:pt idx="29">
                  <c:v>111.511013654739</c:v>
                </c:pt>
                <c:pt idx="30">
                  <c:v>106.936887784017</c:v>
                </c:pt>
                <c:pt idx="31">
                  <c:v>113.746870110936</c:v>
                </c:pt>
                <c:pt idx="32">
                  <c:v>110.14976902866501</c:v>
                </c:pt>
                <c:pt idx="33">
                  <c:v>110.115775173131</c:v>
                </c:pt>
                <c:pt idx="34">
                  <c:v>109.293102304961</c:v>
                </c:pt>
                <c:pt idx="35">
                  <c:v>111.22082326445199</c:v>
                </c:pt>
                <c:pt idx="36">
                  <c:v>116.37444437617501</c:v>
                </c:pt>
                <c:pt idx="37">
                  <c:v>103.088562472257</c:v>
                </c:pt>
                <c:pt idx="38">
                  <c:v>109.66815466023699</c:v>
                </c:pt>
                <c:pt idx="39">
                  <c:v>110.71187348943199</c:v>
                </c:pt>
                <c:pt idx="40">
                  <c:v>107.346377887325</c:v>
                </c:pt>
                <c:pt idx="41">
                  <c:v>116.86159838179699</c:v>
                </c:pt>
                <c:pt idx="42">
                  <c:v>111.254739881856</c:v>
                </c:pt>
                <c:pt idx="43">
                  <c:v>110.91884292819999</c:v>
                </c:pt>
                <c:pt idx="44">
                  <c:v>112.591113009712</c:v>
                </c:pt>
                <c:pt idx="45">
                  <c:v>114.81920686875701</c:v>
                </c:pt>
                <c:pt idx="46">
                  <c:v>117.22118841047801</c:v>
                </c:pt>
                <c:pt idx="47">
                  <c:v>112.942298924634</c:v>
                </c:pt>
                <c:pt idx="48">
                  <c:v>116.657656832535</c:v>
                </c:pt>
                <c:pt idx="49">
                  <c:v>112.78708981226301</c:v>
                </c:pt>
                <c:pt idx="50">
                  <c:v>116.447153748364</c:v>
                </c:pt>
                <c:pt idx="51">
                  <c:v>115.84673192958699</c:v>
                </c:pt>
                <c:pt idx="52">
                  <c:v>117.572227470242</c:v>
                </c:pt>
                <c:pt idx="53">
                  <c:v>112.216085015134</c:v>
                </c:pt>
                <c:pt idx="54">
                  <c:v>112.827093929756</c:v>
                </c:pt>
                <c:pt idx="55">
                  <c:v>113.29195112987701</c:v>
                </c:pt>
                <c:pt idx="56">
                  <c:v>112.18618450557</c:v>
                </c:pt>
                <c:pt idx="57">
                  <c:v>109.711532526368</c:v>
                </c:pt>
                <c:pt idx="58">
                  <c:v>120.334057067076</c:v>
                </c:pt>
                <c:pt idx="59">
                  <c:v>116.645506911693</c:v>
                </c:pt>
                <c:pt idx="60">
                  <c:v>114.461786261846</c:v>
                </c:pt>
                <c:pt idx="61">
                  <c:v>118.746675645507</c:v>
                </c:pt>
                <c:pt idx="62">
                  <c:v>118.023245832412</c:v>
                </c:pt>
                <c:pt idx="63">
                  <c:v>115.483046195366</c:v>
                </c:pt>
                <c:pt idx="64">
                  <c:v>116.57060782081599</c:v>
                </c:pt>
                <c:pt idx="65">
                  <c:v>115.04300421324599</c:v>
                </c:pt>
                <c:pt idx="66">
                  <c:v>119.440364848735</c:v>
                </c:pt>
                <c:pt idx="67">
                  <c:v>117.062565079284</c:v>
                </c:pt>
                <c:pt idx="68">
                  <c:v>121.848209753627</c:v>
                </c:pt>
                <c:pt idx="69">
                  <c:v>119.881087602414</c:v>
                </c:pt>
              </c:numCache>
            </c:numRef>
          </c:val>
          <c:extLst>
            <c:ext xmlns:c16="http://schemas.microsoft.com/office/drawing/2014/chart" uri="{C3380CC4-5D6E-409C-BE32-E72D297353CC}">
              <c16:uniqueId val="{00000000-27CA-4D07-85D2-AA05BA098952}"/>
            </c:ext>
          </c:extLst>
        </c:ser>
        <c:dLbls>
          <c:showLegendKey val="0"/>
          <c:showVal val="1"/>
          <c:showCatName val="0"/>
          <c:showSerName val="0"/>
          <c:showPercent val="0"/>
          <c:showBubbleSize val="0"/>
        </c:dLbls>
        <c:gapWidth val="50"/>
        <c:axId val="107040984"/>
        <c:axId val="107041368"/>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Datos!$A$67:$B$136</c:f>
              <c:multiLvlStrCache>
                <c:ptCount val="70"/>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Datos!$F$67:$F$136</c:f>
              <c:numCache>
                <c:formatCode>0.0</c:formatCode>
                <c:ptCount val="70"/>
                <c:pt idx="0">
                  <c:v>102.95743251651101</c:v>
                </c:pt>
                <c:pt idx="1">
                  <c:v>103.239222946867</c:v>
                </c:pt>
                <c:pt idx="2">
                  <c:v>103.463506392355</c:v>
                </c:pt>
                <c:pt idx="3">
                  <c:v>103.64294172202</c:v>
                </c:pt>
                <c:pt idx="4">
                  <c:v>103.78069350270199</c:v>
                </c:pt>
                <c:pt idx="5">
                  <c:v>103.893811155892</c:v>
                </c:pt>
                <c:pt idx="6">
                  <c:v>104.009975301634</c:v>
                </c:pt>
                <c:pt idx="7">
                  <c:v>104.16627923919999</c:v>
                </c:pt>
                <c:pt idx="8">
                  <c:v>104.36130557761901</c:v>
                </c:pt>
                <c:pt idx="9">
                  <c:v>104.550247672206</c:v>
                </c:pt>
                <c:pt idx="10">
                  <c:v>104.70662720619799</c:v>
                </c:pt>
                <c:pt idx="11">
                  <c:v>104.852381013217</c:v>
                </c:pt>
                <c:pt idx="12">
                  <c:v>104.971655517889</c:v>
                </c:pt>
                <c:pt idx="13">
                  <c:v>105.056912579246</c:v>
                </c:pt>
                <c:pt idx="14">
                  <c:v>105.097685610898</c:v>
                </c:pt>
                <c:pt idx="15">
                  <c:v>105.123912144435</c:v>
                </c:pt>
                <c:pt idx="16">
                  <c:v>105.148140206991</c:v>
                </c:pt>
                <c:pt idx="17">
                  <c:v>105.169905943071</c:v>
                </c:pt>
                <c:pt idx="18">
                  <c:v>105.17974073744099</c:v>
                </c:pt>
                <c:pt idx="19">
                  <c:v>105.176039214075</c:v>
                </c:pt>
                <c:pt idx="20">
                  <c:v>105.17320640367799</c:v>
                </c:pt>
                <c:pt idx="21">
                  <c:v>105.191166848349</c:v>
                </c:pt>
                <c:pt idx="22">
                  <c:v>105.263634480761</c:v>
                </c:pt>
                <c:pt idx="23">
                  <c:v>105.426930477865</c:v>
                </c:pt>
                <c:pt idx="24">
                  <c:v>105.69852337583799</c:v>
                </c:pt>
                <c:pt idx="25">
                  <c:v>106.092685822083</c:v>
                </c:pt>
                <c:pt idx="26">
                  <c:v>106.606516631565</c:v>
                </c:pt>
                <c:pt idx="27">
                  <c:v>107.210236349461</c:v>
                </c:pt>
                <c:pt idx="28">
                  <c:v>107.857401788825</c:v>
                </c:pt>
                <c:pt idx="29">
                  <c:v>108.518305524787</c:v>
                </c:pt>
                <c:pt idx="30">
                  <c:v>109.14141698054</c:v>
                </c:pt>
                <c:pt idx="31">
                  <c:v>109.665210759285</c:v>
                </c:pt>
                <c:pt idx="32">
                  <c:v>110.03566629377001</c:v>
                </c:pt>
                <c:pt idx="33">
                  <c:v>110.239306224155</c:v>
                </c:pt>
                <c:pt idx="34">
                  <c:v>110.290055225343</c:v>
                </c:pt>
                <c:pt idx="35">
                  <c:v>110.21328249637</c:v>
                </c:pt>
                <c:pt idx="36">
                  <c:v>110.06430127695199</c:v>
                </c:pt>
                <c:pt idx="37">
                  <c:v>109.929546893798</c:v>
                </c:pt>
                <c:pt idx="38">
                  <c:v>109.903096962178</c:v>
                </c:pt>
                <c:pt idx="39">
                  <c:v>110.047228304265</c:v>
                </c:pt>
                <c:pt idx="40">
                  <c:v>110.371482922488</c:v>
                </c:pt>
                <c:pt idx="41">
                  <c:v>110.855613504209</c:v>
                </c:pt>
                <c:pt idx="42">
                  <c:v>111.47113524957</c:v>
                </c:pt>
                <c:pt idx="43">
                  <c:v>112.19167965043</c:v>
                </c:pt>
                <c:pt idx="44">
                  <c:v>112.94826285874301</c:v>
                </c:pt>
                <c:pt idx="45">
                  <c:v>113.695822705406</c:v>
                </c:pt>
                <c:pt idx="46">
                  <c:v>114.372841790563</c:v>
                </c:pt>
                <c:pt idx="47">
                  <c:v>114.895982674748</c:v>
                </c:pt>
                <c:pt idx="48">
                  <c:v>115.196494752883</c:v>
                </c:pt>
                <c:pt idx="49">
                  <c:v>115.266574631956</c:v>
                </c:pt>
                <c:pt idx="50">
                  <c:v>115.117317204263</c:v>
                </c:pt>
                <c:pt idx="51">
                  <c:v>114.800591488308</c:v>
                </c:pt>
                <c:pt idx="52">
                  <c:v>114.412376289186</c:v>
                </c:pt>
                <c:pt idx="53">
                  <c:v>114.05448700157601</c:v>
                </c:pt>
                <c:pt idx="54">
                  <c:v>113.806004239998</c:v>
                </c:pt>
                <c:pt idx="55">
                  <c:v>113.718255784937</c:v>
                </c:pt>
                <c:pt idx="56">
                  <c:v>113.811827214288</c:v>
                </c:pt>
                <c:pt idx="57">
                  <c:v>114.05347484804101</c:v>
                </c:pt>
                <c:pt idx="58">
                  <c:v>114.4093924606</c:v>
                </c:pt>
                <c:pt idx="59">
                  <c:v>114.861043966274</c:v>
                </c:pt>
                <c:pt idx="60">
                  <c:v>115.393343153795</c:v>
                </c:pt>
                <c:pt idx="61">
                  <c:v>115.950888195758</c:v>
                </c:pt>
                <c:pt idx="62">
                  <c:v>116.49585211633899</c:v>
                </c:pt>
                <c:pt idx="63">
                  <c:v>116.994281596878</c:v>
                </c:pt>
                <c:pt idx="64">
                  <c:v>117.44277641361199</c:v>
                </c:pt>
                <c:pt idx="65">
                  <c:v>117.842633270619</c:v>
                </c:pt>
                <c:pt idx="66">
                  <c:v>118.206208946115</c:v>
                </c:pt>
                <c:pt idx="67">
                  <c:v>118.51615147357801</c:v>
                </c:pt>
                <c:pt idx="68">
                  <c:v>118.760284139183</c:v>
                </c:pt>
                <c:pt idx="69">
                  <c:v>118.94251480728499</c:v>
                </c:pt>
              </c:numCache>
            </c:numRef>
          </c:val>
          <c:smooth val="0"/>
          <c:extLst>
            <c:ext xmlns:c16="http://schemas.microsoft.com/office/drawing/2014/chart" uri="{C3380CC4-5D6E-409C-BE32-E72D297353CC}">
              <c16:uniqueId val="{00000001-27CA-4D07-85D2-AA05BA098952}"/>
            </c:ext>
          </c:extLst>
        </c:ser>
        <c:dLbls>
          <c:showLegendKey val="0"/>
          <c:showVal val="1"/>
          <c:showCatName val="0"/>
          <c:showSerName val="0"/>
          <c:showPercent val="0"/>
          <c:showBubbleSize val="0"/>
        </c:dLbls>
        <c:marker val="1"/>
        <c:smooth val="0"/>
        <c:axId val="107040984"/>
        <c:axId val="107041368"/>
      </c:lineChart>
      <c:catAx>
        <c:axId val="1070409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107041368"/>
        <c:crosses val="autoZero"/>
        <c:auto val="1"/>
        <c:lblAlgn val="ctr"/>
        <c:lblOffset val="0"/>
        <c:tickLblSkip val="1"/>
        <c:tickMarkSkip val="12"/>
        <c:noMultiLvlLbl val="1"/>
      </c:catAx>
      <c:valAx>
        <c:axId val="107041368"/>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10704098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n-US"/>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Datos!$A$67:$B$136</c:f>
              <c:multiLvlStrCache>
                <c:ptCount val="70"/>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Datos!$G$67:$G$136</c:f>
              <c:numCache>
                <c:formatCode>0.0</c:formatCode>
                <c:ptCount val="70"/>
                <c:pt idx="0">
                  <c:v>101.034094857357</c:v>
                </c:pt>
                <c:pt idx="1">
                  <c:v>101.529838033486</c:v>
                </c:pt>
                <c:pt idx="2">
                  <c:v>101.851764879556</c:v>
                </c:pt>
                <c:pt idx="3">
                  <c:v>102.607273698676</c:v>
                </c:pt>
                <c:pt idx="4">
                  <c:v>102.902634484934</c:v>
                </c:pt>
                <c:pt idx="5">
                  <c:v>102.777284217104</c:v>
                </c:pt>
                <c:pt idx="6">
                  <c:v>102.235384499373</c:v>
                </c:pt>
                <c:pt idx="7">
                  <c:v>102.673129363231</c:v>
                </c:pt>
                <c:pt idx="8">
                  <c:v>102.754455256751</c:v>
                </c:pt>
                <c:pt idx="9">
                  <c:v>104.068927311819</c:v>
                </c:pt>
                <c:pt idx="10">
                  <c:v>103.346440545918</c:v>
                </c:pt>
                <c:pt idx="11">
                  <c:v>103.560618772052</c:v>
                </c:pt>
                <c:pt idx="12">
                  <c:v>102.925731906579</c:v>
                </c:pt>
                <c:pt idx="13">
                  <c:v>103.207042522886</c:v>
                </c:pt>
                <c:pt idx="14">
                  <c:v>102.959034447392</c:v>
                </c:pt>
                <c:pt idx="15">
                  <c:v>104.28075432424799</c:v>
                </c:pt>
                <c:pt idx="16">
                  <c:v>102.860398694506</c:v>
                </c:pt>
                <c:pt idx="17">
                  <c:v>102.944868580861</c:v>
                </c:pt>
                <c:pt idx="18">
                  <c:v>104.84886366127699</c:v>
                </c:pt>
                <c:pt idx="19">
                  <c:v>104.861412000576</c:v>
                </c:pt>
                <c:pt idx="20">
                  <c:v>105.913101144744</c:v>
                </c:pt>
                <c:pt idx="21">
                  <c:v>104.38023985213</c:v>
                </c:pt>
                <c:pt idx="22">
                  <c:v>103.671612360192</c:v>
                </c:pt>
                <c:pt idx="23">
                  <c:v>104.055524646336</c:v>
                </c:pt>
                <c:pt idx="24">
                  <c:v>104.341319776753</c:v>
                </c:pt>
                <c:pt idx="25">
                  <c:v>104.345825003404</c:v>
                </c:pt>
                <c:pt idx="26">
                  <c:v>103.884746733524</c:v>
                </c:pt>
                <c:pt idx="27">
                  <c:v>103.823444738445</c:v>
                </c:pt>
                <c:pt idx="28">
                  <c:v>103.800666414783</c:v>
                </c:pt>
                <c:pt idx="29">
                  <c:v>103.75290387840199</c:v>
                </c:pt>
                <c:pt idx="30">
                  <c:v>103.887706534323</c:v>
                </c:pt>
                <c:pt idx="31">
                  <c:v>103.84280408446701</c:v>
                </c:pt>
                <c:pt idx="32">
                  <c:v>103.920891859603</c:v>
                </c:pt>
                <c:pt idx="33">
                  <c:v>104.597190730482</c:v>
                </c:pt>
                <c:pt idx="34">
                  <c:v>105.498379060055</c:v>
                </c:pt>
                <c:pt idx="35">
                  <c:v>104.43424585082001</c:v>
                </c:pt>
                <c:pt idx="36">
                  <c:v>104.712528718984</c:v>
                </c:pt>
                <c:pt idx="37">
                  <c:v>104.162753376347</c:v>
                </c:pt>
                <c:pt idx="38">
                  <c:v>104.72840546422</c:v>
                </c:pt>
                <c:pt idx="39">
                  <c:v>103.80590970575599</c:v>
                </c:pt>
                <c:pt idx="40">
                  <c:v>104.03064795346999</c:v>
                </c:pt>
                <c:pt idx="41">
                  <c:v>104.04899259262</c:v>
                </c:pt>
                <c:pt idx="42">
                  <c:v>103.575278856588</c:v>
                </c:pt>
                <c:pt idx="43">
                  <c:v>103.94665272857</c:v>
                </c:pt>
                <c:pt idx="44">
                  <c:v>102.54604247475</c:v>
                </c:pt>
                <c:pt idx="45">
                  <c:v>104.290690071654</c:v>
                </c:pt>
                <c:pt idx="46">
                  <c:v>104.58633803480301</c:v>
                </c:pt>
                <c:pt idx="47">
                  <c:v>105.308724979842</c:v>
                </c:pt>
                <c:pt idx="48">
                  <c:v>105.080768663611</c:v>
                </c:pt>
                <c:pt idx="49">
                  <c:v>105.036580331154</c:v>
                </c:pt>
                <c:pt idx="50">
                  <c:v>105.607557166593</c:v>
                </c:pt>
                <c:pt idx="51">
                  <c:v>104.366519855604</c:v>
                </c:pt>
                <c:pt idx="52">
                  <c:v>106.208699184629</c:v>
                </c:pt>
                <c:pt idx="53">
                  <c:v>104.90468368295799</c:v>
                </c:pt>
                <c:pt idx="54">
                  <c:v>104.90307825286099</c:v>
                </c:pt>
                <c:pt idx="55">
                  <c:v>104.073294163143</c:v>
                </c:pt>
                <c:pt idx="56">
                  <c:v>104.545281472152</c:v>
                </c:pt>
                <c:pt idx="57">
                  <c:v>104.07072953734</c:v>
                </c:pt>
                <c:pt idx="58">
                  <c:v>103.557924931185</c:v>
                </c:pt>
                <c:pt idx="59">
                  <c:v>102.340032267753</c:v>
                </c:pt>
                <c:pt idx="60">
                  <c:v>103.912189762149</c:v>
                </c:pt>
                <c:pt idx="61">
                  <c:v>104.298044416181</c:v>
                </c:pt>
                <c:pt idx="62">
                  <c:v>102.96859293193</c:v>
                </c:pt>
                <c:pt idx="63">
                  <c:v>103.88070546701699</c:v>
                </c:pt>
                <c:pt idx="64">
                  <c:v>102.762268736257</c:v>
                </c:pt>
                <c:pt idx="65">
                  <c:v>102.710857773733</c:v>
                </c:pt>
                <c:pt idx="66">
                  <c:v>102.463288684764</c:v>
                </c:pt>
                <c:pt idx="67">
                  <c:v>102.939326631404</c:v>
                </c:pt>
                <c:pt idx="68">
                  <c:v>102.27751891417699</c:v>
                </c:pt>
                <c:pt idx="69">
                  <c:v>101.129576574214</c:v>
                </c:pt>
              </c:numCache>
            </c:numRef>
          </c:val>
          <c:extLst>
            <c:ext xmlns:c16="http://schemas.microsoft.com/office/drawing/2014/chart" uri="{C3380CC4-5D6E-409C-BE32-E72D297353CC}">
              <c16:uniqueId val="{00000000-AC69-4EDB-85D3-FE41E2EDA656}"/>
            </c:ext>
          </c:extLst>
        </c:ser>
        <c:dLbls>
          <c:showLegendKey val="0"/>
          <c:showVal val="1"/>
          <c:showCatName val="0"/>
          <c:showSerName val="0"/>
          <c:showPercent val="0"/>
          <c:showBubbleSize val="0"/>
        </c:dLbls>
        <c:gapWidth val="50"/>
        <c:axId val="106889424"/>
        <c:axId val="106889808"/>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Datos!$A$67:$B$136</c:f>
              <c:multiLvlStrCache>
                <c:ptCount val="70"/>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Datos!$H$67:$H$136</c:f>
              <c:numCache>
                <c:formatCode>0.0</c:formatCode>
                <c:ptCount val="70"/>
                <c:pt idx="0">
                  <c:v>101.166393513708</c:v>
                </c:pt>
                <c:pt idx="1">
                  <c:v>101.576639660466</c:v>
                </c:pt>
                <c:pt idx="2">
                  <c:v>101.989977157387</c:v>
                </c:pt>
                <c:pt idx="3">
                  <c:v>102.32511144215501</c:v>
                </c:pt>
                <c:pt idx="4">
                  <c:v>102.545179267039</c:v>
                </c:pt>
                <c:pt idx="5">
                  <c:v>102.644261047082</c:v>
                </c:pt>
                <c:pt idx="6">
                  <c:v>102.702932160112</c:v>
                </c:pt>
                <c:pt idx="7">
                  <c:v>102.782364344309</c:v>
                </c:pt>
                <c:pt idx="8">
                  <c:v>102.911103835014</c:v>
                </c:pt>
                <c:pt idx="9">
                  <c:v>103.05464168066899</c:v>
                </c:pt>
                <c:pt idx="10">
                  <c:v>103.175836026038</c:v>
                </c:pt>
                <c:pt idx="11">
                  <c:v>103.23051159845799</c:v>
                </c:pt>
                <c:pt idx="12">
                  <c:v>103.217587483686</c:v>
                </c:pt>
                <c:pt idx="13">
                  <c:v>103.206883372871</c:v>
                </c:pt>
                <c:pt idx="14">
                  <c:v>103.29406491615499</c:v>
                </c:pt>
                <c:pt idx="15">
                  <c:v>103.515169244815</c:v>
                </c:pt>
                <c:pt idx="16">
                  <c:v>103.852889063346</c:v>
                </c:pt>
                <c:pt idx="17">
                  <c:v>104.20630580608901</c:v>
                </c:pt>
                <c:pt idx="18">
                  <c:v>104.461218861088</c:v>
                </c:pt>
                <c:pt idx="19">
                  <c:v>104.554595462759</c:v>
                </c:pt>
                <c:pt idx="20">
                  <c:v>104.514722417337</c:v>
                </c:pt>
                <c:pt idx="21">
                  <c:v>104.39480108910701</c:v>
                </c:pt>
                <c:pt idx="22">
                  <c:v>104.26259201013499</c:v>
                </c:pt>
                <c:pt idx="23">
                  <c:v>104.15661172604599</c:v>
                </c:pt>
                <c:pt idx="24">
                  <c:v>104.098955291057</c:v>
                </c:pt>
                <c:pt idx="25">
                  <c:v>104.059962832694</c:v>
                </c:pt>
                <c:pt idx="26">
                  <c:v>104.001878388156</c:v>
                </c:pt>
                <c:pt idx="27">
                  <c:v>103.909455434547</c:v>
                </c:pt>
                <c:pt idx="28">
                  <c:v>103.805840633762</c:v>
                </c:pt>
                <c:pt idx="29">
                  <c:v>103.76332379255901</c:v>
                </c:pt>
                <c:pt idx="30">
                  <c:v>103.830778949557</c:v>
                </c:pt>
                <c:pt idx="31">
                  <c:v>104.00302507950001</c:v>
                </c:pt>
                <c:pt idx="32">
                  <c:v>104.216449505865</c:v>
                </c:pt>
                <c:pt idx="33">
                  <c:v>104.42719248164801</c:v>
                </c:pt>
                <c:pt idx="34">
                  <c:v>104.58594404213601</c:v>
                </c:pt>
                <c:pt idx="35">
                  <c:v>104.645802262041</c:v>
                </c:pt>
                <c:pt idx="36">
                  <c:v>104.603050804703</c:v>
                </c:pt>
                <c:pt idx="37">
                  <c:v>104.473158233235</c:v>
                </c:pt>
                <c:pt idx="38">
                  <c:v>104.294832204567</c:v>
                </c:pt>
                <c:pt idx="39">
                  <c:v>104.118081947455</c:v>
                </c:pt>
                <c:pt idx="40">
                  <c:v>103.9760241071</c:v>
                </c:pt>
                <c:pt idx="41">
                  <c:v>103.871490115152</c:v>
                </c:pt>
                <c:pt idx="42">
                  <c:v>103.83870391388101</c:v>
                </c:pt>
                <c:pt idx="43">
                  <c:v>103.922390965933</c:v>
                </c:pt>
                <c:pt idx="44">
                  <c:v>104.10544288031601</c:v>
                </c:pt>
                <c:pt idx="45">
                  <c:v>104.375281781244</c:v>
                </c:pt>
                <c:pt idx="46">
                  <c:v>104.667019934762</c:v>
                </c:pt>
                <c:pt idx="47">
                  <c:v>104.93663910958</c:v>
                </c:pt>
                <c:pt idx="48">
                  <c:v>105.12435474482101</c:v>
                </c:pt>
                <c:pt idx="49">
                  <c:v>105.22363223299899</c:v>
                </c:pt>
                <c:pt idx="50">
                  <c:v>105.232860209189</c:v>
                </c:pt>
                <c:pt idx="51">
                  <c:v>105.161721378043</c:v>
                </c:pt>
                <c:pt idx="52">
                  <c:v>105.043767523209</c:v>
                </c:pt>
                <c:pt idx="53">
                  <c:v>104.89026624497301</c:v>
                </c:pt>
                <c:pt idx="54">
                  <c:v>104.693850461586</c:v>
                </c:pt>
                <c:pt idx="55">
                  <c:v>104.458949319814</c:v>
                </c:pt>
                <c:pt idx="56">
                  <c:v>104.239916045013</c:v>
                </c:pt>
                <c:pt idx="57">
                  <c:v>104.04319449862599</c:v>
                </c:pt>
                <c:pt idx="58">
                  <c:v>103.886185883161</c:v>
                </c:pt>
                <c:pt idx="59">
                  <c:v>103.781404767577</c:v>
                </c:pt>
                <c:pt idx="60">
                  <c:v>103.693401014279</c:v>
                </c:pt>
                <c:pt idx="61">
                  <c:v>103.575206337588</c:v>
                </c:pt>
                <c:pt idx="62">
                  <c:v>103.41600061605401</c:v>
                </c:pt>
                <c:pt idx="63">
                  <c:v>103.250964490684</c:v>
                </c:pt>
                <c:pt idx="64">
                  <c:v>103.07033237989501</c:v>
                </c:pt>
                <c:pt idx="65">
                  <c:v>102.88138546834</c:v>
                </c:pt>
                <c:pt idx="66">
                  <c:v>102.660998618446</c:v>
                </c:pt>
                <c:pt idx="67">
                  <c:v>102.361990819879</c:v>
                </c:pt>
                <c:pt idx="68">
                  <c:v>101.971174147908</c:v>
                </c:pt>
                <c:pt idx="69">
                  <c:v>101.5371935381</c:v>
                </c:pt>
              </c:numCache>
            </c:numRef>
          </c:val>
          <c:smooth val="0"/>
          <c:extLst>
            <c:ext xmlns:c16="http://schemas.microsoft.com/office/drawing/2014/chart" uri="{C3380CC4-5D6E-409C-BE32-E72D297353CC}">
              <c16:uniqueId val="{00000001-AC69-4EDB-85D3-FE41E2EDA656}"/>
            </c:ext>
          </c:extLst>
        </c:ser>
        <c:dLbls>
          <c:showLegendKey val="0"/>
          <c:showVal val="1"/>
          <c:showCatName val="0"/>
          <c:showSerName val="0"/>
          <c:showPercent val="0"/>
          <c:showBubbleSize val="0"/>
        </c:dLbls>
        <c:marker val="1"/>
        <c:smooth val="0"/>
        <c:axId val="106889424"/>
        <c:axId val="106889808"/>
      </c:lineChart>
      <c:catAx>
        <c:axId val="1068894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106889808"/>
        <c:crosses val="autoZero"/>
        <c:auto val="1"/>
        <c:lblAlgn val="ctr"/>
        <c:lblOffset val="0"/>
        <c:tickLblSkip val="1"/>
        <c:tickMarkSkip val="12"/>
        <c:noMultiLvlLbl val="1"/>
      </c:catAx>
      <c:valAx>
        <c:axId val="106889808"/>
        <c:scaling>
          <c:orientation val="minMax"/>
          <c:max val="108"/>
          <c:min val="96"/>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106889424"/>
        <c:crosses val="autoZero"/>
        <c:crossBetween val="between"/>
        <c:majorUnit val="3"/>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n-US"/>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Datos!$A$67:$B$136</c:f>
              <c:multiLvlStrCache>
                <c:ptCount val="70"/>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Datos!$I$67:$I$136</c:f>
              <c:numCache>
                <c:formatCode>0.0</c:formatCode>
                <c:ptCount val="70"/>
                <c:pt idx="0">
                  <c:v>100.220309289936</c:v>
                </c:pt>
                <c:pt idx="1">
                  <c:v>101.44105700464701</c:v>
                </c:pt>
                <c:pt idx="2">
                  <c:v>101.215141183612</c:v>
                </c:pt>
                <c:pt idx="3">
                  <c:v>101.941028616694</c:v>
                </c:pt>
                <c:pt idx="4">
                  <c:v>102.858060200239</c:v>
                </c:pt>
                <c:pt idx="5">
                  <c:v>102.184437712711</c:v>
                </c:pt>
                <c:pt idx="6">
                  <c:v>103.029654627708</c:v>
                </c:pt>
                <c:pt idx="7">
                  <c:v>102.857054021227</c:v>
                </c:pt>
                <c:pt idx="8">
                  <c:v>102.475297326644</c:v>
                </c:pt>
                <c:pt idx="9">
                  <c:v>103.766129249109</c:v>
                </c:pt>
                <c:pt idx="10">
                  <c:v>104.27755851685799</c:v>
                </c:pt>
                <c:pt idx="11">
                  <c:v>104.018000238512</c:v>
                </c:pt>
                <c:pt idx="12">
                  <c:v>104.940661595991</c:v>
                </c:pt>
                <c:pt idx="13">
                  <c:v>105.213538972462</c:v>
                </c:pt>
                <c:pt idx="14">
                  <c:v>105.502002768637</c:v>
                </c:pt>
                <c:pt idx="15">
                  <c:v>106.571773690764</c:v>
                </c:pt>
                <c:pt idx="16">
                  <c:v>106.230648786628</c:v>
                </c:pt>
                <c:pt idx="17">
                  <c:v>106.999546765575</c:v>
                </c:pt>
                <c:pt idx="18">
                  <c:v>107.395912956712</c:v>
                </c:pt>
                <c:pt idx="19">
                  <c:v>107.636645214978</c:v>
                </c:pt>
                <c:pt idx="20">
                  <c:v>108.38617832249901</c:v>
                </c:pt>
                <c:pt idx="21">
                  <c:v>108.254075360581</c:v>
                </c:pt>
                <c:pt idx="22">
                  <c:v>107.923690327693</c:v>
                </c:pt>
                <c:pt idx="23">
                  <c:v>107.64967813069499</c:v>
                </c:pt>
                <c:pt idx="24">
                  <c:v>108.928503613595</c:v>
                </c:pt>
                <c:pt idx="25">
                  <c:v>109.93807698299</c:v>
                </c:pt>
                <c:pt idx="26">
                  <c:v>109.651013567143</c:v>
                </c:pt>
                <c:pt idx="27">
                  <c:v>109.362556057641</c:v>
                </c:pt>
                <c:pt idx="28">
                  <c:v>110.10553190784501</c:v>
                </c:pt>
                <c:pt idx="29">
                  <c:v>110.697924768674</c:v>
                </c:pt>
                <c:pt idx="30">
                  <c:v>111.235814720744</c:v>
                </c:pt>
                <c:pt idx="31">
                  <c:v>111.28651655779299</c:v>
                </c:pt>
                <c:pt idx="32">
                  <c:v>112.162969939213</c:v>
                </c:pt>
                <c:pt idx="33">
                  <c:v>112.645251745088</c:v>
                </c:pt>
                <c:pt idx="34">
                  <c:v>112.447601837881</c:v>
                </c:pt>
                <c:pt idx="35">
                  <c:v>113.698777223767</c:v>
                </c:pt>
                <c:pt idx="36">
                  <c:v>113.505824109713</c:v>
                </c:pt>
                <c:pt idx="37">
                  <c:v>113.52697942807301</c:v>
                </c:pt>
                <c:pt idx="38">
                  <c:v>113.659033899799</c:v>
                </c:pt>
                <c:pt idx="39">
                  <c:v>114.40774255111</c:v>
                </c:pt>
                <c:pt idx="40">
                  <c:v>114.022137367551</c:v>
                </c:pt>
                <c:pt idx="41">
                  <c:v>114.448508368823</c:v>
                </c:pt>
                <c:pt idx="42">
                  <c:v>113.870486779682</c:v>
                </c:pt>
                <c:pt idx="43">
                  <c:v>115.463776568502</c:v>
                </c:pt>
                <c:pt idx="44">
                  <c:v>114.27685477775</c:v>
                </c:pt>
                <c:pt idx="45">
                  <c:v>114.81776963692</c:v>
                </c:pt>
                <c:pt idx="46">
                  <c:v>115.63543514345</c:v>
                </c:pt>
                <c:pt idx="47">
                  <c:v>116.852621104467</c:v>
                </c:pt>
                <c:pt idx="48">
                  <c:v>115.61973034533401</c:v>
                </c:pt>
                <c:pt idx="49">
                  <c:v>116.70209225456099</c:v>
                </c:pt>
                <c:pt idx="50">
                  <c:v>117.970800648927</c:v>
                </c:pt>
                <c:pt idx="51">
                  <c:v>117.13716935234601</c:v>
                </c:pt>
                <c:pt idx="52">
                  <c:v>117.413457036987</c:v>
                </c:pt>
                <c:pt idx="53">
                  <c:v>117.58789192161299</c:v>
                </c:pt>
                <c:pt idx="54">
                  <c:v>118.072128401821</c:v>
                </c:pt>
                <c:pt idx="55">
                  <c:v>118.59266976475701</c:v>
                </c:pt>
                <c:pt idx="56">
                  <c:v>118.28998587109101</c:v>
                </c:pt>
                <c:pt idx="57">
                  <c:v>118.407503740631</c:v>
                </c:pt>
                <c:pt idx="58">
                  <c:v>118.692018710921</c:v>
                </c:pt>
                <c:pt idx="59">
                  <c:v>117.970100660206</c:v>
                </c:pt>
                <c:pt idx="60">
                  <c:v>118.24819509249301</c:v>
                </c:pt>
                <c:pt idx="61">
                  <c:v>118.26658308375001</c:v>
                </c:pt>
                <c:pt idx="62">
                  <c:v>118.121632486583</c:v>
                </c:pt>
                <c:pt idx="63">
                  <c:v>117.75213106319499</c:v>
                </c:pt>
                <c:pt idx="64">
                  <c:v>118.527393671059</c:v>
                </c:pt>
                <c:pt idx="65">
                  <c:v>118.395262703401</c:v>
                </c:pt>
                <c:pt idx="66">
                  <c:v>118.321039948734</c:v>
                </c:pt>
                <c:pt idx="67">
                  <c:v>118.045325900935</c:v>
                </c:pt>
                <c:pt idx="68">
                  <c:v>118.433688830157</c:v>
                </c:pt>
                <c:pt idx="69">
                  <c:v>118.32185183609199</c:v>
                </c:pt>
              </c:numCache>
            </c:numRef>
          </c:val>
          <c:extLst>
            <c:ext xmlns:c16="http://schemas.microsoft.com/office/drawing/2014/chart" uri="{C3380CC4-5D6E-409C-BE32-E72D297353CC}">
              <c16:uniqueId val="{00000000-A8BF-4DA2-8CE5-0A374ADEA9FF}"/>
            </c:ext>
          </c:extLst>
        </c:ser>
        <c:dLbls>
          <c:showLegendKey val="0"/>
          <c:showVal val="1"/>
          <c:showCatName val="0"/>
          <c:showSerName val="0"/>
          <c:showPercent val="0"/>
          <c:showBubbleSize val="0"/>
        </c:dLbls>
        <c:gapWidth val="50"/>
        <c:axId val="106394864"/>
        <c:axId val="106396040"/>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Datos!$A$55:$B$136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 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2013</c:v>
                  </c:pt>
                  <c:pt idx="12">
                    <c:v>2014</c:v>
                  </c:pt>
                  <c:pt idx="24">
                    <c:v>2015</c:v>
                  </c:pt>
                  <c:pt idx="36">
                    <c:v>2016</c:v>
                  </c:pt>
                  <c:pt idx="48">
                    <c:v>2017</c:v>
                  </c:pt>
                  <c:pt idx="60">
                    <c:v>2018</c:v>
                  </c:pt>
                  <c:pt idx="72">
                    <c:v>2019</c:v>
                  </c:pt>
                </c:lvl>
              </c:multiLvlStrCache>
            </c:multiLvlStrRef>
          </c:cat>
          <c:val>
            <c:numRef>
              <c:f>Datos!$J$67:$J$136</c:f>
              <c:numCache>
                <c:formatCode>0.0</c:formatCode>
                <c:ptCount val="70"/>
                <c:pt idx="0">
                  <c:v>100.96585341052599</c:v>
                </c:pt>
                <c:pt idx="1">
                  <c:v>101.211059395058</c:v>
                </c:pt>
                <c:pt idx="2">
                  <c:v>101.50792068717701</c:v>
                </c:pt>
                <c:pt idx="3">
                  <c:v>101.861969072405</c:v>
                </c:pt>
                <c:pt idx="4">
                  <c:v>102.228245768151</c:v>
                </c:pt>
                <c:pt idx="5">
                  <c:v>102.50537030597501</c:v>
                </c:pt>
                <c:pt idx="6">
                  <c:v>102.708941981363</c:v>
                </c:pt>
                <c:pt idx="7">
                  <c:v>102.934404450418</c:v>
                </c:pt>
                <c:pt idx="8">
                  <c:v>103.24331902935501</c:v>
                </c:pt>
                <c:pt idx="9">
                  <c:v>103.606952816637</c:v>
                </c:pt>
                <c:pt idx="10">
                  <c:v>103.99851559053</c:v>
                </c:pt>
                <c:pt idx="11">
                  <c:v>104.38414275658501</c:v>
                </c:pt>
                <c:pt idx="12">
                  <c:v>104.779617782215</c:v>
                </c:pt>
                <c:pt idx="13">
                  <c:v>105.222378186756</c:v>
                </c:pt>
                <c:pt idx="14">
                  <c:v>105.702689189936</c:v>
                </c:pt>
                <c:pt idx="15">
                  <c:v>106.154058836804</c:v>
                </c:pt>
                <c:pt idx="16">
                  <c:v>106.539171569483</c:v>
                </c:pt>
                <c:pt idx="17">
                  <c:v>106.947783478267</c:v>
                </c:pt>
                <c:pt idx="18">
                  <c:v>107.388994054797</c:v>
                </c:pt>
                <c:pt idx="19">
                  <c:v>107.789318402593</c:v>
                </c:pt>
                <c:pt idx="20">
                  <c:v>108.05735704252101</c:v>
                </c:pt>
                <c:pt idx="21">
                  <c:v>108.162496760658</c:v>
                </c:pt>
                <c:pt idx="22">
                  <c:v>108.27765261231001</c:v>
                </c:pt>
                <c:pt idx="23">
                  <c:v>108.528562636427</c:v>
                </c:pt>
                <c:pt idx="24">
                  <c:v>108.88604991574501</c:v>
                </c:pt>
                <c:pt idx="25">
                  <c:v>109.235978078475</c:v>
                </c:pt>
                <c:pt idx="26">
                  <c:v>109.486153688565</c:v>
                </c:pt>
                <c:pt idx="27">
                  <c:v>109.744521633864</c:v>
                </c:pt>
                <c:pt idx="28">
                  <c:v>110.104761207894</c:v>
                </c:pt>
                <c:pt idx="29">
                  <c:v>110.563767274027</c:v>
                </c:pt>
                <c:pt idx="30">
                  <c:v>111.10165654024701</c:v>
                </c:pt>
                <c:pt idx="31">
                  <c:v>111.578176026278</c:v>
                </c:pt>
                <c:pt idx="32">
                  <c:v>112.010183272999</c:v>
                </c:pt>
                <c:pt idx="33">
                  <c:v>112.476667185534</c:v>
                </c:pt>
                <c:pt idx="34">
                  <c:v>112.926264508559</c:v>
                </c:pt>
                <c:pt idx="35">
                  <c:v>113.253590503137</c:v>
                </c:pt>
                <c:pt idx="36">
                  <c:v>113.48893143754999</c:v>
                </c:pt>
                <c:pt idx="37">
                  <c:v>113.68538384727201</c:v>
                </c:pt>
                <c:pt idx="38">
                  <c:v>113.880810123381</c:v>
                </c:pt>
                <c:pt idx="39">
                  <c:v>114.047204358624</c:v>
                </c:pt>
                <c:pt idx="40">
                  <c:v>114.18890429928599</c:v>
                </c:pt>
                <c:pt idx="41">
                  <c:v>114.208176401976</c:v>
                </c:pt>
                <c:pt idx="42">
                  <c:v>114.167379697819</c:v>
                </c:pt>
                <c:pt idx="43">
                  <c:v>114.220140803704</c:v>
                </c:pt>
                <c:pt idx="44">
                  <c:v>114.482465413749</c:v>
                </c:pt>
                <c:pt idx="45">
                  <c:v>114.931119586913</c:v>
                </c:pt>
                <c:pt idx="46">
                  <c:v>115.49059358114501</c:v>
                </c:pt>
                <c:pt idx="47">
                  <c:v>116.020595844803</c:v>
                </c:pt>
                <c:pt idx="48">
                  <c:v>116.457048218759</c:v>
                </c:pt>
                <c:pt idx="49">
                  <c:v>116.75465232549</c:v>
                </c:pt>
                <c:pt idx="50">
                  <c:v>116.976811130884</c:v>
                </c:pt>
                <c:pt idx="51">
                  <c:v>117.17375571497701</c:v>
                </c:pt>
                <c:pt idx="52">
                  <c:v>117.421919839445</c:v>
                </c:pt>
                <c:pt idx="53">
                  <c:v>117.737049728012</c:v>
                </c:pt>
                <c:pt idx="54">
                  <c:v>118.051325352924</c:v>
                </c:pt>
                <c:pt idx="55">
                  <c:v>118.32754916125501</c:v>
                </c:pt>
                <c:pt idx="56">
                  <c:v>118.47129989445</c:v>
                </c:pt>
                <c:pt idx="57">
                  <c:v>118.46613598245401</c:v>
                </c:pt>
                <c:pt idx="58">
                  <c:v>118.37719228104901</c:v>
                </c:pt>
                <c:pt idx="59">
                  <c:v>118.30247324514499</c:v>
                </c:pt>
                <c:pt idx="60">
                  <c:v>118.206807013763</c:v>
                </c:pt>
                <c:pt idx="61">
                  <c:v>118.10921868155999</c:v>
                </c:pt>
                <c:pt idx="62">
                  <c:v>118.09228669469</c:v>
                </c:pt>
                <c:pt idx="63">
                  <c:v>118.163083986911</c:v>
                </c:pt>
                <c:pt idx="64">
                  <c:v>118.235524641445</c:v>
                </c:pt>
                <c:pt idx="65">
                  <c:v>118.30360193289501</c:v>
                </c:pt>
                <c:pt idx="66">
                  <c:v>118.317162850947</c:v>
                </c:pt>
                <c:pt idx="67">
                  <c:v>118.27803875141799</c:v>
                </c:pt>
                <c:pt idx="68">
                  <c:v>118.269919873812</c:v>
                </c:pt>
                <c:pt idx="69">
                  <c:v>118.336548209176</c:v>
                </c:pt>
              </c:numCache>
            </c:numRef>
          </c:val>
          <c:smooth val="0"/>
          <c:extLst>
            <c:ext xmlns:c16="http://schemas.microsoft.com/office/drawing/2014/chart" uri="{C3380CC4-5D6E-409C-BE32-E72D297353CC}">
              <c16:uniqueId val="{00000001-A8BF-4DA2-8CE5-0A374ADEA9FF}"/>
            </c:ext>
          </c:extLst>
        </c:ser>
        <c:dLbls>
          <c:showLegendKey val="0"/>
          <c:showVal val="1"/>
          <c:showCatName val="0"/>
          <c:showSerName val="0"/>
          <c:showPercent val="0"/>
          <c:showBubbleSize val="0"/>
        </c:dLbls>
        <c:marker val="1"/>
        <c:smooth val="0"/>
        <c:axId val="106394864"/>
        <c:axId val="106396040"/>
      </c:lineChart>
      <c:catAx>
        <c:axId val="1063948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106396040"/>
        <c:crosses val="autoZero"/>
        <c:auto val="1"/>
        <c:lblAlgn val="ctr"/>
        <c:lblOffset val="0"/>
        <c:tickLblSkip val="1"/>
        <c:tickMarkSkip val="12"/>
        <c:noMultiLvlLbl val="1"/>
      </c:catAx>
      <c:valAx>
        <c:axId val="106396040"/>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n-US"/>
          </a:p>
        </c:txPr>
        <c:crossAx val="106394864"/>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n-US"/>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96B5-4E1A-A2A5-03BD3A347245}"/>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96B5-4E1A-A2A5-03BD3A347245}"/>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96B5-4E1A-A2A5-03BD3A347245}"/>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96B5-4E1A-A2A5-03BD3A347245}"/>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6B5-4E1A-A2A5-03BD3A347245}"/>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6B5-4E1A-A2A5-03BD3A347245}"/>
                </c:ext>
              </c:extLst>
            </c:dLbl>
            <c:dLbl>
              <c:idx val="2"/>
              <c:layout>
                <c:manualLayout>
                  <c:x val="-1.0938415159345342E-2"/>
                  <c:y val="5.345117845117845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7AB-4B90-97E5-7BA32F1B5B0B}"/>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6B5-4E1A-A2A5-03BD3A347245}"/>
                </c:ext>
              </c:extLst>
            </c:dLbl>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Terciarias</c:v>
                </c:pt>
                <c:pt idx="2">
                  <c:v>   Actividades Secundarias</c:v>
                </c:pt>
                <c:pt idx="3">
                  <c:v>  IGAE</c:v>
                </c:pt>
              </c:strCache>
            </c:strRef>
          </c:cat>
          <c:val>
            <c:numRef>
              <c:f>Datos!$J$52:$J$55</c:f>
              <c:numCache>
                <c:formatCode>#,##0.0</c:formatCode>
                <c:ptCount val="4"/>
                <c:pt idx="0">
                  <c:v>8.3525316260379991</c:v>
                </c:pt>
                <c:pt idx="1">
                  <c:v>-8.6650256054999999E-2</c:v>
                </c:pt>
                <c:pt idx="2">
                  <c:v>-2.970956173641</c:v>
                </c:pt>
                <c:pt idx="3">
                  <c:v>-0.77919971617499995</c:v>
                </c:pt>
              </c:numCache>
            </c:numRef>
          </c:val>
          <c:extLst>
            <c:ext xmlns:c16="http://schemas.microsoft.com/office/drawing/2014/chart" uri="{C3380CC4-5D6E-409C-BE32-E72D297353CC}">
              <c16:uniqueId val="{0000000B-96B5-4E1A-A2A5-03BD3A347245}"/>
            </c:ext>
          </c:extLst>
        </c:ser>
        <c:dLbls>
          <c:showLegendKey val="0"/>
          <c:showVal val="0"/>
          <c:showCatName val="0"/>
          <c:showSerName val="0"/>
          <c:showPercent val="0"/>
          <c:showBubbleSize val="0"/>
        </c:dLbls>
        <c:gapWidth val="30"/>
        <c:axId val="106399176"/>
        <c:axId val="106397216"/>
      </c:barChart>
      <c:catAx>
        <c:axId val="106399176"/>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n-US"/>
          </a:p>
        </c:txPr>
        <c:crossAx val="106397216"/>
        <c:crosses val="autoZero"/>
        <c:auto val="1"/>
        <c:lblAlgn val="ctr"/>
        <c:lblOffset val="100"/>
        <c:tickLblSkip val="1"/>
        <c:tickMarkSkip val="12"/>
        <c:noMultiLvlLbl val="1"/>
      </c:catAx>
      <c:valAx>
        <c:axId val="106397216"/>
        <c:scaling>
          <c:orientation val="minMax"/>
          <c:max val="10"/>
          <c:min val="-4"/>
        </c:scaling>
        <c:delete val="0"/>
        <c:axPos val="b"/>
        <c:numFmt formatCode="#,##0.0" sourceLinked="1"/>
        <c:majorTickMark val="out"/>
        <c:minorTickMark val="none"/>
        <c:tickLblPos val="low"/>
        <c:spPr>
          <a:ln w="3175">
            <a:solidFill>
              <a:schemeClr val="tx1"/>
            </a:solidFill>
          </a:ln>
        </c:spPr>
        <c:txPr>
          <a:bodyPr/>
          <a:lstStyle/>
          <a:p>
            <a:pPr>
              <a:defRPr sz="600"/>
            </a:pPr>
            <a:endParaRPr lang="en-US"/>
          </a:p>
        </c:txPr>
        <c:crossAx val="106399176"/>
        <c:crosses val="autoZero"/>
        <c:crossBetween val="between"/>
        <c:majorUnit val="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83F13-31AB-418E-AF65-6FA1C849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1247</Words>
  <Characters>7371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MORONES RUIZ FABIOLA CRISTINA</cp:lastModifiedBy>
  <cp:revision>29</cp:revision>
  <cp:lastPrinted>2019-12-19T16:11:00Z</cp:lastPrinted>
  <dcterms:created xsi:type="dcterms:W3CDTF">2019-12-18T18:44:00Z</dcterms:created>
  <dcterms:modified xsi:type="dcterms:W3CDTF">2019-12-23T14:53:00Z</dcterms:modified>
  <cp:category>Encuesta Nacional de Ocupación y Empleo</cp:category>
  <cp:version>1</cp:version>
</cp:coreProperties>
</file>