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EAA" w:rsidRDefault="00B24EAA" w:rsidP="00B24EAA">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0A231AF7" wp14:editId="7FCE24DB">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rsidR="00B24EAA" w:rsidRPr="008A2C21" w:rsidRDefault="00B24EAA" w:rsidP="00B24EAA">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231AF7"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rsidR="00B24EAA" w:rsidRPr="008A2C21" w:rsidRDefault="00B24EAA" w:rsidP="00B24EAA">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B24EAA" w:rsidRDefault="00B24EAA" w:rsidP="00B24EAA">
      <w:pPr>
        <w:tabs>
          <w:tab w:val="left" w:pos="8789"/>
        </w:tabs>
        <w:ind w:right="51"/>
        <w:jc w:val="center"/>
        <w:rPr>
          <w:b/>
          <w:sz w:val="28"/>
        </w:rPr>
      </w:pPr>
    </w:p>
    <w:p w:rsidR="00B24EAA" w:rsidRPr="00AB6352" w:rsidRDefault="00B24EAA" w:rsidP="00B24EAA">
      <w:pPr>
        <w:pStyle w:val="Textoindependiente"/>
        <w:spacing w:before="120"/>
        <w:rPr>
          <w:sz w:val="28"/>
          <w:szCs w:val="28"/>
        </w:rPr>
      </w:pPr>
      <w:r w:rsidRPr="00AB6352">
        <w:rPr>
          <w:sz w:val="28"/>
          <w:szCs w:val="28"/>
        </w:rPr>
        <w:t>INDICADOR MENSUAL DEL CONSUMO</w:t>
      </w:r>
    </w:p>
    <w:p w:rsidR="00B24EAA" w:rsidRPr="00AB6352" w:rsidRDefault="00B24EAA" w:rsidP="00B24EAA">
      <w:pPr>
        <w:pStyle w:val="Textoindependiente"/>
        <w:tabs>
          <w:tab w:val="center" w:pos="4420"/>
          <w:tab w:val="left" w:pos="8099"/>
        </w:tabs>
        <w:rPr>
          <w:sz w:val="28"/>
          <w:szCs w:val="28"/>
        </w:rPr>
      </w:pPr>
      <w:r w:rsidRPr="00AB6352">
        <w:rPr>
          <w:sz w:val="28"/>
          <w:szCs w:val="28"/>
        </w:rPr>
        <w:t>PRIVADO EN EL MERCADO INTERIOr</w:t>
      </w:r>
      <w:r w:rsidRPr="00AB6352">
        <w:rPr>
          <w:sz w:val="28"/>
          <w:szCs w:val="28"/>
          <w:vertAlign w:val="superscript"/>
        </w:rPr>
        <w:footnoteReference w:id="1"/>
      </w:r>
    </w:p>
    <w:p w:rsidR="00B24EAA" w:rsidRPr="00AB6352" w:rsidRDefault="00B24EAA" w:rsidP="00B24EAA">
      <w:pPr>
        <w:pStyle w:val="Textoindependiente"/>
        <w:rPr>
          <w:b w:val="0"/>
          <w:sz w:val="28"/>
          <w:szCs w:val="28"/>
        </w:rPr>
      </w:pPr>
      <w:r w:rsidRPr="00AB6352">
        <w:rPr>
          <w:sz w:val="28"/>
          <w:szCs w:val="28"/>
        </w:rPr>
        <w:t>DURANTE MAYO DE 2019</w:t>
      </w:r>
    </w:p>
    <w:p w:rsidR="00B24EAA" w:rsidRPr="00AB6352" w:rsidRDefault="00B24EAA" w:rsidP="00B24EAA">
      <w:pPr>
        <w:contextualSpacing/>
        <w:jc w:val="center"/>
        <w:rPr>
          <w:b/>
          <w:spacing w:val="25"/>
          <w:szCs w:val="24"/>
        </w:rPr>
      </w:pPr>
      <w:r w:rsidRPr="005E10BC">
        <w:rPr>
          <w:b/>
          <w:i/>
          <w:spacing w:val="25"/>
          <w:szCs w:val="24"/>
        </w:rPr>
        <w:t xml:space="preserve"> </w:t>
      </w:r>
      <w:r w:rsidRPr="00AB6352">
        <w:rPr>
          <w:b/>
          <w:i/>
          <w:spacing w:val="25"/>
          <w:szCs w:val="24"/>
        </w:rPr>
        <w:t>(Cifras desestacionalizadas)</w:t>
      </w:r>
    </w:p>
    <w:p w:rsidR="00B24EAA" w:rsidRPr="00BA0193" w:rsidRDefault="00B24EAA" w:rsidP="00B24EAA">
      <w:pPr>
        <w:pStyle w:val="bullet"/>
        <w:widowControl w:val="0"/>
        <w:tabs>
          <w:tab w:val="clear" w:pos="7939"/>
          <w:tab w:val="left" w:pos="7230"/>
        </w:tabs>
        <w:ind w:left="0" w:right="-405" w:firstLine="0"/>
        <w:rPr>
          <w:b w:val="0"/>
          <w:sz w:val="24"/>
          <w:szCs w:val="24"/>
        </w:rPr>
      </w:pPr>
      <w:r w:rsidRPr="00BA0193">
        <w:rPr>
          <w:b w:val="0"/>
          <w:sz w:val="24"/>
          <w:szCs w:val="24"/>
        </w:rPr>
        <w:t>El Indicador Mensual del Consumo Privado en el Mercado Interior (IMCPMI)</w:t>
      </w:r>
      <w:r w:rsidRPr="00BA0193">
        <w:rPr>
          <w:b w:val="0"/>
          <w:sz w:val="24"/>
          <w:szCs w:val="24"/>
          <w:vertAlign w:val="superscript"/>
        </w:rPr>
        <w:footnoteReference w:id="2"/>
      </w:r>
      <w:r w:rsidRPr="00BA0193">
        <w:rPr>
          <w:b w:val="0"/>
          <w:sz w:val="24"/>
          <w:szCs w:val="24"/>
        </w:rPr>
        <w:t xml:space="preserve"> disminuyó (-)0.2% durante mayo de 2019 frente al mes inmediato anterior, con cifras desestacionalizadas</w:t>
      </w:r>
      <w:r w:rsidRPr="00BA0193">
        <w:rPr>
          <w:b w:val="0"/>
          <w:sz w:val="24"/>
          <w:szCs w:val="24"/>
          <w:vertAlign w:val="superscript"/>
        </w:rPr>
        <w:footnoteReference w:id="3"/>
      </w:r>
      <w:r w:rsidRPr="00BA0193">
        <w:rPr>
          <w:b w:val="0"/>
          <w:sz w:val="24"/>
          <w:szCs w:val="24"/>
        </w:rPr>
        <w:t xml:space="preserve">. </w:t>
      </w:r>
    </w:p>
    <w:p w:rsidR="00B24EAA" w:rsidRDefault="00B24EAA" w:rsidP="00B24EAA">
      <w:pPr>
        <w:jc w:val="center"/>
        <w:outlineLvl w:val="3"/>
        <w:rPr>
          <w:rFonts w:cs="Arial"/>
          <w:b/>
          <w:smallCaps/>
          <w:sz w:val="22"/>
        </w:rPr>
      </w:pPr>
    </w:p>
    <w:p w:rsidR="00B24EAA" w:rsidRDefault="00B24EAA" w:rsidP="00B24EAA">
      <w:pPr>
        <w:jc w:val="center"/>
        <w:outlineLvl w:val="3"/>
        <w:rPr>
          <w:rFonts w:cs="Arial"/>
          <w:b/>
          <w:smallCaps/>
          <w:sz w:val="22"/>
        </w:rPr>
      </w:pPr>
    </w:p>
    <w:p w:rsidR="00B24EAA" w:rsidRDefault="00B24EAA" w:rsidP="00B24EAA">
      <w:pPr>
        <w:jc w:val="center"/>
        <w:outlineLvl w:val="3"/>
        <w:rPr>
          <w:rFonts w:cs="Arial"/>
          <w:b/>
          <w:smallCaps/>
          <w:sz w:val="22"/>
        </w:rPr>
      </w:pPr>
      <w:r>
        <w:rPr>
          <w:rFonts w:cs="Arial"/>
          <w:b/>
          <w:smallCaps/>
          <w:sz w:val="22"/>
        </w:rPr>
        <w:t xml:space="preserve">Indicador Mensual del Consumo Privado </w:t>
      </w:r>
    </w:p>
    <w:p w:rsidR="00B24EAA" w:rsidRDefault="00B24EAA" w:rsidP="00B24EAA">
      <w:pPr>
        <w:jc w:val="center"/>
        <w:outlineLvl w:val="3"/>
        <w:rPr>
          <w:rFonts w:cs="Arial"/>
          <w:b/>
          <w:smallCaps/>
          <w:sz w:val="22"/>
        </w:rPr>
      </w:pPr>
      <w:r>
        <w:rPr>
          <w:rFonts w:cs="Arial"/>
          <w:b/>
          <w:smallCaps/>
          <w:sz w:val="22"/>
        </w:rPr>
        <w:t>en el Mercado Interior a mayo</w:t>
      </w:r>
      <w:r w:rsidRPr="004C2706">
        <w:rPr>
          <w:rFonts w:cs="Arial"/>
          <w:b/>
          <w:smallCaps/>
          <w:sz w:val="20"/>
        </w:rPr>
        <w:t xml:space="preserve"> </w:t>
      </w:r>
      <w:r>
        <w:rPr>
          <w:rFonts w:cs="Arial"/>
          <w:b/>
          <w:smallCaps/>
          <w:sz w:val="22"/>
        </w:rPr>
        <w:t>de 2019</w:t>
      </w:r>
    </w:p>
    <w:p w:rsidR="00B24EAA" w:rsidRDefault="00B24EAA" w:rsidP="00B24EAA">
      <w:pPr>
        <w:jc w:val="center"/>
        <w:outlineLvl w:val="3"/>
        <w:rPr>
          <w:rFonts w:cs="Arial"/>
          <w:b/>
          <w:smallCaps/>
          <w:sz w:val="22"/>
        </w:rPr>
      </w:pPr>
      <w:r>
        <w:rPr>
          <w:rFonts w:cs="Arial"/>
          <w:b/>
          <w:smallCaps/>
          <w:sz w:val="22"/>
        </w:rPr>
        <w:t>Series desestacionalizada y de tendencia-ciclo</w:t>
      </w:r>
    </w:p>
    <w:p w:rsidR="00B24EAA" w:rsidRDefault="00B24EAA" w:rsidP="00B24EAA">
      <w:pPr>
        <w:jc w:val="center"/>
        <w:outlineLvl w:val="3"/>
        <w:rPr>
          <w:rFonts w:cs="Arial"/>
          <w:sz w:val="18"/>
          <w:szCs w:val="18"/>
        </w:rPr>
      </w:pPr>
      <w:r>
        <w:rPr>
          <w:rFonts w:cs="Arial"/>
          <w:smallCaps/>
          <w:sz w:val="18"/>
          <w:szCs w:val="18"/>
        </w:rPr>
        <w:t>(</w:t>
      </w:r>
      <w:r>
        <w:rPr>
          <w:rFonts w:cs="Arial"/>
          <w:sz w:val="18"/>
          <w:szCs w:val="18"/>
        </w:rPr>
        <w:t>Índice base 2013=100)</w:t>
      </w:r>
    </w:p>
    <w:p w:rsidR="00B24EAA" w:rsidRDefault="00B24EAA" w:rsidP="00B24EAA">
      <w:pPr>
        <w:jc w:val="center"/>
        <w:outlineLvl w:val="3"/>
        <w:rPr>
          <w:rFonts w:cs="Arial"/>
          <w:sz w:val="18"/>
          <w:szCs w:val="18"/>
        </w:rPr>
      </w:pPr>
      <w:r>
        <w:rPr>
          <w:noProof/>
          <w:lang w:eastAsia="es-MX"/>
        </w:rPr>
        <w:drawing>
          <wp:inline distT="0" distB="0" distL="0" distR="0" wp14:anchorId="2268EF6E" wp14:editId="2EB60AD4">
            <wp:extent cx="4320000" cy="2526212"/>
            <wp:effectExtent l="0" t="0" r="23495" b="2667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24EAA" w:rsidRDefault="00B24EAA" w:rsidP="00B24EAA">
      <w:pPr>
        <w:ind w:left="708" w:firstLine="708"/>
      </w:pPr>
      <w:r>
        <w:rPr>
          <w:rFonts w:cs="Arial"/>
          <w:sz w:val="16"/>
        </w:rPr>
        <w:t>Fuente: INEGI.</w:t>
      </w:r>
    </w:p>
    <w:p w:rsidR="00B24EAA" w:rsidRDefault="00B24EAA" w:rsidP="00B24EAA">
      <w:pPr>
        <w:pStyle w:val="bullet"/>
        <w:widowControl w:val="0"/>
        <w:tabs>
          <w:tab w:val="clear" w:pos="7939"/>
          <w:tab w:val="left" w:pos="7230"/>
        </w:tabs>
        <w:spacing w:before="120"/>
        <w:ind w:left="284" w:right="-405" w:firstLine="0"/>
        <w:rPr>
          <w:b w:val="0"/>
          <w:sz w:val="24"/>
          <w:szCs w:val="24"/>
        </w:rPr>
      </w:pPr>
    </w:p>
    <w:p w:rsidR="00B24EAA" w:rsidRPr="006F0D56" w:rsidRDefault="00B24EAA" w:rsidP="00B24EAA">
      <w:pPr>
        <w:pStyle w:val="bullet"/>
        <w:widowControl w:val="0"/>
        <w:tabs>
          <w:tab w:val="clear" w:pos="7939"/>
          <w:tab w:val="left" w:pos="7230"/>
        </w:tabs>
        <w:ind w:left="0" w:right="-405" w:firstLine="0"/>
        <w:rPr>
          <w:b w:val="0"/>
          <w:sz w:val="24"/>
          <w:szCs w:val="24"/>
        </w:rPr>
      </w:pPr>
      <w:r w:rsidRPr="006F0D56">
        <w:rPr>
          <w:b w:val="0"/>
          <w:sz w:val="24"/>
          <w:szCs w:val="24"/>
        </w:rPr>
        <w:t>Por componentes, el consumo en Bienes de origen importado se redujo (-)1.8% y en Bienes y Servicios de origen nacional creció 0.1% en el quinto mes del presente año respecto al mes previo, según datos ajustados por estacionalidad.</w:t>
      </w:r>
    </w:p>
    <w:p w:rsidR="00B24EAA" w:rsidRPr="006F0D56" w:rsidRDefault="00B24EAA" w:rsidP="00B24EAA">
      <w:pPr>
        <w:pStyle w:val="bullet"/>
        <w:widowControl w:val="0"/>
        <w:tabs>
          <w:tab w:val="clear" w:pos="7939"/>
          <w:tab w:val="left" w:pos="7230"/>
        </w:tabs>
        <w:spacing w:before="360"/>
        <w:ind w:left="0" w:right="-405" w:firstLine="0"/>
        <w:rPr>
          <w:b w:val="0"/>
          <w:sz w:val="24"/>
          <w:szCs w:val="24"/>
        </w:rPr>
      </w:pPr>
    </w:p>
    <w:p w:rsidR="00B24EAA" w:rsidRPr="00EA2E8E" w:rsidRDefault="00B24EAA" w:rsidP="00B24EAA">
      <w:pPr>
        <w:pStyle w:val="bullet"/>
        <w:widowControl w:val="0"/>
        <w:tabs>
          <w:tab w:val="clear" w:pos="7939"/>
          <w:tab w:val="left" w:pos="7230"/>
        </w:tabs>
        <w:ind w:left="0" w:right="-405" w:firstLine="0"/>
        <w:rPr>
          <w:b w:val="0"/>
          <w:sz w:val="24"/>
          <w:szCs w:val="24"/>
        </w:rPr>
      </w:pPr>
    </w:p>
    <w:p w:rsidR="0018484F" w:rsidRDefault="0018484F" w:rsidP="00B24EAA">
      <w:pPr>
        <w:pStyle w:val="bullet"/>
        <w:widowControl w:val="0"/>
        <w:tabs>
          <w:tab w:val="clear" w:pos="7939"/>
          <w:tab w:val="left" w:pos="7230"/>
        </w:tabs>
        <w:ind w:left="0" w:right="-405" w:firstLine="0"/>
        <w:rPr>
          <w:b w:val="0"/>
          <w:sz w:val="24"/>
          <w:szCs w:val="24"/>
        </w:rPr>
      </w:pPr>
    </w:p>
    <w:p w:rsidR="00B24EAA" w:rsidRPr="00EA2E8E" w:rsidRDefault="00B24EAA" w:rsidP="00B24EAA">
      <w:pPr>
        <w:pStyle w:val="bullet"/>
        <w:widowControl w:val="0"/>
        <w:tabs>
          <w:tab w:val="clear" w:pos="7939"/>
          <w:tab w:val="left" w:pos="7230"/>
        </w:tabs>
        <w:ind w:left="0" w:right="-405" w:firstLine="0"/>
        <w:rPr>
          <w:b w:val="0"/>
          <w:sz w:val="24"/>
          <w:szCs w:val="24"/>
        </w:rPr>
      </w:pPr>
      <w:r w:rsidRPr="00EA2E8E">
        <w:rPr>
          <w:b w:val="0"/>
          <w:sz w:val="24"/>
          <w:szCs w:val="24"/>
        </w:rPr>
        <w:t>En su comparación anual</w:t>
      </w:r>
      <w:r w:rsidRPr="00EA2E8E">
        <w:rPr>
          <w:b w:val="0"/>
          <w:sz w:val="24"/>
          <w:szCs w:val="24"/>
          <w:vertAlign w:val="superscript"/>
        </w:rPr>
        <w:footnoteReference w:id="4"/>
      </w:r>
      <w:r w:rsidRPr="00EA2E8E">
        <w:rPr>
          <w:b w:val="0"/>
          <w:sz w:val="24"/>
          <w:szCs w:val="24"/>
        </w:rPr>
        <w:t>, el IMCPMI mostró un avance real de 0.3% en el mes de referencia. A su interior, los gastos en Bienes de origen importado tuvieron un alza de 0.7%, y en Bienes y Servicios nacionales se incrementaron 0.4% (los gastos en Servicios se elevaron 0.7% y en Bienes fueron mayores en 0.1%), con relación a los de igual mes de 2018.</w:t>
      </w:r>
    </w:p>
    <w:p w:rsidR="00B24EAA" w:rsidRPr="00D0777B" w:rsidRDefault="00B24EAA" w:rsidP="00B24EAA">
      <w:pPr>
        <w:pStyle w:val="bullet"/>
        <w:widowControl w:val="0"/>
        <w:spacing w:before="120"/>
        <w:ind w:right="1418"/>
        <w:rPr>
          <w:lang w:val="es-MX"/>
        </w:rPr>
      </w:pPr>
    </w:p>
    <w:p w:rsidR="00B24EAA" w:rsidRDefault="00B24EAA" w:rsidP="00B24EAA">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rsidR="00B24EAA" w:rsidRDefault="00B24EAA" w:rsidP="00B24EAA">
      <w:pPr>
        <w:pStyle w:val="p0"/>
        <w:spacing w:before="0"/>
        <w:jc w:val="center"/>
        <w:rPr>
          <w:rFonts w:cs="Arial"/>
          <w:b/>
          <w:smallCaps/>
          <w:color w:val="auto"/>
          <w:sz w:val="22"/>
          <w:szCs w:val="22"/>
        </w:rPr>
      </w:pPr>
      <w:r>
        <w:rPr>
          <w:rFonts w:cs="Arial"/>
          <w:b/>
          <w:smallCaps/>
          <w:color w:val="auto"/>
          <w:sz w:val="22"/>
          <w:szCs w:val="22"/>
        </w:rPr>
        <w:t>Mercado Interior durante mayo de 2019</w:t>
      </w:r>
    </w:p>
    <w:p w:rsidR="00B24EAA" w:rsidRDefault="00B24EAA" w:rsidP="00B24EAA">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B24EAA" w:rsidTr="000E7727">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rsidR="00B24EAA" w:rsidRDefault="00B24EAA" w:rsidP="000E7727">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rsidR="00B24EAA" w:rsidRDefault="00B24EAA" w:rsidP="000E7727">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rsidR="00B24EAA" w:rsidRDefault="00B24EAA" w:rsidP="000E7727">
            <w:pPr>
              <w:pStyle w:val="p0"/>
              <w:keepNext/>
              <w:spacing w:before="60" w:after="60"/>
              <w:jc w:val="center"/>
              <w:rPr>
                <w:rFonts w:cs="Arial"/>
                <w:color w:val="auto"/>
                <w:sz w:val="18"/>
                <w:lang w:val="es-ES"/>
              </w:rPr>
            </w:pPr>
            <w:r>
              <w:rPr>
                <w:rFonts w:cs="Arial"/>
                <w:color w:val="auto"/>
                <w:sz w:val="18"/>
                <w:lang w:val="es-ES"/>
              </w:rPr>
              <w:t>Variación % respecto a igual mes de 2018</w:t>
            </w:r>
          </w:p>
        </w:tc>
      </w:tr>
      <w:tr w:rsidR="00B24EAA" w:rsidTr="000E7727">
        <w:trPr>
          <w:cantSplit/>
          <w:trHeight w:val="20"/>
          <w:jc w:val="center"/>
        </w:trPr>
        <w:tc>
          <w:tcPr>
            <w:tcW w:w="2834" w:type="dxa"/>
            <w:tcBorders>
              <w:top w:val="single" w:sz="8" w:space="0" w:color="404040"/>
              <w:left w:val="double" w:sz="4" w:space="0" w:color="auto"/>
              <w:bottom w:val="nil"/>
              <w:right w:val="single" w:sz="8" w:space="0" w:color="404040"/>
            </w:tcBorders>
            <w:hideMark/>
          </w:tcPr>
          <w:p w:rsidR="00B24EAA" w:rsidRDefault="00B24EAA" w:rsidP="000E7727">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rsidR="00B24EAA" w:rsidRPr="00007D7D" w:rsidRDefault="00B24EAA" w:rsidP="000E7727">
            <w:pPr>
              <w:tabs>
                <w:tab w:val="left" w:pos="307"/>
                <w:tab w:val="decimal" w:pos="881"/>
              </w:tabs>
              <w:spacing w:before="60" w:after="60"/>
              <w:ind w:right="567"/>
              <w:jc w:val="right"/>
              <w:rPr>
                <w:rFonts w:cs="Arial"/>
                <w:b/>
                <w:sz w:val="18"/>
                <w:u w:val="single"/>
                <w:lang w:val="es-ES" w:eastAsia="en-US"/>
              </w:rPr>
            </w:pPr>
            <w:r>
              <w:rPr>
                <w:rFonts w:cs="Arial"/>
                <w:b/>
                <w:sz w:val="18"/>
                <w:lang w:val="es-ES" w:eastAsia="en-US"/>
              </w:rPr>
              <w:t>(-)</w:t>
            </w:r>
            <w:r w:rsidRPr="00007D7D">
              <w:rPr>
                <w:rFonts w:cs="Arial"/>
                <w:b/>
                <w:sz w:val="18"/>
                <w:lang w:val="es-ES" w:eastAsia="en-US"/>
              </w:rPr>
              <w:t xml:space="preserve">  </w:t>
            </w:r>
            <w:r>
              <w:rPr>
                <w:rFonts w:cs="Arial"/>
                <w:b/>
                <w:sz w:val="18"/>
                <w:u w:val="single"/>
                <w:lang w:val="es-ES" w:eastAsia="en-US"/>
              </w:rPr>
              <w:t>0.2</w:t>
            </w:r>
          </w:p>
        </w:tc>
        <w:tc>
          <w:tcPr>
            <w:tcW w:w="1843" w:type="dxa"/>
            <w:tcBorders>
              <w:top w:val="single" w:sz="8" w:space="0" w:color="404040"/>
              <w:left w:val="single" w:sz="8" w:space="0" w:color="404040"/>
              <w:bottom w:val="nil"/>
              <w:right w:val="double" w:sz="4" w:space="0" w:color="auto"/>
            </w:tcBorders>
            <w:hideMark/>
          </w:tcPr>
          <w:p w:rsidR="00B24EAA" w:rsidRPr="00007D7D" w:rsidRDefault="00B24EAA" w:rsidP="000E7727">
            <w:pPr>
              <w:tabs>
                <w:tab w:val="left" w:pos="307"/>
                <w:tab w:val="decimal" w:pos="881"/>
              </w:tabs>
              <w:spacing w:before="60" w:after="60"/>
              <w:ind w:right="624"/>
              <w:jc w:val="right"/>
              <w:rPr>
                <w:rFonts w:cs="Arial"/>
                <w:b/>
                <w:sz w:val="18"/>
                <w:lang w:val="es-ES" w:eastAsia="en-US"/>
              </w:rPr>
            </w:pPr>
            <w:r w:rsidRPr="00007D7D">
              <w:rPr>
                <w:rFonts w:cs="Arial"/>
                <w:b/>
                <w:sz w:val="18"/>
                <w:lang w:val="es-ES" w:eastAsia="en-US"/>
              </w:rPr>
              <w:t xml:space="preserve">  </w:t>
            </w:r>
            <w:r>
              <w:rPr>
                <w:rFonts w:cs="Arial"/>
                <w:b/>
                <w:sz w:val="18"/>
                <w:u w:val="single"/>
                <w:lang w:val="es-ES" w:eastAsia="en-US"/>
              </w:rPr>
              <w:t>0.3</w:t>
            </w:r>
          </w:p>
        </w:tc>
      </w:tr>
      <w:tr w:rsidR="00B24EAA" w:rsidTr="000E7727">
        <w:trPr>
          <w:cantSplit/>
          <w:trHeight w:val="20"/>
          <w:jc w:val="center"/>
        </w:trPr>
        <w:tc>
          <w:tcPr>
            <w:tcW w:w="2834" w:type="dxa"/>
            <w:tcBorders>
              <w:top w:val="nil"/>
              <w:left w:val="double" w:sz="4" w:space="0" w:color="auto"/>
              <w:bottom w:val="nil"/>
              <w:right w:val="single" w:sz="8" w:space="0" w:color="404040"/>
            </w:tcBorders>
            <w:hideMark/>
          </w:tcPr>
          <w:p w:rsidR="00B24EAA" w:rsidRDefault="00B24EAA" w:rsidP="000E7727">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rsidR="00B24EAA" w:rsidRPr="00007D7D" w:rsidRDefault="00B24EAA" w:rsidP="000E7727">
            <w:pPr>
              <w:tabs>
                <w:tab w:val="left" w:pos="307"/>
              </w:tabs>
              <w:spacing w:before="20" w:after="20"/>
              <w:ind w:right="567"/>
              <w:jc w:val="right"/>
              <w:rPr>
                <w:rFonts w:cs="Arial"/>
                <w:b/>
                <w:sz w:val="18"/>
                <w:lang w:val="es-ES" w:eastAsia="en-US"/>
              </w:rPr>
            </w:pPr>
            <w:r w:rsidRPr="00007D7D">
              <w:rPr>
                <w:rFonts w:cs="Arial"/>
                <w:b/>
                <w:sz w:val="18"/>
                <w:lang w:val="es-ES" w:eastAsia="en-US"/>
              </w:rPr>
              <w:t xml:space="preserve">  0.</w:t>
            </w:r>
            <w:r>
              <w:rPr>
                <w:rFonts w:cs="Arial"/>
                <w:b/>
                <w:sz w:val="18"/>
                <w:lang w:val="es-ES" w:eastAsia="en-US"/>
              </w:rPr>
              <w:t>1</w:t>
            </w:r>
          </w:p>
        </w:tc>
        <w:tc>
          <w:tcPr>
            <w:tcW w:w="1843" w:type="dxa"/>
            <w:tcBorders>
              <w:top w:val="nil"/>
              <w:left w:val="single" w:sz="8" w:space="0" w:color="404040"/>
              <w:bottom w:val="nil"/>
              <w:right w:val="double" w:sz="4" w:space="0" w:color="auto"/>
            </w:tcBorders>
            <w:hideMark/>
          </w:tcPr>
          <w:p w:rsidR="00B24EAA" w:rsidRPr="00007D7D" w:rsidRDefault="00B24EAA" w:rsidP="000E7727">
            <w:pPr>
              <w:tabs>
                <w:tab w:val="left" w:pos="307"/>
                <w:tab w:val="decimal" w:pos="881"/>
              </w:tabs>
              <w:spacing w:before="20" w:after="20"/>
              <w:ind w:right="624"/>
              <w:jc w:val="right"/>
              <w:rPr>
                <w:rFonts w:cs="Arial"/>
                <w:b/>
                <w:sz w:val="18"/>
                <w:lang w:val="es-ES" w:eastAsia="en-US"/>
              </w:rPr>
            </w:pPr>
            <w:r w:rsidRPr="00007D7D">
              <w:rPr>
                <w:rFonts w:cs="Arial"/>
                <w:b/>
                <w:sz w:val="18"/>
                <w:lang w:val="es-ES" w:eastAsia="en-US"/>
              </w:rPr>
              <w:t xml:space="preserve">    </w:t>
            </w:r>
            <w:r>
              <w:rPr>
                <w:rFonts w:cs="Arial"/>
                <w:b/>
                <w:sz w:val="18"/>
                <w:lang w:val="es-ES" w:eastAsia="en-US"/>
              </w:rPr>
              <w:t>0</w:t>
            </w:r>
            <w:r w:rsidRPr="00007D7D">
              <w:rPr>
                <w:rFonts w:cs="Arial"/>
                <w:b/>
                <w:sz w:val="18"/>
                <w:lang w:val="es-ES" w:eastAsia="en-US"/>
              </w:rPr>
              <w:t>.</w:t>
            </w:r>
            <w:r>
              <w:rPr>
                <w:rFonts w:cs="Arial"/>
                <w:b/>
                <w:sz w:val="18"/>
                <w:lang w:val="es-ES" w:eastAsia="en-US"/>
              </w:rPr>
              <w:t>4</w:t>
            </w:r>
          </w:p>
        </w:tc>
      </w:tr>
      <w:tr w:rsidR="00B24EAA" w:rsidTr="000E7727">
        <w:trPr>
          <w:cantSplit/>
          <w:trHeight w:val="20"/>
          <w:jc w:val="center"/>
        </w:trPr>
        <w:tc>
          <w:tcPr>
            <w:tcW w:w="2834" w:type="dxa"/>
            <w:tcBorders>
              <w:top w:val="nil"/>
              <w:left w:val="double" w:sz="4" w:space="0" w:color="auto"/>
              <w:bottom w:val="nil"/>
              <w:right w:val="single" w:sz="8" w:space="0" w:color="404040"/>
            </w:tcBorders>
            <w:hideMark/>
          </w:tcPr>
          <w:p w:rsidR="00B24EAA" w:rsidRDefault="00B24EAA" w:rsidP="000E7727">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rsidR="00B24EAA" w:rsidRPr="00007D7D" w:rsidRDefault="00B24EAA" w:rsidP="000E7727">
            <w:pPr>
              <w:tabs>
                <w:tab w:val="left" w:pos="307"/>
              </w:tabs>
              <w:spacing w:before="60"/>
              <w:ind w:right="567"/>
              <w:jc w:val="right"/>
              <w:rPr>
                <w:rFonts w:cs="Arial"/>
                <w:sz w:val="18"/>
                <w:lang w:val="es-ES" w:eastAsia="en-US"/>
              </w:rPr>
            </w:pPr>
            <w:r>
              <w:rPr>
                <w:rFonts w:cs="Arial"/>
                <w:sz w:val="18"/>
                <w:lang w:val="es-ES" w:eastAsia="en-US"/>
              </w:rPr>
              <w:t>(-)</w:t>
            </w:r>
            <w:r w:rsidRPr="00007D7D">
              <w:rPr>
                <w:rFonts w:cs="Arial"/>
                <w:sz w:val="18"/>
                <w:lang w:val="es-ES" w:eastAsia="en-US"/>
              </w:rPr>
              <w:t xml:space="preserve">  </w:t>
            </w:r>
            <w:r>
              <w:rPr>
                <w:rFonts w:cs="Arial"/>
                <w:sz w:val="18"/>
                <w:lang w:val="es-ES" w:eastAsia="en-US"/>
              </w:rPr>
              <w:t>0</w:t>
            </w:r>
            <w:r w:rsidRPr="00007D7D">
              <w:rPr>
                <w:rFonts w:cs="Arial"/>
                <w:sz w:val="18"/>
                <w:lang w:val="es-ES" w:eastAsia="en-US"/>
              </w:rPr>
              <w:t>.</w:t>
            </w:r>
            <w:r>
              <w:rPr>
                <w:rFonts w:cs="Arial"/>
                <w:sz w:val="18"/>
                <w:lang w:val="es-ES" w:eastAsia="en-US"/>
              </w:rPr>
              <w:t>6</w:t>
            </w:r>
          </w:p>
        </w:tc>
        <w:tc>
          <w:tcPr>
            <w:tcW w:w="1843" w:type="dxa"/>
            <w:tcBorders>
              <w:top w:val="nil"/>
              <w:left w:val="single" w:sz="8" w:space="0" w:color="404040"/>
              <w:bottom w:val="nil"/>
              <w:right w:val="double" w:sz="4" w:space="0" w:color="auto"/>
            </w:tcBorders>
            <w:hideMark/>
          </w:tcPr>
          <w:p w:rsidR="00B24EAA" w:rsidRPr="00007D7D" w:rsidRDefault="00B24EAA" w:rsidP="000E7727">
            <w:pPr>
              <w:tabs>
                <w:tab w:val="left" w:pos="307"/>
                <w:tab w:val="decimal" w:pos="881"/>
              </w:tabs>
              <w:spacing w:before="60"/>
              <w:ind w:right="624"/>
              <w:jc w:val="right"/>
              <w:rPr>
                <w:rFonts w:cs="Arial"/>
                <w:sz w:val="18"/>
                <w:lang w:val="es-ES" w:eastAsia="en-US"/>
              </w:rPr>
            </w:pPr>
            <w:r w:rsidRPr="00007D7D">
              <w:rPr>
                <w:rFonts w:cs="Arial"/>
                <w:sz w:val="18"/>
                <w:lang w:val="es-ES" w:eastAsia="en-US"/>
              </w:rPr>
              <w:t xml:space="preserve">  </w:t>
            </w:r>
            <w:r>
              <w:rPr>
                <w:rFonts w:cs="Arial"/>
                <w:sz w:val="18"/>
                <w:lang w:val="es-ES" w:eastAsia="en-US"/>
              </w:rPr>
              <w:t>0</w:t>
            </w:r>
            <w:r w:rsidRPr="00007D7D">
              <w:rPr>
                <w:rFonts w:cs="Arial"/>
                <w:sz w:val="18"/>
                <w:lang w:val="es-ES" w:eastAsia="en-US"/>
              </w:rPr>
              <w:t>.</w:t>
            </w:r>
            <w:r>
              <w:rPr>
                <w:rFonts w:cs="Arial"/>
                <w:sz w:val="18"/>
                <w:lang w:val="es-ES" w:eastAsia="en-US"/>
              </w:rPr>
              <w:t>1</w:t>
            </w:r>
          </w:p>
        </w:tc>
      </w:tr>
      <w:tr w:rsidR="00B24EAA" w:rsidTr="000E7727">
        <w:trPr>
          <w:cantSplit/>
          <w:trHeight w:val="20"/>
          <w:jc w:val="center"/>
        </w:trPr>
        <w:tc>
          <w:tcPr>
            <w:tcW w:w="2834" w:type="dxa"/>
            <w:tcBorders>
              <w:top w:val="nil"/>
              <w:left w:val="double" w:sz="4" w:space="0" w:color="auto"/>
              <w:bottom w:val="nil"/>
              <w:right w:val="single" w:sz="8" w:space="0" w:color="404040"/>
            </w:tcBorders>
            <w:hideMark/>
          </w:tcPr>
          <w:p w:rsidR="00B24EAA" w:rsidRDefault="00B24EAA" w:rsidP="000E7727">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rsidR="00B24EAA" w:rsidRPr="00007D7D" w:rsidRDefault="00B24EAA" w:rsidP="000E7727">
            <w:pPr>
              <w:tabs>
                <w:tab w:val="left" w:pos="307"/>
              </w:tabs>
              <w:spacing w:before="60"/>
              <w:ind w:right="567"/>
              <w:jc w:val="right"/>
              <w:rPr>
                <w:rFonts w:cs="Arial"/>
                <w:sz w:val="18"/>
                <w:lang w:val="es-ES" w:eastAsia="en-US"/>
              </w:rPr>
            </w:pPr>
            <w:r w:rsidRPr="00007D7D">
              <w:rPr>
                <w:rFonts w:cs="Arial"/>
                <w:sz w:val="18"/>
                <w:lang w:val="es-ES" w:eastAsia="en-US"/>
              </w:rPr>
              <w:t xml:space="preserve">  0.</w:t>
            </w:r>
            <w:r>
              <w:rPr>
                <w:rFonts w:cs="Arial"/>
                <w:sz w:val="18"/>
                <w:lang w:val="es-ES" w:eastAsia="en-US"/>
              </w:rPr>
              <w:t>9</w:t>
            </w:r>
          </w:p>
        </w:tc>
        <w:tc>
          <w:tcPr>
            <w:tcW w:w="1843" w:type="dxa"/>
            <w:tcBorders>
              <w:top w:val="nil"/>
              <w:left w:val="single" w:sz="8" w:space="0" w:color="404040"/>
              <w:bottom w:val="nil"/>
              <w:right w:val="double" w:sz="4" w:space="0" w:color="auto"/>
            </w:tcBorders>
            <w:hideMark/>
          </w:tcPr>
          <w:p w:rsidR="00B24EAA" w:rsidRPr="00007D7D" w:rsidRDefault="00B24EAA" w:rsidP="000E7727">
            <w:pPr>
              <w:tabs>
                <w:tab w:val="left" w:pos="307"/>
                <w:tab w:val="decimal" w:pos="881"/>
              </w:tabs>
              <w:spacing w:before="60"/>
              <w:ind w:right="624"/>
              <w:jc w:val="right"/>
              <w:rPr>
                <w:rFonts w:cs="Arial"/>
                <w:sz w:val="18"/>
                <w:lang w:val="es-ES" w:eastAsia="en-US"/>
              </w:rPr>
            </w:pPr>
            <w:r w:rsidRPr="00007D7D">
              <w:rPr>
                <w:rFonts w:cs="Arial"/>
                <w:sz w:val="18"/>
                <w:lang w:val="es-ES" w:eastAsia="en-US"/>
              </w:rPr>
              <w:t xml:space="preserve">    0.</w:t>
            </w:r>
            <w:r>
              <w:rPr>
                <w:rFonts w:cs="Arial"/>
                <w:sz w:val="18"/>
                <w:lang w:val="es-ES" w:eastAsia="en-US"/>
              </w:rPr>
              <w:t>7</w:t>
            </w:r>
          </w:p>
        </w:tc>
      </w:tr>
      <w:tr w:rsidR="00B24EAA" w:rsidTr="000E7727">
        <w:trPr>
          <w:cantSplit/>
          <w:trHeight w:val="20"/>
          <w:jc w:val="center"/>
        </w:trPr>
        <w:tc>
          <w:tcPr>
            <w:tcW w:w="2834" w:type="dxa"/>
            <w:tcBorders>
              <w:top w:val="nil"/>
              <w:left w:val="double" w:sz="4" w:space="0" w:color="auto"/>
              <w:bottom w:val="nil"/>
              <w:right w:val="single" w:sz="8" w:space="0" w:color="404040"/>
            </w:tcBorders>
            <w:hideMark/>
          </w:tcPr>
          <w:p w:rsidR="00B24EAA" w:rsidRDefault="00B24EAA" w:rsidP="000E7727">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rsidR="00B24EAA" w:rsidRPr="00007D7D" w:rsidRDefault="00B24EAA" w:rsidP="000E7727">
            <w:pPr>
              <w:tabs>
                <w:tab w:val="left" w:pos="307"/>
                <w:tab w:val="decimal" w:pos="881"/>
              </w:tabs>
              <w:spacing w:before="60" w:after="60"/>
              <w:ind w:right="567"/>
              <w:jc w:val="right"/>
              <w:rPr>
                <w:rFonts w:cs="Arial"/>
                <w:b/>
                <w:sz w:val="18"/>
                <w:lang w:val="es-ES" w:eastAsia="en-US"/>
              </w:rPr>
            </w:pPr>
            <w:r>
              <w:rPr>
                <w:rFonts w:cs="Arial"/>
                <w:b/>
                <w:sz w:val="18"/>
                <w:lang w:val="es-ES" w:eastAsia="en-US"/>
              </w:rPr>
              <w:t>(-)</w:t>
            </w:r>
            <w:r w:rsidRPr="00007D7D">
              <w:rPr>
                <w:rFonts w:cs="Arial"/>
                <w:b/>
                <w:sz w:val="18"/>
                <w:lang w:val="es-ES" w:eastAsia="en-US"/>
              </w:rPr>
              <w:t xml:space="preserve">  </w:t>
            </w:r>
            <w:r>
              <w:rPr>
                <w:rFonts w:cs="Arial"/>
                <w:b/>
                <w:sz w:val="18"/>
                <w:lang w:val="es-ES" w:eastAsia="en-US"/>
              </w:rPr>
              <w:t>1</w:t>
            </w:r>
            <w:r w:rsidRPr="00007D7D">
              <w:rPr>
                <w:rFonts w:cs="Arial"/>
                <w:b/>
                <w:sz w:val="18"/>
                <w:lang w:val="es-ES" w:eastAsia="en-US"/>
              </w:rPr>
              <w:t>.</w:t>
            </w:r>
            <w:r>
              <w:rPr>
                <w:rFonts w:cs="Arial"/>
                <w:b/>
                <w:sz w:val="18"/>
                <w:lang w:val="es-ES" w:eastAsia="en-US"/>
              </w:rPr>
              <w:t>8</w:t>
            </w:r>
          </w:p>
        </w:tc>
        <w:tc>
          <w:tcPr>
            <w:tcW w:w="1843" w:type="dxa"/>
            <w:tcBorders>
              <w:top w:val="nil"/>
              <w:left w:val="single" w:sz="8" w:space="0" w:color="404040"/>
              <w:bottom w:val="nil"/>
              <w:right w:val="double" w:sz="4" w:space="0" w:color="auto"/>
            </w:tcBorders>
            <w:hideMark/>
          </w:tcPr>
          <w:p w:rsidR="00B24EAA" w:rsidRPr="00007D7D" w:rsidRDefault="00B24EAA" w:rsidP="000E7727">
            <w:pPr>
              <w:tabs>
                <w:tab w:val="left" w:pos="307"/>
                <w:tab w:val="decimal" w:pos="881"/>
              </w:tabs>
              <w:spacing w:before="60" w:after="60"/>
              <w:ind w:right="624"/>
              <w:jc w:val="right"/>
              <w:rPr>
                <w:rFonts w:cs="Arial"/>
                <w:b/>
                <w:sz w:val="18"/>
                <w:lang w:val="es-ES" w:eastAsia="en-US"/>
              </w:rPr>
            </w:pPr>
            <w:r w:rsidRPr="00007D7D">
              <w:rPr>
                <w:rFonts w:cs="Arial"/>
                <w:b/>
                <w:sz w:val="18"/>
                <w:lang w:val="es-ES" w:eastAsia="en-US"/>
              </w:rPr>
              <w:t xml:space="preserve">  0</w:t>
            </w:r>
            <w:r>
              <w:rPr>
                <w:rFonts w:cs="Arial"/>
                <w:b/>
                <w:sz w:val="18"/>
                <w:lang w:val="es-ES" w:eastAsia="en-US"/>
              </w:rPr>
              <w:t>.7</w:t>
            </w:r>
            <w:r w:rsidRPr="00007D7D">
              <w:rPr>
                <w:rFonts w:cs="Arial"/>
                <w:b/>
                <w:sz w:val="18"/>
                <w:lang w:val="es-ES" w:eastAsia="en-US"/>
              </w:rPr>
              <w:t xml:space="preserve"> </w:t>
            </w:r>
          </w:p>
        </w:tc>
      </w:tr>
      <w:tr w:rsidR="00B24EAA" w:rsidTr="000E7727">
        <w:trPr>
          <w:cantSplit/>
          <w:trHeight w:val="20"/>
          <w:jc w:val="center"/>
        </w:trPr>
        <w:tc>
          <w:tcPr>
            <w:tcW w:w="2834" w:type="dxa"/>
            <w:tcBorders>
              <w:top w:val="nil"/>
              <w:left w:val="double" w:sz="4" w:space="0" w:color="auto"/>
              <w:bottom w:val="double" w:sz="4" w:space="0" w:color="404040"/>
              <w:right w:val="single" w:sz="8" w:space="0" w:color="404040"/>
            </w:tcBorders>
          </w:tcPr>
          <w:p w:rsidR="00B24EAA" w:rsidRDefault="00B24EAA" w:rsidP="000E7727">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rsidR="00B24EAA" w:rsidRPr="00007D7D" w:rsidRDefault="00B24EAA" w:rsidP="000E7727">
            <w:pPr>
              <w:tabs>
                <w:tab w:val="left" w:pos="307"/>
                <w:tab w:val="decimal" w:pos="881"/>
              </w:tabs>
              <w:ind w:right="567"/>
              <w:jc w:val="right"/>
              <w:rPr>
                <w:rFonts w:cs="Arial"/>
                <w:sz w:val="18"/>
                <w:lang w:val="es-ES"/>
              </w:rPr>
            </w:pPr>
            <w:r>
              <w:rPr>
                <w:rFonts w:cs="Arial"/>
                <w:sz w:val="18"/>
                <w:lang w:val="es-ES"/>
              </w:rPr>
              <w:t>(-)</w:t>
            </w:r>
            <w:r w:rsidRPr="00007D7D">
              <w:rPr>
                <w:rFonts w:cs="Arial"/>
                <w:sz w:val="18"/>
                <w:lang w:val="es-ES"/>
              </w:rPr>
              <w:t xml:space="preserve">  </w:t>
            </w:r>
            <w:r>
              <w:rPr>
                <w:rFonts w:cs="Arial"/>
                <w:sz w:val="18"/>
                <w:lang w:val="es-ES"/>
              </w:rPr>
              <w:t>1</w:t>
            </w:r>
            <w:r w:rsidRPr="00007D7D">
              <w:rPr>
                <w:rFonts w:cs="Arial"/>
                <w:sz w:val="18"/>
                <w:lang w:val="es-ES"/>
              </w:rPr>
              <w:t>.</w:t>
            </w:r>
            <w:r>
              <w:rPr>
                <w:rFonts w:cs="Arial"/>
                <w:sz w:val="18"/>
                <w:lang w:val="es-ES"/>
              </w:rPr>
              <w:t>8</w:t>
            </w:r>
          </w:p>
        </w:tc>
        <w:tc>
          <w:tcPr>
            <w:tcW w:w="1843" w:type="dxa"/>
            <w:tcBorders>
              <w:top w:val="nil"/>
              <w:left w:val="single" w:sz="8" w:space="0" w:color="404040"/>
              <w:bottom w:val="double" w:sz="4" w:space="0" w:color="404040"/>
              <w:right w:val="double" w:sz="4" w:space="0" w:color="auto"/>
            </w:tcBorders>
          </w:tcPr>
          <w:p w:rsidR="00B24EAA" w:rsidRPr="00007D7D" w:rsidRDefault="00B24EAA" w:rsidP="000E7727">
            <w:pPr>
              <w:tabs>
                <w:tab w:val="left" w:pos="307"/>
                <w:tab w:val="decimal" w:pos="881"/>
              </w:tabs>
              <w:ind w:right="624"/>
              <w:jc w:val="right"/>
              <w:rPr>
                <w:rFonts w:cs="Arial"/>
                <w:sz w:val="18"/>
                <w:lang w:val="es-ES"/>
              </w:rPr>
            </w:pPr>
            <w:r w:rsidRPr="00007D7D">
              <w:rPr>
                <w:rFonts w:cs="Arial"/>
                <w:sz w:val="18"/>
                <w:lang w:val="es-ES"/>
              </w:rPr>
              <w:t xml:space="preserve">  0</w:t>
            </w:r>
            <w:r>
              <w:rPr>
                <w:rFonts w:cs="Arial"/>
                <w:sz w:val="18"/>
                <w:lang w:val="es-ES"/>
              </w:rPr>
              <w:t>.7</w:t>
            </w:r>
          </w:p>
        </w:tc>
      </w:tr>
    </w:tbl>
    <w:p w:rsidR="00B24EAA" w:rsidRDefault="00B24EAA" w:rsidP="00B24EAA">
      <w:pPr>
        <w:pStyle w:val="p0"/>
        <w:spacing w:before="0"/>
        <w:ind w:left="1985" w:right="1438"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rsidR="00B24EAA" w:rsidRDefault="00B24EAA" w:rsidP="00B24EAA">
      <w:pPr>
        <w:widowControl/>
        <w:ind w:left="1276" w:right="1438"/>
        <w:jc w:val="left"/>
        <w:rPr>
          <w:b/>
          <w:i/>
        </w:rPr>
      </w:pPr>
      <w:r>
        <w:rPr>
          <w:sz w:val="16"/>
          <w:szCs w:val="16"/>
        </w:rPr>
        <w:t>Fuente:    INEGI.</w:t>
      </w:r>
    </w:p>
    <w:p w:rsidR="00B24EAA" w:rsidRPr="00C2318C" w:rsidRDefault="00B24EAA" w:rsidP="00B24EAA">
      <w:pPr>
        <w:pStyle w:val="bullet"/>
        <w:widowControl w:val="0"/>
        <w:tabs>
          <w:tab w:val="clear" w:pos="7939"/>
          <w:tab w:val="left" w:pos="7230"/>
        </w:tabs>
        <w:spacing w:before="0"/>
        <w:ind w:left="0" w:right="584" w:firstLine="0"/>
        <w:rPr>
          <w:b w:val="0"/>
          <w:sz w:val="24"/>
          <w:szCs w:val="24"/>
        </w:rPr>
      </w:pPr>
    </w:p>
    <w:p w:rsidR="00B24EAA" w:rsidRDefault="00B24EAA" w:rsidP="00B24EAA">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rsidR="00B24EAA" w:rsidRDefault="00B24EAA" w:rsidP="00B24EAA">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B24EAA" w:rsidRDefault="00B24EAA" w:rsidP="00B24EAA">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B24EAA" w:rsidRDefault="00B24EAA" w:rsidP="00B24EAA">
      <w:pPr>
        <w:pStyle w:val="p0"/>
        <w:rPr>
          <w:lang w:val="es-ES_tradnl"/>
        </w:rPr>
      </w:pPr>
    </w:p>
    <w:p w:rsidR="00B24EAA" w:rsidRDefault="00B24EAA" w:rsidP="00B24EAA">
      <w:pPr>
        <w:pStyle w:val="p0"/>
        <w:rPr>
          <w:lang w:val="es-ES_tradnl"/>
        </w:rPr>
      </w:pPr>
    </w:p>
    <w:p w:rsidR="00B24EAA" w:rsidRDefault="00B24EAA" w:rsidP="00B24EAA">
      <w:pPr>
        <w:pStyle w:val="p0"/>
        <w:rPr>
          <w:lang w:val="es-ES_tradnl"/>
        </w:rPr>
      </w:pPr>
    </w:p>
    <w:p w:rsidR="00B24EAA" w:rsidRDefault="00B24EAA" w:rsidP="00B24EAA">
      <w:pPr>
        <w:pStyle w:val="p0"/>
        <w:rPr>
          <w:lang w:val="es-ES_tradnl"/>
        </w:rPr>
      </w:pPr>
    </w:p>
    <w:p w:rsidR="00B24EAA" w:rsidRPr="00A457F9" w:rsidRDefault="00B24EAA" w:rsidP="00B24EAA">
      <w:pPr>
        <w:pStyle w:val="NormalWeb"/>
        <w:spacing w:before="0" w:beforeAutospacing="0" w:after="0" w:afterAutospacing="0"/>
        <w:ind w:left="-426" w:right="-518"/>
        <w:contextualSpacing/>
        <w:jc w:val="center"/>
        <w:rPr>
          <w:sz w:val="22"/>
          <w:szCs w:val="22"/>
        </w:rPr>
      </w:pPr>
      <w:r w:rsidRPr="00A457F9">
        <w:rPr>
          <w:sz w:val="22"/>
          <w:szCs w:val="22"/>
        </w:rPr>
        <w:t xml:space="preserve">Para consultas de medios y periodistas, contactar a: </w:t>
      </w:r>
      <w:hyperlink r:id="rId9" w:history="1">
        <w:r w:rsidRPr="00A457F9">
          <w:rPr>
            <w:rStyle w:val="Hipervnculo"/>
            <w:sz w:val="22"/>
            <w:szCs w:val="22"/>
          </w:rPr>
          <w:t>comunicacionsocial@inegi.org.mx</w:t>
        </w:r>
      </w:hyperlink>
      <w:r w:rsidRPr="00A457F9">
        <w:rPr>
          <w:sz w:val="22"/>
          <w:szCs w:val="22"/>
        </w:rPr>
        <w:t xml:space="preserve"> </w:t>
      </w:r>
    </w:p>
    <w:p w:rsidR="00B24EAA" w:rsidRPr="00A457F9" w:rsidRDefault="00B24EAA" w:rsidP="00B24EAA">
      <w:pPr>
        <w:pStyle w:val="NormalWeb"/>
        <w:spacing w:before="0" w:beforeAutospacing="0" w:after="0" w:afterAutospacing="0"/>
        <w:ind w:left="-426" w:right="-518"/>
        <w:contextualSpacing/>
        <w:jc w:val="center"/>
        <w:rPr>
          <w:sz w:val="22"/>
          <w:szCs w:val="22"/>
        </w:rPr>
      </w:pPr>
      <w:r w:rsidRPr="00A457F9">
        <w:rPr>
          <w:sz w:val="22"/>
          <w:szCs w:val="22"/>
        </w:rPr>
        <w:t xml:space="preserve">o llamar al teléfono (55) 52-78-10-00, </w:t>
      </w:r>
      <w:proofErr w:type="spellStart"/>
      <w:r w:rsidRPr="00A457F9">
        <w:rPr>
          <w:sz w:val="22"/>
          <w:szCs w:val="22"/>
        </w:rPr>
        <w:t>exts</w:t>
      </w:r>
      <w:proofErr w:type="spellEnd"/>
      <w:r w:rsidRPr="00A457F9">
        <w:rPr>
          <w:sz w:val="22"/>
          <w:szCs w:val="22"/>
        </w:rPr>
        <w:t>. 1134, 1260 y 1241.</w:t>
      </w:r>
    </w:p>
    <w:p w:rsidR="00B24EAA" w:rsidRPr="00A457F9" w:rsidRDefault="00B24EAA" w:rsidP="00B24EAA">
      <w:pPr>
        <w:ind w:left="-426" w:right="-518"/>
        <w:contextualSpacing/>
        <w:jc w:val="center"/>
        <w:rPr>
          <w:rFonts w:cs="Arial"/>
          <w:sz w:val="22"/>
          <w:szCs w:val="22"/>
        </w:rPr>
      </w:pPr>
    </w:p>
    <w:p w:rsidR="00B24EAA" w:rsidRPr="00A457F9" w:rsidRDefault="00B24EAA" w:rsidP="00B24EAA">
      <w:pPr>
        <w:ind w:left="-426" w:right="-518"/>
        <w:contextualSpacing/>
        <w:jc w:val="center"/>
        <w:rPr>
          <w:rFonts w:cs="Arial"/>
          <w:sz w:val="22"/>
          <w:szCs w:val="22"/>
        </w:rPr>
      </w:pPr>
      <w:r w:rsidRPr="00A457F9">
        <w:rPr>
          <w:rFonts w:cs="Arial"/>
          <w:sz w:val="22"/>
          <w:szCs w:val="22"/>
        </w:rPr>
        <w:t xml:space="preserve">Dirección de Atención a Medios / Dirección General Adjunta de Comunicación </w:t>
      </w:r>
    </w:p>
    <w:p w:rsidR="00B24EAA" w:rsidRPr="00345068" w:rsidRDefault="00B24EAA" w:rsidP="00B24EAA">
      <w:pPr>
        <w:ind w:left="-426" w:right="-518"/>
        <w:contextualSpacing/>
        <w:jc w:val="center"/>
        <w:rPr>
          <w:sz w:val="22"/>
          <w:szCs w:val="22"/>
        </w:rPr>
      </w:pPr>
    </w:p>
    <w:p w:rsidR="00B24EAA" w:rsidRDefault="00B24EAA" w:rsidP="00B24EAA">
      <w:pPr>
        <w:ind w:left="-425" w:right="-516"/>
        <w:contextualSpacing/>
        <w:jc w:val="center"/>
      </w:pPr>
      <w:r w:rsidRPr="00FF1218">
        <w:rPr>
          <w:noProof/>
          <w:lang w:eastAsia="es-MX"/>
        </w:rPr>
        <w:drawing>
          <wp:inline distT="0" distB="0" distL="0" distR="0" wp14:anchorId="18CA45E1" wp14:editId="22E77A91">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555DE80" wp14:editId="6A459576">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A83BC38" wp14:editId="7AD8567B">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87A97FB" wp14:editId="72255637">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1D697A9D" wp14:editId="72918B9C">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B24EAA" w:rsidRPr="00157C43" w:rsidRDefault="00B24EAA" w:rsidP="00B24EAA">
      <w:pPr>
        <w:pStyle w:val="bullet"/>
        <w:tabs>
          <w:tab w:val="left" w:pos="8789"/>
        </w:tabs>
        <w:spacing w:before="0"/>
        <w:ind w:left="0" w:right="51" w:firstLine="0"/>
        <w:jc w:val="center"/>
        <w:rPr>
          <w:rFonts w:cs="Arial"/>
          <w:szCs w:val="24"/>
        </w:rPr>
        <w:sectPr w:rsidR="00B24EAA"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rsidR="00B24EAA" w:rsidRDefault="00B24EAA" w:rsidP="00AB6352">
      <w:pPr>
        <w:pStyle w:val="Textoindependiente"/>
        <w:spacing w:before="100" w:beforeAutospacing="1" w:after="100" w:afterAutospacing="1"/>
        <w:ind w:left="-284" w:right="335"/>
        <w:contextualSpacing/>
        <w:rPr>
          <w:sz w:val="28"/>
          <w:szCs w:val="28"/>
        </w:rPr>
      </w:pPr>
      <w:r w:rsidRPr="002C6894">
        <w:rPr>
          <w:sz w:val="28"/>
          <w:szCs w:val="28"/>
        </w:rPr>
        <w:lastRenderedPageBreak/>
        <w:t xml:space="preserve">      </w:t>
      </w:r>
      <w:r w:rsidRPr="001A2104">
        <w:rPr>
          <w:sz w:val="28"/>
          <w:szCs w:val="28"/>
        </w:rPr>
        <w:t>nota técnica</w:t>
      </w:r>
    </w:p>
    <w:p w:rsidR="00B24EAA" w:rsidRPr="00B24EAA" w:rsidRDefault="00B24EAA" w:rsidP="00B24EAA">
      <w:pPr>
        <w:pStyle w:val="Textoindependiente"/>
        <w:spacing w:before="100" w:beforeAutospacing="1" w:after="100" w:afterAutospacing="1"/>
        <w:ind w:left="-284" w:right="335"/>
        <w:contextualSpacing/>
        <w:rPr>
          <w:sz w:val="16"/>
          <w:szCs w:val="16"/>
        </w:rPr>
      </w:pPr>
    </w:p>
    <w:p w:rsidR="00607F23" w:rsidRPr="00AB6352" w:rsidRDefault="00607F23" w:rsidP="00607F23">
      <w:pPr>
        <w:pStyle w:val="Textoindependiente"/>
        <w:spacing w:before="120"/>
        <w:rPr>
          <w:sz w:val="28"/>
          <w:szCs w:val="28"/>
        </w:rPr>
      </w:pPr>
      <w:r w:rsidRPr="00AB6352">
        <w:rPr>
          <w:sz w:val="28"/>
          <w:szCs w:val="28"/>
        </w:rPr>
        <w:t>INDICADOR MENSUAL DEL CONSUMO</w:t>
      </w:r>
    </w:p>
    <w:p w:rsidR="00607F23" w:rsidRPr="00AB6352" w:rsidRDefault="00607F23" w:rsidP="00607F23">
      <w:pPr>
        <w:pStyle w:val="Textoindependiente"/>
        <w:tabs>
          <w:tab w:val="center" w:pos="4420"/>
          <w:tab w:val="left" w:pos="8099"/>
        </w:tabs>
        <w:rPr>
          <w:sz w:val="28"/>
          <w:szCs w:val="28"/>
        </w:rPr>
      </w:pPr>
      <w:r w:rsidRPr="00AB6352">
        <w:rPr>
          <w:sz w:val="28"/>
          <w:szCs w:val="28"/>
        </w:rPr>
        <w:t>PRIVADO EN EL MERCADO INTERIOr</w:t>
      </w:r>
      <w:r w:rsidRPr="00AB6352">
        <w:rPr>
          <w:sz w:val="28"/>
          <w:szCs w:val="28"/>
          <w:vertAlign w:val="superscript"/>
        </w:rPr>
        <w:footnoteReference w:id="5"/>
      </w:r>
    </w:p>
    <w:p w:rsidR="00607F23" w:rsidRPr="00AB6352" w:rsidRDefault="00607F23" w:rsidP="00607F23">
      <w:pPr>
        <w:pStyle w:val="Textoindependiente"/>
        <w:rPr>
          <w:b w:val="0"/>
          <w:sz w:val="28"/>
          <w:szCs w:val="28"/>
        </w:rPr>
      </w:pPr>
      <w:r w:rsidRPr="00AB6352">
        <w:rPr>
          <w:sz w:val="28"/>
          <w:szCs w:val="28"/>
        </w:rPr>
        <w:t xml:space="preserve">DURANTE </w:t>
      </w:r>
      <w:r w:rsidR="00A83053" w:rsidRPr="00AB6352">
        <w:rPr>
          <w:sz w:val="28"/>
          <w:szCs w:val="28"/>
        </w:rPr>
        <w:t>M</w:t>
      </w:r>
      <w:r w:rsidR="005572C5" w:rsidRPr="00AB6352">
        <w:rPr>
          <w:sz w:val="28"/>
          <w:szCs w:val="28"/>
        </w:rPr>
        <w:t>A</w:t>
      </w:r>
      <w:r w:rsidR="00A83053" w:rsidRPr="00AB6352">
        <w:rPr>
          <w:sz w:val="28"/>
          <w:szCs w:val="28"/>
        </w:rPr>
        <w:t>YO</w:t>
      </w:r>
      <w:r w:rsidRPr="00AB6352">
        <w:rPr>
          <w:sz w:val="28"/>
          <w:szCs w:val="28"/>
        </w:rPr>
        <w:t xml:space="preserve"> DE 201</w:t>
      </w:r>
      <w:r w:rsidR="00FC634B" w:rsidRPr="00AB6352">
        <w:rPr>
          <w:sz w:val="28"/>
          <w:szCs w:val="28"/>
        </w:rPr>
        <w:t>9</w:t>
      </w:r>
    </w:p>
    <w:p w:rsidR="00607F23" w:rsidRDefault="00607F23" w:rsidP="00607F23">
      <w:pPr>
        <w:jc w:val="center"/>
        <w:rPr>
          <w:b/>
          <w:spacing w:val="25"/>
          <w:sz w:val="28"/>
        </w:rPr>
      </w:pPr>
      <w:r>
        <w:rPr>
          <w:b/>
          <w:i/>
          <w:spacing w:val="25"/>
        </w:rPr>
        <w:t>(Cifras desestacionalizadas)</w:t>
      </w:r>
    </w:p>
    <w:p w:rsidR="00140D9C" w:rsidRDefault="00140D9C" w:rsidP="00140D9C">
      <w:pPr>
        <w:pStyle w:val="Ttulo4"/>
        <w:keepNext w:val="0"/>
        <w:spacing w:before="240"/>
        <w:rPr>
          <w:u w:val="none"/>
        </w:rPr>
      </w:pPr>
      <w:r>
        <w:rPr>
          <w:u w:val="none"/>
        </w:rPr>
        <w:t>Principales Resultados</w:t>
      </w:r>
    </w:p>
    <w:p w:rsidR="004C2706" w:rsidRDefault="004C2706" w:rsidP="004C2706">
      <w:pPr>
        <w:spacing w:before="480"/>
      </w:pPr>
      <w:r>
        <w:t xml:space="preserve">Con base en cifras desestacionalizadas, el Indicador Mensual del Consumo Privado en el Mercado Interior (IMCPMI) </w:t>
      </w:r>
      <w:r w:rsidR="00E52F7B">
        <w:t>disminuy</w:t>
      </w:r>
      <w:r w:rsidR="00556CBA">
        <w:t>ó</w:t>
      </w:r>
      <w:r>
        <w:t xml:space="preserve"> </w:t>
      </w:r>
      <w:r w:rsidR="00E52F7B">
        <w:t>(-)0.2</w:t>
      </w:r>
      <w:r w:rsidR="00A56E6C">
        <w:t>%</w:t>
      </w:r>
      <w:r>
        <w:t xml:space="preserve"> durante </w:t>
      </w:r>
      <w:r w:rsidR="00A83053">
        <w:t>m</w:t>
      </w:r>
      <w:r w:rsidR="005572C5">
        <w:t>a</w:t>
      </w:r>
      <w:r w:rsidR="00A83053">
        <w:t>yo</w:t>
      </w:r>
      <w:r>
        <w:t xml:space="preserve"> de 201</w:t>
      </w:r>
      <w:r w:rsidR="00B852F0">
        <w:t>9</w:t>
      </w:r>
      <w:r>
        <w:t xml:space="preserve"> con relación al nivel del mes inmediato anterior</w:t>
      </w:r>
      <w:r w:rsidR="005E6FAD">
        <w:t>.</w:t>
      </w:r>
      <w:r>
        <w:t xml:space="preserve">  </w:t>
      </w:r>
    </w:p>
    <w:p w:rsidR="002A1950" w:rsidRDefault="002A1950" w:rsidP="002A1950">
      <w:pPr>
        <w:widowControl/>
        <w:jc w:val="center"/>
        <w:rPr>
          <w:rFonts w:cs="Arial"/>
          <w:sz w:val="20"/>
          <w:szCs w:val="22"/>
        </w:rPr>
      </w:pPr>
    </w:p>
    <w:p w:rsidR="00B920A0" w:rsidRDefault="00B920A0" w:rsidP="002A1950">
      <w:pPr>
        <w:widowControl/>
        <w:jc w:val="center"/>
        <w:rPr>
          <w:rFonts w:cs="Arial"/>
          <w:sz w:val="20"/>
          <w:szCs w:val="22"/>
        </w:rPr>
      </w:pPr>
      <w:r>
        <w:rPr>
          <w:rFonts w:cs="Arial"/>
          <w:sz w:val="20"/>
          <w:szCs w:val="22"/>
        </w:rPr>
        <w:t>Gráfica</w:t>
      </w:r>
      <w:r w:rsidRPr="009A37CD">
        <w:rPr>
          <w:rFonts w:cs="Arial"/>
          <w:sz w:val="20"/>
          <w:szCs w:val="22"/>
        </w:rPr>
        <w:t xml:space="preserve"> 1</w:t>
      </w:r>
    </w:p>
    <w:p w:rsidR="00140D9C" w:rsidRDefault="00140D9C" w:rsidP="00B920A0">
      <w:pPr>
        <w:jc w:val="center"/>
        <w:outlineLvl w:val="3"/>
        <w:rPr>
          <w:rFonts w:cs="Arial"/>
          <w:b/>
          <w:smallCaps/>
          <w:sz w:val="22"/>
        </w:rPr>
      </w:pPr>
      <w:r>
        <w:rPr>
          <w:rFonts w:cs="Arial"/>
          <w:b/>
          <w:smallCaps/>
          <w:sz w:val="22"/>
        </w:rPr>
        <w:t xml:space="preserve">Indicador Mensual del Consumo Privado </w:t>
      </w:r>
    </w:p>
    <w:p w:rsidR="00140D9C" w:rsidRDefault="00140D9C" w:rsidP="00140D9C">
      <w:pPr>
        <w:jc w:val="center"/>
        <w:outlineLvl w:val="3"/>
        <w:rPr>
          <w:rFonts w:cs="Arial"/>
          <w:b/>
          <w:smallCaps/>
          <w:sz w:val="22"/>
        </w:rPr>
      </w:pPr>
      <w:r>
        <w:rPr>
          <w:rFonts w:cs="Arial"/>
          <w:b/>
          <w:smallCaps/>
          <w:sz w:val="22"/>
        </w:rPr>
        <w:t>en el Mercado Interior a</w:t>
      </w:r>
      <w:r w:rsidR="004C2706">
        <w:rPr>
          <w:rFonts w:cs="Arial"/>
          <w:b/>
          <w:smallCaps/>
          <w:sz w:val="22"/>
        </w:rPr>
        <w:t xml:space="preserve"> </w:t>
      </w:r>
      <w:r w:rsidR="005D668A">
        <w:rPr>
          <w:rFonts w:cs="Arial"/>
          <w:b/>
          <w:smallCaps/>
          <w:sz w:val="22"/>
        </w:rPr>
        <w:t>m</w:t>
      </w:r>
      <w:r w:rsidR="005572C5">
        <w:rPr>
          <w:rFonts w:cs="Arial"/>
          <w:b/>
          <w:smallCaps/>
          <w:sz w:val="22"/>
        </w:rPr>
        <w:t>a</w:t>
      </w:r>
      <w:r w:rsidR="005D668A">
        <w:rPr>
          <w:rFonts w:cs="Arial"/>
          <w:b/>
          <w:smallCaps/>
          <w:sz w:val="22"/>
        </w:rPr>
        <w:t>yo</w:t>
      </w:r>
      <w:r w:rsidRPr="004C2706">
        <w:rPr>
          <w:rFonts w:cs="Arial"/>
          <w:b/>
          <w:smallCaps/>
          <w:sz w:val="20"/>
        </w:rPr>
        <w:t xml:space="preserve"> </w:t>
      </w:r>
      <w:r>
        <w:rPr>
          <w:rFonts w:cs="Arial"/>
          <w:b/>
          <w:smallCaps/>
          <w:sz w:val="22"/>
        </w:rPr>
        <w:t>de 201</w:t>
      </w:r>
      <w:r w:rsidR="00B852F0">
        <w:rPr>
          <w:rFonts w:cs="Arial"/>
          <w:b/>
          <w:smallCaps/>
          <w:sz w:val="22"/>
        </w:rPr>
        <w:t>9</w:t>
      </w:r>
    </w:p>
    <w:p w:rsidR="00140D9C" w:rsidRDefault="00140D9C" w:rsidP="00140D9C">
      <w:pPr>
        <w:jc w:val="center"/>
        <w:outlineLvl w:val="3"/>
        <w:rPr>
          <w:rFonts w:cs="Arial"/>
          <w:b/>
          <w:smallCaps/>
          <w:sz w:val="22"/>
        </w:rPr>
      </w:pPr>
      <w:r>
        <w:rPr>
          <w:rFonts w:cs="Arial"/>
          <w:b/>
          <w:smallCaps/>
          <w:sz w:val="22"/>
        </w:rPr>
        <w:t>Series desestacionalizada y de tendencia-ciclo</w:t>
      </w:r>
    </w:p>
    <w:p w:rsidR="00140D9C" w:rsidRDefault="00140D9C" w:rsidP="00140D9C">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rsidR="00140D9C" w:rsidRDefault="00F90750" w:rsidP="00140D9C">
      <w:pPr>
        <w:jc w:val="center"/>
        <w:outlineLvl w:val="3"/>
        <w:rPr>
          <w:rFonts w:cs="Arial"/>
          <w:sz w:val="18"/>
          <w:szCs w:val="18"/>
        </w:rPr>
      </w:pPr>
      <w:r>
        <w:rPr>
          <w:noProof/>
          <w:lang w:eastAsia="es-MX"/>
        </w:rPr>
        <w:drawing>
          <wp:inline distT="0" distB="0" distL="0" distR="0" wp14:anchorId="5E244C57" wp14:editId="0D54CBF6">
            <wp:extent cx="4320000" cy="2526212"/>
            <wp:effectExtent l="0" t="0" r="23495" b="266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40D9C" w:rsidRDefault="00140D9C" w:rsidP="00381696">
      <w:pPr>
        <w:ind w:left="708" w:firstLine="708"/>
      </w:pPr>
      <w:r>
        <w:rPr>
          <w:rFonts w:cs="Arial"/>
          <w:sz w:val="16"/>
        </w:rPr>
        <w:t>Fuente: INEGI.</w:t>
      </w:r>
    </w:p>
    <w:p w:rsidR="00CB0DA0" w:rsidRDefault="00CB0DA0" w:rsidP="002C3239">
      <w:pPr>
        <w:spacing w:before="240"/>
        <w:outlineLvl w:val="3"/>
      </w:pPr>
    </w:p>
    <w:p w:rsidR="002C3239" w:rsidRDefault="002C3239" w:rsidP="00CB0DA0">
      <w:pPr>
        <w:outlineLvl w:val="3"/>
      </w:pPr>
      <w:r>
        <w:t xml:space="preserve">Por componentes, el consumo </w:t>
      </w:r>
      <w:r w:rsidR="00A35F7A">
        <w:t xml:space="preserve">en </w:t>
      </w:r>
      <w:r w:rsidR="008F43A6">
        <w:t xml:space="preserve">Bienes de origen importado </w:t>
      </w:r>
      <w:r w:rsidR="00FC07FE">
        <w:t>c</w:t>
      </w:r>
      <w:r w:rsidR="00E52F7B">
        <w:t>ay</w:t>
      </w:r>
      <w:r w:rsidR="00FC07FE">
        <w:t>ó</w:t>
      </w:r>
      <w:r w:rsidR="00B172DF">
        <w:t xml:space="preserve"> </w:t>
      </w:r>
      <w:r w:rsidR="00E52F7B">
        <w:t>(-)1.8</w:t>
      </w:r>
      <w:r w:rsidR="000E6B69">
        <w:t xml:space="preserve">% </w:t>
      </w:r>
      <w:r w:rsidR="00A35F7A">
        <w:t xml:space="preserve">y en </w:t>
      </w:r>
      <w:r w:rsidR="008F43A6">
        <w:t xml:space="preserve">Bienes y Servicios de origen nacional </w:t>
      </w:r>
      <w:r w:rsidR="00913CE7">
        <w:t>creci</w:t>
      </w:r>
      <w:r w:rsidR="00B172DF">
        <w:t>ó</w:t>
      </w:r>
      <w:r w:rsidR="00CB0DA0">
        <w:t xml:space="preserve"> </w:t>
      </w:r>
      <w:r w:rsidR="00E52F7B">
        <w:t>0.1</w:t>
      </w:r>
      <w:r w:rsidR="000E6B69">
        <w:t xml:space="preserve">% </w:t>
      </w:r>
      <w:r w:rsidR="00462EE0">
        <w:t xml:space="preserve">en </w:t>
      </w:r>
      <w:r w:rsidR="006A62D8">
        <w:t>m</w:t>
      </w:r>
      <w:r w:rsidR="005572C5">
        <w:t>a</w:t>
      </w:r>
      <w:r w:rsidR="006A62D8">
        <w:t>yo</w:t>
      </w:r>
      <w:r>
        <w:t xml:space="preserve"> </w:t>
      </w:r>
      <w:r w:rsidR="00E72BF2">
        <w:t>de</w:t>
      </w:r>
      <w:r w:rsidR="00F4780F">
        <w:t>l</w:t>
      </w:r>
      <w:r>
        <w:t xml:space="preserve"> </w:t>
      </w:r>
      <w:r w:rsidR="00393B44">
        <w:t xml:space="preserve">presente </w:t>
      </w:r>
      <w:r>
        <w:t xml:space="preserve">año </w:t>
      </w:r>
      <w:r w:rsidR="00137231">
        <w:t>frente</w:t>
      </w:r>
      <w:r>
        <w:t xml:space="preserve"> al mes </w:t>
      </w:r>
      <w:r w:rsidR="00B80E2D">
        <w:t>previo</w:t>
      </w:r>
      <w:r>
        <w:t>, según datos ajustados por estacionalidad.</w:t>
      </w:r>
    </w:p>
    <w:p w:rsidR="004C2706" w:rsidRDefault="004C2706" w:rsidP="004C2706">
      <w:pPr>
        <w:pStyle w:val="p0"/>
        <w:spacing w:before="0"/>
        <w:jc w:val="center"/>
        <w:rPr>
          <w:rFonts w:cs="Arial"/>
          <w:color w:val="auto"/>
          <w:sz w:val="20"/>
          <w:szCs w:val="22"/>
        </w:rPr>
      </w:pPr>
    </w:p>
    <w:p w:rsidR="0057663D" w:rsidRDefault="0057663D">
      <w:pPr>
        <w:widowControl/>
        <w:jc w:val="left"/>
        <w:rPr>
          <w:rFonts w:cs="Arial"/>
          <w:sz w:val="20"/>
          <w:szCs w:val="22"/>
        </w:rPr>
      </w:pPr>
      <w:r>
        <w:rPr>
          <w:rFonts w:cs="Arial"/>
          <w:sz w:val="20"/>
          <w:szCs w:val="22"/>
        </w:rPr>
        <w:br w:type="page"/>
      </w:r>
    </w:p>
    <w:p w:rsidR="008B3946" w:rsidRDefault="004C2706" w:rsidP="008B3946">
      <w:pPr>
        <w:pStyle w:val="p0"/>
        <w:spacing w:before="0"/>
        <w:jc w:val="center"/>
        <w:rPr>
          <w:rFonts w:cs="Arial"/>
          <w:color w:val="auto"/>
          <w:sz w:val="20"/>
          <w:szCs w:val="22"/>
        </w:rPr>
      </w:pPr>
      <w:r w:rsidRPr="00B920A0">
        <w:rPr>
          <w:rFonts w:cs="Arial"/>
          <w:color w:val="auto"/>
          <w:sz w:val="20"/>
          <w:szCs w:val="22"/>
        </w:rPr>
        <w:lastRenderedPageBreak/>
        <w:t xml:space="preserve">Gráfica </w:t>
      </w:r>
      <w:r>
        <w:rPr>
          <w:rFonts w:cs="Arial"/>
          <w:color w:val="auto"/>
          <w:sz w:val="20"/>
          <w:szCs w:val="22"/>
        </w:rPr>
        <w:t>2</w:t>
      </w:r>
    </w:p>
    <w:p w:rsidR="00BF5BAD" w:rsidRPr="00376D7C" w:rsidRDefault="00BF5BAD" w:rsidP="00BF5BAD">
      <w:pPr>
        <w:pStyle w:val="p0"/>
        <w:spacing w:before="0"/>
        <w:jc w:val="center"/>
        <w:rPr>
          <w:rFonts w:cs="Arial"/>
          <w:b/>
          <w:smallCaps/>
          <w:color w:val="000000"/>
          <w:sz w:val="22"/>
        </w:rPr>
      </w:pPr>
      <w:r w:rsidRPr="00376D7C">
        <w:rPr>
          <w:rFonts w:cs="Arial"/>
          <w:b/>
          <w:smallCaps/>
          <w:color w:val="000000"/>
          <w:sz w:val="22"/>
        </w:rPr>
        <w:t xml:space="preserve">Consumo en bienes de origen importado a </w:t>
      </w:r>
      <w:r w:rsidR="006A62D8">
        <w:rPr>
          <w:rFonts w:cs="Arial"/>
          <w:b/>
          <w:smallCaps/>
          <w:color w:val="000000"/>
          <w:sz w:val="22"/>
        </w:rPr>
        <w:t>m</w:t>
      </w:r>
      <w:r w:rsidR="005572C5">
        <w:rPr>
          <w:rFonts w:cs="Arial"/>
          <w:b/>
          <w:smallCaps/>
          <w:color w:val="000000"/>
          <w:sz w:val="22"/>
        </w:rPr>
        <w:t>a</w:t>
      </w:r>
      <w:r w:rsidR="006A62D8">
        <w:rPr>
          <w:rFonts w:cs="Arial"/>
          <w:b/>
          <w:smallCaps/>
          <w:color w:val="000000"/>
          <w:sz w:val="22"/>
        </w:rPr>
        <w:t>yo</w:t>
      </w:r>
      <w:r w:rsidRPr="00376D7C">
        <w:rPr>
          <w:rFonts w:cs="Arial"/>
          <w:b/>
          <w:smallCaps/>
          <w:color w:val="000000"/>
          <w:sz w:val="22"/>
        </w:rPr>
        <w:t xml:space="preserve"> de 201</w:t>
      </w:r>
      <w:r w:rsidR="00B852F0">
        <w:rPr>
          <w:rFonts w:cs="Arial"/>
          <w:b/>
          <w:smallCaps/>
          <w:color w:val="000000"/>
          <w:sz w:val="22"/>
        </w:rPr>
        <w:t>9</w:t>
      </w:r>
    </w:p>
    <w:p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rsidR="001A032F" w:rsidRDefault="001A032F" w:rsidP="001A032F">
      <w:pPr>
        <w:jc w:val="center"/>
        <w:rPr>
          <w:rFonts w:cs="Arial"/>
          <w:sz w:val="18"/>
          <w:szCs w:val="18"/>
        </w:rPr>
      </w:pPr>
      <w:r>
        <w:rPr>
          <w:rFonts w:cs="Arial"/>
          <w:sz w:val="18"/>
          <w:szCs w:val="18"/>
        </w:rPr>
        <w:t xml:space="preserve">(Índice base 2013=100) </w:t>
      </w:r>
    </w:p>
    <w:p w:rsidR="001A032F" w:rsidRDefault="008F1F01" w:rsidP="001A032F">
      <w:pPr>
        <w:jc w:val="center"/>
        <w:rPr>
          <w:rFonts w:cs="Arial"/>
          <w:sz w:val="18"/>
          <w:szCs w:val="18"/>
        </w:rPr>
      </w:pPr>
      <w:r>
        <w:rPr>
          <w:noProof/>
          <w:lang w:eastAsia="es-MX"/>
        </w:rPr>
        <w:drawing>
          <wp:inline distT="0" distB="0" distL="0" distR="0" wp14:anchorId="649B151A" wp14:editId="17243BA8">
            <wp:extent cx="4320000" cy="2520000"/>
            <wp:effectExtent l="0" t="0" r="23495" b="13970"/>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rsidR="001A032F" w:rsidRDefault="001A032F" w:rsidP="004C2706">
      <w:pPr>
        <w:pStyle w:val="p0"/>
        <w:spacing w:before="0"/>
        <w:jc w:val="center"/>
        <w:rPr>
          <w:rFonts w:cs="Arial"/>
          <w:color w:val="auto"/>
          <w:sz w:val="20"/>
          <w:szCs w:val="22"/>
        </w:rPr>
      </w:pPr>
    </w:p>
    <w:p w:rsidR="00C07487" w:rsidRDefault="00C07487" w:rsidP="004C2706">
      <w:pPr>
        <w:pStyle w:val="p0"/>
        <w:spacing w:before="0"/>
        <w:jc w:val="center"/>
        <w:rPr>
          <w:rFonts w:cs="Arial"/>
          <w:color w:val="auto"/>
          <w:sz w:val="20"/>
          <w:szCs w:val="22"/>
        </w:rPr>
      </w:pPr>
    </w:p>
    <w:p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rsidR="00BF5BAD" w:rsidRDefault="00BF5BAD" w:rsidP="00BF5BAD">
      <w:pPr>
        <w:pStyle w:val="p0"/>
        <w:spacing w:before="0"/>
        <w:jc w:val="center"/>
        <w:rPr>
          <w:rFonts w:cs="Arial"/>
          <w:b/>
          <w:smallCaps/>
          <w:color w:val="000000"/>
          <w:sz w:val="22"/>
        </w:rPr>
      </w:pPr>
      <w:r>
        <w:rPr>
          <w:rFonts w:cs="Arial"/>
          <w:b/>
          <w:smallCaps/>
          <w:color w:val="000000"/>
          <w:sz w:val="22"/>
        </w:rPr>
        <w:t xml:space="preserve">Consumo en bienes y servicios de origen nacional a </w:t>
      </w:r>
      <w:r w:rsidR="006A62D8">
        <w:rPr>
          <w:rFonts w:cs="Arial"/>
          <w:b/>
          <w:smallCaps/>
          <w:color w:val="000000"/>
          <w:sz w:val="22"/>
        </w:rPr>
        <w:t>m</w:t>
      </w:r>
      <w:r w:rsidR="005572C5">
        <w:rPr>
          <w:rFonts w:cs="Arial"/>
          <w:b/>
          <w:smallCaps/>
          <w:color w:val="000000"/>
          <w:sz w:val="22"/>
        </w:rPr>
        <w:t>a</w:t>
      </w:r>
      <w:r w:rsidR="006A62D8">
        <w:rPr>
          <w:rFonts w:cs="Arial"/>
          <w:b/>
          <w:smallCaps/>
          <w:color w:val="000000"/>
          <w:sz w:val="22"/>
        </w:rPr>
        <w:t>yo</w:t>
      </w:r>
      <w:r>
        <w:rPr>
          <w:rFonts w:cs="Arial"/>
          <w:b/>
          <w:smallCaps/>
          <w:color w:val="000000"/>
          <w:sz w:val="22"/>
        </w:rPr>
        <w:t xml:space="preserve"> de 201</w:t>
      </w:r>
      <w:r w:rsidR="00B852F0">
        <w:rPr>
          <w:rFonts w:cs="Arial"/>
          <w:b/>
          <w:smallCaps/>
          <w:color w:val="000000"/>
          <w:sz w:val="22"/>
        </w:rPr>
        <w:t>9</w:t>
      </w:r>
      <w:r>
        <w:rPr>
          <w:rFonts w:cs="Arial"/>
          <w:b/>
          <w:smallCaps/>
          <w:color w:val="000000"/>
          <w:sz w:val="22"/>
        </w:rPr>
        <w:t xml:space="preserve"> </w:t>
      </w:r>
    </w:p>
    <w:p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rsidR="001A032F" w:rsidRDefault="001A032F" w:rsidP="001A032F">
      <w:pPr>
        <w:jc w:val="center"/>
        <w:rPr>
          <w:rFonts w:cs="Arial"/>
          <w:sz w:val="18"/>
          <w:szCs w:val="18"/>
        </w:rPr>
      </w:pPr>
      <w:r>
        <w:rPr>
          <w:rFonts w:cs="Arial"/>
          <w:sz w:val="18"/>
          <w:szCs w:val="18"/>
        </w:rPr>
        <w:t>(Índice base 2013=100)</w:t>
      </w:r>
    </w:p>
    <w:p w:rsidR="001A032F" w:rsidRDefault="00F90750" w:rsidP="001A032F">
      <w:pPr>
        <w:jc w:val="center"/>
        <w:rPr>
          <w:rFonts w:cs="Arial"/>
          <w:sz w:val="18"/>
          <w:szCs w:val="18"/>
        </w:rPr>
      </w:pPr>
      <w:r>
        <w:rPr>
          <w:noProof/>
          <w:lang w:eastAsia="es-MX"/>
        </w:rPr>
        <w:drawing>
          <wp:inline distT="0" distB="0" distL="0" distR="0" wp14:anchorId="2A02BE2C" wp14:editId="5DCC8B72">
            <wp:extent cx="4320000" cy="2527200"/>
            <wp:effectExtent l="0" t="0" r="23495" b="2603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rsidR="00D0777B" w:rsidRDefault="00D0777B">
      <w:pPr>
        <w:widowControl/>
        <w:jc w:val="left"/>
        <w:rPr>
          <w:rFonts w:cs="Arial"/>
          <w:sz w:val="18"/>
          <w:szCs w:val="18"/>
        </w:rPr>
      </w:pPr>
      <w:r>
        <w:rPr>
          <w:rFonts w:cs="Arial"/>
          <w:sz w:val="18"/>
          <w:szCs w:val="18"/>
        </w:rPr>
        <w:br w:type="page"/>
      </w:r>
    </w:p>
    <w:p w:rsidR="00D0777B" w:rsidRPr="0044281B" w:rsidRDefault="00D0777B" w:rsidP="00D0777B">
      <w:pPr>
        <w:rPr>
          <w:rFonts w:cs="Arial"/>
          <w:sz w:val="18"/>
          <w:szCs w:val="18"/>
        </w:rPr>
      </w:pPr>
    </w:p>
    <w:p w:rsidR="00140D9C" w:rsidRDefault="00140D9C" w:rsidP="00140D9C">
      <w:pPr>
        <w:pStyle w:val="Ttulo4"/>
        <w:keepNext w:val="0"/>
        <w:spacing w:before="360"/>
        <w:rPr>
          <w:u w:val="none"/>
        </w:rPr>
      </w:pPr>
      <w:r>
        <w:rPr>
          <w:u w:val="none"/>
        </w:rPr>
        <w:t xml:space="preserve">Cifras originales </w:t>
      </w:r>
    </w:p>
    <w:p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140D9C">
        <w:rPr>
          <w:rFonts w:cs="Arial"/>
          <w:b/>
          <w:smallCaps/>
          <w:color w:val="auto"/>
          <w:sz w:val="22"/>
          <w:szCs w:val="22"/>
        </w:rPr>
        <w:t xml:space="preserve"> </w:t>
      </w:r>
      <w:proofErr w:type="spellStart"/>
      <w:r w:rsidR="006A62D8">
        <w:rPr>
          <w:rFonts w:cs="Arial"/>
          <w:b/>
          <w:smallCaps/>
          <w:color w:val="auto"/>
          <w:sz w:val="22"/>
          <w:szCs w:val="22"/>
        </w:rPr>
        <w:t>mayo</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201</w:t>
      </w:r>
      <w:r w:rsidR="00B852F0">
        <w:rPr>
          <w:rFonts w:cs="Arial"/>
          <w:b/>
          <w:smallCaps/>
          <w:color w:val="auto"/>
          <w:sz w:val="22"/>
          <w:szCs w:val="22"/>
        </w:rPr>
        <w:t>9</w:t>
      </w:r>
    </w:p>
    <w:p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D92FE3">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CF67D4" w:rsidTr="00BD31FC">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rsidR="00CF67D4" w:rsidRPr="005756E3" w:rsidRDefault="00CF67D4" w:rsidP="00813D38">
            <w:pPr>
              <w:pStyle w:val="p0"/>
              <w:tabs>
                <w:tab w:val="left" w:pos="546"/>
              </w:tabs>
              <w:spacing w:before="120" w:after="120"/>
              <w:ind w:firstLine="537"/>
              <w:jc w:val="left"/>
              <w:rPr>
                <w:rFonts w:cs="Arial"/>
                <w:color w:val="auto"/>
                <w:sz w:val="18"/>
                <w:szCs w:val="18"/>
                <w:lang w:val="es-ES"/>
              </w:rPr>
            </w:pPr>
            <w:r w:rsidRPr="005756E3">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single" w:sz="4" w:space="0" w:color="auto"/>
            </w:tcBorders>
            <w:shd w:val="clear" w:color="auto" w:fill="C2D69B" w:themeFill="accent3" w:themeFillTint="99"/>
            <w:hideMark/>
          </w:tcPr>
          <w:p w:rsidR="00CF67D4" w:rsidRPr="005756E3" w:rsidRDefault="006A62D8" w:rsidP="00F05497">
            <w:pPr>
              <w:pStyle w:val="p0"/>
              <w:keepNext/>
              <w:spacing w:before="120" w:after="120"/>
              <w:jc w:val="center"/>
              <w:rPr>
                <w:rFonts w:cs="Arial"/>
                <w:color w:val="auto"/>
                <w:sz w:val="18"/>
                <w:szCs w:val="18"/>
                <w:lang w:val="es-ES"/>
              </w:rPr>
            </w:pPr>
            <w:r>
              <w:rPr>
                <w:rFonts w:cs="Arial"/>
                <w:color w:val="auto"/>
                <w:sz w:val="18"/>
                <w:szCs w:val="18"/>
                <w:lang w:val="es-ES"/>
              </w:rPr>
              <w:t>Mayo</w:t>
            </w:r>
          </w:p>
        </w:tc>
        <w:tc>
          <w:tcPr>
            <w:tcW w:w="1499" w:type="dxa"/>
            <w:tcBorders>
              <w:top w:val="double" w:sz="4" w:space="0" w:color="auto"/>
              <w:left w:val="single" w:sz="4" w:space="0" w:color="auto"/>
              <w:bottom w:val="single" w:sz="4" w:space="0" w:color="auto"/>
              <w:right w:val="double" w:sz="4" w:space="0" w:color="auto"/>
            </w:tcBorders>
            <w:shd w:val="clear" w:color="auto" w:fill="C2D69B" w:themeFill="accent3" w:themeFillTint="99"/>
          </w:tcPr>
          <w:p w:rsidR="00CF67D4" w:rsidRDefault="00CF67D4" w:rsidP="006A62D8">
            <w:pPr>
              <w:pStyle w:val="p0"/>
              <w:keepNext/>
              <w:spacing w:before="120" w:after="120"/>
              <w:jc w:val="center"/>
              <w:rPr>
                <w:rFonts w:cs="Arial"/>
                <w:color w:val="auto"/>
                <w:sz w:val="18"/>
                <w:szCs w:val="18"/>
                <w:lang w:val="es-ES"/>
              </w:rPr>
            </w:pPr>
            <w:r>
              <w:rPr>
                <w:rFonts w:cs="Arial"/>
                <w:color w:val="auto"/>
                <w:sz w:val="18"/>
                <w:szCs w:val="18"/>
                <w:lang w:val="es-ES"/>
              </w:rPr>
              <w:t>Ene-</w:t>
            </w:r>
            <w:r w:rsidR="006A62D8">
              <w:rPr>
                <w:rFonts w:cs="Arial"/>
                <w:color w:val="auto"/>
                <w:sz w:val="18"/>
                <w:szCs w:val="18"/>
                <w:lang w:val="es-ES"/>
              </w:rPr>
              <w:t>May</w:t>
            </w:r>
          </w:p>
        </w:tc>
      </w:tr>
      <w:tr w:rsidR="00CF67D4" w:rsidTr="00BD31FC">
        <w:trPr>
          <w:cantSplit/>
          <w:trHeight w:val="20"/>
          <w:jc w:val="center"/>
        </w:trPr>
        <w:tc>
          <w:tcPr>
            <w:tcW w:w="3888" w:type="dxa"/>
            <w:tcBorders>
              <w:top w:val="single" w:sz="4" w:space="0" w:color="auto"/>
              <w:left w:val="double" w:sz="4" w:space="0" w:color="auto"/>
              <w:bottom w:val="nil"/>
              <w:right w:val="single" w:sz="6" w:space="0" w:color="auto"/>
            </w:tcBorders>
            <w:hideMark/>
          </w:tcPr>
          <w:p w:rsidR="00CF67D4" w:rsidRDefault="00CF67D4" w:rsidP="00CF67D4">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rsidR="00CF67D4" w:rsidRPr="002F1DB7" w:rsidRDefault="004C2113" w:rsidP="00AC29D8">
            <w:pPr>
              <w:tabs>
                <w:tab w:val="left" w:pos="307"/>
                <w:tab w:val="decimal" w:pos="881"/>
              </w:tabs>
              <w:spacing w:before="120" w:after="60"/>
              <w:ind w:right="510"/>
              <w:jc w:val="right"/>
              <w:rPr>
                <w:rFonts w:cs="Arial"/>
                <w:b/>
                <w:sz w:val="18"/>
                <w:u w:val="single"/>
                <w:lang w:val="es-ES" w:eastAsia="en-US"/>
              </w:rPr>
            </w:pPr>
            <w:r>
              <w:rPr>
                <w:rFonts w:cs="Arial"/>
                <w:b/>
                <w:sz w:val="18"/>
                <w:u w:val="single"/>
                <w:lang w:val="es-ES" w:eastAsia="en-US"/>
              </w:rPr>
              <w:t>0.</w:t>
            </w:r>
            <w:r w:rsidR="00AC29D8">
              <w:rPr>
                <w:rFonts w:cs="Arial"/>
                <w:b/>
                <w:sz w:val="18"/>
                <w:u w:val="single"/>
                <w:lang w:val="es-ES" w:eastAsia="en-US"/>
              </w:rPr>
              <w:t>2</w:t>
            </w:r>
          </w:p>
        </w:tc>
        <w:tc>
          <w:tcPr>
            <w:tcW w:w="1499" w:type="dxa"/>
            <w:tcBorders>
              <w:top w:val="single" w:sz="4" w:space="0" w:color="auto"/>
              <w:left w:val="single" w:sz="4" w:space="0" w:color="auto"/>
              <w:bottom w:val="nil"/>
              <w:right w:val="double" w:sz="4" w:space="0" w:color="auto"/>
            </w:tcBorders>
          </w:tcPr>
          <w:p w:rsidR="00CF67D4" w:rsidRPr="002F1DB7" w:rsidRDefault="005C1644" w:rsidP="0067756D">
            <w:pPr>
              <w:tabs>
                <w:tab w:val="left" w:pos="307"/>
                <w:tab w:val="decimal" w:pos="881"/>
              </w:tabs>
              <w:spacing w:before="120" w:after="60"/>
              <w:ind w:right="510"/>
              <w:jc w:val="right"/>
              <w:rPr>
                <w:rFonts w:cs="Arial"/>
                <w:b/>
                <w:sz w:val="18"/>
                <w:u w:val="single"/>
                <w:lang w:val="es-ES" w:eastAsia="en-US"/>
              </w:rPr>
            </w:pPr>
            <w:r>
              <w:rPr>
                <w:rFonts w:cs="Arial"/>
                <w:b/>
                <w:sz w:val="18"/>
                <w:u w:val="single"/>
                <w:lang w:val="es-ES" w:eastAsia="en-US"/>
              </w:rPr>
              <w:t>1.</w:t>
            </w:r>
            <w:r w:rsidR="0067756D">
              <w:rPr>
                <w:rFonts w:cs="Arial"/>
                <w:b/>
                <w:sz w:val="18"/>
                <w:u w:val="single"/>
                <w:lang w:val="es-ES" w:eastAsia="en-US"/>
              </w:rPr>
              <w:t>0</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rsidR="00CF67D4" w:rsidRPr="002F1DB7" w:rsidRDefault="00AC29D8" w:rsidP="0067756D">
            <w:pPr>
              <w:tabs>
                <w:tab w:val="left" w:pos="307"/>
              </w:tabs>
              <w:ind w:right="510"/>
              <w:jc w:val="right"/>
              <w:rPr>
                <w:rFonts w:cs="Arial"/>
                <w:b/>
                <w:sz w:val="18"/>
                <w:lang w:val="es-ES" w:eastAsia="en-US"/>
              </w:rPr>
            </w:pPr>
            <w:r>
              <w:rPr>
                <w:rFonts w:cs="Arial"/>
                <w:b/>
                <w:sz w:val="18"/>
                <w:lang w:val="es-ES" w:eastAsia="en-US"/>
              </w:rPr>
              <w:t>0</w:t>
            </w:r>
            <w:r w:rsidR="00CF67D4">
              <w:rPr>
                <w:rFonts w:cs="Arial"/>
                <w:b/>
                <w:sz w:val="18"/>
                <w:lang w:val="es-ES" w:eastAsia="en-US"/>
              </w:rPr>
              <w:t>.</w:t>
            </w:r>
            <w:r w:rsidR="0067756D">
              <w:rPr>
                <w:rFonts w:cs="Arial"/>
                <w:b/>
                <w:sz w:val="18"/>
                <w:lang w:val="es-ES" w:eastAsia="en-US"/>
              </w:rPr>
              <w:t>3</w:t>
            </w:r>
          </w:p>
        </w:tc>
        <w:tc>
          <w:tcPr>
            <w:tcW w:w="1499" w:type="dxa"/>
            <w:tcBorders>
              <w:top w:val="nil"/>
              <w:left w:val="single" w:sz="4" w:space="0" w:color="auto"/>
              <w:bottom w:val="nil"/>
              <w:right w:val="double" w:sz="4" w:space="0" w:color="auto"/>
            </w:tcBorders>
          </w:tcPr>
          <w:p w:rsidR="00CF67D4" w:rsidRPr="002F1DB7" w:rsidRDefault="00CF67D4" w:rsidP="0067756D">
            <w:pPr>
              <w:tabs>
                <w:tab w:val="left" w:pos="307"/>
              </w:tabs>
              <w:ind w:right="510"/>
              <w:jc w:val="right"/>
              <w:rPr>
                <w:rFonts w:cs="Arial"/>
                <w:b/>
                <w:sz w:val="18"/>
                <w:lang w:val="es-ES" w:eastAsia="en-US"/>
              </w:rPr>
            </w:pPr>
            <w:r>
              <w:rPr>
                <w:rFonts w:cs="Arial"/>
                <w:b/>
                <w:sz w:val="18"/>
                <w:lang w:val="es-ES" w:eastAsia="en-US"/>
              </w:rPr>
              <w:t>1.</w:t>
            </w:r>
            <w:r w:rsidR="0067756D">
              <w:rPr>
                <w:rFonts w:cs="Arial"/>
                <w:b/>
                <w:sz w:val="18"/>
                <w:lang w:val="es-ES" w:eastAsia="en-US"/>
              </w:rPr>
              <w:t>0</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454"/>
              <w:rPr>
                <w:rFonts w:cs="Arial"/>
                <w:color w:val="auto"/>
                <w:sz w:val="18"/>
                <w:lang w:val="es-ES"/>
              </w:rPr>
            </w:pPr>
            <w:r>
              <w:rPr>
                <w:rFonts w:cs="Arial"/>
                <w:color w:val="auto"/>
                <w:sz w:val="18"/>
                <w:lang w:val="es-ES"/>
              </w:rPr>
              <w:t>Bienes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Semi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single" w:sz="4" w:space="0" w:color="auto"/>
            </w:tcBorders>
            <w:hideMark/>
          </w:tcPr>
          <w:p w:rsidR="00CF67D4" w:rsidRPr="002F1DB7" w:rsidRDefault="00AC29D8" w:rsidP="00261CC9">
            <w:pPr>
              <w:tabs>
                <w:tab w:val="left" w:pos="307"/>
              </w:tabs>
              <w:ind w:right="510"/>
              <w:jc w:val="right"/>
              <w:rPr>
                <w:rFonts w:cs="Arial"/>
                <w:sz w:val="18"/>
                <w:lang w:val="es-ES" w:eastAsia="en-US"/>
              </w:rPr>
            </w:pPr>
            <w:r>
              <w:rPr>
                <w:rFonts w:cs="Arial"/>
                <w:sz w:val="18"/>
                <w:lang w:val="es-ES" w:eastAsia="en-US"/>
              </w:rPr>
              <w:t>(-)</w:t>
            </w:r>
            <w:r w:rsidR="00CF67D4">
              <w:rPr>
                <w:rFonts w:cs="Arial"/>
                <w:sz w:val="18"/>
                <w:lang w:val="es-ES" w:eastAsia="en-US"/>
              </w:rPr>
              <w:t xml:space="preserve"> </w:t>
            </w:r>
            <w:r w:rsidR="00CF67D4" w:rsidRPr="002F1DB7">
              <w:rPr>
                <w:rFonts w:cs="Arial"/>
                <w:sz w:val="18"/>
                <w:lang w:val="es-ES" w:eastAsia="en-US"/>
              </w:rPr>
              <w:t xml:space="preserve">  </w:t>
            </w:r>
            <w:r w:rsidR="004C2113">
              <w:rPr>
                <w:rFonts w:cs="Arial"/>
                <w:sz w:val="18"/>
                <w:lang w:val="es-ES" w:eastAsia="en-US"/>
              </w:rPr>
              <w:t>0.</w:t>
            </w:r>
            <w:r w:rsidR="0067756D">
              <w:rPr>
                <w:rFonts w:cs="Arial"/>
                <w:sz w:val="18"/>
                <w:lang w:val="es-ES" w:eastAsia="en-US"/>
              </w:rPr>
              <w:t>2</w:t>
            </w:r>
          </w:p>
          <w:p w:rsidR="00CF67D4" w:rsidRPr="002F1DB7" w:rsidRDefault="004C2113" w:rsidP="00261CC9">
            <w:pPr>
              <w:tabs>
                <w:tab w:val="left" w:pos="307"/>
              </w:tabs>
              <w:ind w:right="510"/>
              <w:jc w:val="right"/>
              <w:rPr>
                <w:rFonts w:cs="Arial"/>
                <w:sz w:val="18"/>
                <w:lang w:val="es-ES" w:eastAsia="en-US"/>
              </w:rPr>
            </w:pPr>
            <w:r>
              <w:rPr>
                <w:rFonts w:cs="Arial"/>
                <w:sz w:val="18"/>
                <w:lang w:val="es-ES" w:eastAsia="en-US"/>
              </w:rPr>
              <w:t>(-) 1</w:t>
            </w:r>
            <w:r w:rsidR="0067756D">
              <w:rPr>
                <w:rFonts w:cs="Arial"/>
                <w:sz w:val="18"/>
                <w:lang w:val="es-ES" w:eastAsia="en-US"/>
              </w:rPr>
              <w:t>3</w:t>
            </w:r>
            <w:r>
              <w:rPr>
                <w:rFonts w:cs="Arial"/>
                <w:sz w:val="18"/>
                <w:lang w:val="es-ES" w:eastAsia="en-US"/>
              </w:rPr>
              <w:t>.</w:t>
            </w:r>
            <w:r w:rsidR="0067756D">
              <w:rPr>
                <w:rFonts w:cs="Arial"/>
                <w:sz w:val="18"/>
                <w:lang w:val="es-ES" w:eastAsia="en-US"/>
              </w:rPr>
              <w:t>3</w:t>
            </w:r>
          </w:p>
          <w:p w:rsidR="00CF67D4" w:rsidRPr="002F1DB7" w:rsidRDefault="0067756D" w:rsidP="00261CC9">
            <w:pPr>
              <w:tabs>
                <w:tab w:val="left" w:pos="307"/>
              </w:tabs>
              <w:ind w:right="510"/>
              <w:jc w:val="right"/>
              <w:rPr>
                <w:rFonts w:cs="Arial"/>
                <w:sz w:val="18"/>
                <w:lang w:val="es-ES" w:eastAsia="en-US"/>
              </w:rPr>
            </w:pPr>
            <w:r>
              <w:rPr>
                <w:rFonts w:cs="Arial"/>
                <w:sz w:val="18"/>
                <w:lang w:val="es-ES" w:eastAsia="en-US"/>
              </w:rPr>
              <w:t>(-)</w:t>
            </w:r>
            <w:r w:rsidR="00CF67D4">
              <w:rPr>
                <w:rFonts w:cs="Arial"/>
                <w:sz w:val="18"/>
                <w:lang w:val="es-ES" w:eastAsia="en-US"/>
              </w:rPr>
              <w:t xml:space="preserve">   </w:t>
            </w:r>
            <w:r>
              <w:rPr>
                <w:rFonts w:cs="Arial"/>
                <w:sz w:val="18"/>
                <w:lang w:val="es-ES" w:eastAsia="en-US"/>
              </w:rPr>
              <w:t>0</w:t>
            </w:r>
            <w:r w:rsidR="004C2113">
              <w:rPr>
                <w:rFonts w:cs="Arial"/>
                <w:sz w:val="18"/>
                <w:lang w:val="es-ES" w:eastAsia="en-US"/>
              </w:rPr>
              <w:t>.</w:t>
            </w:r>
            <w:r>
              <w:rPr>
                <w:rFonts w:cs="Arial"/>
                <w:sz w:val="18"/>
                <w:lang w:val="es-ES" w:eastAsia="en-US"/>
              </w:rPr>
              <w:t>3</w:t>
            </w:r>
          </w:p>
          <w:p w:rsidR="00CF67D4" w:rsidRPr="002F1DB7" w:rsidRDefault="00CF67D4" w:rsidP="0067756D">
            <w:pPr>
              <w:tabs>
                <w:tab w:val="left" w:pos="307"/>
              </w:tabs>
              <w:ind w:right="510"/>
              <w:jc w:val="right"/>
              <w:rPr>
                <w:rFonts w:cs="Arial"/>
                <w:sz w:val="18"/>
                <w:lang w:val="es-ES" w:eastAsia="en-US"/>
              </w:rPr>
            </w:pPr>
            <w:r>
              <w:rPr>
                <w:rFonts w:cs="Arial"/>
                <w:sz w:val="18"/>
                <w:lang w:val="es-ES" w:eastAsia="en-US"/>
              </w:rPr>
              <w:t xml:space="preserve">    </w:t>
            </w:r>
            <w:r w:rsidR="0067756D">
              <w:rPr>
                <w:rFonts w:cs="Arial"/>
                <w:sz w:val="18"/>
                <w:lang w:val="es-ES" w:eastAsia="en-US"/>
              </w:rPr>
              <w:t>1</w:t>
            </w:r>
            <w:r>
              <w:rPr>
                <w:rFonts w:cs="Arial"/>
                <w:sz w:val="18"/>
                <w:lang w:val="es-ES" w:eastAsia="en-US"/>
              </w:rPr>
              <w:t>.</w:t>
            </w:r>
            <w:r w:rsidR="0067756D">
              <w:rPr>
                <w:rFonts w:cs="Arial"/>
                <w:sz w:val="18"/>
                <w:lang w:val="es-ES" w:eastAsia="en-US"/>
              </w:rPr>
              <w:t>8</w:t>
            </w:r>
          </w:p>
        </w:tc>
        <w:tc>
          <w:tcPr>
            <w:tcW w:w="1499" w:type="dxa"/>
            <w:tcBorders>
              <w:top w:val="nil"/>
              <w:left w:val="single" w:sz="4" w:space="0" w:color="auto"/>
              <w:bottom w:val="nil"/>
              <w:right w:val="double" w:sz="4" w:space="0" w:color="auto"/>
            </w:tcBorders>
          </w:tcPr>
          <w:p w:rsidR="00CF67D4" w:rsidRPr="002F1DB7" w:rsidRDefault="00CF67D4" w:rsidP="001B074F">
            <w:pPr>
              <w:tabs>
                <w:tab w:val="left" w:pos="307"/>
              </w:tabs>
              <w:ind w:right="510"/>
              <w:jc w:val="right"/>
              <w:rPr>
                <w:rFonts w:cs="Arial"/>
                <w:sz w:val="18"/>
                <w:lang w:val="es-ES" w:eastAsia="en-US"/>
              </w:rPr>
            </w:pPr>
            <w:r>
              <w:rPr>
                <w:rFonts w:cs="Arial"/>
                <w:sz w:val="18"/>
                <w:lang w:val="es-ES" w:eastAsia="en-US"/>
              </w:rPr>
              <w:t xml:space="preserve">  </w:t>
            </w:r>
            <w:r w:rsidRPr="002F1DB7">
              <w:rPr>
                <w:rFonts w:cs="Arial"/>
                <w:sz w:val="18"/>
                <w:lang w:val="es-ES" w:eastAsia="en-US"/>
              </w:rPr>
              <w:t xml:space="preserve">  </w:t>
            </w:r>
            <w:r w:rsidR="00AC29D8">
              <w:rPr>
                <w:rFonts w:cs="Arial"/>
                <w:sz w:val="18"/>
                <w:lang w:val="es-ES" w:eastAsia="en-US"/>
              </w:rPr>
              <w:t>0</w:t>
            </w:r>
            <w:r w:rsidRPr="002F1DB7">
              <w:rPr>
                <w:rFonts w:cs="Arial"/>
                <w:sz w:val="18"/>
                <w:lang w:val="es-ES" w:eastAsia="en-US"/>
              </w:rPr>
              <w:t>.</w:t>
            </w:r>
            <w:r w:rsidR="0067756D">
              <w:rPr>
                <w:rFonts w:cs="Arial"/>
                <w:sz w:val="18"/>
                <w:lang w:val="es-ES" w:eastAsia="en-US"/>
              </w:rPr>
              <w:t>7</w:t>
            </w:r>
          </w:p>
          <w:p w:rsidR="00CF67D4" w:rsidRPr="002F1DB7" w:rsidRDefault="00CF67D4" w:rsidP="001B074F">
            <w:pPr>
              <w:tabs>
                <w:tab w:val="left" w:pos="307"/>
              </w:tabs>
              <w:ind w:right="510"/>
              <w:jc w:val="right"/>
              <w:rPr>
                <w:rFonts w:cs="Arial"/>
                <w:sz w:val="18"/>
                <w:lang w:val="es-ES" w:eastAsia="en-US"/>
              </w:rPr>
            </w:pPr>
            <w:r>
              <w:rPr>
                <w:rFonts w:cs="Arial"/>
                <w:sz w:val="18"/>
                <w:lang w:val="es-ES" w:eastAsia="en-US"/>
              </w:rPr>
              <w:t xml:space="preserve">(-)  </w:t>
            </w:r>
            <w:r w:rsidR="0067756D">
              <w:rPr>
                <w:rFonts w:cs="Arial"/>
                <w:sz w:val="18"/>
                <w:lang w:val="es-ES" w:eastAsia="en-US"/>
              </w:rPr>
              <w:t>10</w:t>
            </w:r>
            <w:r>
              <w:rPr>
                <w:rFonts w:cs="Arial"/>
                <w:sz w:val="18"/>
                <w:lang w:val="es-ES" w:eastAsia="en-US"/>
              </w:rPr>
              <w:t>.</w:t>
            </w:r>
            <w:r w:rsidR="0067756D">
              <w:rPr>
                <w:rFonts w:cs="Arial"/>
                <w:sz w:val="18"/>
                <w:lang w:val="es-ES" w:eastAsia="en-US"/>
              </w:rPr>
              <w:t>7</w:t>
            </w:r>
          </w:p>
          <w:p w:rsidR="00CF67D4" w:rsidRPr="002F1DB7" w:rsidRDefault="00CF67D4" w:rsidP="001B074F">
            <w:pPr>
              <w:tabs>
                <w:tab w:val="left" w:pos="307"/>
              </w:tabs>
              <w:ind w:right="510"/>
              <w:jc w:val="right"/>
              <w:rPr>
                <w:rFonts w:cs="Arial"/>
                <w:sz w:val="18"/>
                <w:lang w:val="es-ES" w:eastAsia="en-US"/>
              </w:rPr>
            </w:pPr>
            <w:r>
              <w:rPr>
                <w:rFonts w:cs="Arial"/>
                <w:sz w:val="18"/>
                <w:lang w:val="es-ES" w:eastAsia="en-US"/>
              </w:rPr>
              <w:t xml:space="preserve">   </w:t>
            </w:r>
            <w:r w:rsidR="0067756D">
              <w:rPr>
                <w:rFonts w:cs="Arial"/>
                <w:sz w:val="18"/>
                <w:lang w:val="es-ES" w:eastAsia="en-US"/>
              </w:rPr>
              <w:t>1</w:t>
            </w:r>
            <w:r>
              <w:rPr>
                <w:rFonts w:cs="Arial"/>
                <w:sz w:val="18"/>
                <w:lang w:val="es-ES" w:eastAsia="en-US"/>
              </w:rPr>
              <w:t>.</w:t>
            </w:r>
            <w:r w:rsidR="0067756D">
              <w:rPr>
                <w:rFonts w:cs="Arial"/>
                <w:sz w:val="18"/>
                <w:lang w:val="es-ES" w:eastAsia="en-US"/>
              </w:rPr>
              <w:t>9</w:t>
            </w:r>
          </w:p>
          <w:p w:rsidR="00CF67D4" w:rsidRPr="002F1DB7" w:rsidRDefault="00CF67D4" w:rsidP="0067756D">
            <w:pPr>
              <w:tabs>
                <w:tab w:val="left" w:pos="307"/>
              </w:tabs>
              <w:ind w:right="510"/>
              <w:jc w:val="right"/>
              <w:rPr>
                <w:rFonts w:cs="Arial"/>
                <w:sz w:val="18"/>
                <w:lang w:val="es-ES" w:eastAsia="en-US"/>
              </w:rPr>
            </w:pPr>
            <w:r>
              <w:rPr>
                <w:rFonts w:cs="Arial"/>
                <w:sz w:val="18"/>
                <w:lang w:val="es-ES" w:eastAsia="en-US"/>
              </w:rPr>
              <w:t xml:space="preserve">    2.</w:t>
            </w:r>
            <w:r w:rsidR="0067756D">
              <w:rPr>
                <w:rFonts w:cs="Arial"/>
                <w:sz w:val="18"/>
                <w:lang w:val="es-ES" w:eastAsia="en-US"/>
              </w:rPr>
              <w:t>0</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rsidR="00CF67D4" w:rsidRPr="002F1DB7" w:rsidRDefault="00AC29D8" w:rsidP="0067756D">
            <w:pPr>
              <w:tabs>
                <w:tab w:val="left" w:pos="307"/>
              </w:tabs>
              <w:ind w:right="510"/>
              <w:jc w:val="right"/>
              <w:rPr>
                <w:rFonts w:cs="Arial"/>
                <w:sz w:val="18"/>
                <w:lang w:val="es-ES" w:eastAsia="en-US"/>
              </w:rPr>
            </w:pPr>
            <w:r>
              <w:rPr>
                <w:rFonts w:cs="Arial"/>
                <w:sz w:val="18"/>
                <w:lang w:val="es-ES" w:eastAsia="en-US"/>
              </w:rPr>
              <w:t>0</w:t>
            </w:r>
            <w:r w:rsidR="00CF67D4" w:rsidRPr="002F1DB7">
              <w:rPr>
                <w:rFonts w:cs="Arial"/>
                <w:sz w:val="18"/>
                <w:lang w:val="es-ES" w:eastAsia="en-US"/>
              </w:rPr>
              <w:t>.</w:t>
            </w:r>
            <w:r w:rsidR="0067756D">
              <w:rPr>
                <w:rFonts w:cs="Arial"/>
                <w:sz w:val="18"/>
                <w:lang w:val="es-ES" w:eastAsia="en-US"/>
              </w:rPr>
              <w:t>8</w:t>
            </w:r>
          </w:p>
        </w:tc>
        <w:tc>
          <w:tcPr>
            <w:tcW w:w="1499" w:type="dxa"/>
            <w:tcBorders>
              <w:top w:val="nil"/>
              <w:left w:val="single" w:sz="4" w:space="0" w:color="auto"/>
              <w:bottom w:val="nil"/>
              <w:right w:val="double" w:sz="4" w:space="0" w:color="auto"/>
            </w:tcBorders>
          </w:tcPr>
          <w:p w:rsidR="00CF67D4" w:rsidRPr="002F1DB7" w:rsidRDefault="005C1644" w:rsidP="0067756D">
            <w:pPr>
              <w:tabs>
                <w:tab w:val="left" w:pos="307"/>
              </w:tabs>
              <w:ind w:right="510"/>
              <w:jc w:val="right"/>
              <w:rPr>
                <w:rFonts w:cs="Arial"/>
                <w:sz w:val="18"/>
                <w:lang w:val="es-ES" w:eastAsia="en-US"/>
              </w:rPr>
            </w:pPr>
            <w:r>
              <w:rPr>
                <w:rFonts w:cs="Arial"/>
                <w:sz w:val="18"/>
                <w:lang w:val="es-ES" w:eastAsia="en-US"/>
              </w:rPr>
              <w:t>1</w:t>
            </w:r>
            <w:r w:rsidR="00CF67D4" w:rsidRPr="002F1DB7">
              <w:rPr>
                <w:rFonts w:cs="Arial"/>
                <w:sz w:val="18"/>
                <w:lang w:val="es-ES" w:eastAsia="en-US"/>
              </w:rPr>
              <w:t>.</w:t>
            </w:r>
            <w:r w:rsidR="0067756D">
              <w:rPr>
                <w:rFonts w:cs="Arial"/>
                <w:sz w:val="18"/>
                <w:lang w:val="es-ES" w:eastAsia="en-US"/>
              </w:rPr>
              <w:t>3</w:t>
            </w:r>
          </w:p>
        </w:tc>
      </w:tr>
      <w:tr w:rsidR="00CF67D4" w:rsidTr="00FB456A">
        <w:trPr>
          <w:cantSplit/>
          <w:trHeight w:val="20"/>
          <w:jc w:val="center"/>
        </w:trPr>
        <w:tc>
          <w:tcPr>
            <w:tcW w:w="3888" w:type="dxa"/>
            <w:tcBorders>
              <w:top w:val="nil"/>
              <w:left w:val="double" w:sz="4" w:space="0" w:color="auto"/>
              <w:bottom w:val="nil"/>
              <w:right w:val="single" w:sz="6" w:space="0" w:color="auto"/>
            </w:tcBorders>
            <w:hideMark/>
          </w:tcPr>
          <w:p w:rsidR="00CF67D4" w:rsidRDefault="00CF67D4" w:rsidP="00CF67D4">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rsidR="00CF67D4" w:rsidRPr="002F1DB7" w:rsidRDefault="0067756D" w:rsidP="0067756D">
            <w:pPr>
              <w:tabs>
                <w:tab w:val="left" w:pos="307"/>
                <w:tab w:val="decimal" w:pos="881"/>
              </w:tabs>
              <w:ind w:right="510"/>
              <w:jc w:val="right"/>
              <w:rPr>
                <w:rFonts w:cs="Arial"/>
                <w:b/>
                <w:sz w:val="18"/>
                <w:lang w:val="es-ES" w:eastAsia="en-US"/>
              </w:rPr>
            </w:pPr>
            <w:r>
              <w:rPr>
                <w:rFonts w:cs="Arial"/>
                <w:b/>
                <w:sz w:val="18"/>
                <w:lang w:val="es-ES" w:eastAsia="en-US"/>
              </w:rPr>
              <w:t>(-)</w:t>
            </w:r>
            <w:r w:rsidR="00CF67D4">
              <w:rPr>
                <w:rFonts w:cs="Arial"/>
                <w:b/>
                <w:sz w:val="18"/>
                <w:lang w:val="es-ES" w:eastAsia="en-US"/>
              </w:rPr>
              <w:t xml:space="preserve">  </w:t>
            </w:r>
            <w:r w:rsidR="00CF67D4" w:rsidRPr="002F1DB7">
              <w:rPr>
                <w:rFonts w:cs="Arial"/>
                <w:b/>
                <w:sz w:val="18"/>
                <w:lang w:val="es-ES" w:eastAsia="en-US"/>
              </w:rPr>
              <w:t xml:space="preserve"> </w:t>
            </w:r>
            <w:r>
              <w:rPr>
                <w:rFonts w:cs="Arial"/>
                <w:b/>
                <w:sz w:val="18"/>
                <w:lang w:val="es-ES" w:eastAsia="en-US"/>
              </w:rPr>
              <w:t>0</w:t>
            </w:r>
            <w:r w:rsidR="004C2113">
              <w:rPr>
                <w:rFonts w:cs="Arial"/>
                <w:b/>
                <w:sz w:val="18"/>
                <w:lang w:val="es-ES" w:eastAsia="en-US"/>
              </w:rPr>
              <w:t>.</w:t>
            </w:r>
            <w:r>
              <w:rPr>
                <w:rFonts w:cs="Arial"/>
                <w:b/>
                <w:sz w:val="18"/>
                <w:lang w:val="es-ES" w:eastAsia="en-US"/>
              </w:rPr>
              <w:t>1</w:t>
            </w:r>
          </w:p>
        </w:tc>
        <w:tc>
          <w:tcPr>
            <w:tcW w:w="1499" w:type="dxa"/>
            <w:tcBorders>
              <w:top w:val="nil"/>
              <w:left w:val="single" w:sz="4" w:space="0" w:color="auto"/>
              <w:bottom w:val="nil"/>
              <w:right w:val="double" w:sz="4" w:space="0" w:color="auto"/>
            </w:tcBorders>
          </w:tcPr>
          <w:p w:rsidR="00CF67D4" w:rsidRPr="002F1DB7" w:rsidRDefault="00CF67D4" w:rsidP="0067756D">
            <w:pPr>
              <w:tabs>
                <w:tab w:val="left" w:pos="307"/>
                <w:tab w:val="decimal" w:pos="881"/>
              </w:tabs>
              <w:ind w:right="510"/>
              <w:jc w:val="right"/>
              <w:rPr>
                <w:rFonts w:cs="Arial"/>
                <w:b/>
                <w:sz w:val="18"/>
                <w:lang w:val="es-ES" w:eastAsia="en-US"/>
              </w:rPr>
            </w:pPr>
            <w:r>
              <w:rPr>
                <w:rFonts w:cs="Arial"/>
                <w:b/>
                <w:sz w:val="18"/>
                <w:lang w:val="es-ES" w:eastAsia="en-US"/>
              </w:rPr>
              <w:t xml:space="preserve">   </w:t>
            </w:r>
            <w:r w:rsidRPr="002F1DB7">
              <w:rPr>
                <w:rFonts w:cs="Arial"/>
                <w:b/>
                <w:sz w:val="18"/>
                <w:lang w:val="es-ES" w:eastAsia="en-US"/>
              </w:rPr>
              <w:t xml:space="preserve"> </w:t>
            </w:r>
            <w:r w:rsidR="0067756D">
              <w:rPr>
                <w:rFonts w:cs="Arial"/>
                <w:b/>
                <w:sz w:val="18"/>
                <w:lang w:val="es-ES" w:eastAsia="en-US"/>
              </w:rPr>
              <w:t>1</w:t>
            </w:r>
            <w:r w:rsidR="005C1644">
              <w:rPr>
                <w:rFonts w:cs="Arial"/>
                <w:b/>
                <w:sz w:val="18"/>
                <w:lang w:val="es-ES" w:eastAsia="en-US"/>
              </w:rPr>
              <w:t>.</w:t>
            </w:r>
            <w:r w:rsidR="0067756D">
              <w:rPr>
                <w:rFonts w:cs="Arial"/>
                <w:b/>
                <w:sz w:val="18"/>
                <w:lang w:val="es-ES" w:eastAsia="en-US"/>
              </w:rPr>
              <w:t>5</w:t>
            </w:r>
          </w:p>
        </w:tc>
      </w:tr>
      <w:tr w:rsidR="00CF67D4" w:rsidTr="00FB456A">
        <w:trPr>
          <w:cantSplit/>
          <w:trHeight w:val="20"/>
          <w:jc w:val="center"/>
        </w:trPr>
        <w:tc>
          <w:tcPr>
            <w:tcW w:w="3888" w:type="dxa"/>
            <w:tcBorders>
              <w:top w:val="nil"/>
              <w:left w:val="double" w:sz="4" w:space="0" w:color="auto"/>
              <w:bottom w:val="double" w:sz="4" w:space="0" w:color="auto"/>
              <w:right w:val="single" w:sz="6" w:space="0" w:color="auto"/>
            </w:tcBorders>
            <w:hideMark/>
          </w:tcPr>
          <w:p w:rsidR="00CF67D4" w:rsidRDefault="00CF67D4" w:rsidP="00CF67D4">
            <w:pPr>
              <w:pStyle w:val="p0"/>
              <w:spacing w:before="0"/>
              <w:ind w:firstLine="454"/>
              <w:rPr>
                <w:rFonts w:cs="Arial"/>
                <w:color w:val="auto"/>
                <w:sz w:val="18"/>
                <w:lang w:val="es-ES"/>
              </w:rPr>
            </w:pPr>
            <w:r>
              <w:rPr>
                <w:rFonts w:cs="Arial"/>
                <w:color w:val="auto"/>
                <w:sz w:val="18"/>
                <w:lang w:val="es-ES"/>
              </w:rPr>
              <w:t>Bienes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Semi duraderos</w:t>
            </w:r>
          </w:p>
          <w:p w:rsidR="00CF67D4" w:rsidRDefault="00CF67D4"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single" w:sz="4" w:space="0" w:color="auto"/>
            </w:tcBorders>
            <w:hideMark/>
          </w:tcPr>
          <w:p w:rsidR="00CF67D4" w:rsidRPr="002F1DB7" w:rsidRDefault="0067756D" w:rsidP="00261CC9">
            <w:pPr>
              <w:tabs>
                <w:tab w:val="left" w:pos="307"/>
                <w:tab w:val="decimal" w:pos="881"/>
              </w:tabs>
              <w:ind w:right="510"/>
              <w:jc w:val="right"/>
              <w:rPr>
                <w:rFonts w:cs="Arial"/>
                <w:sz w:val="18"/>
                <w:lang w:val="es-ES" w:eastAsia="en-US"/>
              </w:rPr>
            </w:pPr>
            <w:r>
              <w:rPr>
                <w:rFonts w:cs="Arial"/>
                <w:sz w:val="18"/>
                <w:lang w:val="es-ES" w:eastAsia="en-US"/>
              </w:rPr>
              <w:t>(-)</w:t>
            </w:r>
            <w:r w:rsidR="00CF67D4">
              <w:rPr>
                <w:rFonts w:cs="Arial"/>
                <w:sz w:val="18"/>
                <w:lang w:val="es-ES" w:eastAsia="en-US"/>
              </w:rPr>
              <w:t xml:space="preserve">   </w:t>
            </w:r>
            <w:r w:rsidR="00AC29D8">
              <w:rPr>
                <w:rFonts w:cs="Arial"/>
                <w:sz w:val="18"/>
                <w:lang w:val="es-ES" w:eastAsia="en-US"/>
              </w:rPr>
              <w:t>0</w:t>
            </w:r>
            <w:r>
              <w:rPr>
                <w:rFonts w:cs="Arial"/>
                <w:sz w:val="18"/>
                <w:lang w:val="es-ES" w:eastAsia="en-US"/>
              </w:rPr>
              <w:t>.1</w:t>
            </w:r>
          </w:p>
          <w:p w:rsidR="00CF67D4" w:rsidRPr="002F1DB7" w:rsidRDefault="0067756D" w:rsidP="00261CC9">
            <w:pPr>
              <w:tabs>
                <w:tab w:val="left" w:pos="307"/>
                <w:tab w:val="decimal" w:pos="881"/>
              </w:tabs>
              <w:ind w:right="510"/>
              <w:jc w:val="right"/>
              <w:rPr>
                <w:rFonts w:cs="Arial"/>
                <w:sz w:val="18"/>
                <w:lang w:val="es-ES" w:eastAsia="en-US"/>
              </w:rPr>
            </w:pPr>
            <w:r>
              <w:rPr>
                <w:rFonts w:cs="Arial"/>
                <w:sz w:val="18"/>
                <w:lang w:val="es-ES" w:eastAsia="en-US"/>
              </w:rPr>
              <w:t xml:space="preserve">(-)  </w:t>
            </w:r>
            <w:r w:rsidR="00CF67D4">
              <w:rPr>
                <w:rFonts w:cs="Arial"/>
                <w:sz w:val="18"/>
                <w:lang w:val="es-ES" w:eastAsia="en-US"/>
              </w:rPr>
              <w:t xml:space="preserve"> </w:t>
            </w:r>
            <w:r>
              <w:rPr>
                <w:rFonts w:cs="Arial"/>
                <w:sz w:val="18"/>
                <w:lang w:val="es-ES" w:eastAsia="en-US"/>
              </w:rPr>
              <w:t>6</w:t>
            </w:r>
            <w:r w:rsidR="00CF67D4">
              <w:rPr>
                <w:rFonts w:cs="Arial"/>
                <w:sz w:val="18"/>
                <w:lang w:val="es-ES" w:eastAsia="en-US"/>
              </w:rPr>
              <w:t>.</w:t>
            </w:r>
            <w:r w:rsidR="00AC29D8">
              <w:rPr>
                <w:rFonts w:cs="Arial"/>
                <w:sz w:val="18"/>
                <w:lang w:val="es-ES" w:eastAsia="en-US"/>
              </w:rPr>
              <w:t>4</w:t>
            </w:r>
          </w:p>
          <w:p w:rsidR="00CF67D4" w:rsidRPr="002F1DB7" w:rsidRDefault="00CF67D4" w:rsidP="00261CC9">
            <w:pPr>
              <w:tabs>
                <w:tab w:val="left" w:pos="307"/>
                <w:tab w:val="decimal" w:pos="881"/>
              </w:tabs>
              <w:ind w:right="510"/>
              <w:jc w:val="right"/>
              <w:rPr>
                <w:rFonts w:cs="Arial"/>
                <w:sz w:val="18"/>
                <w:lang w:val="es-ES" w:eastAsia="en-US"/>
              </w:rPr>
            </w:pPr>
            <w:r>
              <w:rPr>
                <w:rFonts w:cs="Arial"/>
                <w:sz w:val="18"/>
                <w:lang w:val="es-ES" w:eastAsia="en-US"/>
              </w:rPr>
              <w:t xml:space="preserve">  </w:t>
            </w:r>
            <w:r w:rsidR="0067756D">
              <w:rPr>
                <w:rFonts w:cs="Arial"/>
                <w:sz w:val="18"/>
                <w:lang w:val="es-ES" w:eastAsia="en-US"/>
              </w:rPr>
              <w:t>12</w:t>
            </w:r>
            <w:r w:rsidR="004C2113">
              <w:rPr>
                <w:rFonts w:cs="Arial"/>
                <w:sz w:val="18"/>
                <w:lang w:val="es-ES" w:eastAsia="en-US"/>
              </w:rPr>
              <w:t>.</w:t>
            </w:r>
            <w:r w:rsidR="0067756D">
              <w:rPr>
                <w:rFonts w:cs="Arial"/>
                <w:sz w:val="18"/>
                <w:lang w:val="es-ES" w:eastAsia="en-US"/>
              </w:rPr>
              <w:t>1</w:t>
            </w:r>
          </w:p>
          <w:p w:rsidR="00CF67D4" w:rsidRPr="002F1DB7" w:rsidRDefault="00CF67D4" w:rsidP="0067756D">
            <w:pPr>
              <w:tabs>
                <w:tab w:val="left" w:pos="307"/>
                <w:tab w:val="decimal" w:pos="881"/>
              </w:tabs>
              <w:ind w:right="510"/>
              <w:jc w:val="right"/>
              <w:rPr>
                <w:rFonts w:cs="Arial"/>
                <w:b/>
                <w:sz w:val="18"/>
                <w:lang w:val="es-ES" w:eastAsia="en-US"/>
              </w:rPr>
            </w:pPr>
            <w:r>
              <w:rPr>
                <w:rFonts w:cs="Arial"/>
                <w:sz w:val="18"/>
                <w:lang w:val="es-ES" w:eastAsia="en-US"/>
              </w:rPr>
              <w:t xml:space="preserve">   </w:t>
            </w:r>
            <w:r w:rsidR="0067756D">
              <w:rPr>
                <w:rFonts w:cs="Arial"/>
                <w:sz w:val="18"/>
                <w:lang w:val="es-ES" w:eastAsia="en-US"/>
              </w:rPr>
              <w:t>0</w:t>
            </w:r>
            <w:r w:rsidR="004C2113">
              <w:rPr>
                <w:rFonts w:cs="Arial"/>
                <w:sz w:val="18"/>
                <w:lang w:val="es-ES" w:eastAsia="en-US"/>
              </w:rPr>
              <w:t>.</w:t>
            </w:r>
            <w:r w:rsidR="0067756D">
              <w:rPr>
                <w:rFonts w:cs="Arial"/>
                <w:sz w:val="18"/>
                <w:lang w:val="es-ES" w:eastAsia="en-US"/>
              </w:rPr>
              <w:t>6</w:t>
            </w:r>
          </w:p>
        </w:tc>
        <w:tc>
          <w:tcPr>
            <w:tcW w:w="1499" w:type="dxa"/>
            <w:tcBorders>
              <w:top w:val="nil"/>
              <w:left w:val="single" w:sz="4" w:space="0" w:color="auto"/>
              <w:bottom w:val="double" w:sz="4" w:space="0" w:color="auto"/>
              <w:right w:val="double" w:sz="4" w:space="0" w:color="auto"/>
            </w:tcBorders>
          </w:tcPr>
          <w:p w:rsidR="00CF67D4" w:rsidRPr="002F1DB7" w:rsidRDefault="00CF67D4" w:rsidP="001B074F">
            <w:pPr>
              <w:tabs>
                <w:tab w:val="left" w:pos="307"/>
                <w:tab w:val="decimal" w:pos="881"/>
              </w:tabs>
              <w:ind w:right="510"/>
              <w:jc w:val="right"/>
              <w:rPr>
                <w:rFonts w:cs="Arial"/>
                <w:sz w:val="18"/>
                <w:lang w:val="es-ES" w:eastAsia="en-US"/>
              </w:rPr>
            </w:pPr>
            <w:r>
              <w:rPr>
                <w:rFonts w:cs="Arial"/>
                <w:sz w:val="18"/>
                <w:lang w:val="es-ES" w:eastAsia="en-US"/>
              </w:rPr>
              <w:t xml:space="preserve">    </w:t>
            </w:r>
            <w:r w:rsidR="0067756D">
              <w:rPr>
                <w:rFonts w:cs="Arial"/>
                <w:sz w:val="18"/>
                <w:lang w:val="es-ES" w:eastAsia="en-US"/>
              </w:rPr>
              <w:t>1</w:t>
            </w:r>
            <w:r w:rsidR="005C1644">
              <w:rPr>
                <w:rFonts w:cs="Arial"/>
                <w:sz w:val="18"/>
                <w:lang w:val="es-ES" w:eastAsia="en-US"/>
              </w:rPr>
              <w:t>.</w:t>
            </w:r>
            <w:r w:rsidR="0067756D">
              <w:rPr>
                <w:rFonts w:cs="Arial"/>
                <w:sz w:val="18"/>
                <w:lang w:val="es-ES" w:eastAsia="en-US"/>
              </w:rPr>
              <w:t>5</w:t>
            </w:r>
          </w:p>
          <w:p w:rsidR="00CF67D4" w:rsidRPr="002F1DB7" w:rsidRDefault="0067756D" w:rsidP="001B074F">
            <w:pPr>
              <w:tabs>
                <w:tab w:val="left" w:pos="307"/>
                <w:tab w:val="decimal" w:pos="881"/>
              </w:tabs>
              <w:ind w:right="510"/>
              <w:jc w:val="right"/>
              <w:rPr>
                <w:rFonts w:cs="Arial"/>
                <w:sz w:val="18"/>
                <w:lang w:val="es-ES" w:eastAsia="en-US"/>
              </w:rPr>
            </w:pPr>
            <w:r>
              <w:rPr>
                <w:rFonts w:cs="Arial"/>
                <w:sz w:val="18"/>
                <w:lang w:val="es-ES" w:eastAsia="en-US"/>
              </w:rPr>
              <w:t xml:space="preserve">(-) </w:t>
            </w:r>
            <w:r w:rsidR="00CF67D4">
              <w:rPr>
                <w:rFonts w:cs="Arial"/>
                <w:sz w:val="18"/>
                <w:lang w:val="es-ES" w:eastAsia="en-US"/>
              </w:rPr>
              <w:t xml:space="preserve">  </w:t>
            </w:r>
            <w:r w:rsidR="005C1644">
              <w:rPr>
                <w:rFonts w:cs="Arial"/>
                <w:sz w:val="18"/>
                <w:lang w:val="es-ES" w:eastAsia="en-US"/>
              </w:rPr>
              <w:t>0</w:t>
            </w:r>
            <w:r w:rsidR="00CF67D4">
              <w:rPr>
                <w:rFonts w:cs="Arial"/>
                <w:sz w:val="18"/>
                <w:lang w:val="es-ES" w:eastAsia="en-US"/>
              </w:rPr>
              <w:t>.</w:t>
            </w:r>
            <w:r>
              <w:rPr>
                <w:rFonts w:cs="Arial"/>
                <w:sz w:val="18"/>
                <w:lang w:val="es-ES" w:eastAsia="en-US"/>
              </w:rPr>
              <w:t>9</w:t>
            </w:r>
          </w:p>
          <w:p w:rsidR="00CF67D4" w:rsidRPr="002F1DB7" w:rsidRDefault="00CF67D4" w:rsidP="001B074F">
            <w:pPr>
              <w:tabs>
                <w:tab w:val="left" w:pos="307"/>
                <w:tab w:val="decimal" w:pos="881"/>
              </w:tabs>
              <w:ind w:right="510"/>
              <w:jc w:val="right"/>
              <w:rPr>
                <w:rFonts w:cs="Arial"/>
                <w:sz w:val="18"/>
                <w:lang w:val="es-ES" w:eastAsia="en-US"/>
              </w:rPr>
            </w:pPr>
            <w:r>
              <w:rPr>
                <w:rFonts w:cs="Arial"/>
                <w:sz w:val="18"/>
                <w:lang w:val="es-ES" w:eastAsia="en-US"/>
              </w:rPr>
              <w:t xml:space="preserve">   </w:t>
            </w:r>
            <w:r w:rsidR="0067756D">
              <w:rPr>
                <w:rFonts w:cs="Arial"/>
                <w:sz w:val="18"/>
                <w:lang w:val="es-ES" w:eastAsia="en-US"/>
              </w:rPr>
              <w:t>6.</w:t>
            </w:r>
            <w:r w:rsidR="00AC29D8">
              <w:rPr>
                <w:rFonts w:cs="Arial"/>
                <w:sz w:val="18"/>
                <w:lang w:val="es-ES" w:eastAsia="en-US"/>
              </w:rPr>
              <w:t>5</w:t>
            </w:r>
          </w:p>
          <w:p w:rsidR="00CF67D4" w:rsidRPr="002F1DB7" w:rsidRDefault="00CF67D4" w:rsidP="0067756D">
            <w:pPr>
              <w:tabs>
                <w:tab w:val="left" w:pos="307"/>
                <w:tab w:val="decimal" w:pos="881"/>
              </w:tabs>
              <w:ind w:right="510"/>
              <w:jc w:val="right"/>
              <w:rPr>
                <w:rFonts w:cs="Arial"/>
                <w:b/>
                <w:sz w:val="18"/>
                <w:lang w:val="es-ES" w:eastAsia="en-US"/>
              </w:rPr>
            </w:pPr>
            <w:r>
              <w:rPr>
                <w:rFonts w:cs="Arial"/>
                <w:sz w:val="18"/>
                <w:lang w:val="es-ES" w:eastAsia="en-US"/>
              </w:rPr>
              <w:t xml:space="preserve">    </w:t>
            </w:r>
            <w:r w:rsidR="005C1644">
              <w:rPr>
                <w:rFonts w:cs="Arial"/>
                <w:sz w:val="18"/>
                <w:lang w:val="es-ES" w:eastAsia="en-US"/>
              </w:rPr>
              <w:t>1</w:t>
            </w:r>
            <w:r w:rsidR="00AC29D8">
              <w:rPr>
                <w:rFonts w:cs="Arial"/>
                <w:sz w:val="18"/>
                <w:lang w:val="es-ES" w:eastAsia="en-US"/>
              </w:rPr>
              <w:t>.</w:t>
            </w:r>
            <w:r w:rsidR="0067756D">
              <w:rPr>
                <w:rFonts w:cs="Arial"/>
                <w:sz w:val="18"/>
                <w:lang w:val="es-ES" w:eastAsia="en-US"/>
              </w:rPr>
              <w:t>4</w:t>
            </w:r>
          </w:p>
        </w:tc>
      </w:tr>
    </w:tbl>
    <w:p w:rsidR="000A36D8" w:rsidRDefault="00CC2BE5" w:rsidP="00674481">
      <w:pPr>
        <w:ind w:left="993"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r w:rsidR="00D7024E">
        <w:rPr>
          <w:sz w:val="16"/>
          <w:szCs w:val="16"/>
        </w:rPr>
        <w:t xml:space="preserve">  </w:t>
      </w:r>
    </w:p>
    <w:p w:rsidR="00140D9C" w:rsidRDefault="00674481" w:rsidP="00674481">
      <w:pPr>
        <w:ind w:left="708" w:right="-91" w:firstLine="285"/>
        <w:outlineLvl w:val="3"/>
        <w:rPr>
          <w:sz w:val="16"/>
          <w:szCs w:val="16"/>
        </w:rPr>
      </w:pPr>
      <w:r>
        <w:rPr>
          <w:sz w:val="16"/>
          <w:szCs w:val="16"/>
        </w:rPr>
        <w:t xml:space="preserve">       </w:t>
      </w:r>
      <w:r w:rsidR="00140D9C">
        <w:rPr>
          <w:sz w:val="16"/>
          <w:szCs w:val="16"/>
        </w:rPr>
        <w:t>Fuente: INEGI.</w:t>
      </w:r>
    </w:p>
    <w:p w:rsidR="00224330" w:rsidRDefault="00140D9C" w:rsidP="00ED340C">
      <w:pPr>
        <w:pStyle w:val="parr2"/>
        <w:keepNext/>
        <w:keepLines/>
        <w:spacing w:before="360"/>
        <w:ind w:left="0" w:right="584"/>
        <w:rPr>
          <w:b/>
          <w:i/>
        </w:rPr>
      </w:pPr>
      <w:r>
        <w:rPr>
          <w:b/>
          <w:i/>
        </w:rPr>
        <w:t>Nota metodológica</w:t>
      </w:r>
    </w:p>
    <w:p w:rsidR="00140D9C" w:rsidRDefault="00140D9C" w:rsidP="003249F6">
      <w:pPr>
        <w:spacing w:before="240"/>
        <w:outlineLvl w:val="3"/>
      </w:pPr>
      <w:r>
        <w:t xml:space="preserve">El Indicador Mensual del Consumo Privado en el Mercado Interior </w:t>
      </w:r>
      <w:r w:rsidR="00455565">
        <w:t xml:space="preserve">(IMCPMI) </w:t>
      </w:r>
      <w:r>
        <w:t>mide el comportamiento del gasto realizado por los hogares en bienes y servicios de consumo, tanto de origen nacional como importado, permitiendo con ello dar seguimiento de forma mensual al componente más significativo del PIB por el lado de la demanda.</w:t>
      </w:r>
    </w:p>
    <w:p w:rsidR="00140D9C" w:rsidRDefault="00140D9C" w:rsidP="003249F6">
      <w:pPr>
        <w:spacing w:before="240"/>
        <w:outlineLvl w:val="3"/>
      </w:pPr>
      <w:r>
        <w:t>Los datos del Indicador Mensual del Consumo Privado en el Mercado Interior est</w:t>
      </w:r>
      <w:r w:rsidR="0038088F">
        <w:t>á</w:t>
      </w:r>
      <w:r>
        <w:t>n disponibles en una serie larga desde enero de 1993 y se expresan en índices de volumen físico con base fija en el año 2</w:t>
      </w:r>
      <w:r w:rsidR="00F854EF">
        <w:t>013</w:t>
      </w:r>
      <w:r>
        <w:t xml:space="preserve">=100. </w:t>
      </w:r>
    </w:p>
    <w:p w:rsidR="00F53033" w:rsidRDefault="00135817" w:rsidP="00812219">
      <w:pPr>
        <w:spacing w:before="240"/>
        <w:outlineLvl w:val="3"/>
      </w:pPr>
      <w:r w:rsidRPr="00434EAE">
        <w:t>El</w:t>
      </w:r>
      <w:r w:rsidR="00140D9C" w:rsidRPr="00434EAE">
        <w:t xml:space="preserve"> presente </w:t>
      </w:r>
      <w:r w:rsidRPr="00434EAE">
        <w:t>documento</w:t>
      </w:r>
      <w:r w:rsidR="00140D9C" w:rsidRPr="00434EAE">
        <w:t xml:space="preserve"> destaca las variaciones porcentuales de las series desestacionalizadas o ajustadas estacionalmente, tanto respecto al mes anterior como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CB0DA0" w:rsidRDefault="00CB0DA0" w:rsidP="00CB0DA0">
      <w:pPr>
        <w:spacing w:before="120"/>
        <w:outlineLvl w:val="3"/>
      </w:pPr>
    </w:p>
    <w:p w:rsidR="00A358DE" w:rsidRDefault="00A358DE">
      <w:pPr>
        <w:widowControl/>
        <w:jc w:val="left"/>
      </w:pPr>
    </w:p>
    <w:p w:rsidR="00A358DE" w:rsidRDefault="00A358DE" w:rsidP="00CB0DA0">
      <w:pPr>
        <w:outlineLvl w:val="3"/>
      </w:pPr>
    </w:p>
    <w:p w:rsidR="00140D9C" w:rsidRDefault="00140D9C" w:rsidP="00CB0DA0">
      <w:pPr>
        <w:outlineLvl w:val="3"/>
      </w:pPr>
      <w:r w:rsidRPr="00434EAE">
        <w:t xml:space="preserve">En este sentido, la desestacionalización o ajuste estacional de series económicas consiste en remover estas influencias </w:t>
      </w:r>
      <w:proofErr w:type="spellStart"/>
      <w:r w:rsidRPr="00434EAE">
        <w:t>intra</w:t>
      </w:r>
      <w:proofErr w:type="spellEnd"/>
      <w:r w:rsidRPr="00434EAE">
        <w:t xml:space="preserve">-anuales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w:t>
      </w:r>
      <w:r w:rsidR="001E1257" w:rsidRPr="00434EAE">
        <w:t>de la semana y, en su caso, la Semana S</w:t>
      </w:r>
      <w:r w:rsidRPr="00434EAE">
        <w:t xml:space="preserve">anta y año bisiesto). Cabe señalar que la serie desestacionalizada del Indicador Mensual del Consumo Privado </w:t>
      </w:r>
      <w:r w:rsidR="001E4E95" w:rsidRPr="00434EAE">
        <w:t xml:space="preserve">en el Mercado Interior </w:t>
      </w:r>
      <w:r w:rsidRPr="00434EAE">
        <w:t>se calcula de manera independiente a la de sus componentes.</w:t>
      </w:r>
    </w:p>
    <w:p w:rsidR="00140D9C" w:rsidRPr="00434EAE" w:rsidRDefault="00B72479" w:rsidP="003249F6">
      <w:pPr>
        <w:spacing w:before="240"/>
        <w:outlineLvl w:val="3"/>
      </w:pPr>
      <w:r>
        <w:t>Las series originales se ajustan estacionalmente mediante el paquete estadístico X</w:t>
      </w:r>
      <w:r>
        <w:noBreakHyphen/>
        <w:t>13ARIMA-SEATS.</w:t>
      </w:r>
      <w:r w:rsidR="00FF6A2A">
        <w:t xml:space="preserve"> </w:t>
      </w:r>
      <w:r w:rsidR="00140D9C" w:rsidRPr="00434EAE">
        <w:t>Para conocer la metodología se sugiere consultar la siguiente liga:</w:t>
      </w:r>
    </w:p>
    <w:p w:rsidR="000E5547" w:rsidRDefault="00BE322B" w:rsidP="000E5547">
      <w:pPr>
        <w:spacing w:before="240"/>
        <w:rPr>
          <w:rFonts w:ascii="Calibri" w:hAnsi="Calibri"/>
          <w:color w:val="1F497D"/>
          <w:sz w:val="22"/>
          <w:lang w:eastAsia="en-US"/>
        </w:rPr>
      </w:pPr>
      <w:hyperlink r:id="rId29" w:history="1">
        <w:r w:rsidR="00171758" w:rsidRPr="00446E00">
          <w:rPr>
            <w:rStyle w:val="Hipervnculo"/>
            <w:lang w:eastAsia="en-US"/>
          </w:rPr>
          <w:t>http://www.inegi.org.mx/app/biblioteca/ficha.html?upc=702825099060</w:t>
        </w:r>
      </w:hyperlink>
    </w:p>
    <w:p w:rsidR="00140D9C" w:rsidRDefault="00140D9C" w:rsidP="003249F6">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434EAE">
        <w:rPr>
          <w:rFonts w:cs="Arial"/>
          <w:noProof/>
          <w:color w:val="000000"/>
          <w:sz w:val="18"/>
          <w:szCs w:val="18"/>
          <w:lang w:eastAsia="es-MX"/>
        </w:rPr>
        <w:drawing>
          <wp:inline distT="0" distB="0" distL="0" distR="0">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w:t>
      </w:r>
      <w:r w:rsidR="00455565" w:rsidRPr="00434EAE">
        <w:t>Indicador Mensual del Consumo Privado en el Mercado Interior</w:t>
      </w:r>
      <w:r w:rsidRPr="00434EAE">
        <w:t>.</w:t>
      </w:r>
    </w:p>
    <w:p w:rsidR="00FA238C" w:rsidRPr="006F503A" w:rsidRDefault="00BE322B" w:rsidP="00FA238C">
      <w:pPr>
        <w:spacing w:before="240"/>
        <w:outlineLvl w:val="3"/>
      </w:pPr>
      <w:hyperlink w:anchor="page3" w:history="1">
        <w:r w:rsidR="00FA238C" w:rsidRPr="006F503A">
          <w:t>Su cobertura geográfica es nacional y mide exclusivamente el consumo privado en el mercado interior, se</w:t>
        </w:r>
      </w:hyperlink>
      <w:r w:rsidR="00FA238C" w:rsidRPr="006F503A">
        <w:t xml:space="preserve"> </w:t>
      </w:r>
      <w:hyperlink w:anchor="page3" w:history="1">
        <w:r w:rsidR="00FA238C" w:rsidRPr="006F503A">
          <w:t>identifica el gasto realizado en bienes y en servicios de origen nacional, así como los bienes de origen importado. En el caso de los bienes se establece una diferenciación por durabilidad del bien, clasificándolos en duraderos, semi</w:t>
        </w:r>
        <w:r w:rsidR="00295D3F">
          <w:t xml:space="preserve"> </w:t>
        </w:r>
        <w:r w:rsidR="00FA238C" w:rsidRPr="006F503A">
          <w:t xml:space="preserve">duraderos y no duraderos, y enseguida se muestra a cada una de estas categorías separadas de acuerdo con su origen, nacional e importado. La cobertura </w:t>
        </w:r>
      </w:hyperlink>
      <w:hyperlink w:anchor="page3" w:history="1">
        <w:r w:rsidR="00FA238C" w:rsidRPr="006F503A">
          <w:t xml:space="preserve">de éste indicador es del 95.2% </w:t>
        </w:r>
      </w:hyperlink>
      <w:hyperlink w:anchor="page3" w:history="1">
        <w:r w:rsidR="00FA238C" w:rsidRPr="006F503A">
          <w:t>en el año 2013, año base de los productos del SCNM.</w:t>
        </w:r>
      </w:hyperlink>
    </w:p>
    <w:p w:rsidR="000B3636" w:rsidRDefault="00FA238C" w:rsidP="00FA238C">
      <w:pPr>
        <w:spacing w:before="240"/>
        <w:outlineLvl w:val="3"/>
      </w:pPr>
      <w:r w:rsidRPr="006F503A">
        <w:t>La información estadística que da respaldo al cálculo de los índices mensuales de volumen físico del consumo privado en el mercado interior, reconoce distintas vertientes, que pueden sintetizarse así:</w:t>
      </w:r>
    </w:p>
    <w:p w:rsidR="00FA238C" w:rsidRPr="006F503A" w:rsidRDefault="00FA238C" w:rsidP="00FA238C">
      <w:pPr>
        <w:pStyle w:val="Prrafodelista"/>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rsidR="00ED340C" w:rsidRDefault="00ED340C">
      <w:pPr>
        <w:widowControl/>
        <w:jc w:val="left"/>
      </w:pPr>
      <w:r>
        <w:br w:type="page"/>
      </w:r>
    </w:p>
    <w:p w:rsidR="00C46FD6" w:rsidRDefault="00C46FD6" w:rsidP="00365832">
      <w:pPr>
        <w:pStyle w:val="Prrafodelista"/>
        <w:spacing w:before="120"/>
        <w:outlineLvl w:val="3"/>
      </w:pPr>
    </w:p>
    <w:p w:rsidR="00C46FD6" w:rsidRPr="006F503A" w:rsidRDefault="00FA238C" w:rsidP="006305B8">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Cámaras, Asociaciones de Productores, Organismos y Empresas Públicas y Privadas y las estadísticas derivadas de registros administrativos, entre los que destacan: Petróleos Mexicanos; Comisión Federal de Electricidad; la Asociación Mexicana de la Industria Automotriz, A. C.; Banco de México; Bureau of Labor </w:t>
      </w:r>
      <w:proofErr w:type="spellStart"/>
      <w:r w:rsidRPr="006F503A">
        <w:t>Statistics</w:t>
      </w:r>
      <w:proofErr w:type="spellEnd"/>
      <w:r w:rsidRPr="006F503A">
        <w:t>; principalmente.</w:t>
      </w:r>
    </w:p>
    <w:p w:rsidR="00C46FD6" w:rsidRPr="006F503A" w:rsidRDefault="00C46FD6" w:rsidP="00365832">
      <w:pPr>
        <w:pStyle w:val="Prrafodelista"/>
        <w:spacing w:before="120"/>
        <w:outlineLvl w:val="3"/>
      </w:pPr>
    </w:p>
    <w:p w:rsidR="00EB0367" w:rsidRPr="006F503A" w:rsidRDefault="00FA238C" w:rsidP="00EB0367">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rsidR="00EB0367" w:rsidRPr="006F503A" w:rsidRDefault="00EB0367" w:rsidP="00EB0367">
      <w:pPr>
        <w:pStyle w:val="Prrafodelista"/>
        <w:spacing w:before="240"/>
        <w:outlineLvl w:val="3"/>
      </w:pPr>
    </w:p>
    <w:p w:rsidR="00EB0367" w:rsidRPr="006F503A" w:rsidRDefault="00FA238C" w:rsidP="00EB0367">
      <w:r w:rsidRPr="006F503A">
        <w:t>En la elaboración del indicador se siguen, en la medida de lo posible, los criterios metodológicos, clasificadores y datos fuente que se emplean en los cálculos anuales y trimestrales del consumo privado total,</w:t>
      </w:r>
      <w:r w:rsidR="00EB0367" w:rsidRPr="006F503A">
        <w:t xml:space="preserve"> así como la aplicación del Sistema de Clasificación Industrial de América del Norte (SCIAN) 2013, última versión disponible.</w:t>
      </w:r>
    </w:p>
    <w:p w:rsidR="00EB0367" w:rsidRPr="006F503A" w:rsidRDefault="00EB0367" w:rsidP="006147E2">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rsidR="00EB0367" w:rsidRPr="00EB0367" w:rsidRDefault="00EB0367" w:rsidP="00FF6A2A">
      <w:pPr>
        <w:spacing w:before="240"/>
      </w:pPr>
      <w:r w:rsidRPr="006F503A">
        <w:t>La información contenida en este documento es generada por el INEGI con base en los indicadores de corto plazo del Indicador Mensual del Consumo Privado en el Mercado Interior del Sistema de Cuentas Nacionales de México y se da a conocer en la fecha establecida en el Calendario de difusión de información estadística y geográfica y de Interés Nacional.</w:t>
      </w:r>
    </w:p>
    <w:p w:rsidR="00BA1145" w:rsidRPr="00BA1145" w:rsidRDefault="00631C67" w:rsidP="00F75C7D">
      <w:pPr>
        <w:spacing w:before="240"/>
        <w:rPr>
          <w:b/>
          <w:color w:val="0070C0"/>
          <w:sz w:val="20"/>
        </w:rPr>
      </w:pPr>
      <w:r w:rsidRPr="00631C67">
        <w:t>Las se</w:t>
      </w:r>
      <w:r w:rsidR="007333FB">
        <w:t>ries del Consumo Privado en el Mercado I</w:t>
      </w:r>
      <w:r w:rsidRPr="00631C67">
        <w:t xml:space="preserve">nterior, podrán ser consultadas en la sección PIB y Cuentas Nacionales de México y en el Banco de Información Económica (BIE), </w:t>
      </w:r>
      <w:r w:rsidR="00F53033">
        <w:t>en</w:t>
      </w:r>
      <w:r w:rsidRPr="00631C67">
        <w:t xml:space="preserve"> la página </w:t>
      </w:r>
      <w:r w:rsidR="00BA1145" w:rsidRPr="00631C67">
        <w:t>del Instituto</w:t>
      </w:r>
      <w:r w:rsidR="00BA1145">
        <w:t xml:space="preserve"> </w:t>
      </w:r>
      <w:r w:rsidR="00F53033">
        <w:t>e</w:t>
      </w:r>
      <w:r w:rsidR="00BA1145">
        <w:t>n</w:t>
      </w:r>
      <w:r w:rsidRPr="00631C67">
        <w:t xml:space="preserve"> Internet</w:t>
      </w:r>
      <w:r w:rsidR="00BA1145">
        <w:rPr>
          <w:rStyle w:val="Hipervnculo"/>
          <w:u w:val="none"/>
          <w:lang w:eastAsia="en-US"/>
        </w:rPr>
        <w:t>:</w:t>
      </w:r>
      <w:r w:rsidR="000E6B69">
        <w:rPr>
          <w:rStyle w:val="Hipervnculo"/>
          <w:u w:val="none"/>
          <w:lang w:eastAsia="en-US"/>
        </w:rPr>
        <w:t xml:space="preserve"> </w:t>
      </w:r>
      <w:r w:rsidR="00BA1145" w:rsidRPr="00224330">
        <w:rPr>
          <w:rStyle w:val="Hipervnculo"/>
          <w:color w:val="0070C0"/>
          <w:lang w:eastAsia="en-US"/>
        </w:rPr>
        <w:t>http://</w:t>
      </w:r>
      <w:hyperlink r:id="rId31" w:history="1">
        <w:r w:rsidR="00BA1145" w:rsidRPr="00BA1145">
          <w:rPr>
            <w:rStyle w:val="Hipervnculo"/>
            <w:color w:val="0070C0"/>
            <w:lang w:eastAsia="en-US"/>
          </w:rPr>
          <w:t>www.inegi.org.mx</w:t>
        </w:r>
      </w:hyperlink>
    </w:p>
    <w:sectPr w:rsidR="00BA1145" w:rsidRPr="00BA1145" w:rsidSect="002F60D6">
      <w:headerReference w:type="default" r:id="rId32"/>
      <w:footerReference w:type="default" r:id="rId33"/>
      <w:pgSz w:w="12242" w:h="15842" w:code="1"/>
      <w:pgMar w:top="1191" w:right="1701"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C1D" w:rsidRDefault="007B3C1D">
      <w:r>
        <w:separator/>
      </w:r>
    </w:p>
  </w:endnote>
  <w:endnote w:type="continuationSeparator" w:id="0">
    <w:p w:rsidR="007B3C1D" w:rsidRDefault="007B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2B" w:rsidRDefault="00BE322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AA" w:rsidRPr="002346CA" w:rsidRDefault="00B24EAA" w:rsidP="004C150C">
    <w:pPr>
      <w:pStyle w:val="Piedepgina"/>
      <w:contextualSpacing/>
      <w:jc w:val="center"/>
      <w:rPr>
        <w:color w:val="002060"/>
        <w:sz w:val="18"/>
        <w:szCs w:val="18"/>
      </w:rPr>
    </w:pPr>
    <w:r w:rsidRPr="002346CA">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2B" w:rsidRDefault="00BE322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C8" w:rsidRDefault="008F2BC8" w:rsidP="009D2FB0">
    <w:pPr>
      <w:pStyle w:val="Piedepgina"/>
      <w:jc w:val="center"/>
    </w:pPr>
    <w:r>
      <w:rPr>
        <w:b/>
      </w:rPr>
      <w:t>COMUNICACIÓN SOCIAL</w:t>
    </w:r>
  </w:p>
  <w:p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C1D" w:rsidRDefault="007B3C1D">
      <w:r>
        <w:separator/>
      </w:r>
    </w:p>
  </w:footnote>
  <w:footnote w:type="continuationSeparator" w:id="0">
    <w:p w:rsidR="007B3C1D" w:rsidRDefault="007B3C1D">
      <w:r>
        <w:continuationSeparator/>
      </w:r>
    </w:p>
  </w:footnote>
  <w:footnote w:id="1">
    <w:p w:rsidR="00B24EAA" w:rsidRPr="00140D9C" w:rsidRDefault="00B24EAA" w:rsidP="00854354">
      <w:pPr>
        <w:pStyle w:val="Textonotapie"/>
        <w:ind w:left="142" w:right="-121"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rsidR="00B24EAA" w:rsidRPr="00140D9C" w:rsidRDefault="00B24EAA" w:rsidP="00854354">
      <w:pPr>
        <w:pStyle w:val="Textonotapie"/>
        <w:ind w:left="142" w:right="-121"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rsidR="00B24EAA" w:rsidRDefault="00B24EAA" w:rsidP="00854354">
      <w:pPr>
        <w:pStyle w:val="Textonotapie"/>
        <w:ind w:left="142" w:right="-121"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rsidR="00B24EAA" w:rsidRPr="00140D9C" w:rsidRDefault="00B24EAA" w:rsidP="00B24EAA">
      <w:pPr>
        <w:pStyle w:val="Textonotapie"/>
        <w:ind w:left="142" w:hanging="142"/>
        <w:jc w:val="both"/>
        <w:rPr>
          <w:rFonts w:ascii="Arial" w:hAnsi="Arial" w:cs="Arial"/>
          <w:sz w:val="16"/>
          <w:szCs w:val="16"/>
        </w:rPr>
      </w:pPr>
    </w:p>
  </w:footnote>
  <w:footnote w:id="4">
    <w:p w:rsidR="00B24EAA" w:rsidRDefault="00B24EAA" w:rsidP="00B24EAA">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rsidR="00B24EAA" w:rsidRDefault="00B24EAA" w:rsidP="00B24EAA">
      <w:pPr>
        <w:pStyle w:val="Textonotapie"/>
        <w:ind w:left="142" w:hanging="142"/>
        <w:jc w:val="both"/>
        <w:rPr>
          <w:rFonts w:ascii="Arial" w:hAnsi="Arial" w:cs="Arial"/>
          <w:sz w:val="16"/>
          <w:szCs w:val="16"/>
        </w:rPr>
      </w:pPr>
    </w:p>
  </w:footnote>
  <w:footnote w:id="5">
    <w:p w:rsidR="00607F23" w:rsidRPr="00140D9C"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2B" w:rsidRDefault="00BE322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AA" w:rsidRPr="00E0416A" w:rsidRDefault="00B24EAA" w:rsidP="00BE322B">
    <w:pPr>
      <w:pStyle w:val="Encabezado"/>
      <w:framePr w:w="5459" w:hSpace="141" w:wrap="auto" w:vAnchor="text" w:hAnchor="page" w:x="5647" w:y="34"/>
      <w:ind w:left="567" w:hanging="11"/>
      <w:jc w:val="right"/>
      <w:rPr>
        <w:b/>
        <w:color w:val="002060"/>
      </w:rPr>
    </w:pPr>
    <w:bookmarkStart w:id="0" w:name="_GoBack"/>
    <w:r>
      <w:rPr>
        <w:b/>
        <w:color w:val="002060"/>
      </w:rPr>
      <w:t>COMUNICADO DE</w:t>
    </w:r>
    <w:r w:rsidRPr="00E0416A">
      <w:rPr>
        <w:b/>
        <w:color w:val="002060"/>
      </w:rPr>
      <w:t xml:space="preserve"> PRENSA NÚM. </w:t>
    </w:r>
    <w:r w:rsidR="00BE322B">
      <w:rPr>
        <w:b/>
        <w:color w:val="002060"/>
      </w:rPr>
      <w:t>393</w:t>
    </w:r>
    <w:r w:rsidRPr="00E0416A">
      <w:rPr>
        <w:b/>
        <w:color w:val="002060"/>
      </w:rPr>
      <w:t>/1</w:t>
    </w:r>
    <w:r>
      <w:rPr>
        <w:b/>
        <w:color w:val="002060"/>
      </w:rPr>
      <w:t>9</w:t>
    </w:r>
  </w:p>
  <w:p w:rsidR="00B24EAA" w:rsidRPr="00E0416A" w:rsidRDefault="00B24EAA" w:rsidP="00BE322B">
    <w:pPr>
      <w:pStyle w:val="Encabezado"/>
      <w:framePr w:w="5459" w:hSpace="141" w:wrap="auto" w:vAnchor="text" w:hAnchor="page" w:x="5647" w:y="34"/>
      <w:ind w:left="567" w:hanging="11"/>
      <w:jc w:val="right"/>
      <w:rPr>
        <w:b/>
        <w:color w:val="002060"/>
        <w:lang w:val="pt-BR"/>
      </w:rPr>
    </w:pPr>
    <w:r>
      <w:rPr>
        <w:b/>
        <w:color w:val="002060"/>
        <w:lang w:val="pt-BR"/>
      </w:rPr>
      <w:t xml:space="preserve">7 DE AGOSTO DE </w:t>
    </w:r>
    <w:r w:rsidRPr="00E0416A">
      <w:rPr>
        <w:b/>
        <w:color w:val="002060"/>
        <w:lang w:val="pt-BR"/>
      </w:rPr>
      <w:t>201</w:t>
    </w:r>
    <w:r>
      <w:rPr>
        <w:b/>
        <w:color w:val="002060"/>
        <w:lang w:val="pt-BR"/>
      </w:rPr>
      <w:t>9</w:t>
    </w:r>
  </w:p>
  <w:p w:rsidR="00B24EAA" w:rsidRPr="00ED588B" w:rsidRDefault="00B24EAA" w:rsidP="00BE322B">
    <w:pPr>
      <w:pStyle w:val="Encabezado"/>
      <w:framePr w:w="5459" w:hSpace="141" w:wrap="auto" w:vAnchor="text" w:hAnchor="page" w:x="5647" w:y="34"/>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BE322B">
      <w:rPr>
        <w:b/>
        <w:noProof/>
        <w:color w:val="002060"/>
        <w:lang w:val="pt-BR"/>
      </w:rPr>
      <w:t>1</w:t>
    </w:r>
    <w:r w:rsidRPr="00ED588B">
      <w:rPr>
        <w:color w:val="002060"/>
      </w:rPr>
      <w:fldChar w:fldCharType="end"/>
    </w:r>
    <w:r w:rsidRPr="00ED588B">
      <w:rPr>
        <w:b/>
        <w:color w:val="002060"/>
        <w:lang w:val="pt-BR"/>
      </w:rPr>
      <w:t>/</w:t>
    </w:r>
    <w:r>
      <w:rPr>
        <w:b/>
        <w:color w:val="002060"/>
        <w:lang w:val="pt-BR"/>
      </w:rPr>
      <w:t>2</w:t>
    </w:r>
  </w:p>
  <w:bookmarkEnd w:id="0"/>
  <w:p w:rsidR="00B24EAA" w:rsidRDefault="00B24EAA" w:rsidP="004C150C">
    <w:pPr>
      <w:pStyle w:val="Encabezado"/>
      <w:ind w:left="-993"/>
    </w:pPr>
    <w:r>
      <w:rPr>
        <w:noProof/>
        <w:lang w:eastAsia="es-MX"/>
      </w:rPr>
      <w:drawing>
        <wp:inline distT="0" distB="0" distL="0" distR="0" wp14:anchorId="61050AC5" wp14:editId="197B1723">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2B" w:rsidRDefault="00BE322B">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C8" w:rsidRDefault="00137231" w:rsidP="00B24EAA">
    <w:pPr>
      <w:pStyle w:val="Encabezado"/>
      <w:tabs>
        <w:tab w:val="clear" w:pos="4320"/>
        <w:tab w:val="clear" w:pos="8640"/>
        <w:tab w:val="center" w:pos="2606"/>
      </w:tabs>
      <w:jc w:val="center"/>
    </w:pPr>
    <w:r>
      <w:rPr>
        <w:noProof/>
        <w:lang w:eastAsia="es-MX"/>
      </w:rPr>
      <w:drawing>
        <wp:inline distT="0" distB="0" distL="0" distR="0" wp14:anchorId="70E6ED4A" wp14:editId="662A22D2">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ES"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1C"/>
    <w:rsid w:val="00000609"/>
    <w:rsid w:val="00000C09"/>
    <w:rsid w:val="000012DC"/>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ED4"/>
    <w:rsid w:val="000134DC"/>
    <w:rsid w:val="00013BA9"/>
    <w:rsid w:val="00014805"/>
    <w:rsid w:val="00014D68"/>
    <w:rsid w:val="00014E30"/>
    <w:rsid w:val="000169B1"/>
    <w:rsid w:val="0001751C"/>
    <w:rsid w:val="000179B9"/>
    <w:rsid w:val="0002018E"/>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5BE"/>
    <w:rsid w:val="00027ED7"/>
    <w:rsid w:val="00030082"/>
    <w:rsid w:val="000300E3"/>
    <w:rsid w:val="00031713"/>
    <w:rsid w:val="00031845"/>
    <w:rsid w:val="00032545"/>
    <w:rsid w:val="000325D6"/>
    <w:rsid w:val="000327E9"/>
    <w:rsid w:val="00033C5F"/>
    <w:rsid w:val="000340C8"/>
    <w:rsid w:val="000342CC"/>
    <w:rsid w:val="0003466E"/>
    <w:rsid w:val="00034A90"/>
    <w:rsid w:val="00034B65"/>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AEC"/>
    <w:rsid w:val="00053DA7"/>
    <w:rsid w:val="000540EF"/>
    <w:rsid w:val="0005463E"/>
    <w:rsid w:val="00055478"/>
    <w:rsid w:val="000560B3"/>
    <w:rsid w:val="00056521"/>
    <w:rsid w:val="00056CFF"/>
    <w:rsid w:val="000573C0"/>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8015E"/>
    <w:rsid w:val="00080491"/>
    <w:rsid w:val="0008072A"/>
    <w:rsid w:val="00082088"/>
    <w:rsid w:val="00082728"/>
    <w:rsid w:val="00082F15"/>
    <w:rsid w:val="00083372"/>
    <w:rsid w:val="000841BA"/>
    <w:rsid w:val="000846B1"/>
    <w:rsid w:val="00084AF0"/>
    <w:rsid w:val="00085872"/>
    <w:rsid w:val="0008588C"/>
    <w:rsid w:val="00085AA4"/>
    <w:rsid w:val="00085B9C"/>
    <w:rsid w:val="00086533"/>
    <w:rsid w:val="000867C9"/>
    <w:rsid w:val="000867E1"/>
    <w:rsid w:val="00086E14"/>
    <w:rsid w:val="000872B2"/>
    <w:rsid w:val="00090721"/>
    <w:rsid w:val="00090C41"/>
    <w:rsid w:val="00090CBA"/>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CA9"/>
    <w:rsid w:val="000A3E3D"/>
    <w:rsid w:val="000A410C"/>
    <w:rsid w:val="000A4671"/>
    <w:rsid w:val="000A5154"/>
    <w:rsid w:val="000A58D0"/>
    <w:rsid w:val="000A69D3"/>
    <w:rsid w:val="000A6F37"/>
    <w:rsid w:val="000A740B"/>
    <w:rsid w:val="000A7785"/>
    <w:rsid w:val="000A7FDB"/>
    <w:rsid w:val="000B0456"/>
    <w:rsid w:val="000B058C"/>
    <w:rsid w:val="000B05FA"/>
    <w:rsid w:val="000B11A8"/>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31"/>
    <w:rsid w:val="000B60DA"/>
    <w:rsid w:val="000B6610"/>
    <w:rsid w:val="000B67B4"/>
    <w:rsid w:val="000B6E70"/>
    <w:rsid w:val="000B731F"/>
    <w:rsid w:val="000B73D3"/>
    <w:rsid w:val="000B7404"/>
    <w:rsid w:val="000C0BC1"/>
    <w:rsid w:val="000C1AAD"/>
    <w:rsid w:val="000C1C62"/>
    <w:rsid w:val="000C1EA6"/>
    <w:rsid w:val="000C31CB"/>
    <w:rsid w:val="000C394F"/>
    <w:rsid w:val="000C3C60"/>
    <w:rsid w:val="000C407B"/>
    <w:rsid w:val="000C4D1D"/>
    <w:rsid w:val="000C4DD1"/>
    <w:rsid w:val="000C57F3"/>
    <w:rsid w:val="000C5A46"/>
    <w:rsid w:val="000C5E8E"/>
    <w:rsid w:val="000C723B"/>
    <w:rsid w:val="000C7250"/>
    <w:rsid w:val="000C7274"/>
    <w:rsid w:val="000C7DB5"/>
    <w:rsid w:val="000D0249"/>
    <w:rsid w:val="000D0FCD"/>
    <w:rsid w:val="000D118D"/>
    <w:rsid w:val="000D1690"/>
    <w:rsid w:val="000D179E"/>
    <w:rsid w:val="000D21B6"/>
    <w:rsid w:val="000D2233"/>
    <w:rsid w:val="000D232B"/>
    <w:rsid w:val="000D264F"/>
    <w:rsid w:val="000D27CE"/>
    <w:rsid w:val="000D2B5C"/>
    <w:rsid w:val="000D3520"/>
    <w:rsid w:val="000D36E0"/>
    <w:rsid w:val="000D4C2F"/>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30126"/>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6363"/>
    <w:rsid w:val="0015661D"/>
    <w:rsid w:val="00156958"/>
    <w:rsid w:val="00156E46"/>
    <w:rsid w:val="001612D4"/>
    <w:rsid w:val="0016157C"/>
    <w:rsid w:val="00161771"/>
    <w:rsid w:val="00161A75"/>
    <w:rsid w:val="001628F2"/>
    <w:rsid w:val="00163343"/>
    <w:rsid w:val="00163E70"/>
    <w:rsid w:val="00163F74"/>
    <w:rsid w:val="00163FD5"/>
    <w:rsid w:val="0016412F"/>
    <w:rsid w:val="00164A27"/>
    <w:rsid w:val="00164B37"/>
    <w:rsid w:val="00165661"/>
    <w:rsid w:val="001657FE"/>
    <w:rsid w:val="00165876"/>
    <w:rsid w:val="00165979"/>
    <w:rsid w:val="0016680F"/>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41A9"/>
    <w:rsid w:val="001743E7"/>
    <w:rsid w:val="001745BE"/>
    <w:rsid w:val="001745E9"/>
    <w:rsid w:val="00174859"/>
    <w:rsid w:val="00174888"/>
    <w:rsid w:val="0017523F"/>
    <w:rsid w:val="00175A58"/>
    <w:rsid w:val="00175FAA"/>
    <w:rsid w:val="001769C2"/>
    <w:rsid w:val="00176A17"/>
    <w:rsid w:val="00176FE5"/>
    <w:rsid w:val="00177115"/>
    <w:rsid w:val="00177622"/>
    <w:rsid w:val="00177F0C"/>
    <w:rsid w:val="001807F8"/>
    <w:rsid w:val="00180B3E"/>
    <w:rsid w:val="00181089"/>
    <w:rsid w:val="001813C4"/>
    <w:rsid w:val="0018191D"/>
    <w:rsid w:val="00181D67"/>
    <w:rsid w:val="00181D7C"/>
    <w:rsid w:val="00181FA1"/>
    <w:rsid w:val="001823D6"/>
    <w:rsid w:val="00182679"/>
    <w:rsid w:val="00182EE9"/>
    <w:rsid w:val="00184064"/>
    <w:rsid w:val="001844E7"/>
    <w:rsid w:val="0018484F"/>
    <w:rsid w:val="0018494F"/>
    <w:rsid w:val="00184A18"/>
    <w:rsid w:val="00184D5D"/>
    <w:rsid w:val="001852E6"/>
    <w:rsid w:val="001854F0"/>
    <w:rsid w:val="0018593B"/>
    <w:rsid w:val="00185DFF"/>
    <w:rsid w:val="00185E3B"/>
    <w:rsid w:val="00186288"/>
    <w:rsid w:val="0018653F"/>
    <w:rsid w:val="00187280"/>
    <w:rsid w:val="00187289"/>
    <w:rsid w:val="001910DC"/>
    <w:rsid w:val="00191B61"/>
    <w:rsid w:val="00191D33"/>
    <w:rsid w:val="00191DE3"/>
    <w:rsid w:val="001920D6"/>
    <w:rsid w:val="00192382"/>
    <w:rsid w:val="00192B25"/>
    <w:rsid w:val="00193A59"/>
    <w:rsid w:val="00193A8C"/>
    <w:rsid w:val="00193FFF"/>
    <w:rsid w:val="00194825"/>
    <w:rsid w:val="00194DC1"/>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48C"/>
    <w:rsid w:val="001A578B"/>
    <w:rsid w:val="001A57A1"/>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2DE"/>
    <w:rsid w:val="001B53EE"/>
    <w:rsid w:val="001B5520"/>
    <w:rsid w:val="001B5656"/>
    <w:rsid w:val="001B604C"/>
    <w:rsid w:val="001B6943"/>
    <w:rsid w:val="001B7102"/>
    <w:rsid w:val="001B7194"/>
    <w:rsid w:val="001B7C04"/>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399"/>
    <w:rsid w:val="001C5673"/>
    <w:rsid w:val="001C587C"/>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B92"/>
    <w:rsid w:val="001D7584"/>
    <w:rsid w:val="001D761A"/>
    <w:rsid w:val="001D7772"/>
    <w:rsid w:val="001D7959"/>
    <w:rsid w:val="001E026B"/>
    <w:rsid w:val="001E0816"/>
    <w:rsid w:val="001E092E"/>
    <w:rsid w:val="001E09C0"/>
    <w:rsid w:val="001E0E77"/>
    <w:rsid w:val="001E1257"/>
    <w:rsid w:val="001E2814"/>
    <w:rsid w:val="001E2ECB"/>
    <w:rsid w:val="001E31B7"/>
    <w:rsid w:val="001E3F88"/>
    <w:rsid w:val="001E4E95"/>
    <w:rsid w:val="001E5C5B"/>
    <w:rsid w:val="001E5EC3"/>
    <w:rsid w:val="001E6005"/>
    <w:rsid w:val="001E6791"/>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ABF"/>
    <w:rsid w:val="00200CAE"/>
    <w:rsid w:val="002010BD"/>
    <w:rsid w:val="002010FA"/>
    <w:rsid w:val="002013A7"/>
    <w:rsid w:val="00201487"/>
    <w:rsid w:val="00201A5C"/>
    <w:rsid w:val="00201B7C"/>
    <w:rsid w:val="00201BEA"/>
    <w:rsid w:val="00201F70"/>
    <w:rsid w:val="00203A38"/>
    <w:rsid w:val="00203D48"/>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7B"/>
    <w:rsid w:val="00226287"/>
    <w:rsid w:val="00226B2D"/>
    <w:rsid w:val="00226D72"/>
    <w:rsid w:val="00226F8D"/>
    <w:rsid w:val="002276D7"/>
    <w:rsid w:val="00230A50"/>
    <w:rsid w:val="0023158A"/>
    <w:rsid w:val="002315A0"/>
    <w:rsid w:val="0023234E"/>
    <w:rsid w:val="00232383"/>
    <w:rsid w:val="002325F7"/>
    <w:rsid w:val="00232C9F"/>
    <w:rsid w:val="00232CDE"/>
    <w:rsid w:val="002331BD"/>
    <w:rsid w:val="00233926"/>
    <w:rsid w:val="0023399B"/>
    <w:rsid w:val="00234065"/>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41E1"/>
    <w:rsid w:val="00244322"/>
    <w:rsid w:val="002443E6"/>
    <w:rsid w:val="00244C30"/>
    <w:rsid w:val="00244EF4"/>
    <w:rsid w:val="00245BEE"/>
    <w:rsid w:val="002463FB"/>
    <w:rsid w:val="002465DF"/>
    <w:rsid w:val="00246D18"/>
    <w:rsid w:val="00247211"/>
    <w:rsid w:val="00247682"/>
    <w:rsid w:val="002505AF"/>
    <w:rsid w:val="00250F32"/>
    <w:rsid w:val="002514B7"/>
    <w:rsid w:val="002522A7"/>
    <w:rsid w:val="00253E1D"/>
    <w:rsid w:val="00254197"/>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10B1"/>
    <w:rsid w:val="002A1693"/>
    <w:rsid w:val="002A189C"/>
    <w:rsid w:val="002A1950"/>
    <w:rsid w:val="002A2D84"/>
    <w:rsid w:val="002A321E"/>
    <w:rsid w:val="002A39B6"/>
    <w:rsid w:val="002A49D8"/>
    <w:rsid w:val="002A5486"/>
    <w:rsid w:val="002A5510"/>
    <w:rsid w:val="002A5949"/>
    <w:rsid w:val="002A6104"/>
    <w:rsid w:val="002A6819"/>
    <w:rsid w:val="002A6EFA"/>
    <w:rsid w:val="002A7120"/>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506"/>
    <w:rsid w:val="002C0BD6"/>
    <w:rsid w:val="002C0C1B"/>
    <w:rsid w:val="002C0FA6"/>
    <w:rsid w:val="002C1386"/>
    <w:rsid w:val="002C24D6"/>
    <w:rsid w:val="002C26CE"/>
    <w:rsid w:val="002C2B09"/>
    <w:rsid w:val="002C2DF8"/>
    <w:rsid w:val="002C3239"/>
    <w:rsid w:val="002C3946"/>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D3A"/>
    <w:rsid w:val="002D5FF5"/>
    <w:rsid w:val="002D6233"/>
    <w:rsid w:val="002D758E"/>
    <w:rsid w:val="002D7B9E"/>
    <w:rsid w:val="002D7ECD"/>
    <w:rsid w:val="002E0537"/>
    <w:rsid w:val="002E0607"/>
    <w:rsid w:val="002E0D11"/>
    <w:rsid w:val="002E1856"/>
    <w:rsid w:val="002E18AF"/>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44F"/>
    <w:rsid w:val="00303AFB"/>
    <w:rsid w:val="00303DF0"/>
    <w:rsid w:val="00304004"/>
    <w:rsid w:val="003042C3"/>
    <w:rsid w:val="0030495F"/>
    <w:rsid w:val="00304E7F"/>
    <w:rsid w:val="00305329"/>
    <w:rsid w:val="0030561C"/>
    <w:rsid w:val="003065B4"/>
    <w:rsid w:val="0030690D"/>
    <w:rsid w:val="00306D57"/>
    <w:rsid w:val="0030727E"/>
    <w:rsid w:val="0030750D"/>
    <w:rsid w:val="00307D3B"/>
    <w:rsid w:val="003101B2"/>
    <w:rsid w:val="00310395"/>
    <w:rsid w:val="003105DF"/>
    <w:rsid w:val="00311816"/>
    <w:rsid w:val="00311AF2"/>
    <w:rsid w:val="00312295"/>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8F7"/>
    <w:rsid w:val="00334A9F"/>
    <w:rsid w:val="00334AC3"/>
    <w:rsid w:val="00334EA3"/>
    <w:rsid w:val="00334F56"/>
    <w:rsid w:val="0033744F"/>
    <w:rsid w:val="00337B1E"/>
    <w:rsid w:val="00340030"/>
    <w:rsid w:val="00340BA5"/>
    <w:rsid w:val="00340EA6"/>
    <w:rsid w:val="00340F4E"/>
    <w:rsid w:val="00341A11"/>
    <w:rsid w:val="003422B1"/>
    <w:rsid w:val="003428C7"/>
    <w:rsid w:val="00342D3B"/>
    <w:rsid w:val="00342FF1"/>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F4D"/>
    <w:rsid w:val="00361D44"/>
    <w:rsid w:val="00361E18"/>
    <w:rsid w:val="00362235"/>
    <w:rsid w:val="0036316E"/>
    <w:rsid w:val="003634B5"/>
    <w:rsid w:val="00363AD1"/>
    <w:rsid w:val="00363B9C"/>
    <w:rsid w:val="00363FA7"/>
    <w:rsid w:val="00363FDD"/>
    <w:rsid w:val="00364B98"/>
    <w:rsid w:val="00364E21"/>
    <w:rsid w:val="00365832"/>
    <w:rsid w:val="00365884"/>
    <w:rsid w:val="00365ED7"/>
    <w:rsid w:val="0036646F"/>
    <w:rsid w:val="00366537"/>
    <w:rsid w:val="0036672A"/>
    <w:rsid w:val="00366A79"/>
    <w:rsid w:val="00366B26"/>
    <w:rsid w:val="00366C14"/>
    <w:rsid w:val="003670A8"/>
    <w:rsid w:val="0037023F"/>
    <w:rsid w:val="00370AAE"/>
    <w:rsid w:val="00370BE0"/>
    <w:rsid w:val="00370DD1"/>
    <w:rsid w:val="003710D5"/>
    <w:rsid w:val="003710F0"/>
    <w:rsid w:val="00371676"/>
    <w:rsid w:val="0037280F"/>
    <w:rsid w:val="00372B3B"/>
    <w:rsid w:val="00372BED"/>
    <w:rsid w:val="00372D11"/>
    <w:rsid w:val="003730D4"/>
    <w:rsid w:val="003730FD"/>
    <w:rsid w:val="0037340E"/>
    <w:rsid w:val="00373795"/>
    <w:rsid w:val="00373951"/>
    <w:rsid w:val="0037472D"/>
    <w:rsid w:val="003752AA"/>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F90"/>
    <w:rsid w:val="003C13B2"/>
    <w:rsid w:val="003C154B"/>
    <w:rsid w:val="003C1764"/>
    <w:rsid w:val="003C1FCA"/>
    <w:rsid w:val="003C2CD9"/>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81B"/>
    <w:rsid w:val="003D1846"/>
    <w:rsid w:val="003D1BF2"/>
    <w:rsid w:val="003D24F9"/>
    <w:rsid w:val="003D301D"/>
    <w:rsid w:val="003D344E"/>
    <w:rsid w:val="003D3818"/>
    <w:rsid w:val="003D3BE9"/>
    <w:rsid w:val="003D42C1"/>
    <w:rsid w:val="003D463D"/>
    <w:rsid w:val="003D470A"/>
    <w:rsid w:val="003D5413"/>
    <w:rsid w:val="003D5743"/>
    <w:rsid w:val="003D5A05"/>
    <w:rsid w:val="003D6321"/>
    <w:rsid w:val="003D77A8"/>
    <w:rsid w:val="003D78E3"/>
    <w:rsid w:val="003E02B8"/>
    <w:rsid w:val="003E09A8"/>
    <w:rsid w:val="003E17D0"/>
    <w:rsid w:val="003E1B04"/>
    <w:rsid w:val="003E2091"/>
    <w:rsid w:val="003E2CA0"/>
    <w:rsid w:val="003E40E8"/>
    <w:rsid w:val="003E44D3"/>
    <w:rsid w:val="003E51F7"/>
    <w:rsid w:val="003E5BA2"/>
    <w:rsid w:val="003E5EE7"/>
    <w:rsid w:val="003E6825"/>
    <w:rsid w:val="003E7062"/>
    <w:rsid w:val="003E74D9"/>
    <w:rsid w:val="003E76A1"/>
    <w:rsid w:val="003E791F"/>
    <w:rsid w:val="003F014D"/>
    <w:rsid w:val="003F0547"/>
    <w:rsid w:val="003F0933"/>
    <w:rsid w:val="003F11B0"/>
    <w:rsid w:val="003F1419"/>
    <w:rsid w:val="003F1524"/>
    <w:rsid w:val="003F15C3"/>
    <w:rsid w:val="003F2501"/>
    <w:rsid w:val="003F262E"/>
    <w:rsid w:val="003F27F9"/>
    <w:rsid w:val="003F2908"/>
    <w:rsid w:val="003F2E57"/>
    <w:rsid w:val="003F3246"/>
    <w:rsid w:val="003F3E13"/>
    <w:rsid w:val="003F4159"/>
    <w:rsid w:val="003F423F"/>
    <w:rsid w:val="003F4FE2"/>
    <w:rsid w:val="003F5B8F"/>
    <w:rsid w:val="003F5BFF"/>
    <w:rsid w:val="003F5C0B"/>
    <w:rsid w:val="003F5F7F"/>
    <w:rsid w:val="003F6326"/>
    <w:rsid w:val="003F6BF4"/>
    <w:rsid w:val="003F6EBA"/>
    <w:rsid w:val="003F75ED"/>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B1E"/>
    <w:rsid w:val="0041435F"/>
    <w:rsid w:val="00414B50"/>
    <w:rsid w:val="00414E21"/>
    <w:rsid w:val="0041501F"/>
    <w:rsid w:val="00415F20"/>
    <w:rsid w:val="00416292"/>
    <w:rsid w:val="00416782"/>
    <w:rsid w:val="00416791"/>
    <w:rsid w:val="00416956"/>
    <w:rsid w:val="00416D3D"/>
    <w:rsid w:val="00417259"/>
    <w:rsid w:val="00417ACE"/>
    <w:rsid w:val="00417C3A"/>
    <w:rsid w:val="00417F5D"/>
    <w:rsid w:val="00420F3C"/>
    <w:rsid w:val="004212A3"/>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D2D"/>
    <w:rsid w:val="0042438D"/>
    <w:rsid w:val="004245D0"/>
    <w:rsid w:val="00424654"/>
    <w:rsid w:val="004248DD"/>
    <w:rsid w:val="0042490E"/>
    <w:rsid w:val="00425471"/>
    <w:rsid w:val="00425592"/>
    <w:rsid w:val="00425E70"/>
    <w:rsid w:val="00426EB6"/>
    <w:rsid w:val="004274D8"/>
    <w:rsid w:val="00427EF8"/>
    <w:rsid w:val="00430102"/>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873"/>
    <w:rsid w:val="004440CE"/>
    <w:rsid w:val="00444A38"/>
    <w:rsid w:val="00444C21"/>
    <w:rsid w:val="00444D0B"/>
    <w:rsid w:val="00446A33"/>
    <w:rsid w:val="00446E95"/>
    <w:rsid w:val="00446F0D"/>
    <w:rsid w:val="0044753D"/>
    <w:rsid w:val="00447E6A"/>
    <w:rsid w:val="00450407"/>
    <w:rsid w:val="00451AE6"/>
    <w:rsid w:val="00451E02"/>
    <w:rsid w:val="004524CB"/>
    <w:rsid w:val="00453C28"/>
    <w:rsid w:val="00454330"/>
    <w:rsid w:val="00454730"/>
    <w:rsid w:val="00455565"/>
    <w:rsid w:val="00455D3E"/>
    <w:rsid w:val="00455FC6"/>
    <w:rsid w:val="0045629C"/>
    <w:rsid w:val="00456B62"/>
    <w:rsid w:val="0045707D"/>
    <w:rsid w:val="0045731D"/>
    <w:rsid w:val="0045773F"/>
    <w:rsid w:val="00460E75"/>
    <w:rsid w:val="00461D38"/>
    <w:rsid w:val="0046216B"/>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80031"/>
    <w:rsid w:val="00480945"/>
    <w:rsid w:val="00480D24"/>
    <w:rsid w:val="00481359"/>
    <w:rsid w:val="004816FE"/>
    <w:rsid w:val="00481932"/>
    <w:rsid w:val="00482073"/>
    <w:rsid w:val="0048230C"/>
    <w:rsid w:val="0048264B"/>
    <w:rsid w:val="00483690"/>
    <w:rsid w:val="00483D7A"/>
    <w:rsid w:val="00484194"/>
    <w:rsid w:val="0048452C"/>
    <w:rsid w:val="00484912"/>
    <w:rsid w:val="004849B4"/>
    <w:rsid w:val="00484A41"/>
    <w:rsid w:val="00484DBE"/>
    <w:rsid w:val="004852B4"/>
    <w:rsid w:val="004853D9"/>
    <w:rsid w:val="0048557D"/>
    <w:rsid w:val="004858D5"/>
    <w:rsid w:val="00485984"/>
    <w:rsid w:val="00485C00"/>
    <w:rsid w:val="004862B9"/>
    <w:rsid w:val="004866C0"/>
    <w:rsid w:val="00487005"/>
    <w:rsid w:val="004874E7"/>
    <w:rsid w:val="00487877"/>
    <w:rsid w:val="00487C2F"/>
    <w:rsid w:val="00487DEF"/>
    <w:rsid w:val="00490486"/>
    <w:rsid w:val="0049096C"/>
    <w:rsid w:val="004913A6"/>
    <w:rsid w:val="0049171B"/>
    <w:rsid w:val="00491A64"/>
    <w:rsid w:val="004921A1"/>
    <w:rsid w:val="0049248D"/>
    <w:rsid w:val="00492795"/>
    <w:rsid w:val="0049297F"/>
    <w:rsid w:val="00492ECB"/>
    <w:rsid w:val="0049306E"/>
    <w:rsid w:val="00493278"/>
    <w:rsid w:val="00493A15"/>
    <w:rsid w:val="00494F7C"/>
    <w:rsid w:val="00495B32"/>
    <w:rsid w:val="00495EF0"/>
    <w:rsid w:val="00495FF8"/>
    <w:rsid w:val="004965BA"/>
    <w:rsid w:val="00496AAA"/>
    <w:rsid w:val="00496C86"/>
    <w:rsid w:val="00496C89"/>
    <w:rsid w:val="004973F4"/>
    <w:rsid w:val="004973F6"/>
    <w:rsid w:val="0049758A"/>
    <w:rsid w:val="00497B5A"/>
    <w:rsid w:val="004A0FC2"/>
    <w:rsid w:val="004A1153"/>
    <w:rsid w:val="004A119A"/>
    <w:rsid w:val="004A13AF"/>
    <w:rsid w:val="004A2DCB"/>
    <w:rsid w:val="004A31C2"/>
    <w:rsid w:val="004A32F5"/>
    <w:rsid w:val="004A374B"/>
    <w:rsid w:val="004A3CE3"/>
    <w:rsid w:val="004A3D11"/>
    <w:rsid w:val="004A464C"/>
    <w:rsid w:val="004A4BCC"/>
    <w:rsid w:val="004A4CDA"/>
    <w:rsid w:val="004A52C7"/>
    <w:rsid w:val="004A6C80"/>
    <w:rsid w:val="004A7EC2"/>
    <w:rsid w:val="004B02F6"/>
    <w:rsid w:val="004B09B6"/>
    <w:rsid w:val="004B0DDA"/>
    <w:rsid w:val="004B1039"/>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7A46"/>
    <w:rsid w:val="004D0397"/>
    <w:rsid w:val="004D0E22"/>
    <w:rsid w:val="004D0E2D"/>
    <w:rsid w:val="004D0E68"/>
    <w:rsid w:val="004D1116"/>
    <w:rsid w:val="004D19B7"/>
    <w:rsid w:val="004D19C3"/>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F2A"/>
    <w:rsid w:val="004D7A4E"/>
    <w:rsid w:val="004E04B3"/>
    <w:rsid w:val="004E0E4C"/>
    <w:rsid w:val="004E12B4"/>
    <w:rsid w:val="004E1774"/>
    <w:rsid w:val="004E1EF7"/>
    <w:rsid w:val="004E23C5"/>
    <w:rsid w:val="004E3073"/>
    <w:rsid w:val="004E3693"/>
    <w:rsid w:val="004E36C1"/>
    <w:rsid w:val="004E36E0"/>
    <w:rsid w:val="004E3A6C"/>
    <w:rsid w:val="004E3D22"/>
    <w:rsid w:val="004E3F0B"/>
    <w:rsid w:val="004E4D8C"/>
    <w:rsid w:val="004E5644"/>
    <w:rsid w:val="004E7230"/>
    <w:rsid w:val="004E7233"/>
    <w:rsid w:val="004E7C84"/>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10916"/>
    <w:rsid w:val="00510EA2"/>
    <w:rsid w:val="00511003"/>
    <w:rsid w:val="005114C8"/>
    <w:rsid w:val="00511596"/>
    <w:rsid w:val="00511BBA"/>
    <w:rsid w:val="00512BDC"/>
    <w:rsid w:val="0051346E"/>
    <w:rsid w:val="0051398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A8F"/>
    <w:rsid w:val="00522CEC"/>
    <w:rsid w:val="00522DA1"/>
    <w:rsid w:val="00523180"/>
    <w:rsid w:val="005232F0"/>
    <w:rsid w:val="00523BA7"/>
    <w:rsid w:val="0052534A"/>
    <w:rsid w:val="005266A3"/>
    <w:rsid w:val="005272DD"/>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3797"/>
    <w:rsid w:val="005639C5"/>
    <w:rsid w:val="005641D1"/>
    <w:rsid w:val="005651A0"/>
    <w:rsid w:val="00565306"/>
    <w:rsid w:val="005654DB"/>
    <w:rsid w:val="00565766"/>
    <w:rsid w:val="00565B0D"/>
    <w:rsid w:val="00565C10"/>
    <w:rsid w:val="00566492"/>
    <w:rsid w:val="005668EA"/>
    <w:rsid w:val="00567499"/>
    <w:rsid w:val="0056756B"/>
    <w:rsid w:val="00567634"/>
    <w:rsid w:val="005676DB"/>
    <w:rsid w:val="00567E7C"/>
    <w:rsid w:val="00571089"/>
    <w:rsid w:val="005717F1"/>
    <w:rsid w:val="00571DF8"/>
    <w:rsid w:val="005722F7"/>
    <w:rsid w:val="005725E0"/>
    <w:rsid w:val="0057270F"/>
    <w:rsid w:val="00572722"/>
    <w:rsid w:val="00572844"/>
    <w:rsid w:val="005738F7"/>
    <w:rsid w:val="0057491B"/>
    <w:rsid w:val="0057519D"/>
    <w:rsid w:val="005756E3"/>
    <w:rsid w:val="00576617"/>
    <w:rsid w:val="0057663D"/>
    <w:rsid w:val="00577A86"/>
    <w:rsid w:val="00577B51"/>
    <w:rsid w:val="00577B74"/>
    <w:rsid w:val="00577BBC"/>
    <w:rsid w:val="00577E3D"/>
    <w:rsid w:val="0058068C"/>
    <w:rsid w:val="005806A9"/>
    <w:rsid w:val="005809A2"/>
    <w:rsid w:val="0058416D"/>
    <w:rsid w:val="005841AA"/>
    <w:rsid w:val="0058445E"/>
    <w:rsid w:val="00584805"/>
    <w:rsid w:val="0058515F"/>
    <w:rsid w:val="0058550A"/>
    <w:rsid w:val="00586094"/>
    <w:rsid w:val="00586570"/>
    <w:rsid w:val="00586B77"/>
    <w:rsid w:val="00586F7C"/>
    <w:rsid w:val="005874D1"/>
    <w:rsid w:val="005875E0"/>
    <w:rsid w:val="005901BF"/>
    <w:rsid w:val="00590884"/>
    <w:rsid w:val="005911B7"/>
    <w:rsid w:val="005915DC"/>
    <w:rsid w:val="0059173F"/>
    <w:rsid w:val="0059179A"/>
    <w:rsid w:val="00591FC7"/>
    <w:rsid w:val="005923CD"/>
    <w:rsid w:val="0059304A"/>
    <w:rsid w:val="00593710"/>
    <w:rsid w:val="00593A9F"/>
    <w:rsid w:val="00593D09"/>
    <w:rsid w:val="00593FA4"/>
    <w:rsid w:val="005943F4"/>
    <w:rsid w:val="00594EDA"/>
    <w:rsid w:val="0059500B"/>
    <w:rsid w:val="00595A92"/>
    <w:rsid w:val="00595C18"/>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ACD"/>
    <w:rsid w:val="005A4761"/>
    <w:rsid w:val="005A4AAE"/>
    <w:rsid w:val="005A4CC6"/>
    <w:rsid w:val="005A5BCB"/>
    <w:rsid w:val="005A62DC"/>
    <w:rsid w:val="005A6C50"/>
    <w:rsid w:val="005A749F"/>
    <w:rsid w:val="005A79AD"/>
    <w:rsid w:val="005B016F"/>
    <w:rsid w:val="005B04C0"/>
    <w:rsid w:val="005B13CC"/>
    <w:rsid w:val="005B1745"/>
    <w:rsid w:val="005B17D6"/>
    <w:rsid w:val="005B183A"/>
    <w:rsid w:val="005B234A"/>
    <w:rsid w:val="005B36D3"/>
    <w:rsid w:val="005B390B"/>
    <w:rsid w:val="005B4125"/>
    <w:rsid w:val="005B5569"/>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CF1"/>
    <w:rsid w:val="005E0E80"/>
    <w:rsid w:val="005E12B9"/>
    <w:rsid w:val="005E1B90"/>
    <w:rsid w:val="005E1DFC"/>
    <w:rsid w:val="005E3505"/>
    <w:rsid w:val="005E3BBD"/>
    <w:rsid w:val="005E462D"/>
    <w:rsid w:val="005E54EE"/>
    <w:rsid w:val="005E5F4F"/>
    <w:rsid w:val="005E6179"/>
    <w:rsid w:val="005E6C21"/>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A34"/>
    <w:rsid w:val="00606B59"/>
    <w:rsid w:val="00606C2B"/>
    <w:rsid w:val="00606F73"/>
    <w:rsid w:val="00607F23"/>
    <w:rsid w:val="00607F90"/>
    <w:rsid w:val="006103E5"/>
    <w:rsid w:val="0061053F"/>
    <w:rsid w:val="0061114C"/>
    <w:rsid w:val="0061136E"/>
    <w:rsid w:val="0061231E"/>
    <w:rsid w:val="00612C95"/>
    <w:rsid w:val="00613169"/>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726"/>
    <w:rsid w:val="0062179F"/>
    <w:rsid w:val="00622016"/>
    <w:rsid w:val="006222B8"/>
    <w:rsid w:val="006236DD"/>
    <w:rsid w:val="00624699"/>
    <w:rsid w:val="00624955"/>
    <w:rsid w:val="0062496A"/>
    <w:rsid w:val="0062554E"/>
    <w:rsid w:val="0062593B"/>
    <w:rsid w:val="00625C08"/>
    <w:rsid w:val="00626777"/>
    <w:rsid w:val="00626FDF"/>
    <w:rsid w:val="00627A19"/>
    <w:rsid w:val="00627D64"/>
    <w:rsid w:val="00627EDD"/>
    <w:rsid w:val="006305FB"/>
    <w:rsid w:val="00630B0A"/>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4171"/>
    <w:rsid w:val="00645037"/>
    <w:rsid w:val="006453F6"/>
    <w:rsid w:val="006467F3"/>
    <w:rsid w:val="00646D18"/>
    <w:rsid w:val="00646D5B"/>
    <w:rsid w:val="00647B37"/>
    <w:rsid w:val="00650F10"/>
    <w:rsid w:val="006517D3"/>
    <w:rsid w:val="00651D8B"/>
    <w:rsid w:val="00651F09"/>
    <w:rsid w:val="0065233A"/>
    <w:rsid w:val="006523B0"/>
    <w:rsid w:val="0065284C"/>
    <w:rsid w:val="00652DB5"/>
    <w:rsid w:val="006535C8"/>
    <w:rsid w:val="006539F7"/>
    <w:rsid w:val="00653CFE"/>
    <w:rsid w:val="006543CE"/>
    <w:rsid w:val="00654D55"/>
    <w:rsid w:val="00655015"/>
    <w:rsid w:val="00656910"/>
    <w:rsid w:val="00656FA9"/>
    <w:rsid w:val="0065723C"/>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21C6"/>
    <w:rsid w:val="006736BB"/>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7BF"/>
    <w:rsid w:val="006817DF"/>
    <w:rsid w:val="00681ED5"/>
    <w:rsid w:val="006829E8"/>
    <w:rsid w:val="00683C28"/>
    <w:rsid w:val="00683C67"/>
    <w:rsid w:val="00684576"/>
    <w:rsid w:val="00685453"/>
    <w:rsid w:val="00685C8B"/>
    <w:rsid w:val="00686587"/>
    <w:rsid w:val="00686D35"/>
    <w:rsid w:val="00687CFC"/>
    <w:rsid w:val="00687DE6"/>
    <w:rsid w:val="00690FDD"/>
    <w:rsid w:val="006911D7"/>
    <w:rsid w:val="00692027"/>
    <w:rsid w:val="00692098"/>
    <w:rsid w:val="0069227C"/>
    <w:rsid w:val="0069277B"/>
    <w:rsid w:val="006931EB"/>
    <w:rsid w:val="00693B26"/>
    <w:rsid w:val="00693BDC"/>
    <w:rsid w:val="00693E1F"/>
    <w:rsid w:val="0069460D"/>
    <w:rsid w:val="006948DC"/>
    <w:rsid w:val="00694994"/>
    <w:rsid w:val="00694A16"/>
    <w:rsid w:val="00694B97"/>
    <w:rsid w:val="00694D21"/>
    <w:rsid w:val="00695390"/>
    <w:rsid w:val="0069574F"/>
    <w:rsid w:val="00695BF1"/>
    <w:rsid w:val="00695C38"/>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5B"/>
    <w:rsid w:val="006B252A"/>
    <w:rsid w:val="006B29E2"/>
    <w:rsid w:val="006B36B7"/>
    <w:rsid w:val="006B38EF"/>
    <w:rsid w:val="006B3951"/>
    <w:rsid w:val="006B39E4"/>
    <w:rsid w:val="006B449B"/>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435D"/>
    <w:rsid w:val="006C4A5D"/>
    <w:rsid w:val="006C56F5"/>
    <w:rsid w:val="006C5765"/>
    <w:rsid w:val="006C61B1"/>
    <w:rsid w:val="006C63DE"/>
    <w:rsid w:val="006C644C"/>
    <w:rsid w:val="006C7C88"/>
    <w:rsid w:val="006D135C"/>
    <w:rsid w:val="006D1D42"/>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283E"/>
    <w:rsid w:val="006E29CE"/>
    <w:rsid w:val="006E29D1"/>
    <w:rsid w:val="006E2ACB"/>
    <w:rsid w:val="006E31EA"/>
    <w:rsid w:val="006E3354"/>
    <w:rsid w:val="006E3669"/>
    <w:rsid w:val="006E3BBF"/>
    <w:rsid w:val="006E46ED"/>
    <w:rsid w:val="006E4C35"/>
    <w:rsid w:val="006E543A"/>
    <w:rsid w:val="006E5625"/>
    <w:rsid w:val="006E5C49"/>
    <w:rsid w:val="006E67AE"/>
    <w:rsid w:val="006E67F7"/>
    <w:rsid w:val="006F0335"/>
    <w:rsid w:val="006F097B"/>
    <w:rsid w:val="006F0D56"/>
    <w:rsid w:val="006F1B7F"/>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E6D"/>
    <w:rsid w:val="00725202"/>
    <w:rsid w:val="00725790"/>
    <w:rsid w:val="0072596C"/>
    <w:rsid w:val="00725D3A"/>
    <w:rsid w:val="00726DAD"/>
    <w:rsid w:val="00726F1F"/>
    <w:rsid w:val="00727598"/>
    <w:rsid w:val="00727E1E"/>
    <w:rsid w:val="00727EFD"/>
    <w:rsid w:val="0073063B"/>
    <w:rsid w:val="007319E4"/>
    <w:rsid w:val="007322DD"/>
    <w:rsid w:val="007333CD"/>
    <w:rsid w:val="007333FB"/>
    <w:rsid w:val="0073416E"/>
    <w:rsid w:val="00734AA8"/>
    <w:rsid w:val="00735F57"/>
    <w:rsid w:val="0073608C"/>
    <w:rsid w:val="0073722B"/>
    <w:rsid w:val="00737295"/>
    <w:rsid w:val="007374E0"/>
    <w:rsid w:val="00737532"/>
    <w:rsid w:val="007377A8"/>
    <w:rsid w:val="007405AE"/>
    <w:rsid w:val="00740B86"/>
    <w:rsid w:val="00740C21"/>
    <w:rsid w:val="00740E1E"/>
    <w:rsid w:val="00740E5B"/>
    <w:rsid w:val="0074141E"/>
    <w:rsid w:val="00741A71"/>
    <w:rsid w:val="007427E5"/>
    <w:rsid w:val="00742820"/>
    <w:rsid w:val="0074316A"/>
    <w:rsid w:val="007439D5"/>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FD1"/>
    <w:rsid w:val="00766FE7"/>
    <w:rsid w:val="007670DC"/>
    <w:rsid w:val="00767304"/>
    <w:rsid w:val="007700F5"/>
    <w:rsid w:val="007706CD"/>
    <w:rsid w:val="00770EBD"/>
    <w:rsid w:val="00770F92"/>
    <w:rsid w:val="00771306"/>
    <w:rsid w:val="00772121"/>
    <w:rsid w:val="00772BF8"/>
    <w:rsid w:val="00772D61"/>
    <w:rsid w:val="0077328E"/>
    <w:rsid w:val="00774520"/>
    <w:rsid w:val="00774AB7"/>
    <w:rsid w:val="00774AE6"/>
    <w:rsid w:val="00774BDC"/>
    <w:rsid w:val="00775070"/>
    <w:rsid w:val="007752D2"/>
    <w:rsid w:val="00775842"/>
    <w:rsid w:val="00776215"/>
    <w:rsid w:val="00776A99"/>
    <w:rsid w:val="00776F61"/>
    <w:rsid w:val="00776FD5"/>
    <w:rsid w:val="007773B5"/>
    <w:rsid w:val="00777FEF"/>
    <w:rsid w:val="007812C3"/>
    <w:rsid w:val="00781A9A"/>
    <w:rsid w:val="00781E44"/>
    <w:rsid w:val="00781E7E"/>
    <w:rsid w:val="007822FA"/>
    <w:rsid w:val="007827FE"/>
    <w:rsid w:val="00782B05"/>
    <w:rsid w:val="0078469D"/>
    <w:rsid w:val="007855E0"/>
    <w:rsid w:val="00786132"/>
    <w:rsid w:val="0078683E"/>
    <w:rsid w:val="0078686B"/>
    <w:rsid w:val="00786DBA"/>
    <w:rsid w:val="00787091"/>
    <w:rsid w:val="00787496"/>
    <w:rsid w:val="00787E29"/>
    <w:rsid w:val="00790875"/>
    <w:rsid w:val="00790C78"/>
    <w:rsid w:val="00791201"/>
    <w:rsid w:val="007913F0"/>
    <w:rsid w:val="00791AA5"/>
    <w:rsid w:val="0079265D"/>
    <w:rsid w:val="007926CF"/>
    <w:rsid w:val="00792889"/>
    <w:rsid w:val="00792B2F"/>
    <w:rsid w:val="00793172"/>
    <w:rsid w:val="00794995"/>
    <w:rsid w:val="00794A1B"/>
    <w:rsid w:val="00794B52"/>
    <w:rsid w:val="00796045"/>
    <w:rsid w:val="0079610A"/>
    <w:rsid w:val="007961FC"/>
    <w:rsid w:val="00796CA9"/>
    <w:rsid w:val="00797ACB"/>
    <w:rsid w:val="00797D9A"/>
    <w:rsid w:val="00797F6F"/>
    <w:rsid w:val="007A0E22"/>
    <w:rsid w:val="007A0E2A"/>
    <w:rsid w:val="007A100F"/>
    <w:rsid w:val="007A1046"/>
    <w:rsid w:val="007A1B8E"/>
    <w:rsid w:val="007A2181"/>
    <w:rsid w:val="007A2E38"/>
    <w:rsid w:val="007A2EA1"/>
    <w:rsid w:val="007A35ED"/>
    <w:rsid w:val="007A4439"/>
    <w:rsid w:val="007A45A1"/>
    <w:rsid w:val="007A4B9F"/>
    <w:rsid w:val="007A4D67"/>
    <w:rsid w:val="007A4E4F"/>
    <w:rsid w:val="007A4E80"/>
    <w:rsid w:val="007A4E9B"/>
    <w:rsid w:val="007A4F6E"/>
    <w:rsid w:val="007A528C"/>
    <w:rsid w:val="007A5A57"/>
    <w:rsid w:val="007A5CB6"/>
    <w:rsid w:val="007A612B"/>
    <w:rsid w:val="007A614A"/>
    <w:rsid w:val="007A6181"/>
    <w:rsid w:val="007A6470"/>
    <w:rsid w:val="007A65B9"/>
    <w:rsid w:val="007A6810"/>
    <w:rsid w:val="007A6821"/>
    <w:rsid w:val="007B01FF"/>
    <w:rsid w:val="007B0683"/>
    <w:rsid w:val="007B085C"/>
    <w:rsid w:val="007B09BF"/>
    <w:rsid w:val="007B102A"/>
    <w:rsid w:val="007B109C"/>
    <w:rsid w:val="007B13A3"/>
    <w:rsid w:val="007B1E65"/>
    <w:rsid w:val="007B2A52"/>
    <w:rsid w:val="007B2E52"/>
    <w:rsid w:val="007B37B3"/>
    <w:rsid w:val="007B3C1D"/>
    <w:rsid w:val="007B44EA"/>
    <w:rsid w:val="007B45EE"/>
    <w:rsid w:val="007B5A60"/>
    <w:rsid w:val="007B5BD0"/>
    <w:rsid w:val="007B6645"/>
    <w:rsid w:val="007B6B6A"/>
    <w:rsid w:val="007B739D"/>
    <w:rsid w:val="007B788F"/>
    <w:rsid w:val="007B7C35"/>
    <w:rsid w:val="007C1050"/>
    <w:rsid w:val="007C1147"/>
    <w:rsid w:val="007C1961"/>
    <w:rsid w:val="007C1DF5"/>
    <w:rsid w:val="007C26EB"/>
    <w:rsid w:val="007C2CDA"/>
    <w:rsid w:val="007C307A"/>
    <w:rsid w:val="007C31D2"/>
    <w:rsid w:val="007C34BE"/>
    <w:rsid w:val="007C3565"/>
    <w:rsid w:val="007C406B"/>
    <w:rsid w:val="007C432D"/>
    <w:rsid w:val="007C4DBE"/>
    <w:rsid w:val="007C56BC"/>
    <w:rsid w:val="007C5B05"/>
    <w:rsid w:val="007C5D5A"/>
    <w:rsid w:val="007C699A"/>
    <w:rsid w:val="007C6D11"/>
    <w:rsid w:val="007C7B24"/>
    <w:rsid w:val="007C7E44"/>
    <w:rsid w:val="007D056D"/>
    <w:rsid w:val="007D0A3E"/>
    <w:rsid w:val="007D20EE"/>
    <w:rsid w:val="007D2A63"/>
    <w:rsid w:val="007D2EB9"/>
    <w:rsid w:val="007D3080"/>
    <w:rsid w:val="007D312E"/>
    <w:rsid w:val="007D3353"/>
    <w:rsid w:val="007D3BB9"/>
    <w:rsid w:val="007D41C4"/>
    <w:rsid w:val="007D452D"/>
    <w:rsid w:val="007D45EC"/>
    <w:rsid w:val="007D4862"/>
    <w:rsid w:val="007D5395"/>
    <w:rsid w:val="007D5645"/>
    <w:rsid w:val="007D59B2"/>
    <w:rsid w:val="007D5CCD"/>
    <w:rsid w:val="007D607E"/>
    <w:rsid w:val="007D6211"/>
    <w:rsid w:val="007D6A6A"/>
    <w:rsid w:val="007E0476"/>
    <w:rsid w:val="007E048F"/>
    <w:rsid w:val="007E0C77"/>
    <w:rsid w:val="007E0FC8"/>
    <w:rsid w:val="007E1255"/>
    <w:rsid w:val="007E1BC3"/>
    <w:rsid w:val="007E1C7D"/>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912"/>
    <w:rsid w:val="0081095E"/>
    <w:rsid w:val="00811AFF"/>
    <w:rsid w:val="00812219"/>
    <w:rsid w:val="0081321E"/>
    <w:rsid w:val="0081379B"/>
    <w:rsid w:val="00813DFC"/>
    <w:rsid w:val="00814C89"/>
    <w:rsid w:val="00815200"/>
    <w:rsid w:val="008156CD"/>
    <w:rsid w:val="008160DE"/>
    <w:rsid w:val="00816369"/>
    <w:rsid w:val="00816634"/>
    <w:rsid w:val="00816726"/>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B06"/>
    <w:rsid w:val="00834C38"/>
    <w:rsid w:val="00834C3C"/>
    <w:rsid w:val="00834D3F"/>
    <w:rsid w:val="00835533"/>
    <w:rsid w:val="00835699"/>
    <w:rsid w:val="008365A6"/>
    <w:rsid w:val="008365B8"/>
    <w:rsid w:val="00836DBE"/>
    <w:rsid w:val="008376F9"/>
    <w:rsid w:val="00837BDB"/>
    <w:rsid w:val="00837F6F"/>
    <w:rsid w:val="008400D8"/>
    <w:rsid w:val="008402A4"/>
    <w:rsid w:val="008419F9"/>
    <w:rsid w:val="0084274A"/>
    <w:rsid w:val="00842FDD"/>
    <w:rsid w:val="008430E0"/>
    <w:rsid w:val="00843658"/>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354"/>
    <w:rsid w:val="00854CF2"/>
    <w:rsid w:val="0085581A"/>
    <w:rsid w:val="00855886"/>
    <w:rsid w:val="008559FE"/>
    <w:rsid w:val="00857B5A"/>
    <w:rsid w:val="00857C83"/>
    <w:rsid w:val="00860120"/>
    <w:rsid w:val="0086076C"/>
    <w:rsid w:val="008609A7"/>
    <w:rsid w:val="00860CC1"/>
    <w:rsid w:val="00860E5E"/>
    <w:rsid w:val="00861219"/>
    <w:rsid w:val="0086135F"/>
    <w:rsid w:val="00861374"/>
    <w:rsid w:val="00861E76"/>
    <w:rsid w:val="008625ED"/>
    <w:rsid w:val="00862BED"/>
    <w:rsid w:val="00864107"/>
    <w:rsid w:val="008642B5"/>
    <w:rsid w:val="00864307"/>
    <w:rsid w:val="00864731"/>
    <w:rsid w:val="008647D7"/>
    <w:rsid w:val="008657F3"/>
    <w:rsid w:val="0086580F"/>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BEB"/>
    <w:rsid w:val="00875E4B"/>
    <w:rsid w:val="00875E80"/>
    <w:rsid w:val="00876118"/>
    <w:rsid w:val="0087724F"/>
    <w:rsid w:val="008775FE"/>
    <w:rsid w:val="00877910"/>
    <w:rsid w:val="00877E49"/>
    <w:rsid w:val="008809CC"/>
    <w:rsid w:val="00880C06"/>
    <w:rsid w:val="00881219"/>
    <w:rsid w:val="00881AA9"/>
    <w:rsid w:val="0088232B"/>
    <w:rsid w:val="00883153"/>
    <w:rsid w:val="00883C31"/>
    <w:rsid w:val="00883CA7"/>
    <w:rsid w:val="00883D2A"/>
    <w:rsid w:val="0088421A"/>
    <w:rsid w:val="0088436A"/>
    <w:rsid w:val="00885C7D"/>
    <w:rsid w:val="00885D0F"/>
    <w:rsid w:val="00885E85"/>
    <w:rsid w:val="00886ADF"/>
    <w:rsid w:val="00887D83"/>
    <w:rsid w:val="00887E55"/>
    <w:rsid w:val="0089024B"/>
    <w:rsid w:val="008906BF"/>
    <w:rsid w:val="008908FB"/>
    <w:rsid w:val="00890B17"/>
    <w:rsid w:val="00890BB1"/>
    <w:rsid w:val="00890D97"/>
    <w:rsid w:val="00890DE0"/>
    <w:rsid w:val="00890EA9"/>
    <w:rsid w:val="00891275"/>
    <w:rsid w:val="00891482"/>
    <w:rsid w:val="00891F03"/>
    <w:rsid w:val="00892012"/>
    <w:rsid w:val="00892495"/>
    <w:rsid w:val="00892595"/>
    <w:rsid w:val="00892720"/>
    <w:rsid w:val="00892A65"/>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4E4"/>
    <w:rsid w:val="008A2C0B"/>
    <w:rsid w:val="008A3DBF"/>
    <w:rsid w:val="008A3E89"/>
    <w:rsid w:val="008A470E"/>
    <w:rsid w:val="008A5885"/>
    <w:rsid w:val="008A5ED9"/>
    <w:rsid w:val="008A5F90"/>
    <w:rsid w:val="008A62B1"/>
    <w:rsid w:val="008A65AC"/>
    <w:rsid w:val="008A68E6"/>
    <w:rsid w:val="008A6A0D"/>
    <w:rsid w:val="008A6AEC"/>
    <w:rsid w:val="008A6BED"/>
    <w:rsid w:val="008B06E0"/>
    <w:rsid w:val="008B0C06"/>
    <w:rsid w:val="008B1373"/>
    <w:rsid w:val="008B1831"/>
    <w:rsid w:val="008B19EF"/>
    <w:rsid w:val="008B2D1A"/>
    <w:rsid w:val="008B32CA"/>
    <w:rsid w:val="008B330E"/>
    <w:rsid w:val="008B3331"/>
    <w:rsid w:val="008B3946"/>
    <w:rsid w:val="008B3A68"/>
    <w:rsid w:val="008B3DDE"/>
    <w:rsid w:val="008B3EC4"/>
    <w:rsid w:val="008B4299"/>
    <w:rsid w:val="008B43B7"/>
    <w:rsid w:val="008B490E"/>
    <w:rsid w:val="008B4AB0"/>
    <w:rsid w:val="008B4E94"/>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3CB"/>
    <w:rsid w:val="008C60DA"/>
    <w:rsid w:val="008C64D8"/>
    <w:rsid w:val="008C6741"/>
    <w:rsid w:val="008C6AB1"/>
    <w:rsid w:val="008C6AE8"/>
    <w:rsid w:val="008C73B2"/>
    <w:rsid w:val="008C7F85"/>
    <w:rsid w:val="008D03CF"/>
    <w:rsid w:val="008D0528"/>
    <w:rsid w:val="008D062D"/>
    <w:rsid w:val="008D0A2A"/>
    <w:rsid w:val="008D131A"/>
    <w:rsid w:val="008D1519"/>
    <w:rsid w:val="008D2C95"/>
    <w:rsid w:val="008D396F"/>
    <w:rsid w:val="008D3D81"/>
    <w:rsid w:val="008D421E"/>
    <w:rsid w:val="008D49FB"/>
    <w:rsid w:val="008D5B3B"/>
    <w:rsid w:val="008D6446"/>
    <w:rsid w:val="008D6A69"/>
    <w:rsid w:val="008D7055"/>
    <w:rsid w:val="008D725D"/>
    <w:rsid w:val="008D75D6"/>
    <w:rsid w:val="008D79AF"/>
    <w:rsid w:val="008E0E1C"/>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864"/>
    <w:rsid w:val="008E6AB4"/>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7B31"/>
    <w:rsid w:val="009000CC"/>
    <w:rsid w:val="009006C0"/>
    <w:rsid w:val="00900784"/>
    <w:rsid w:val="009009C9"/>
    <w:rsid w:val="00900F8A"/>
    <w:rsid w:val="00901857"/>
    <w:rsid w:val="00902332"/>
    <w:rsid w:val="0090376C"/>
    <w:rsid w:val="00904290"/>
    <w:rsid w:val="00904596"/>
    <w:rsid w:val="00904BD9"/>
    <w:rsid w:val="00904EBF"/>
    <w:rsid w:val="00904FA3"/>
    <w:rsid w:val="0090540C"/>
    <w:rsid w:val="00905901"/>
    <w:rsid w:val="00905C16"/>
    <w:rsid w:val="00905EB9"/>
    <w:rsid w:val="00906421"/>
    <w:rsid w:val="00906EBE"/>
    <w:rsid w:val="00907438"/>
    <w:rsid w:val="00907AAF"/>
    <w:rsid w:val="009101E4"/>
    <w:rsid w:val="00911650"/>
    <w:rsid w:val="0091223C"/>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9A5"/>
    <w:rsid w:val="0092203F"/>
    <w:rsid w:val="00923947"/>
    <w:rsid w:val="00923D49"/>
    <w:rsid w:val="009242C7"/>
    <w:rsid w:val="00924647"/>
    <w:rsid w:val="00924AF6"/>
    <w:rsid w:val="00924D07"/>
    <w:rsid w:val="00925A55"/>
    <w:rsid w:val="00925EFD"/>
    <w:rsid w:val="00926206"/>
    <w:rsid w:val="009263A4"/>
    <w:rsid w:val="00926C5A"/>
    <w:rsid w:val="009312AB"/>
    <w:rsid w:val="009312DB"/>
    <w:rsid w:val="00931345"/>
    <w:rsid w:val="00931849"/>
    <w:rsid w:val="00931EEE"/>
    <w:rsid w:val="009320EB"/>
    <w:rsid w:val="00932A41"/>
    <w:rsid w:val="00933431"/>
    <w:rsid w:val="009342F8"/>
    <w:rsid w:val="00934409"/>
    <w:rsid w:val="009345E4"/>
    <w:rsid w:val="00935556"/>
    <w:rsid w:val="00935701"/>
    <w:rsid w:val="00936FBA"/>
    <w:rsid w:val="00937075"/>
    <w:rsid w:val="0093723B"/>
    <w:rsid w:val="00937D00"/>
    <w:rsid w:val="009403A6"/>
    <w:rsid w:val="00940436"/>
    <w:rsid w:val="00940605"/>
    <w:rsid w:val="00941177"/>
    <w:rsid w:val="009412C3"/>
    <w:rsid w:val="009412DF"/>
    <w:rsid w:val="00941BCE"/>
    <w:rsid w:val="00941F10"/>
    <w:rsid w:val="009428FC"/>
    <w:rsid w:val="009441B4"/>
    <w:rsid w:val="00945488"/>
    <w:rsid w:val="00945B73"/>
    <w:rsid w:val="009462E6"/>
    <w:rsid w:val="00946EB0"/>
    <w:rsid w:val="00946F78"/>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34B7"/>
    <w:rsid w:val="00963B88"/>
    <w:rsid w:val="00964CEC"/>
    <w:rsid w:val="00965168"/>
    <w:rsid w:val="009666C4"/>
    <w:rsid w:val="00966999"/>
    <w:rsid w:val="009673F7"/>
    <w:rsid w:val="00967D96"/>
    <w:rsid w:val="00971038"/>
    <w:rsid w:val="009712FE"/>
    <w:rsid w:val="0097153F"/>
    <w:rsid w:val="009718D9"/>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A39"/>
    <w:rsid w:val="00990DF8"/>
    <w:rsid w:val="00990F4A"/>
    <w:rsid w:val="00991235"/>
    <w:rsid w:val="00991401"/>
    <w:rsid w:val="00991816"/>
    <w:rsid w:val="00991DC9"/>
    <w:rsid w:val="00992561"/>
    <w:rsid w:val="00992CFE"/>
    <w:rsid w:val="00993051"/>
    <w:rsid w:val="00993880"/>
    <w:rsid w:val="00993D42"/>
    <w:rsid w:val="00994159"/>
    <w:rsid w:val="00994CBE"/>
    <w:rsid w:val="00994DA0"/>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CC"/>
    <w:rsid w:val="009A5921"/>
    <w:rsid w:val="009A5960"/>
    <w:rsid w:val="009A5DF8"/>
    <w:rsid w:val="009A5E05"/>
    <w:rsid w:val="009A603E"/>
    <w:rsid w:val="009A65D0"/>
    <w:rsid w:val="009A6E19"/>
    <w:rsid w:val="009A7403"/>
    <w:rsid w:val="009A7430"/>
    <w:rsid w:val="009A758C"/>
    <w:rsid w:val="009B0AC0"/>
    <w:rsid w:val="009B1A7C"/>
    <w:rsid w:val="009B20EA"/>
    <w:rsid w:val="009B2962"/>
    <w:rsid w:val="009B2FCE"/>
    <w:rsid w:val="009B3F73"/>
    <w:rsid w:val="009B3FB8"/>
    <w:rsid w:val="009B3FC2"/>
    <w:rsid w:val="009B5106"/>
    <w:rsid w:val="009B5A80"/>
    <w:rsid w:val="009B6053"/>
    <w:rsid w:val="009B6629"/>
    <w:rsid w:val="009B670F"/>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328B"/>
    <w:rsid w:val="009E386F"/>
    <w:rsid w:val="009E444C"/>
    <w:rsid w:val="009E558E"/>
    <w:rsid w:val="009E5B75"/>
    <w:rsid w:val="009E679E"/>
    <w:rsid w:val="009E696F"/>
    <w:rsid w:val="009F013A"/>
    <w:rsid w:val="009F044C"/>
    <w:rsid w:val="009F20A3"/>
    <w:rsid w:val="009F2171"/>
    <w:rsid w:val="009F2A15"/>
    <w:rsid w:val="009F345B"/>
    <w:rsid w:val="009F384B"/>
    <w:rsid w:val="009F43F9"/>
    <w:rsid w:val="009F4799"/>
    <w:rsid w:val="009F4869"/>
    <w:rsid w:val="009F579C"/>
    <w:rsid w:val="009F5A8B"/>
    <w:rsid w:val="009F5DD2"/>
    <w:rsid w:val="009F64D4"/>
    <w:rsid w:val="009F6595"/>
    <w:rsid w:val="009F65F1"/>
    <w:rsid w:val="009F66D6"/>
    <w:rsid w:val="009F726E"/>
    <w:rsid w:val="009F764B"/>
    <w:rsid w:val="009F7A30"/>
    <w:rsid w:val="009F7F71"/>
    <w:rsid w:val="00A01428"/>
    <w:rsid w:val="00A018DF"/>
    <w:rsid w:val="00A02098"/>
    <w:rsid w:val="00A038CE"/>
    <w:rsid w:val="00A04945"/>
    <w:rsid w:val="00A04DF8"/>
    <w:rsid w:val="00A04F52"/>
    <w:rsid w:val="00A05977"/>
    <w:rsid w:val="00A05A95"/>
    <w:rsid w:val="00A05D1B"/>
    <w:rsid w:val="00A05F80"/>
    <w:rsid w:val="00A062B6"/>
    <w:rsid w:val="00A062D3"/>
    <w:rsid w:val="00A06F04"/>
    <w:rsid w:val="00A06F71"/>
    <w:rsid w:val="00A07C27"/>
    <w:rsid w:val="00A10449"/>
    <w:rsid w:val="00A1051C"/>
    <w:rsid w:val="00A10A2E"/>
    <w:rsid w:val="00A10BFD"/>
    <w:rsid w:val="00A10C90"/>
    <w:rsid w:val="00A11A6C"/>
    <w:rsid w:val="00A12824"/>
    <w:rsid w:val="00A12969"/>
    <w:rsid w:val="00A13B6A"/>
    <w:rsid w:val="00A141B1"/>
    <w:rsid w:val="00A1444D"/>
    <w:rsid w:val="00A144E5"/>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4406"/>
    <w:rsid w:val="00A24A16"/>
    <w:rsid w:val="00A24EE6"/>
    <w:rsid w:val="00A25C24"/>
    <w:rsid w:val="00A25D42"/>
    <w:rsid w:val="00A260D8"/>
    <w:rsid w:val="00A26319"/>
    <w:rsid w:val="00A269AA"/>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B34"/>
    <w:rsid w:val="00A37F05"/>
    <w:rsid w:val="00A403C0"/>
    <w:rsid w:val="00A4057A"/>
    <w:rsid w:val="00A4078D"/>
    <w:rsid w:val="00A41D95"/>
    <w:rsid w:val="00A41E48"/>
    <w:rsid w:val="00A4210C"/>
    <w:rsid w:val="00A42AB6"/>
    <w:rsid w:val="00A43032"/>
    <w:rsid w:val="00A4313A"/>
    <w:rsid w:val="00A440BC"/>
    <w:rsid w:val="00A443E7"/>
    <w:rsid w:val="00A44646"/>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6230"/>
    <w:rsid w:val="00A76799"/>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FB0"/>
    <w:rsid w:val="00A96112"/>
    <w:rsid w:val="00A963AD"/>
    <w:rsid w:val="00A96784"/>
    <w:rsid w:val="00A96E1F"/>
    <w:rsid w:val="00A96F2F"/>
    <w:rsid w:val="00A977F5"/>
    <w:rsid w:val="00A97B22"/>
    <w:rsid w:val="00A97D3F"/>
    <w:rsid w:val="00A97E98"/>
    <w:rsid w:val="00AA1299"/>
    <w:rsid w:val="00AA1930"/>
    <w:rsid w:val="00AA1C59"/>
    <w:rsid w:val="00AA1DA1"/>
    <w:rsid w:val="00AA1DE3"/>
    <w:rsid w:val="00AA4175"/>
    <w:rsid w:val="00AA470A"/>
    <w:rsid w:val="00AA52D7"/>
    <w:rsid w:val="00AA5BE6"/>
    <w:rsid w:val="00AA5CD7"/>
    <w:rsid w:val="00AA660F"/>
    <w:rsid w:val="00AA6CB9"/>
    <w:rsid w:val="00AA6E63"/>
    <w:rsid w:val="00AA6FC3"/>
    <w:rsid w:val="00AA71B6"/>
    <w:rsid w:val="00AA74B9"/>
    <w:rsid w:val="00AA78F4"/>
    <w:rsid w:val="00AB00D1"/>
    <w:rsid w:val="00AB0501"/>
    <w:rsid w:val="00AB075D"/>
    <w:rsid w:val="00AB0F0C"/>
    <w:rsid w:val="00AB1312"/>
    <w:rsid w:val="00AB2331"/>
    <w:rsid w:val="00AB25AC"/>
    <w:rsid w:val="00AB310A"/>
    <w:rsid w:val="00AB358F"/>
    <w:rsid w:val="00AB3A65"/>
    <w:rsid w:val="00AB3AD5"/>
    <w:rsid w:val="00AB3DEE"/>
    <w:rsid w:val="00AB4CF0"/>
    <w:rsid w:val="00AB5680"/>
    <w:rsid w:val="00AB600F"/>
    <w:rsid w:val="00AB6352"/>
    <w:rsid w:val="00AB6591"/>
    <w:rsid w:val="00AB753F"/>
    <w:rsid w:val="00AB7661"/>
    <w:rsid w:val="00AC0284"/>
    <w:rsid w:val="00AC170B"/>
    <w:rsid w:val="00AC1C15"/>
    <w:rsid w:val="00AC2678"/>
    <w:rsid w:val="00AC2685"/>
    <w:rsid w:val="00AC29D8"/>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7B9"/>
    <w:rsid w:val="00AD2BBB"/>
    <w:rsid w:val="00AD2D3F"/>
    <w:rsid w:val="00AD2D8D"/>
    <w:rsid w:val="00AD5164"/>
    <w:rsid w:val="00AD5565"/>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9D7"/>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8CA"/>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868"/>
    <w:rsid w:val="00B21BF6"/>
    <w:rsid w:val="00B21DE1"/>
    <w:rsid w:val="00B21E91"/>
    <w:rsid w:val="00B23137"/>
    <w:rsid w:val="00B23409"/>
    <w:rsid w:val="00B2342E"/>
    <w:rsid w:val="00B23938"/>
    <w:rsid w:val="00B23D5E"/>
    <w:rsid w:val="00B245EB"/>
    <w:rsid w:val="00B24B40"/>
    <w:rsid w:val="00B24EAA"/>
    <w:rsid w:val="00B2584C"/>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EB7"/>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24AA"/>
    <w:rsid w:val="00B52F0A"/>
    <w:rsid w:val="00B53988"/>
    <w:rsid w:val="00B539B2"/>
    <w:rsid w:val="00B543EA"/>
    <w:rsid w:val="00B55277"/>
    <w:rsid w:val="00B5586D"/>
    <w:rsid w:val="00B55F57"/>
    <w:rsid w:val="00B564BA"/>
    <w:rsid w:val="00B569AB"/>
    <w:rsid w:val="00B56D3C"/>
    <w:rsid w:val="00B574E7"/>
    <w:rsid w:val="00B60541"/>
    <w:rsid w:val="00B60ADD"/>
    <w:rsid w:val="00B60BBC"/>
    <w:rsid w:val="00B61880"/>
    <w:rsid w:val="00B61F77"/>
    <w:rsid w:val="00B62204"/>
    <w:rsid w:val="00B622B8"/>
    <w:rsid w:val="00B636C9"/>
    <w:rsid w:val="00B63851"/>
    <w:rsid w:val="00B63B65"/>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A6E"/>
    <w:rsid w:val="00B72025"/>
    <w:rsid w:val="00B72479"/>
    <w:rsid w:val="00B72AC0"/>
    <w:rsid w:val="00B72FD9"/>
    <w:rsid w:val="00B73232"/>
    <w:rsid w:val="00B73C71"/>
    <w:rsid w:val="00B7404D"/>
    <w:rsid w:val="00B74146"/>
    <w:rsid w:val="00B74B0D"/>
    <w:rsid w:val="00B750D7"/>
    <w:rsid w:val="00B75ABF"/>
    <w:rsid w:val="00B76E4A"/>
    <w:rsid w:val="00B77054"/>
    <w:rsid w:val="00B80454"/>
    <w:rsid w:val="00B80E2D"/>
    <w:rsid w:val="00B80E61"/>
    <w:rsid w:val="00B80F3B"/>
    <w:rsid w:val="00B8112C"/>
    <w:rsid w:val="00B818D4"/>
    <w:rsid w:val="00B8190D"/>
    <w:rsid w:val="00B819DF"/>
    <w:rsid w:val="00B8248A"/>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F73"/>
    <w:rsid w:val="00B95FAD"/>
    <w:rsid w:val="00B962B1"/>
    <w:rsid w:val="00B96784"/>
    <w:rsid w:val="00B967BB"/>
    <w:rsid w:val="00B96DE9"/>
    <w:rsid w:val="00B9734E"/>
    <w:rsid w:val="00B97416"/>
    <w:rsid w:val="00B978CA"/>
    <w:rsid w:val="00B97916"/>
    <w:rsid w:val="00B97DEC"/>
    <w:rsid w:val="00B97EAF"/>
    <w:rsid w:val="00BA012B"/>
    <w:rsid w:val="00BA0193"/>
    <w:rsid w:val="00BA09E4"/>
    <w:rsid w:val="00BA0E68"/>
    <w:rsid w:val="00BA1145"/>
    <w:rsid w:val="00BA1394"/>
    <w:rsid w:val="00BA15A8"/>
    <w:rsid w:val="00BA160F"/>
    <w:rsid w:val="00BA1704"/>
    <w:rsid w:val="00BA1744"/>
    <w:rsid w:val="00BA1829"/>
    <w:rsid w:val="00BA2427"/>
    <w:rsid w:val="00BA2584"/>
    <w:rsid w:val="00BA2F96"/>
    <w:rsid w:val="00BA3C5D"/>
    <w:rsid w:val="00BA3E53"/>
    <w:rsid w:val="00BA5013"/>
    <w:rsid w:val="00BA5376"/>
    <w:rsid w:val="00BA551F"/>
    <w:rsid w:val="00BA584F"/>
    <w:rsid w:val="00BA6A1C"/>
    <w:rsid w:val="00BA6D96"/>
    <w:rsid w:val="00BA6EC1"/>
    <w:rsid w:val="00BA7D35"/>
    <w:rsid w:val="00BB0387"/>
    <w:rsid w:val="00BB063F"/>
    <w:rsid w:val="00BB0C8F"/>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1CEB"/>
    <w:rsid w:val="00BC1F38"/>
    <w:rsid w:val="00BC24B4"/>
    <w:rsid w:val="00BC2AD1"/>
    <w:rsid w:val="00BC2B21"/>
    <w:rsid w:val="00BC2DA0"/>
    <w:rsid w:val="00BC3AD5"/>
    <w:rsid w:val="00BC42FE"/>
    <w:rsid w:val="00BC45BF"/>
    <w:rsid w:val="00BC4A9B"/>
    <w:rsid w:val="00BC4B26"/>
    <w:rsid w:val="00BC4DE1"/>
    <w:rsid w:val="00BC530B"/>
    <w:rsid w:val="00BC6429"/>
    <w:rsid w:val="00BC7A79"/>
    <w:rsid w:val="00BC7B1D"/>
    <w:rsid w:val="00BD02BD"/>
    <w:rsid w:val="00BD0907"/>
    <w:rsid w:val="00BD0A80"/>
    <w:rsid w:val="00BD0F28"/>
    <w:rsid w:val="00BD1F5C"/>
    <w:rsid w:val="00BD2482"/>
    <w:rsid w:val="00BD31FC"/>
    <w:rsid w:val="00BD36A5"/>
    <w:rsid w:val="00BD3E03"/>
    <w:rsid w:val="00BD43F4"/>
    <w:rsid w:val="00BD4B8D"/>
    <w:rsid w:val="00BD4C71"/>
    <w:rsid w:val="00BD4D00"/>
    <w:rsid w:val="00BD5FE1"/>
    <w:rsid w:val="00BD6368"/>
    <w:rsid w:val="00BD69FF"/>
    <w:rsid w:val="00BD6DAB"/>
    <w:rsid w:val="00BE0DD0"/>
    <w:rsid w:val="00BE115A"/>
    <w:rsid w:val="00BE121D"/>
    <w:rsid w:val="00BE16E7"/>
    <w:rsid w:val="00BE21E9"/>
    <w:rsid w:val="00BE2434"/>
    <w:rsid w:val="00BE2C0A"/>
    <w:rsid w:val="00BE2ECC"/>
    <w:rsid w:val="00BE3054"/>
    <w:rsid w:val="00BE322B"/>
    <w:rsid w:val="00BE33C3"/>
    <w:rsid w:val="00BE3662"/>
    <w:rsid w:val="00BE3A19"/>
    <w:rsid w:val="00BE3B86"/>
    <w:rsid w:val="00BE3FCC"/>
    <w:rsid w:val="00BE479F"/>
    <w:rsid w:val="00BE5C76"/>
    <w:rsid w:val="00BE5D5D"/>
    <w:rsid w:val="00BE623B"/>
    <w:rsid w:val="00BE6985"/>
    <w:rsid w:val="00BE6AEA"/>
    <w:rsid w:val="00BE6C75"/>
    <w:rsid w:val="00BE6E4F"/>
    <w:rsid w:val="00BE7277"/>
    <w:rsid w:val="00BE799F"/>
    <w:rsid w:val="00BF074A"/>
    <w:rsid w:val="00BF0BD5"/>
    <w:rsid w:val="00BF0DB1"/>
    <w:rsid w:val="00BF121B"/>
    <w:rsid w:val="00BF129E"/>
    <w:rsid w:val="00BF1657"/>
    <w:rsid w:val="00BF17CE"/>
    <w:rsid w:val="00BF1F7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A8"/>
    <w:rsid w:val="00C067AB"/>
    <w:rsid w:val="00C07066"/>
    <w:rsid w:val="00C07075"/>
    <w:rsid w:val="00C072AC"/>
    <w:rsid w:val="00C07487"/>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71F3"/>
    <w:rsid w:val="00C17255"/>
    <w:rsid w:val="00C204E3"/>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EF1"/>
    <w:rsid w:val="00C27197"/>
    <w:rsid w:val="00C273C0"/>
    <w:rsid w:val="00C279BF"/>
    <w:rsid w:val="00C27C99"/>
    <w:rsid w:val="00C30615"/>
    <w:rsid w:val="00C30881"/>
    <w:rsid w:val="00C30A13"/>
    <w:rsid w:val="00C30A67"/>
    <w:rsid w:val="00C310D0"/>
    <w:rsid w:val="00C337EE"/>
    <w:rsid w:val="00C33AA3"/>
    <w:rsid w:val="00C33AD2"/>
    <w:rsid w:val="00C33EDA"/>
    <w:rsid w:val="00C3422A"/>
    <w:rsid w:val="00C352F7"/>
    <w:rsid w:val="00C353BB"/>
    <w:rsid w:val="00C3559D"/>
    <w:rsid w:val="00C35BC1"/>
    <w:rsid w:val="00C360F4"/>
    <w:rsid w:val="00C37109"/>
    <w:rsid w:val="00C37563"/>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448F"/>
    <w:rsid w:val="00C645EB"/>
    <w:rsid w:val="00C6476C"/>
    <w:rsid w:val="00C6519A"/>
    <w:rsid w:val="00C6535C"/>
    <w:rsid w:val="00C65AB0"/>
    <w:rsid w:val="00C67C03"/>
    <w:rsid w:val="00C70998"/>
    <w:rsid w:val="00C70C6E"/>
    <w:rsid w:val="00C70CF5"/>
    <w:rsid w:val="00C71230"/>
    <w:rsid w:val="00C7139E"/>
    <w:rsid w:val="00C72CE6"/>
    <w:rsid w:val="00C73D67"/>
    <w:rsid w:val="00C7470A"/>
    <w:rsid w:val="00C749B6"/>
    <w:rsid w:val="00C755B9"/>
    <w:rsid w:val="00C757A8"/>
    <w:rsid w:val="00C7651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542"/>
    <w:rsid w:val="00C85667"/>
    <w:rsid w:val="00C85D85"/>
    <w:rsid w:val="00C85F31"/>
    <w:rsid w:val="00C86937"/>
    <w:rsid w:val="00C86973"/>
    <w:rsid w:val="00C87039"/>
    <w:rsid w:val="00C877A4"/>
    <w:rsid w:val="00C87862"/>
    <w:rsid w:val="00C87BF4"/>
    <w:rsid w:val="00C9030B"/>
    <w:rsid w:val="00C90799"/>
    <w:rsid w:val="00C90F20"/>
    <w:rsid w:val="00C91824"/>
    <w:rsid w:val="00C91C4D"/>
    <w:rsid w:val="00C93246"/>
    <w:rsid w:val="00C935FB"/>
    <w:rsid w:val="00C93C9D"/>
    <w:rsid w:val="00C93DD6"/>
    <w:rsid w:val="00C94032"/>
    <w:rsid w:val="00C940C9"/>
    <w:rsid w:val="00C94160"/>
    <w:rsid w:val="00C945EB"/>
    <w:rsid w:val="00C947B7"/>
    <w:rsid w:val="00C94889"/>
    <w:rsid w:val="00C9490C"/>
    <w:rsid w:val="00C94EAD"/>
    <w:rsid w:val="00C953E4"/>
    <w:rsid w:val="00C958A2"/>
    <w:rsid w:val="00C9624C"/>
    <w:rsid w:val="00C9684A"/>
    <w:rsid w:val="00C96BF3"/>
    <w:rsid w:val="00C971FB"/>
    <w:rsid w:val="00C97683"/>
    <w:rsid w:val="00C97BED"/>
    <w:rsid w:val="00C97E00"/>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D73"/>
    <w:rsid w:val="00CB0380"/>
    <w:rsid w:val="00CB03A8"/>
    <w:rsid w:val="00CB0594"/>
    <w:rsid w:val="00CB0AA0"/>
    <w:rsid w:val="00CB0CA9"/>
    <w:rsid w:val="00CB0DA0"/>
    <w:rsid w:val="00CB1B48"/>
    <w:rsid w:val="00CB32B7"/>
    <w:rsid w:val="00CB35AA"/>
    <w:rsid w:val="00CB37E5"/>
    <w:rsid w:val="00CB4312"/>
    <w:rsid w:val="00CB489A"/>
    <w:rsid w:val="00CB577B"/>
    <w:rsid w:val="00CB57EA"/>
    <w:rsid w:val="00CB5D1D"/>
    <w:rsid w:val="00CB5D7F"/>
    <w:rsid w:val="00CB69D9"/>
    <w:rsid w:val="00CC0126"/>
    <w:rsid w:val="00CC027E"/>
    <w:rsid w:val="00CC04CD"/>
    <w:rsid w:val="00CC050C"/>
    <w:rsid w:val="00CC06D3"/>
    <w:rsid w:val="00CC1E89"/>
    <w:rsid w:val="00CC2A51"/>
    <w:rsid w:val="00CC2BE5"/>
    <w:rsid w:val="00CC301D"/>
    <w:rsid w:val="00CC354A"/>
    <w:rsid w:val="00CC3A10"/>
    <w:rsid w:val="00CC4217"/>
    <w:rsid w:val="00CC4540"/>
    <w:rsid w:val="00CC4924"/>
    <w:rsid w:val="00CC4D3F"/>
    <w:rsid w:val="00CC4FEC"/>
    <w:rsid w:val="00CC5008"/>
    <w:rsid w:val="00CC50B7"/>
    <w:rsid w:val="00CC63F2"/>
    <w:rsid w:val="00CC752C"/>
    <w:rsid w:val="00CD08BF"/>
    <w:rsid w:val="00CD195B"/>
    <w:rsid w:val="00CD1EEB"/>
    <w:rsid w:val="00CD3C0E"/>
    <w:rsid w:val="00CD3C54"/>
    <w:rsid w:val="00CD4C97"/>
    <w:rsid w:val="00CD4CA7"/>
    <w:rsid w:val="00CD4DA3"/>
    <w:rsid w:val="00CD4DE3"/>
    <w:rsid w:val="00CD58B0"/>
    <w:rsid w:val="00CD591A"/>
    <w:rsid w:val="00CD5D04"/>
    <w:rsid w:val="00CD7A33"/>
    <w:rsid w:val="00CD7F8F"/>
    <w:rsid w:val="00CE0335"/>
    <w:rsid w:val="00CE15C1"/>
    <w:rsid w:val="00CE2243"/>
    <w:rsid w:val="00CE3559"/>
    <w:rsid w:val="00CE3600"/>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A98"/>
    <w:rsid w:val="00CE7F77"/>
    <w:rsid w:val="00CF09A2"/>
    <w:rsid w:val="00CF1FD0"/>
    <w:rsid w:val="00CF2325"/>
    <w:rsid w:val="00CF2756"/>
    <w:rsid w:val="00CF2D07"/>
    <w:rsid w:val="00CF318D"/>
    <w:rsid w:val="00CF31E3"/>
    <w:rsid w:val="00CF3618"/>
    <w:rsid w:val="00CF3AAB"/>
    <w:rsid w:val="00CF3CAC"/>
    <w:rsid w:val="00CF42F9"/>
    <w:rsid w:val="00CF4B71"/>
    <w:rsid w:val="00CF4DC8"/>
    <w:rsid w:val="00CF5C92"/>
    <w:rsid w:val="00CF67D4"/>
    <w:rsid w:val="00CF71B1"/>
    <w:rsid w:val="00CF7766"/>
    <w:rsid w:val="00CF7975"/>
    <w:rsid w:val="00CF799A"/>
    <w:rsid w:val="00CF7ABE"/>
    <w:rsid w:val="00CF7CC1"/>
    <w:rsid w:val="00CF7DA2"/>
    <w:rsid w:val="00D000DF"/>
    <w:rsid w:val="00D00585"/>
    <w:rsid w:val="00D00E51"/>
    <w:rsid w:val="00D013DD"/>
    <w:rsid w:val="00D0173A"/>
    <w:rsid w:val="00D01C34"/>
    <w:rsid w:val="00D02438"/>
    <w:rsid w:val="00D02974"/>
    <w:rsid w:val="00D03264"/>
    <w:rsid w:val="00D03F7A"/>
    <w:rsid w:val="00D04900"/>
    <w:rsid w:val="00D04BBC"/>
    <w:rsid w:val="00D058D1"/>
    <w:rsid w:val="00D05BE7"/>
    <w:rsid w:val="00D06000"/>
    <w:rsid w:val="00D064C1"/>
    <w:rsid w:val="00D0739E"/>
    <w:rsid w:val="00D0777B"/>
    <w:rsid w:val="00D10AA6"/>
    <w:rsid w:val="00D10D73"/>
    <w:rsid w:val="00D1136E"/>
    <w:rsid w:val="00D12704"/>
    <w:rsid w:val="00D12749"/>
    <w:rsid w:val="00D13514"/>
    <w:rsid w:val="00D13643"/>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4299"/>
    <w:rsid w:val="00D248E2"/>
    <w:rsid w:val="00D24937"/>
    <w:rsid w:val="00D24B94"/>
    <w:rsid w:val="00D24C43"/>
    <w:rsid w:val="00D2512D"/>
    <w:rsid w:val="00D25B97"/>
    <w:rsid w:val="00D25F51"/>
    <w:rsid w:val="00D25FFC"/>
    <w:rsid w:val="00D27175"/>
    <w:rsid w:val="00D271AB"/>
    <w:rsid w:val="00D275FD"/>
    <w:rsid w:val="00D27B37"/>
    <w:rsid w:val="00D30324"/>
    <w:rsid w:val="00D3065F"/>
    <w:rsid w:val="00D30709"/>
    <w:rsid w:val="00D30B03"/>
    <w:rsid w:val="00D311B9"/>
    <w:rsid w:val="00D311F7"/>
    <w:rsid w:val="00D31531"/>
    <w:rsid w:val="00D317CA"/>
    <w:rsid w:val="00D31E0E"/>
    <w:rsid w:val="00D31E3A"/>
    <w:rsid w:val="00D320BD"/>
    <w:rsid w:val="00D32523"/>
    <w:rsid w:val="00D3268B"/>
    <w:rsid w:val="00D327C1"/>
    <w:rsid w:val="00D3291F"/>
    <w:rsid w:val="00D331B4"/>
    <w:rsid w:val="00D35716"/>
    <w:rsid w:val="00D35811"/>
    <w:rsid w:val="00D35FBF"/>
    <w:rsid w:val="00D366E1"/>
    <w:rsid w:val="00D369E6"/>
    <w:rsid w:val="00D37AF3"/>
    <w:rsid w:val="00D40373"/>
    <w:rsid w:val="00D40565"/>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89E"/>
    <w:rsid w:val="00D57F65"/>
    <w:rsid w:val="00D6010F"/>
    <w:rsid w:val="00D60518"/>
    <w:rsid w:val="00D60CB7"/>
    <w:rsid w:val="00D60D19"/>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FAC"/>
    <w:rsid w:val="00D842B5"/>
    <w:rsid w:val="00D844CB"/>
    <w:rsid w:val="00D849D5"/>
    <w:rsid w:val="00D84C77"/>
    <w:rsid w:val="00D85097"/>
    <w:rsid w:val="00D85456"/>
    <w:rsid w:val="00D85A17"/>
    <w:rsid w:val="00D85A58"/>
    <w:rsid w:val="00D868FE"/>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626"/>
    <w:rsid w:val="00DA1435"/>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98A"/>
    <w:rsid w:val="00DC09CB"/>
    <w:rsid w:val="00DC0E76"/>
    <w:rsid w:val="00DC1139"/>
    <w:rsid w:val="00DC19D3"/>
    <w:rsid w:val="00DC1AA4"/>
    <w:rsid w:val="00DC1D1D"/>
    <w:rsid w:val="00DC2145"/>
    <w:rsid w:val="00DC235B"/>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1CF"/>
    <w:rsid w:val="00DD124D"/>
    <w:rsid w:val="00DD158F"/>
    <w:rsid w:val="00DD1A23"/>
    <w:rsid w:val="00DD26C1"/>
    <w:rsid w:val="00DD2853"/>
    <w:rsid w:val="00DD33B9"/>
    <w:rsid w:val="00DD398C"/>
    <w:rsid w:val="00DD47E9"/>
    <w:rsid w:val="00DD4AA4"/>
    <w:rsid w:val="00DD5F85"/>
    <w:rsid w:val="00DD7D1D"/>
    <w:rsid w:val="00DE054F"/>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A2A"/>
    <w:rsid w:val="00E004E6"/>
    <w:rsid w:val="00E00E00"/>
    <w:rsid w:val="00E0110B"/>
    <w:rsid w:val="00E015B7"/>
    <w:rsid w:val="00E01E1B"/>
    <w:rsid w:val="00E02428"/>
    <w:rsid w:val="00E0307E"/>
    <w:rsid w:val="00E0321C"/>
    <w:rsid w:val="00E035EF"/>
    <w:rsid w:val="00E03CBE"/>
    <w:rsid w:val="00E042EE"/>
    <w:rsid w:val="00E044AE"/>
    <w:rsid w:val="00E0461D"/>
    <w:rsid w:val="00E04A12"/>
    <w:rsid w:val="00E04E11"/>
    <w:rsid w:val="00E056A2"/>
    <w:rsid w:val="00E059E2"/>
    <w:rsid w:val="00E06825"/>
    <w:rsid w:val="00E06BF0"/>
    <w:rsid w:val="00E10F32"/>
    <w:rsid w:val="00E11E71"/>
    <w:rsid w:val="00E12B60"/>
    <w:rsid w:val="00E13102"/>
    <w:rsid w:val="00E13159"/>
    <w:rsid w:val="00E136F4"/>
    <w:rsid w:val="00E13740"/>
    <w:rsid w:val="00E1413A"/>
    <w:rsid w:val="00E14434"/>
    <w:rsid w:val="00E1480F"/>
    <w:rsid w:val="00E14C8C"/>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FB"/>
    <w:rsid w:val="00E22884"/>
    <w:rsid w:val="00E22DDE"/>
    <w:rsid w:val="00E2461C"/>
    <w:rsid w:val="00E2469C"/>
    <w:rsid w:val="00E246B4"/>
    <w:rsid w:val="00E24842"/>
    <w:rsid w:val="00E248E7"/>
    <w:rsid w:val="00E24DDB"/>
    <w:rsid w:val="00E24DF0"/>
    <w:rsid w:val="00E24E0B"/>
    <w:rsid w:val="00E25115"/>
    <w:rsid w:val="00E2589B"/>
    <w:rsid w:val="00E25CC6"/>
    <w:rsid w:val="00E25E46"/>
    <w:rsid w:val="00E26063"/>
    <w:rsid w:val="00E262FE"/>
    <w:rsid w:val="00E26321"/>
    <w:rsid w:val="00E26938"/>
    <w:rsid w:val="00E26CD7"/>
    <w:rsid w:val="00E27775"/>
    <w:rsid w:val="00E301B7"/>
    <w:rsid w:val="00E30962"/>
    <w:rsid w:val="00E310C2"/>
    <w:rsid w:val="00E31AED"/>
    <w:rsid w:val="00E31F9E"/>
    <w:rsid w:val="00E327B5"/>
    <w:rsid w:val="00E32847"/>
    <w:rsid w:val="00E32B56"/>
    <w:rsid w:val="00E32E1B"/>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733"/>
    <w:rsid w:val="00E40792"/>
    <w:rsid w:val="00E40C43"/>
    <w:rsid w:val="00E40D60"/>
    <w:rsid w:val="00E411D1"/>
    <w:rsid w:val="00E424D8"/>
    <w:rsid w:val="00E425CA"/>
    <w:rsid w:val="00E4280F"/>
    <w:rsid w:val="00E43D22"/>
    <w:rsid w:val="00E44239"/>
    <w:rsid w:val="00E449EC"/>
    <w:rsid w:val="00E44A9B"/>
    <w:rsid w:val="00E44AAF"/>
    <w:rsid w:val="00E44BC9"/>
    <w:rsid w:val="00E44C1D"/>
    <w:rsid w:val="00E450EF"/>
    <w:rsid w:val="00E45236"/>
    <w:rsid w:val="00E4584A"/>
    <w:rsid w:val="00E4686C"/>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D88"/>
    <w:rsid w:val="00E61F57"/>
    <w:rsid w:val="00E62357"/>
    <w:rsid w:val="00E62CC3"/>
    <w:rsid w:val="00E62FCA"/>
    <w:rsid w:val="00E63CAD"/>
    <w:rsid w:val="00E640BF"/>
    <w:rsid w:val="00E642FB"/>
    <w:rsid w:val="00E64C46"/>
    <w:rsid w:val="00E655C1"/>
    <w:rsid w:val="00E65972"/>
    <w:rsid w:val="00E65DD6"/>
    <w:rsid w:val="00E66009"/>
    <w:rsid w:val="00E6662D"/>
    <w:rsid w:val="00E66A6E"/>
    <w:rsid w:val="00E66D47"/>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35D"/>
    <w:rsid w:val="00E73875"/>
    <w:rsid w:val="00E740A8"/>
    <w:rsid w:val="00E74189"/>
    <w:rsid w:val="00E7421E"/>
    <w:rsid w:val="00E74965"/>
    <w:rsid w:val="00E74C55"/>
    <w:rsid w:val="00E74F29"/>
    <w:rsid w:val="00E75ADC"/>
    <w:rsid w:val="00E769EF"/>
    <w:rsid w:val="00E772E5"/>
    <w:rsid w:val="00E800E4"/>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59F"/>
    <w:rsid w:val="00E94871"/>
    <w:rsid w:val="00E95230"/>
    <w:rsid w:val="00E96089"/>
    <w:rsid w:val="00E975AD"/>
    <w:rsid w:val="00E9763E"/>
    <w:rsid w:val="00E97AE2"/>
    <w:rsid w:val="00EA03D9"/>
    <w:rsid w:val="00EA0423"/>
    <w:rsid w:val="00EA0854"/>
    <w:rsid w:val="00EA176F"/>
    <w:rsid w:val="00EA1A0E"/>
    <w:rsid w:val="00EA1E37"/>
    <w:rsid w:val="00EA344E"/>
    <w:rsid w:val="00EA3E85"/>
    <w:rsid w:val="00EA4258"/>
    <w:rsid w:val="00EA492C"/>
    <w:rsid w:val="00EA4D63"/>
    <w:rsid w:val="00EA4FE0"/>
    <w:rsid w:val="00EA5129"/>
    <w:rsid w:val="00EA554C"/>
    <w:rsid w:val="00EA56B2"/>
    <w:rsid w:val="00EA5B3D"/>
    <w:rsid w:val="00EA61ED"/>
    <w:rsid w:val="00EA7A16"/>
    <w:rsid w:val="00EA7FE1"/>
    <w:rsid w:val="00EB0367"/>
    <w:rsid w:val="00EB0670"/>
    <w:rsid w:val="00EB1402"/>
    <w:rsid w:val="00EB15EA"/>
    <w:rsid w:val="00EB1972"/>
    <w:rsid w:val="00EB1A07"/>
    <w:rsid w:val="00EB3349"/>
    <w:rsid w:val="00EB3C03"/>
    <w:rsid w:val="00EB40DB"/>
    <w:rsid w:val="00EB4591"/>
    <w:rsid w:val="00EB4ABC"/>
    <w:rsid w:val="00EB51DF"/>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5C26"/>
    <w:rsid w:val="00EC6C32"/>
    <w:rsid w:val="00EC729D"/>
    <w:rsid w:val="00EC73D8"/>
    <w:rsid w:val="00EC7D47"/>
    <w:rsid w:val="00EC7E1B"/>
    <w:rsid w:val="00ED03C8"/>
    <w:rsid w:val="00ED0501"/>
    <w:rsid w:val="00ED0FE7"/>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F76"/>
    <w:rsid w:val="00ED6588"/>
    <w:rsid w:val="00ED7663"/>
    <w:rsid w:val="00EE07F4"/>
    <w:rsid w:val="00EE0DDE"/>
    <w:rsid w:val="00EE113E"/>
    <w:rsid w:val="00EE226E"/>
    <w:rsid w:val="00EE2786"/>
    <w:rsid w:val="00EE2BB3"/>
    <w:rsid w:val="00EE2F99"/>
    <w:rsid w:val="00EE3158"/>
    <w:rsid w:val="00EE4525"/>
    <w:rsid w:val="00EE45BF"/>
    <w:rsid w:val="00EE5429"/>
    <w:rsid w:val="00EE56B0"/>
    <w:rsid w:val="00EE613D"/>
    <w:rsid w:val="00EE64D8"/>
    <w:rsid w:val="00EE69D3"/>
    <w:rsid w:val="00EE6B09"/>
    <w:rsid w:val="00EE6C7C"/>
    <w:rsid w:val="00EE7116"/>
    <w:rsid w:val="00EE72AB"/>
    <w:rsid w:val="00EE7416"/>
    <w:rsid w:val="00EE7555"/>
    <w:rsid w:val="00EE75B7"/>
    <w:rsid w:val="00EF0167"/>
    <w:rsid w:val="00EF08BB"/>
    <w:rsid w:val="00EF09AF"/>
    <w:rsid w:val="00EF0D1E"/>
    <w:rsid w:val="00EF100F"/>
    <w:rsid w:val="00EF1ACE"/>
    <w:rsid w:val="00EF1DB8"/>
    <w:rsid w:val="00EF1E46"/>
    <w:rsid w:val="00EF1FC6"/>
    <w:rsid w:val="00EF32C7"/>
    <w:rsid w:val="00EF35A9"/>
    <w:rsid w:val="00EF3A52"/>
    <w:rsid w:val="00EF3E8A"/>
    <w:rsid w:val="00EF4609"/>
    <w:rsid w:val="00EF4EE6"/>
    <w:rsid w:val="00EF507C"/>
    <w:rsid w:val="00EF58DF"/>
    <w:rsid w:val="00EF591F"/>
    <w:rsid w:val="00EF6AA7"/>
    <w:rsid w:val="00EF6C6D"/>
    <w:rsid w:val="00EF7103"/>
    <w:rsid w:val="00F002B9"/>
    <w:rsid w:val="00F003E2"/>
    <w:rsid w:val="00F0062A"/>
    <w:rsid w:val="00F00B86"/>
    <w:rsid w:val="00F00D89"/>
    <w:rsid w:val="00F012D5"/>
    <w:rsid w:val="00F01D7D"/>
    <w:rsid w:val="00F02980"/>
    <w:rsid w:val="00F02D4E"/>
    <w:rsid w:val="00F032BD"/>
    <w:rsid w:val="00F03356"/>
    <w:rsid w:val="00F03426"/>
    <w:rsid w:val="00F0415D"/>
    <w:rsid w:val="00F045CF"/>
    <w:rsid w:val="00F046F1"/>
    <w:rsid w:val="00F04C02"/>
    <w:rsid w:val="00F050BE"/>
    <w:rsid w:val="00F05497"/>
    <w:rsid w:val="00F05859"/>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10C5"/>
    <w:rsid w:val="00F211A4"/>
    <w:rsid w:val="00F21636"/>
    <w:rsid w:val="00F21E66"/>
    <w:rsid w:val="00F21EB4"/>
    <w:rsid w:val="00F22432"/>
    <w:rsid w:val="00F234C6"/>
    <w:rsid w:val="00F23501"/>
    <w:rsid w:val="00F241A7"/>
    <w:rsid w:val="00F2424C"/>
    <w:rsid w:val="00F24CA0"/>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9AD"/>
    <w:rsid w:val="00F33B7E"/>
    <w:rsid w:val="00F343B3"/>
    <w:rsid w:val="00F34990"/>
    <w:rsid w:val="00F34AA7"/>
    <w:rsid w:val="00F354F0"/>
    <w:rsid w:val="00F35E03"/>
    <w:rsid w:val="00F35F72"/>
    <w:rsid w:val="00F36E6A"/>
    <w:rsid w:val="00F37A8B"/>
    <w:rsid w:val="00F40B88"/>
    <w:rsid w:val="00F414D7"/>
    <w:rsid w:val="00F41ACF"/>
    <w:rsid w:val="00F41FB4"/>
    <w:rsid w:val="00F4229C"/>
    <w:rsid w:val="00F42472"/>
    <w:rsid w:val="00F42594"/>
    <w:rsid w:val="00F42B06"/>
    <w:rsid w:val="00F42B5F"/>
    <w:rsid w:val="00F43E44"/>
    <w:rsid w:val="00F44249"/>
    <w:rsid w:val="00F44303"/>
    <w:rsid w:val="00F443F0"/>
    <w:rsid w:val="00F447DB"/>
    <w:rsid w:val="00F447E3"/>
    <w:rsid w:val="00F4583F"/>
    <w:rsid w:val="00F45A8B"/>
    <w:rsid w:val="00F46167"/>
    <w:rsid w:val="00F46400"/>
    <w:rsid w:val="00F47174"/>
    <w:rsid w:val="00F47636"/>
    <w:rsid w:val="00F47681"/>
    <w:rsid w:val="00F47690"/>
    <w:rsid w:val="00F4780F"/>
    <w:rsid w:val="00F47BC2"/>
    <w:rsid w:val="00F47F6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AD6"/>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F29"/>
    <w:rsid w:val="00F7014D"/>
    <w:rsid w:val="00F70BA0"/>
    <w:rsid w:val="00F70EC1"/>
    <w:rsid w:val="00F710AF"/>
    <w:rsid w:val="00F7174E"/>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80049"/>
    <w:rsid w:val="00F800FE"/>
    <w:rsid w:val="00F80377"/>
    <w:rsid w:val="00F80610"/>
    <w:rsid w:val="00F80AAC"/>
    <w:rsid w:val="00F81685"/>
    <w:rsid w:val="00F81990"/>
    <w:rsid w:val="00F81A58"/>
    <w:rsid w:val="00F81CD4"/>
    <w:rsid w:val="00F82706"/>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129A"/>
    <w:rsid w:val="00FA1657"/>
    <w:rsid w:val="00FA1954"/>
    <w:rsid w:val="00FA1CC7"/>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E2D"/>
    <w:rsid w:val="00FE1F98"/>
    <w:rsid w:val="00FE2423"/>
    <w:rsid w:val="00FE2AC1"/>
    <w:rsid w:val="00FE37CC"/>
    <w:rsid w:val="00FE3A05"/>
    <w:rsid w:val="00FE3E1C"/>
    <w:rsid w:val="00FE4152"/>
    <w:rsid w:val="00FE4B3C"/>
    <w:rsid w:val="00FE4F00"/>
    <w:rsid w:val="00FE5C37"/>
    <w:rsid w:val="00FE6395"/>
    <w:rsid w:val="00FE66E2"/>
    <w:rsid w:val="00FE6E82"/>
    <w:rsid w:val="00FE7515"/>
    <w:rsid w:val="00FE7703"/>
    <w:rsid w:val="00FE7C31"/>
    <w:rsid w:val="00FE7C9A"/>
    <w:rsid w:val="00FE7CF9"/>
    <w:rsid w:val="00FF0202"/>
    <w:rsid w:val="00FF1684"/>
    <w:rsid w:val="00FF1BA5"/>
    <w:rsid w:val="00FF1CF9"/>
    <w:rsid w:val="00FF2257"/>
    <w:rsid w:val="00FF26DB"/>
    <w:rsid w:val="00FF297A"/>
    <w:rsid w:val="00FF31C4"/>
    <w:rsid w:val="00FF3C52"/>
    <w:rsid w:val="00FF3EDE"/>
    <w:rsid w:val="00FF4545"/>
    <w:rsid w:val="00FF4928"/>
    <w:rsid w:val="00FF4A4A"/>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363102"/>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s%20Monica\Documents\Consumo%20Privado\Graficas%20Consumo%20Priv%20%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s%20Monica\Documents\Consumo%20Privado\Graficas%20Consumo%20Priv%20%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5.3.235\Gestion_DAE\Indicadores%20coyuntura\notas-calendario\IConsumo%20Privado%202013\Nueva%20Base%202013%2008-17\2019\05-19\Graficas%20Consumo%20Priv%20%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Consumo%20Privado\Graficas%20Consumo%20Priv%20%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'!$A$77:$B$141</c:f>
              <c:multiLvlStrCache>
                <c:ptCount val="65"/>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2014</c:v>
                  </c:pt>
                  <c:pt idx="12">
                    <c:v>2015</c:v>
                  </c:pt>
                  <c:pt idx="24">
                    <c:v>2016</c:v>
                  </c:pt>
                  <c:pt idx="36">
                    <c:v>2017</c:v>
                  </c:pt>
                  <c:pt idx="48">
                    <c:v>2018</c:v>
                  </c:pt>
                  <c:pt idx="60">
                    <c:v>2019</c:v>
                  </c:pt>
                </c:lvl>
              </c:multiLvlStrCache>
            </c:multiLvlStrRef>
          </c:cat>
          <c:val>
            <c:numRef>
              <c:f>'Datos '!$C$77:$C$141</c:f>
              <c:numCache>
                <c:formatCode>0.0</c:formatCode>
                <c:ptCount val="65"/>
                <c:pt idx="0">
                  <c:v>100.458265874072</c:v>
                </c:pt>
                <c:pt idx="1">
                  <c:v>101.019453909177</c:v>
                </c:pt>
                <c:pt idx="2">
                  <c:v>101.121204676424</c:v>
                </c:pt>
                <c:pt idx="3">
                  <c:v>102.576351141137</c:v>
                </c:pt>
                <c:pt idx="4">
                  <c:v>102.839299456221</c:v>
                </c:pt>
                <c:pt idx="5">
                  <c:v>102.836627178383</c:v>
                </c:pt>
                <c:pt idx="6">
                  <c:v>102.791299598024</c:v>
                </c:pt>
                <c:pt idx="7">
                  <c:v>102.213170739516</c:v>
                </c:pt>
                <c:pt idx="8">
                  <c:v>102.420647207144</c:v>
                </c:pt>
                <c:pt idx="9">
                  <c:v>103.42159976439</c:v>
                </c:pt>
                <c:pt idx="10">
                  <c:v>103.646680215769</c:v>
                </c:pt>
                <c:pt idx="11">
                  <c:v>102.306647952685</c:v>
                </c:pt>
                <c:pt idx="12">
                  <c:v>103.89870658928599</c:v>
                </c:pt>
                <c:pt idx="13">
                  <c:v>103.507866931994</c:v>
                </c:pt>
                <c:pt idx="14">
                  <c:v>103.87500190398499</c:v>
                </c:pt>
                <c:pt idx="15">
                  <c:v>104.485309521804</c:v>
                </c:pt>
                <c:pt idx="16">
                  <c:v>104.67784980173499</c:v>
                </c:pt>
                <c:pt idx="17">
                  <c:v>105.102964390411</c:v>
                </c:pt>
                <c:pt idx="18">
                  <c:v>104.902293335157</c:v>
                </c:pt>
                <c:pt idx="19">
                  <c:v>106.636699509864</c:v>
                </c:pt>
                <c:pt idx="20">
                  <c:v>106.83467998410001</c:v>
                </c:pt>
                <c:pt idx="21">
                  <c:v>107.84430944939299</c:v>
                </c:pt>
                <c:pt idx="22">
                  <c:v>107.485465500651</c:v>
                </c:pt>
                <c:pt idx="23">
                  <c:v>107.598385942261</c:v>
                </c:pt>
                <c:pt idx="24">
                  <c:v>108.42863818099001</c:v>
                </c:pt>
                <c:pt idx="25">
                  <c:v>108.733153551554</c:v>
                </c:pt>
                <c:pt idx="26">
                  <c:v>108.576652207747</c:v>
                </c:pt>
                <c:pt idx="27">
                  <c:v>107.61400263092099</c:v>
                </c:pt>
                <c:pt idx="28">
                  <c:v>108.787486860443</c:v>
                </c:pt>
                <c:pt idx="29">
                  <c:v>109.777727969758</c:v>
                </c:pt>
                <c:pt idx="30">
                  <c:v>110.050187099581</c:v>
                </c:pt>
                <c:pt idx="31">
                  <c:v>110.370222213484</c:v>
                </c:pt>
                <c:pt idx="32">
                  <c:v>110.947696912819</c:v>
                </c:pt>
                <c:pt idx="33">
                  <c:v>111.22745646708999</c:v>
                </c:pt>
                <c:pt idx="34">
                  <c:v>111.26631564146101</c:v>
                </c:pt>
                <c:pt idx="35">
                  <c:v>113.999105512756</c:v>
                </c:pt>
                <c:pt idx="36">
                  <c:v>112.646897573286</c:v>
                </c:pt>
                <c:pt idx="37">
                  <c:v>112.86201042909801</c:v>
                </c:pt>
                <c:pt idx="38">
                  <c:v>111.476851237191</c:v>
                </c:pt>
                <c:pt idx="39">
                  <c:v>113.214262335321</c:v>
                </c:pt>
                <c:pt idx="40">
                  <c:v>113.347313818676</c:v>
                </c:pt>
                <c:pt idx="41">
                  <c:v>113.933771331692</c:v>
                </c:pt>
                <c:pt idx="42">
                  <c:v>113.925281293789</c:v>
                </c:pt>
                <c:pt idx="43">
                  <c:v>114.0123237518</c:v>
                </c:pt>
                <c:pt idx="44">
                  <c:v>114.382952981671</c:v>
                </c:pt>
                <c:pt idx="45">
                  <c:v>113.947373419171</c:v>
                </c:pt>
                <c:pt idx="46">
                  <c:v>114.45483082778701</c:v>
                </c:pt>
                <c:pt idx="47">
                  <c:v>116.172135885594</c:v>
                </c:pt>
                <c:pt idx="48">
                  <c:v>114.65551546016199</c:v>
                </c:pt>
                <c:pt idx="49">
                  <c:v>114.743931721648</c:v>
                </c:pt>
                <c:pt idx="50">
                  <c:v>116.208166224602</c:v>
                </c:pt>
                <c:pt idx="51">
                  <c:v>115.26271838882499</c:v>
                </c:pt>
                <c:pt idx="52">
                  <c:v>116.151567652514</c:v>
                </c:pt>
                <c:pt idx="53">
                  <c:v>116.13048701185799</c:v>
                </c:pt>
                <c:pt idx="54">
                  <c:v>116.40214688808599</c:v>
                </c:pt>
                <c:pt idx="55">
                  <c:v>116.88126078701799</c:v>
                </c:pt>
                <c:pt idx="56">
                  <c:v>117.631941458003</c:v>
                </c:pt>
                <c:pt idx="57">
                  <c:v>115.67417673937599</c:v>
                </c:pt>
                <c:pt idx="58">
                  <c:v>116.88058014903299</c:v>
                </c:pt>
                <c:pt idx="59">
                  <c:v>116.857554745922</c:v>
                </c:pt>
                <c:pt idx="60">
                  <c:v>117.09783749809399</c:v>
                </c:pt>
                <c:pt idx="61">
                  <c:v>117.085547697724</c:v>
                </c:pt>
                <c:pt idx="62">
                  <c:v>115.40265639191399</c:v>
                </c:pt>
                <c:pt idx="63">
                  <c:v>116.689428125597</c:v>
                </c:pt>
                <c:pt idx="64">
                  <c:v>116.472204260157</c:v>
                </c:pt>
              </c:numCache>
            </c:numRef>
          </c:val>
          <c:extLst>
            <c:ext xmlns:c16="http://schemas.microsoft.com/office/drawing/2014/chart" uri="{C3380CC4-5D6E-409C-BE32-E72D297353CC}">
              <c16:uniqueId val="{00000000-9B2A-4F51-8859-CC602DFFAA2D}"/>
            </c:ext>
          </c:extLst>
        </c:ser>
        <c:dLbls>
          <c:showLegendKey val="0"/>
          <c:showVal val="0"/>
          <c:showCatName val="0"/>
          <c:showSerName val="0"/>
          <c:showPercent val="0"/>
          <c:showBubbleSize val="0"/>
        </c:dLbls>
        <c:gapWidth val="50"/>
        <c:axId val="516107152"/>
        <c:axId val="516105584"/>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'!$A$77:$B$141</c:f>
              <c:multiLvlStrCache>
                <c:ptCount val="65"/>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2014</c:v>
                  </c:pt>
                  <c:pt idx="12">
                    <c:v>2015</c:v>
                  </c:pt>
                  <c:pt idx="24">
                    <c:v>2016</c:v>
                  </c:pt>
                  <c:pt idx="36">
                    <c:v>2017</c:v>
                  </c:pt>
                  <c:pt idx="48">
                    <c:v>2018</c:v>
                  </c:pt>
                  <c:pt idx="60">
                    <c:v>2019</c:v>
                  </c:pt>
                </c:lvl>
              </c:multiLvlStrCache>
            </c:multiLvlStrRef>
          </c:cat>
          <c:val>
            <c:numRef>
              <c:f>'Datos '!$D$77:$D$141</c:f>
              <c:numCache>
                <c:formatCode>0.0</c:formatCode>
                <c:ptCount val="65"/>
                <c:pt idx="0">
                  <c:v>100.660426364277</c:v>
                </c:pt>
                <c:pt idx="1">
                  <c:v>101.09322646435599</c:v>
                </c:pt>
                <c:pt idx="2">
                  <c:v>101.610672520123</c:v>
                </c:pt>
                <c:pt idx="3">
                  <c:v>102.09404363217099</c:v>
                </c:pt>
                <c:pt idx="4">
                  <c:v>102.449720076397</c:v>
                </c:pt>
                <c:pt idx="5">
                  <c:v>102.641331849644</c:v>
                </c:pt>
                <c:pt idx="6">
                  <c:v>102.714715756621</c:v>
                </c:pt>
                <c:pt idx="7">
                  <c:v>102.767891432315</c:v>
                </c:pt>
                <c:pt idx="8">
                  <c:v>102.87544571771301</c:v>
                </c:pt>
                <c:pt idx="9">
                  <c:v>103.05368912350799</c:v>
                </c:pt>
                <c:pt idx="10">
                  <c:v>103.279840905783</c:v>
                </c:pt>
                <c:pt idx="11">
                  <c:v>103.489326453385</c:v>
                </c:pt>
                <c:pt idx="12">
                  <c:v>103.665400680331</c:v>
                </c:pt>
                <c:pt idx="13">
                  <c:v>103.815311149072</c:v>
                </c:pt>
                <c:pt idx="14">
                  <c:v>104.000480447321</c:v>
                </c:pt>
                <c:pt idx="15">
                  <c:v>104.28134392932699</c:v>
                </c:pt>
                <c:pt idx="16">
                  <c:v>104.68991422745999</c:v>
                </c:pt>
                <c:pt idx="17">
                  <c:v>105.206302598682</c:v>
                </c:pt>
                <c:pt idx="18">
                  <c:v>105.777147713426</c:v>
                </c:pt>
                <c:pt idx="19">
                  <c:v>106.345038098885</c:v>
                </c:pt>
                <c:pt idx="20">
                  <c:v>106.86531043520699</c:v>
                </c:pt>
                <c:pt idx="21">
                  <c:v>107.32362922186</c:v>
                </c:pt>
                <c:pt idx="22">
                  <c:v>107.70664444221801</c:v>
                </c:pt>
                <c:pt idx="23">
                  <c:v>107.997654880933</c:v>
                </c:pt>
                <c:pt idx="24">
                  <c:v>108.223239714323</c:v>
                </c:pt>
                <c:pt idx="25">
                  <c:v>108.428234395575</c:v>
                </c:pt>
                <c:pt idx="26">
                  <c:v>108.64740248956301</c:v>
                </c:pt>
                <c:pt idx="27">
                  <c:v>108.897228484937</c:v>
                </c:pt>
                <c:pt idx="28">
                  <c:v>109.20617484934</c:v>
                </c:pt>
                <c:pt idx="29">
                  <c:v>109.56262351823599</c:v>
                </c:pt>
                <c:pt idx="30">
                  <c:v>109.964250867714</c:v>
                </c:pt>
                <c:pt idx="31">
                  <c:v>110.389442906136</c:v>
                </c:pt>
                <c:pt idx="32">
                  <c:v>110.80915383637</c:v>
                </c:pt>
                <c:pt idx="33">
                  <c:v>111.220656581949</c:v>
                </c:pt>
                <c:pt idx="34">
                  <c:v>111.635258021092</c:v>
                </c:pt>
                <c:pt idx="35">
                  <c:v>112.040922882088</c:v>
                </c:pt>
                <c:pt idx="36">
                  <c:v>112.427196310965</c:v>
                </c:pt>
                <c:pt idx="37">
                  <c:v>112.769039573378</c:v>
                </c:pt>
                <c:pt idx="38">
                  <c:v>113.059031001216</c:v>
                </c:pt>
                <c:pt idx="39">
                  <c:v>113.312396988516</c:v>
                </c:pt>
                <c:pt idx="40">
                  <c:v>113.531100334806</c:v>
                </c:pt>
                <c:pt idx="41">
                  <c:v>113.72401180729</c:v>
                </c:pt>
                <c:pt idx="42">
                  <c:v>113.90188699474599</c:v>
                </c:pt>
                <c:pt idx="43">
                  <c:v>114.054990296749</c:v>
                </c:pt>
                <c:pt idx="44">
                  <c:v>114.16595178750499</c:v>
                </c:pt>
                <c:pt idx="45">
                  <c:v>114.268116459588</c:v>
                </c:pt>
                <c:pt idx="46">
                  <c:v>114.38562822717201</c:v>
                </c:pt>
                <c:pt idx="47">
                  <c:v>114.54760636664599</c:v>
                </c:pt>
                <c:pt idx="48">
                  <c:v>114.76521155249</c:v>
                </c:pt>
                <c:pt idx="49">
                  <c:v>115.020920252576</c:v>
                </c:pt>
                <c:pt idx="50">
                  <c:v>115.308683859232</c:v>
                </c:pt>
                <c:pt idx="51">
                  <c:v>115.620132298797</c:v>
                </c:pt>
                <c:pt idx="52">
                  <c:v>115.934508719227</c:v>
                </c:pt>
                <c:pt idx="53">
                  <c:v>116.235601453024</c:v>
                </c:pt>
                <c:pt idx="54">
                  <c:v>116.483050801883</c:v>
                </c:pt>
                <c:pt idx="55">
                  <c:v>116.66388293283801</c:v>
                </c:pt>
                <c:pt idx="56">
                  <c:v>116.797613159851</c:v>
                </c:pt>
                <c:pt idx="57">
                  <c:v>116.89064588094099</c:v>
                </c:pt>
                <c:pt idx="58">
                  <c:v>116.940553275998</c:v>
                </c:pt>
                <c:pt idx="59">
                  <c:v>116.960462422913</c:v>
                </c:pt>
                <c:pt idx="60">
                  <c:v>116.936262818286</c:v>
                </c:pt>
                <c:pt idx="61">
                  <c:v>116.873721440317</c:v>
                </c:pt>
                <c:pt idx="62">
                  <c:v>116.777836996083</c:v>
                </c:pt>
                <c:pt idx="63">
                  <c:v>116.67705053971299</c:v>
                </c:pt>
                <c:pt idx="64">
                  <c:v>116.605639947843</c:v>
                </c:pt>
              </c:numCache>
            </c:numRef>
          </c:val>
          <c:smooth val="0"/>
          <c:extLst>
            <c:ext xmlns:c16="http://schemas.microsoft.com/office/drawing/2014/chart" uri="{C3380CC4-5D6E-409C-BE32-E72D297353CC}">
              <c16:uniqueId val="{00000001-9B2A-4F51-8859-CC602DFFAA2D}"/>
            </c:ext>
          </c:extLst>
        </c:ser>
        <c:dLbls>
          <c:showLegendKey val="0"/>
          <c:showVal val="0"/>
          <c:showCatName val="0"/>
          <c:showSerName val="0"/>
          <c:showPercent val="0"/>
          <c:showBubbleSize val="0"/>
        </c:dLbls>
        <c:marker val="1"/>
        <c:smooth val="0"/>
        <c:axId val="516107152"/>
        <c:axId val="516105584"/>
      </c:lineChart>
      <c:catAx>
        <c:axId val="516107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516105584"/>
        <c:crosses val="autoZero"/>
        <c:auto val="1"/>
        <c:lblAlgn val="ctr"/>
        <c:lblOffset val="100"/>
        <c:tickLblSkip val="1"/>
        <c:tickMarkSkip val="12"/>
        <c:noMultiLvlLbl val="1"/>
      </c:catAx>
      <c:valAx>
        <c:axId val="516105584"/>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516107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'!$A$77:$B$141</c:f>
              <c:multiLvlStrCache>
                <c:ptCount val="65"/>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2014</c:v>
                  </c:pt>
                  <c:pt idx="12">
                    <c:v>2015</c:v>
                  </c:pt>
                  <c:pt idx="24">
                    <c:v>2016</c:v>
                  </c:pt>
                  <c:pt idx="36">
                    <c:v>2017</c:v>
                  </c:pt>
                  <c:pt idx="48">
                    <c:v>2018</c:v>
                  </c:pt>
                  <c:pt idx="60">
                    <c:v>2019</c:v>
                  </c:pt>
                </c:lvl>
              </c:multiLvlStrCache>
            </c:multiLvlStrRef>
          </c:cat>
          <c:val>
            <c:numRef>
              <c:f>'Datos '!$C$77:$C$141</c:f>
              <c:numCache>
                <c:formatCode>0.0</c:formatCode>
                <c:ptCount val="65"/>
                <c:pt idx="0">
                  <c:v>100.458265874072</c:v>
                </c:pt>
                <c:pt idx="1">
                  <c:v>101.019453909177</c:v>
                </c:pt>
                <c:pt idx="2">
                  <c:v>101.121204676424</c:v>
                </c:pt>
                <c:pt idx="3">
                  <c:v>102.576351141137</c:v>
                </c:pt>
                <c:pt idx="4">
                  <c:v>102.839299456221</c:v>
                </c:pt>
                <c:pt idx="5">
                  <c:v>102.836627178383</c:v>
                </c:pt>
                <c:pt idx="6">
                  <c:v>102.791299598024</c:v>
                </c:pt>
                <c:pt idx="7">
                  <c:v>102.213170739516</c:v>
                </c:pt>
                <c:pt idx="8">
                  <c:v>102.420647207144</c:v>
                </c:pt>
                <c:pt idx="9">
                  <c:v>103.42159976439</c:v>
                </c:pt>
                <c:pt idx="10">
                  <c:v>103.646680215769</c:v>
                </c:pt>
                <c:pt idx="11">
                  <c:v>102.306647952685</c:v>
                </c:pt>
                <c:pt idx="12">
                  <c:v>103.89870658928599</c:v>
                </c:pt>
                <c:pt idx="13">
                  <c:v>103.507866931994</c:v>
                </c:pt>
                <c:pt idx="14">
                  <c:v>103.87500190398499</c:v>
                </c:pt>
                <c:pt idx="15">
                  <c:v>104.485309521804</c:v>
                </c:pt>
                <c:pt idx="16">
                  <c:v>104.67784980173499</c:v>
                </c:pt>
                <c:pt idx="17">
                  <c:v>105.102964390411</c:v>
                </c:pt>
                <c:pt idx="18">
                  <c:v>104.902293335157</c:v>
                </c:pt>
                <c:pt idx="19">
                  <c:v>106.636699509864</c:v>
                </c:pt>
                <c:pt idx="20">
                  <c:v>106.83467998410001</c:v>
                </c:pt>
                <c:pt idx="21">
                  <c:v>107.84430944939299</c:v>
                </c:pt>
                <c:pt idx="22">
                  <c:v>107.485465500651</c:v>
                </c:pt>
                <c:pt idx="23">
                  <c:v>107.598385942261</c:v>
                </c:pt>
                <c:pt idx="24">
                  <c:v>108.42863818099001</c:v>
                </c:pt>
                <c:pt idx="25">
                  <c:v>108.733153551554</c:v>
                </c:pt>
                <c:pt idx="26">
                  <c:v>108.576652207747</c:v>
                </c:pt>
                <c:pt idx="27">
                  <c:v>107.61400263092099</c:v>
                </c:pt>
                <c:pt idx="28">
                  <c:v>108.787486860443</c:v>
                </c:pt>
                <c:pt idx="29">
                  <c:v>109.777727969758</c:v>
                </c:pt>
                <c:pt idx="30">
                  <c:v>110.050187099581</c:v>
                </c:pt>
                <c:pt idx="31">
                  <c:v>110.370222213484</c:v>
                </c:pt>
                <c:pt idx="32">
                  <c:v>110.947696912819</c:v>
                </c:pt>
                <c:pt idx="33">
                  <c:v>111.22745646708999</c:v>
                </c:pt>
                <c:pt idx="34">
                  <c:v>111.26631564146101</c:v>
                </c:pt>
                <c:pt idx="35">
                  <c:v>113.999105512756</c:v>
                </c:pt>
                <c:pt idx="36">
                  <c:v>112.646897573286</c:v>
                </c:pt>
                <c:pt idx="37">
                  <c:v>112.86201042909801</c:v>
                </c:pt>
                <c:pt idx="38">
                  <c:v>111.476851237191</c:v>
                </c:pt>
                <c:pt idx="39">
                  <c:v>113.214262335321</c:v>
                </c:pt>
                <c:pt idx="40">
                  <c:v>113.347313818676</c:v>
                </c:pt>
                <c:pt idx="41">
                  <c:v>113.933771331692</c:v>
                </c:pt>
                <c:pt idx="42">
                  <c:v>113.925281293789</c:v>
                </c:pt>
                <c:pt idx="43">
                  <c:v>114.0123237518</c:v>
                </c:pt>
                <c:pt idx="44">
                  <c:v>114.382952981671</c:v>
                </c:pt>
                <c:pt idx="45">
                  <c:v>113.947373419171</c:v>
                </c:pt>
                <c:pt idx="46">
                  <c:v>114.45483082778701</c:v>
                </c:pt>
                <c:pt idx="47">
                  <c:v>116.172135885594</c:v>
                </c:pt>
                <c:pt idx="48">
                  <c:v>114.65551546016199</c:v>
                </c:pt>
                <c:pt idx="49">
                  <c:v>114.743931721648</c:v>
                </c:pt>
                <c:pt idx="50">
                  <c:v>116.208166224602</c:v>
                </c:pt>
                <c:pt idx="51">
                  <c:v>115.26271838882499</c:v>
                </c:pt>
                <c:pt idx="52">
                  <c:v>116.151567652514</c:v>
                </c:pt>
                <c:pt idx="53">
                  <c:v>116.13048701185799</c:v>
                </c:pt>
                <c:pt idx="54">
                  <c:v>116.40214688808599</c:v>
                </c:pt>
                <c:pt idx="55">
                  <c:v>116.88126078701799</c:v>
                </c:pt>
                <c:pt idx="56">
                  <c:v>117.631941458003</c:v>
                </c:pt>
                <c:pt idx="57">
                  <c:v>115.67417673937599</c:v>
                </c:pt>
                <c:pt idx="58">
                  <c:v>116.88058014903299</c:v>
                </c:pt>
                <c:pt idx="59">
                  <c:v>116.857554745922</c:v>
                </c:pt>
                <c:pt idx="60">
                  <c:v>117.09783749809399</c:v>
                </c:pt>
                <c:pt idx="61">
                  <c:v>117.085547697724</c:v>
                </c:pt>
                <c:pt idx="62">
                  <c:v>115.40265639191399</c:v>
                </c:pt>
                <c:pt idx="63">
                  <c:v>116.689428125597</c:v>
                </c:pt>
                <c:pt idx="64">
                  <c:v>116.472204260157</c:v>
                </c:pt>
              </c:numCache>
            </c:numRef>
          </c:val>
          <c:extLst>
            <c:ext xmlns:c16="http://schemas.microsoft.com/office/drawing/2014/chart" uri="{C3380CC4-5D6E-409C-BE32-E72D297353CC}">
              <c16:uniqueId val="{00000000-E4EF-47D2-913F-FEC227A2DBC8}"/>
            </c:ext>
          </c:extLst>
        </c:ser>
        <c:dLbls>
          <c:showLegendKey val="0"/>
          <c:showVal val="0"/>
          <c:showCatName val="0"/>
          <c:showSerName val="0"/>
          <c:showPercent val="0"/>
          <c:showBubbleSize val="0"/>
        </c:dLbls>
        <c:gapWidth val="50"/>
        <c:axId val="516107152"/>
        <c:axId val="516105584"/>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'!$A$77:$B$141</c:f>
              <c:multiLvlStrCache>
                <c:ptCount val="65"/>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2014</c:v>
                  </c:pt>
                  <c:pt idx="12">
                    <c:v>2015</c:v>
                  </c:pt>
                  <c:pt idx="24">
                    <c:v>2016</c:v>
                  </c:pt>
                  <c:pt idx="36">
                    <c:v>2017</c:v>
                  </c:pt>
                  <c:pt idx="48">
                    <c:v>2018</c:v>
                  </c:pt>
                  <c:pt idx="60">
                    <c:v>2019</c:v>
                  </c:pt>
                </c:lvl>
              </c:multiLvlStrCache>
            </c:multiLvlStrRef>
          </c:cat>
          <c:val>
            <c:numRef>
              <c:f>'Datos '!$D$77:$D$141</c:f>
              <c:numCache>
                <c:formatCode>0.0</c:formatCode>
                <c:ptCount val="65"/>
                <c:pt idx="0">
                  <c:v>100.660426364277</c:v>
                </c:pt>
                <c:pt idx="1">
                  <c:v>101.09322646435599</c:v>
                </c:pt>
                <c:pt idx="2">
                  <c:v>101.610672520123</c:v>
                </c:pt>
                <c:pt idx="3">
                  <c:v>102.09404363217099</c:v>
                </c:pt>
                <c:pt idx="4">
                  <c:v>102.449720076397</c:v>
                </c:pt>
                <c:pt idx="5">
                  <c:v>102.641331849644</c:v>
                </c:pt>
                <c:pt idx="6">
                  <c:v>102.714715756621</c:v>
                </c:pt>
                <c:pt idx="7">
                  <c:v>102.767891432315</c:v>
                </c:pt>
                <c:pt idx="8">
                  <c:v>102.87544571771301</c:v>
                </c:pt>
                <c:pt idx="9">
                  <c:v>103.05368912350799</c:v>
                </c:pt>
                <c:pt idx="10">
                  <c:v>103.279840905783</c:v>
                </c:pt>
                <c:pt idx="11">
                  <c:v>103.489326453385</c:v>
                </c:pt>
                <c:pt idx="12">
                  <c:v>103.665400680331</c:v>
                </c:pt>
                <c:pt idx="13">
                  <c:v>103.815311149072</c:v>
                </c:pt>
                <c:pt idx="14">
                  <c:v>104.000480447321</c:v>
                </c:pt>
                <c:pt idx="15">
                  <c:v>104.28134392932699</c:v>
                </c:pt>
                <c:pt idx="16">
                  <c:v>104.68991422745999</c:v>
                </c:pt>
                <c:pt idx="17">
                  <c:v>105.206302598682</c:v>
                </c:pt>
                <c:pt idx="18">
                  <c:v>105.777147713426</c:v>
                </c:pt>
                <c:pt idx="19">
                  <c:v>106.345038098885</c:v>
                </c:pt>
                <c:pt idx="20">
                  <c:v>106.86531043520699</c:v>
                </c:pt>
                <c:pt idx="21">
                  <c:v>107.32362922186</c:v>
                </c:pt>
                <c:pt idx="22">
                  <c:v>107.70664444221801</c:v>
                </c:pt>
                <c:pt idx="23">
                  <c:v>107.997654880933</c:v>
                </c:pt>
                <c:pt idx="24">
                  <c:v>108.223239714323</c:v>
                </c:pt>
                <c:pt idx="25">
                  <c:v>108.428234395575</c:v>
                </c:pt>
                <c:pt idx="26">
                  <c:v>108.64740248956301</c:v>
                </c:pt>
                <c:pt idx="27">
                  <c:v>108.897228484937</c:v>
                </c:pt>
                <c:pt idx="28">
                  <c:v>109.20617484934</c:v>
                </c:pt>
                <c:pt idx="29">
                  <c:v>109.56262351823599</c:v>
                </c:pt>
                <c:pt idx="30">
                  <c:v>109.964250867714</c:v>
                </c:pt>
                <c:pt idx="31">
                  <c:v>110.389442906136</c:v>
                </c:pt>
                <c:pt idx="32">
                  <c:v>110.80915383637</c:v>
                </c:pt>
                <c:pt idx="33">
                  <c:v>111.220656581949</c:v>
                </c:pt>
                <c:pt idx="34">
                  <c:v>111.635258021092</c:v>
                </c:pt>
                <c:pt idx="35">
                  <c:v>112.040922882088</c:v>
                </c:pt>
                <c:pt idx="36">
                  <c:v>112.427196310965</c:v>
                </c:pt>
                <c:pt idx="37">
                  <c:v>112.769039573378</c:v>
                </c:pt>
                <c:pt idx="38">
                  <c:v>113.059031001216</c:v>
                </c:pt>
                <c:pt idx="39">
                  <c:v>113.312396988516</c:v>
                </c:pt>
                <c:pt idx="40">
                  <c:v>113.531100334806</c:v>
                </c:pt>
                <c:pt idx="41">
                  <c:v>113.72401180729</c:v>
                </c:pt>
                <c:pt idx="42">
                  <c:v>113.90188699474599</c:v>
                </c:pt>
                <c:pt idx="43">
                  <c:v>114.054990296749</c:v>
                </c:pt>
                <c:pt idx="44">
                  <c:v>114.16595178750499</c:v>
                </c:pt>
                <c:pt idx="45">
                  <c:v>114.268116459588</c:v>
                </c:pt>
                <c:pt idx="46">
                  <c:v>114.38562822717201</c:v>
                </c:pt>
                <c:pt idx="47">
                  <c:v>114.54760636664599</c:v>
                </c:pt>
                <c:pt idx="48">
                  <c:v>114.76521155249</c:v>
                </c:pt>
                <c:pt idx="49">
                  <c:v>115.020920252576</c:v>
                </c:pt>
                <c:pt idx="50">
                  <c:v>115.308683859232</c:v>
                </c:pt>
                <c:pt idx="51">
                  <c:v>115.620132298797</c:v>
                </c:pt>
                <c:pt idx="52">
                  <c:v>115.934508719227</c:v>
                </c:pt>
                <c:pt idx="53">
                  <c:v>116.235601453024</c:v>
                </c:pt>
                <c:pt idx="54">
                  <c:v>116.483050801883</c:v>
                </c:pt>
                <c:pt idx="55">
                  <c:v>116.66388293283801</c:v>
                </c:pt>
                <c:pt idx="56">
                  <c:v>116.797613159851</c:v>
                </c:pt>
                <c:pt idx="57">
                  <c:v>116.89064588094099</c:v>
                </c:pt>
                <c:pt idx="58">
                  <c:v>116.940553275998</c:v>
                </c:pt>
                <c:pt idx="59">
                  <c:v>116.960462422913</c:v>
                </c:pt>
                <c:pt idx="60">
                  <c:v>116.936262818286</c:v>
                </c:pt>
                <c:pt idx="61">
                  <c:v>116.873721440317</c:v>
                </c:pt>
                <c:pt idx="62">
                  <c:v>116.777836996083</c:v>
                </c:pt>
                <c:pt idx="63">
                  <c:v>116.67705053971299</c:v>
                </c:pt>
                <c:pt idx="64">
                  <c:v>116.605639947843</c:v>
                </c:pt>
              </c:numCache>
            </c:numRef>
          </c:val>
          <c:smooth val="0"/>
          <c:extLst>
            <c:ext xmlns:c16="http://schemas.microsoft.com/office/drawing/2014/chart" uri="{C3380CC4-5D6E-409C-BE32-E72D297353CC}">
              <c16:uniqueId val="{00000001-E4EF-47D2-913F-FEC227A2DBC8}"/>
            </c:ext>
          </c:extLst>
        </c:ser>
        <c:dLbls>
          <c:showLegendKey val="0"/>
          <c:showVal val="0"/>
          <c:showCatName val="0"/>
          <c:showSerName val="0"/>
          <c:showPercent val="0"/>
          <c:showBubbleSize val="0"/>
        </c:dLbls>
        <c:marker val="1"/>
        <c:smooth val="0"/>
        <c:axId val="516107152"/>
        <c:axId val="516105584"/>
      </c:lineChart>
      <c:catAx>
        <c:axId val="516107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516105584"/>
        <c:crosses val="autoZero"/>
        <c:auto val="1"/>
        <c:lblAlgn val="ctr"/>
        <c:lblOffset val="100"/>
        <c:tickLblSkip val="1"/>
        <c:tickMarkSkip val="12"/>
        <c:noMultiLvlLbl val="1"/>
      </c:catAx>
      <c:valAx>
        <c:axId val="516105584"/>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516107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'!$G$4</c:f>
              <c:strCache>
                <c:ptCount val="1"/>
                <c:pt idx="0">
                  <c:v>Serie Desestacionalizada</c:v>
                </c:pt>
              </c:strCache>
            </c:strRef>
          </c:tx>
          <c:spPr>
            <a:solidFill>
              <a:srgbClr val="339966"/>
            </a:solidFill>
            <a:ln w="3175">
              <a:solidFill>
                <a:srgbClr val="4F6228"/>
              </a:solidFill>
            </a:ln>
          </c:spPr>
          <c:invertIfNegative val="0"/>
          <c:cat>
            <c:multiLvlStrRef>
              <c:f>'Datos '!$A$77:$B$141</c:f>
              <c:multiLvlStrCache>
                <c:ptCount val="65"/>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2014</c:v>
                  </c:pt>
                  <c:pt idx="12">
                    <c:v>2015</c:v>
                  </c:pt>
                  <c:pt idx="24">
                    <c:v>2016</c:v>
                  </c:pt>
                  <c:pt idx="36">
                    <c:v>2017</c:v>
                  </c:pt>
                  <c:pt idx="48">
                    <c:v>2018</c:v>
                  </c:pt>
                  <c:pt idx="60">
                    <c:v>2019</c:v>
                  </c:pt>
                </c:lvl>
              </c:multiLvlStrCache>
            </c:multiLvlStrRef>
          </c:cat>
          <c:val>
            <c:numRef>
              <c:f>'Datos '!$G$77:$G$141</c:f>
              <c:numCache>
                <c:formatCode>0.0</c:formatCode>
                <c:ptCount val="65"/>
                <c:pt idx="0">
                  <c:v>99.309007981260393</c:v>
                </c:pt>
                <c:pt idx="1">
                  <c:v>100.975570358113</c:v>
                </c:pt>
                <c:pt idx="2">
                  <c:v>101.51100780973201</c:v>
                </c:pt>
                <c:pt idx="3">
                  <c:v>104.40341430486799</c:v>
                </c:pt>
                <c:pt idx="4">
                  <c:v>105.062859386223</c:v>
                </c:pt>
                <c:pt idx="5">
                  <c:v>103.739327991617</c:v>
                </c:pt>
                <c:pt idx="6">
                  <c:v>104.337394682023</c:v>
                </c:pt>
                <c:pt idx="7">
                  <c:v>104.22728015308</c:v>
                </c:pt>
                <c:pt idx="8">
                  <c:v>100.103204075207</c:v>
                </c:pt>
                <c:pt idx="9">
                  <c:v>105.495212363232</c:v>
                </c:pt>
                <c:pt idx="10">
                  <c:v>106.381046800601</c:v>
                </c:pt>
                <c:pt idx="11">
                  <c:v>104.25438371431601</c:v>
                </c:pt>
                <c:pt idx="12">
                  <c:v>105.446387948907</c:v>
                </c:pt>
                <c:pt idx="13">
                  <c:v>102.98788151004899</c:v>
                </c:pt>
                <c:pt idx="14">
                  <c:v>104.698010999441</c:v>
                </c:pt>
                <c:pt idx="15">
                  <c:v>108.523550253902</c:v>
                </c:pt>
                <c:pt idx="16">
                  <c:v>111.496361102788</c:v>
                </c:pt>
                <c:pt idx="17">
                  <c:v>115.39046923082</c:v>
                </c:pt>
                <c:pt idx="18">
                  <c:v>110.89829550980301</c:v>
                </c:pt>
                <c:pt idx="19">
                  <c:v>114.705970230123</c:v>
                </c:pt>
                <c:pt idx="20">
                  <c:v>108.87594810916799</c:v>
                </c:pt>
                <c:pt idx="21">
                  <c:v>116.324865156434</c:v>
                </c:pt>
                <c:pt idx="22">
                  <c:v>116.838567483943</c:v>
                </c:pt>
                <c:pt idx="23">
                  <c:v>112.80735676258401</c:v>
                </c:pt>
                <c:pt idx="24">
                  <c:v>111.155315332168</c:v>
                </c:pt>
                <c:pt idx="25">
                  <c:v>111.865389203728</c:v>
                </c:pt>
                <c:pt idx="26">
                  <c:v>112.507593274429</c:v>
                </c:pt>
                <c:pt idx="27">
                  <c:v>108.122688240014</c:v>
                </c:pt>
                <c:pt idx="28">
                  <c:v>108.163799993498</c:v>
                </c:pt>
                <c:pt idx="29">
                  <c:v>109.621343927955</c:v>
                </c:pt>
                <c:pt idx="30">
                  <c:v>109.942712162869</c:v>
                </c:pt>
                <c:pt idx="31">
                  <c:v>109.144198295015</c:v>
                </c:pt>
                <c:pt idx="32">
                  <c:v>110.04454204106599</c:v>
                </c:pt>
                <c:pt idx="33">
                  <c:v>109.687466449824</c:v>
                </c:pt>
                <c:pt idx="34">
                  <c:v>106.947490616857</c:v>
                </c:pt>
                <c:pt idx="35">
                  <c:v>111.303495888811</c:v>
                </c:pt>
                <c:pt idx="36">
                  <c:v>110.60388261796901</c:v>
                </c:pt>
                <c:pt idx="37">
                  <c:v>115.757061010462</c:v>
                </c:pt>
                <c:pt idx="38">
                  <c:v>116.094026564023</c:v>
                </c:pt>
                <c:pt idx="39">
                  <c:v>116.140412081592</c:v>
                </c:pt>
                <c:pt idx="40">
                  <c:v>118.549573170125</c:v>
                </c:pt>
                <c:pt idx="41">
                  <c:v>120.764857342657</c:v>
                </c:pt>
                <c:pt idx="42">
                  <c:v>119.799076512827</c:v>
                </c:pt>
                <c:pt idx="43">
                  <c:v>116.024073487135</c:v>
                </c:pt>
                <c:pt idx="44">
                  <c:v>116.735911249399</c:v>
                </c:pt>
                <c:pt idx="45">
                  <c:v>116.196517987345</c:v>
                </c:pt>
                <c:pt idx="46">
                  <c:v>116.451854566942</c:v>
                </c:pt>
                <c:pt idx="47">
                  <c:v>124.28119394492199</c:v>
                </c:pt>
                <c:pt idx="48">
                  <c:v>120.482159064502</c:v>
                </c:pt>
                <c:pt idx="49">
                  <c:v>117.508279167094</c:v>
                </c:pt>
                <c:pt idx="50">
                  <c:v>124.203823303278</c:v>
                </c:pt>
                <c:pt idx="51">
                  <c:v>119.866248179268</c:v>
                </c:pt>
                <c:pt idx="52">
                  <c:v>119.11786413134099</c:v>
                </c:pt>
                <c:pt idx="53">
                  <c:v>118.699339342236</c:v>
                </c:pt>
                <c:pt idx="54">
                  <c:v>118.365273968712</c:v>
                </c:pt>
                <c:pt idx="55">
                  <c:v>121.98061397911999</c:v>
                </c:pt>
                <c:pt idx="56">
                  <c:v>121.831618856224</c:v>
                </c:pt>
                <c:pt idx="57">
                  <c:v>119.78521832299499</c:v>
                </c:pt>
                <c:pt idx="58">
                  <c:v>121.441614920726</c:v>
                </c:pt>
                <c:pt idx="59">
                  <c:v>120.795507675225</c:v>
                </c:pt>
                <c:pt idx="60">
                  <c:v>128.00787137877401</c:v>
                </c:pt>
                <c:pt idx="61">
                  <c:v>122.46629293557601</c:v>
                </c:pt>
                <c:pt idx="62">
                  <c:v>116.113343280835</c:v>
                </c:pt>
                <c:pt idx="63">
                  <c:v>122.18835969840799</c:v>
                </c:pt>
                <c:pt idx="64">
                  <c:v>119.938609151916</c:v>
                </c:pt>
              </c:numCache>
            </c:numRef>
          </c:val>
          <c:extLst>
            <c:ext xmlns:c16="http://schemas.microsoft.com/office/drawing/2014/chart" uri="{C3380CC4-5D6E-409C-BE32-E72D297353CC}">
              <c16:uniqueId val="{00000000-DEF1-47BF-9DDA-40850588B6EF}"/>
            </c:ext>
          </c:extLst>
        </c:ser>
        <c:dLbls>
          <c:showLegendKey val="0"/>
          <c:showVal val="0"/>
          <c:showCatName val="0"/>
          <c:showSerName val="0"/>
          <c:showPercent val="0"/>
          <c:showBubbleSize val="0"/>
        </c:dLbls>
        <c:gapWidth val="50"/>
        <c:axId val="490697976"/>
        <c:axId val="490700720"/>
      </c:barChart>
      <c:lineChart>
        <c:grouping val="standard"/>
        <c:varyColors val="0"/>
        <c:ser>
          <c:idx val="1"/>
          <c:order val="1"/>
          <c:tx>
            <c:strRef>
              <c:f>'Datos '!$H$4</c:f>
              <c:strCache>
                <c:ptCount val="1"/>
                <c:pt idx="0">
                  <c:v>Tendencia-Ciclo</c:v>
                </c:pt>
              </c:strCache>
            </c:strRef>
          </c:tx>
          <c:spPr>
            <a:ln w="12700">
              <a:solidFill>
                <a:srgbClr val="1203D3"/>
              </a:solidFill>
            </a:ln>
          </c:spPr>
          <c:marker>
            <c:symbol val="none"/>
          </c:marker>
          <c:cat>
            <c:multiLvlStrRef>
              <c:f>'Datos '!$A$77:$B$141</c:f>
              <c:multiLvlStrCache>
                <c:ptCount val="65"/>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2014</c:v>
                  </c:pt>
                  <c:pt idx="12">
                    <c:v>2015</c:v>
                  </c:pt>
                  <c:pt idx="24">
                    <c:v>2016</c:v>
                  </c:pt>
                  <c:pt idx="36">
                    <c:v>2017</c:v>
                  </c:pt>
                  <c:pt idx="48">
                    <c:v>2018</c:v>
                  </c:pt>
                  <c:pt idx="60">
                    <c:v>2019</c:v>
                  </c:pt>
                </c:lvl>
              </c:multiLvlStrCache>
            </c:multiLvlStrRef>
          </c:cat>
          <c:val>
            <c:numRef>
              <c:f>'Datos '!$H$77:$H$141</c:f>
              <c:numCache>
                <c:formatCode>0.0</c:formatCode>
                <c:ptCount val="65"/>
                <c:pt idx="0">
                  <c:v>100.169927679979</c:v>
                </c:pt>
                <c:pt idx="1">
                  <c:v>101.083485606464</c:v>
                </c:pt>
                <c:pt idx="2">
                  <c:v>102.173272772112</c:v>
                </c:pt>
                <c:pt idx="3">
                  <c:v>103.209799460421</c:v>
                </c:pt>
                <c:pt idx="4">
                  <c:v>103.923246043188</c:v>
                </c:pt>
                <c:pt idx="5">
                  <c:v>104.32935134843299</c:v>
                </c:pt>
                <c:pt idx="6">
                  <c:v>104.561942188513</c:v>
                </c:pt>
                <c:pt idx="7">
                  <c:v>104.725758670712</c:v>
                </c:pt>
                <c:pt idx="8">
                  <c:v>104.911044810728</c:v>
                </c:pt>
                <c:pt idx="9">
                  <c:v>105.01039033432301</c:v>
                </c:pt>
                <c:pt idx="10">
                  <c:v>104.93662089058</c:v>
                </c:pt>
                <c:pt idx="11">
                  <c:v>104.772834253369</c:v>
                </c:pt>
                <c:pt idx="12">
                  <c:v>104.82720616040901</c:v>
                </c:pt>
                <c:pt idx="13">
                  <c:v>105.31798980155</c:v>
                </c:pt>
                <c:pt idx="14">
                  <c:v>106.34361104999201</c:v>
                </c:pt>
                <c:pt idx="15">
                  <c:v>107.820420760823</c:v>
                </c:pt>
                <c:pt idx="16">
                  <c:v>109.52943200335</c:v>
                </c:pt>
                <c:pt idx="17">
                  <c:v>111.279773653006</c:v>
                </c:pt>
                <c:pt idx="18">
                  <c:v>112.88288539146301</c:v>
                </c:pt>
                <c:pt idx="19">
                  <c:v>114.136826258966</c:v>
                </c:pt>
                <c:pt idx="20">
                  <c:v>114.83906317343001</c:v>
                </c:pt>
                <c:pt idx="21">
                  <c:v>115.062618455002</c:v>
                </c:pt>
                <c:pt idx="22">
                  <c:v>114.80329200990499</c:v>
                </c:pt>
                <c:pt idx="23">
                  <c:v>113.998537461929</c:v>
                </c:pt>
                <c:pt idx="24">
                  <c:v>112.775990903102</c:v>
                </c:pt>
                <c:pt idx="25">
                  <c:v>111.487908151553</c:v>
                </c:pt>
                <c:pt idx="26">
                  <c:v>110.420584479293</c:v>
                </c:pt>
                <c:pt idx="27">
                  <c:v>109.682637642364</c:v>
                </c:pt>
                <c:pt idx="28">
                  <c:v>109.34788432756299</c:v>
                </c:pt>
                <c:pt idx="29">
                  <c:v>109.216879394874</c:v>
                </c:pt>
                <c:pt idx="30">
                  <c:v>109.191891318209</c:v>
                </c:pt>
                <c:pt idx="31">
                  <c:v>109.192254932056</c:v>
                </c:pt>
                <c:pt idx="32">
                  <c:v>109.215492504618</c:v>
                </c:pt>
                <c:pt idx="33">
                  <c:v>109.366263528283</c:v>
                </c:pt>
                <c:pt idx="34">
                  <c:v>109.813330681037</c:v>
                </c:pt>
                <c:pt idx="35">
                  <c:v>110.740165399289</c:v>
                </c:pt>
                <c:pt idx="36">
                  <c:v>112.15100384241801</c:v>
                </c:pt>
                <c:pt idx="37">
                  <c:v>113.956907388031</c:v>
                </c:pt>
                <c:pt idx="38">
                  <c:v>115.861833880554</c:v>
                </c:pt>
                <c:pt idx="39">
                  <c:v>117.488046416929</c:v>
                </c:pt>
                <c:pt idx="40">
                  <c:v>118.49783625358999</c:v>
                </c:pt>
                <c:pt idx="41">
                  <c:v>118.759760081319</c:v>
                </c:pt>
                <c:pt idx="42">
                  <c:v>118.39412857884901</c:v>
                </c:pt>
                <c:pt idx="43">
                  <c:v>117.7409180299</c:v>
                </c:pt>
                <c:pt idx="44">
                  <c:v>117.19347060015301</c:v>
                </c:pt>
                <c:pt idx="45">
                  <c:v>116.981332286678</c:v>
                </c:pt>
                <c:pt idx="46">
                  <c:v>117.28883524524799</c:v>
                </c:pt>
                <c:pt idx="47">
                  <c:v>118.029654862735</c:v>
                </c:pt>
                <c:pt idx="48">
                  <c:v>118.856427892932</c:v>
                </c:pt>
                <c:pt idx="49">
                  <c:v>119.354381110624</c:v>
                </c:pt>
                <c:pt idx="50">
                  <c:v>119.448677925038</c:v>
                </c:pt>
                <c:pt idx="51">
                  <c:v>119.386898153519</c:v>
                </c:pt>
                <c:pt idx="52">
                  <c:v>119.346757328301</c:v>
                </c:pt>
                <c:pt idx="53">
                  <c:v>119.50326602576</c:v>
                </c:pt>
                <c:pt idx="54">
                  <c:v>119.860998700455</c:v>
                </c:pt>
                <c:pt idx="55">
                  <c:v>120.27402104778599</c:v>
                </c:pt>
                <c:pt idx="56">
                  <c:v>120.663861567532</c:v>
                </c:pt>
                <c:pt idx="57">
                  <c:v>120.99869742479601</c:v>
                </c:pt>
                <c:pt idx="58">
                  <c:v>121.248122559713</c:v>
                </c:pt>
                <c:pt idx="59">
                  <c:v>121.43641856677399</c:v>
                </c:pt>
                <c:pt idx="60">
                  <c:v>121.570605254593</c:v>
                </c:pt>
                <c:pt idx="61">
                  <c:v>121.609587017772</c:v>
                </c:pt>
                <c:pt idx="62">
                  <c:v>121.50782057668501</c:v>
                </c:pt>
                <c:pt idx="63">
                  <c:v>121.18082742884999</c:v>
                </c:pt>
                <c:pt idx="64">
                  <c:v>120.756183388419</c:v>
                </c:pt>
              </c:numCache>
            </c:numRef>
          </c:val>
          <c:smooth val="0"/>
          <c:extLst>
            <c:ext xmlns:c16="http://schemas.microsoft.com/office/drawing/2014/chart" uri="{C3380CC4-5D6E-409C-BE32-E72D297353CC}">
              <c16:uniqueId val="{00000001-DEF1-47BF-9DDA-40850588B6EF}"/>
            </c:ext>
          </c:extLst>
        </c:ser>
        <c:dLbls>
          <c:showLegendKey val="0"/>
          <c:showVal val="0"/>
          <c:showCatName val="0"/>
          <c:showSerName val="0"/>
          <c:showPercent val="0"/>
          <c:showBubbleSize val="0"/>
        </c:dLbls>
        <c:marker val="1"/>
        <c:smooth val="0"/>
        <c:axId val="490697976"/>
        <c:axId val="490700720"/>
      </c:lineChart>
      <c:catAx>
        <c:axId val="490697976"/>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490700720"/>
        <c:crosses val="autoZero"/>
        <c:auto val="1"/>
        <c:lblAlgn val="ctr"/>
        <c:lblOffset val="100"/>
        <c:tickLblSkip val="1"/>
        <c:tickMarkSkip val="12"/>
        <c:noMultiLvlLbl val="1"/>
      </c:catAx>
      <c:valAx>
        <c:axId val="490700720"/>
        <c:scaling>
          <c:orientation val="minMax"/>
          <c:max val="130"/>
          <c:min val="7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49069797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'!$A$77:$B$141</c:f>
              <c:multiLvlStrCache>
                <c:ptCount val="65"/>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2014</c:v>
                  </c:pt>
                  <c:pt idx="12">
                    <c:v>2015</c:v>
                  </c:pt>
                  <c:pt idx="24">
                    <c:v>2016</c:v>
                  </c:pt>
                  <c:pt idx="36">
                    <c:v>2017</c:v>
                  </c:pt>
                  <c:pt idx="48">
                    <c:v>2018</c:v>
                  </c:pt>
                  <c:pt idx="60">
                    <c:v>2019</c:v>
                  </c:pt>
                </c:lvl>
              </c:multiLvlStrCache>
            </c:multiLvlStrRef>
          </c:cat>
          <c:val>
            <c:numRef>
              <c:f>'Datos '!$E$77:$E$141</c:f>
              <c:numCache>
                <c:formatCode>0.0</c:formatCode>
                <c:ptCount val="65"/>
                <c:pt idx="0">
                  <c:v>100.637172217509</c:v>
                </c:pt>
                <c:pt idx="1">
                  <c:v>100.97029298199</c:v>
                </c:pt>
                <c:pt idx="2">
                  <c:v>101.12061908596699</c:v>
                </c:pt>
                <c:pt idx="3">
                  <c:v>102.313933018593</c:v>
                </c:pt>
                <c:pt idx="4">
                  <c:v>102.59397047250199</c:v>
                </c:pt>
                <c:pt idx="5">
                  <c:v>102.884243670545</c:v>
                </c:pt>
                <c:pt idx="6">
                  <c:v>102.672488578521</c:v>
                </c:pt>
                <c:pt idx="7">
                  <c:v>102.114360713561</c:v>
                </c:pt>
                <c:pt idx="8">
                  <c:v>102.259196885986</c:v>
                </c:pt>
                <c:pt idx="9">
                  <c:v>103.152065542358</c:v>
                </c:pt>
                <c:pt idx="10">
                  <c:v>103.50382049238399</c:v>
                </c:pt>
                <c:pt idx="11">
                  <c:v>102.002275952552</c:v>
                </c:pt>
                <c:pt idx="12">
                  <c:v>103.79611068520801</c:v>
                </c:pt>
                <c:pt idx="13">
                  <c:v>103.548116428296</c:v>
                </c:pt>
                <c:pt idx="14">
                  <c:v>103.660199044808</c:v>
                </c:pt>
                <c:pt idx="15">
                  <c:v>104.098393185327</c:v>
                </c:pt>
                <c:pt idx="16">
                  <c:v>104.115834847738</c:v>
                </c:pt>
                <c:pt idx="17">
                  <c:v>103.909013785122</c:v>
                </c:pt>
                <c:pt idx="18">
                  <c:v>104.364897317963</c:v>
                </c:pt>
                <c:pt idx="19">
                  <c:v>105.86327427429801</c:v>
                </c:pt>
                <c:pt idx="20">
                  <c:v>106.259463083467</c:v>
                </c:pt>
                <c:pt idx="21">
                  <c:v>106.845217116464</c:v>
                </c:pt>
                <c:pt idx="22">
                  <c:v>106.45540843474301</c:v>
                </c:pt>
                <c:pt idx="23">
                  <c:v>106.795754617699</c:v>
                </c:pt>
                <c:pt idx="24">
                  <c:v>108.379539401698</c:v>
                </c:pt>
                <c:pt idx="25">
                  <c:v>108.387933547533</c:v>
                </c:pt>
                <c:pt idx="26">
                  <c:v>108.177099993469</c:v>
                </c:pt>
                <c:pt idx="27">
                  <c:v>107.487417579949</c:v>
                </c:pt>
                <c:pt idx="28">
                  <c:v>108.812787239505</c:v>
                </c:pt>
                <c:pt idx="29">
                  <c:v>109.931910180459</c:v>
                </c:pt>
                <c:pt idx="30">
                  <c:v>110.276979682782</c:v>
                </c:pt>
                <c:pt idx="31">
                  <c:v>110.36850050909899</c:v>
                </c:pt>
                <c:pt idx="32">
                  <c:v>110.74758071049899</c:v>
                </c:pt>
                <c:pt idx="33">
                  <c:v>111.72073427187399</c:v>
                </c:pt>
                <c:pt idx="34">
                  <c:v>111.66847264494</c:v>
                </c:pt>
                <c:pt idx="35">
                  <c:v>113.983735459955</c:v>
                </c:pt>
                <c:pt idx="36">
                  <c:v>112.926834457295</c:v>
                </c:pt>
                <c:pt idx="37">
                  <c:v>112.541969752345</c:v>
                </c:pt>
                <c:pt idx="38">
                  <c:v>110.978450587963</c:v>
                </c:pt>
                <c:pt idx="39">
                  <c:v>113.171252696474</c:v>
                </c:pt>
                <c:pt idx="40">
                  <c:v>112.709051787832</c:v>
                </c:pt>
                <c:pt idx="41">
                  <c:v>113.18640725341599</c:v>
                </c:pt>
                <c:pt idx="42">
                  <c:v>113.437048590706</c:v>
                </c:pt>
                <c:pt idx="43">
                  <c:v>113.640679865245</c:v>
                </c:pt>
                <c:pt idx="44">
                  <c:v>113.942600390617</c:v>
                </c:pt>
                <c:pt idx="45">
                  <c:v>113.727945734576</c:v>
                </c:pt>
                <c:pt idx="46">
                  <c:v>114.225218265964</c:v>
                </c:pt>
                <c:pt idx="47">
                  <c:v>115.103280674262</c:v>
                </c:pt>
                <c:pt idx="48">
                  <c:v>114.193105527383</c:v>
                </c:pt>
                <c:pt idx="49">
                  <c:v>114.42187756222</c:v>
                </c:pt>
                <c:pt idx="50">
                  <c:v>115.56150255127601</c:v>
                </c:pt>
                <c:pt idx="51">
                  <c:v>114.81128986135199</c:v>
                </c:pt>
                <c:pt idx="52">
                  <c:v>115.809047902307</c:v>
                </c:pt>
                <c:pt idx="53">
                  <c:v>115.932908377616</c:v>
                </c:pt>
                <c:pt idx="54">
                  <c:v>116.03909584199999</c:v>
                </c:pt>
                <c:pt idx="55">
                  <c:v>116.273921906783</c:v>
                </c:pt>
                <c:pt idx="56">
                  <c:v>117.16069266461299</c:v>
                </c:pt>
                <c:pt idx="57">
                  <c:v>115.16482295225801</c:v>
                </c:pt>
                <c:pt idx="58">
                  <c:v>116.234506359381</c:v>
                </c:pt>
                <c:pt idx="59">
                  <c:v>116.123531427507</c:v>
                </c:pt>
                <c:pt idx="60">
                  <c:v>116.159738361197</c:v>
                </c:pt>
                <c:pt idx="61">
                  <c:v>116.490674444699</c:v>
                </c:pt>
                <c:pt idx="62">
                  <c:v>115.55491162940601</c:v>
                </c:pt>
                <c:pt idx="63">
                  <c:v>116.05771361083499</c:v>
                </c:pt>
                <c:pt idx="64">
                  <c:v>116.220388889042</c:v>
                </c:pt>
              </c:numCache>
            </c:numRef>
          </c:val>
          <c:extLst>
            <c:ext xmlns:c16="http://schemas.microsoft.com/office/drawing/2014/chart" uri="{C3380CC4-5D6E-409C-BE32-E72D297353CC}">
              <c16:uniqueId val="{00000000-3C24-497A-B21C-7CEB25254AED}"/>
            </c:ext>
          </c:extLst>
        </c:ser>
        <c:dLbls>
          <c:showLegendKey val="0"/>
          <c:showVal val="0"/>
          <c:showCatName val="0"/>
          <c:showSerName val="0"/>
          <c:showPercent val="0"/>
          <c:showBubbleSize val="0"/>
        </c:dLbls>
        <c:gapWidth val="50"/>
        <c:axId val="457852800"/>
        <c:axId val="45785319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'!$A$77:$B$141</c:f>
              <c:multiLvlStrCache>
                <c:ptCount val="65"/>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2014</c:v>
                  </c:pt>
                  <c:pt idx="12">
                    <c:v>2015</c:v>
                  </c:pt>
                  <c:pt idx="24">
                    <c:v>2016</c:v>
                  </c:pt>
                  <c:pt idx="36">
                    <c:v>2017</c:v>
                  </c:pt>
                  <c:pt idx="48">
                    <c:v>2018</c:v>
                  </c:pt>
                  <c:pt idx="60">
                    <c:v>2019</c:v>
                  </c:pt>
                </c:lvl>
              </c:multiLvlStrCache>
            </c:multiLvlStrRef>
          </c:cat>
          <c:val>
            <c:numRef>
              <c:f>'Datos '!$F$77:$F$141</c:f>
              <c:numCache>
                <c:formatCode>0.0</c:formatCode>
                <c:ptCount val="65"/>
                <c:pt idx="0">
                  <c:v>100.729509841501</c:v>
                </c:pt>
                <c:pt idx="1">
                  <c:v>101.10634071341801</c:v>
                </c:pt>
                <c:pt idx="2">
                  <c:v>101.558582933888</c:v>
                </c:pt>
                <c:pt idx="3">
                  <c:v>101.98827442414699</c:v>
                </c:pt>
                <c:pt idx="4">
                  <c:v>102.318448041374</c:v>
                </c:pt>
                <c:pt idx="5">
                  <c:v>102.50907095251</c:v>
                </c:pt>
                <c:pt idx="6">
                  <c:v>102.582885406157</c:v>
                </c:pt>
                <c:pt idx="7">
                  <c:v>102.62902434159101</c:v>
                </c:pt>
                <c:pt idx="8">
                  <c:v>102.726661461379</c:v>
                </c:pt>
                <c:pt idx="9">
                  <c:v>102.90659674932</c:v>
                </c:pt>
                <c:pt idx="10">
                  <c:v>103.150487196702</c:v>
                </c:pt>
                <c:pt idx="11">
                  <c:v>103.397465447738</c:v>
                </c:pt>
                <c:pt idx="12">
                  <c:v>103.593307523148</c:v>
                </c:pt>
                <c:pt idx="13">
                  <c:v>103.691755214523</c:v>
                </c:pt>
                <c:pt idx="14">
                  <c:v>103.735803499428</c:v>
                </c:pt>
                <c:pt idx="15">
                  <c:v>103.818386272951</c:v>
                </c:pt>
                <c:pt idx="16">
                  <c:v>104.029439356911</c:v>
                </c:pt>
                <c:pt idx="17">
                  <c:v>104.393803790729</c:v>
                </c:pt>
                <c:pt idx="18">
                  <c:v>104.869013738197</c:v>
                </c:pt>
                <c:pt idx="19">
                  <c:v>105.402313072322</c:v>
                </c:pt>
                <c:pt idx="20">
                  <c:v>105.945076389731</c:v>
                </c:pt>
                <c:pt idx="21">
                  <c:v>106.462297492779</c:v>
                </c:pt>
                <c:pt idx="22">
                  <c:v>106.925933432631</c:v>
                </c:pt>
                <c:pt idx="23">
                  <c:v>107.31238569688701</c:v>
                </c:pt>
                <c:pt idx="24">
                  <c:v>107.655290538862</c:v>
                </c:pt>
                <c:pt idx="25">
                  <c:v>108.014123094382</c:v>
                </c:pt>
                <c:pt idx="26">
                  <c:v>108.404645794093</c:v>
                </c:pt>
                <c:pt idx="27">
                  <c:v>108.791835175579</c:v>
                </c:pt>
                <c:pt idx="28">
                  <c:v>109.18607661018</c:v>
                </c:pt>
                <c:pt idx="29">
                  <c:v>109.601856693198</c:v>
                </c:pt>
                <c:pt idx="30">
                  <c:v>110.053734370109</c:v>
                </c:pt>
                <c:pt idx="31">
                  <c:v>110.53435535041</c:v>
                </c:pt>
                <c:pt idx="32">
                  <c:v>111.005308590376</c:v>
                </c:pt>
                <c:pt idx="33">
                  <c:v>111.448825069005</c:v>
                </c:pt>
                <c:pt idx="34">
                  <c:v>111.871412416049</c:v>
                </c:pt>
                <c:pt idx="35">
                  <c:v>112.24496554399499</c:v>
                </c:pt>
                <c:pt idx="36">
                  <c:v>112.538722104432</c:v>
                </c:pt>
                <c:pt idx="37">
                  <c:v>112.72784516759999</c:v>
                </c:pt>
                <c:pt idx="38">
                  <c:v>112.840031905904</c:v>
                </c:pt>
                <c:pt idx="39">
                  <c:v>112.93745956502001</c:v>
                </c:pt>
                <c:pt idx="40">
                  <c:v>113.053336963828</c:v>
                </c:pt>
                <c:pt idx="41">
                  <c:v>113.18735585302601</c:v>
                </c:pt>
                <c:pt idx="42">
                  <c:v>113.37358619187199</c:v>
                </c:pt>
                <c:pt idx="43">
                  <c:v>113.599595528257</c:v>
                </c:pt>
                <c:pt idx="44">
                  <c:v>113.815393624663</c:v>
                </c:pt>
                <c:pt idx="45">
                  <c:v>114.027750896387</c:v>
                </c:pt>
                <c:pt idx="46">
                  <c:v>114.215648157923</c:v>
                </c:pt>
                <c:pt idx="47">
                  <c:v>114.384318721374</c:v>
                </c:pt>
                <c:pt idx="48">
                  <c:v>114.56873236185299</c:v>
                </c:pt>
                <c:pt idx="49">
                  <c:v>114.77932415152701</c:v>
                </c:pt>
                <c:pt idx="50">
                  <c:v>115.02617914799001</c:v>
                </c:pt>
                <c:pt idx="51">
                  <c:v>115.306838201605</c:v>
                </c:pt>
                <c:pt idx="52">
                  <c:v>115.59636715669301</c:v>
                </c:pt>
                <c:pt idx="53">
                  <c:v>115.863273376875</c:v>
                </c:pt>
                <c:pt idx="54">
                  <c:v>116.05879050098601</c:v>
                </c:pt>
                <c:pt idx="55">
                  <c:v>116.15802077854499</c:v>
                </c:pt>
                <c:pt idx="56">
                  <c:v>116.21439446455901</c:v>
                </c:pt>
                <c:pt idx="57">
                  <c:v>116.234024636108</c:v>
                </c:pt>
                <c:pt idx="58">
                  <c:v>116.211525972296</c:v>
                </c:pt>
                <c:pt idx="59">
                  <c:v>116.17237283051</c:v>
                </c:pt>
                <c:pt idx="60">
                  <c:v>116.115297992089</c:v>
                </c:pt>
                <c:pt idx="61">
                  <c:v>116.066285006027</c:v>
                </c:pt>
                <c:pt idx="62">
                  <c:v>116.046245851267</c:v>
                </c:pt>
                <c:pt idx="63">
                  <c:v>116.106186502559</c:v>
                </c:pt>
                <c:pt idx="64">
                  <c:v>116.252675443028</c:v>
                </c:pt>
              </c:numCache>
            </c:numRef>
          </c:val>
          <c:smooth val="0"/>
          <c:extLst>
            <c:ext xmlns:c16="http://schemas.microsoft.com/office/drawing/2014/chart" uri="{C3380CC4-5D6E-409C-BE32-E72D297353CC}">
              <c16:uniqueId val="{00000001-3C24-497A-B21C-7CEB25254AED}"/>
            </c:ext>
          </c:extLst>
        </c:ser>
        <c:dLbls>
          <c:showLegendKey val="0"/>
          <c:showVal val="0"/>
          <c:showCatName val="0"/>
          <c:showSerName val="0"/>
          <c:showPercent val="0"/>
          <c:showBubbleSize val="0"/>
        </c:dLbls>
        <c:marker val="1"/>
        <c:smooth val="0"/>
        <c:axId val="457852800"/>
        <c:axId val="457853192"/>
      </c:lineChart>
      <c:catAx>
        <c:axId val="457852800"/>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457853192"/>
        <c:crosses val="autoZero"/>
        <c:auto val="1"/>
        <c:lblAlgn val="ctr"/>
        <c:lblOffset val="100"/>
        <c:tickLblSkip val="1"/>
        <c:tickMarkSkip val="12"/>
        <c:noMultiLvlLbl val="1"/>
      </c:catAx>
      <c:valAx>
        <c:axId val="457853192"/>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457852800"/>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F534-8152-42DE-8B84-862BF2DD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1461</Words>
  <Characters>8542</Characters>
  <Application>Microsoft Office Word</Application>
  <DocSecurity>0</DocSecurity>
  <Lines>71</Lines>
  <Paragraphs>19</Paragraphs>
  <ScaleCrop>false</ScaleCrop>
  <HeadingPairs>
    <vt:vector size="2" baseType="variant">
      <vt:variant>
        <vt:lpstr>Título</vt:lpstr>
      </vt:variant>
      <vt:variant>
        <vt:i4>1</vt:i4>
      </vt:variant>
    </vt:vector>
  </HeadingPairs>
  <TitlesOfParts>
    <vt:vector size="1" baseType="lpstr">
      <vt:lpstr>Comunicado de Prensa. Consumo Privado en el Mercado Interior</vt:lpstr>
    </vt:vector>
  </TitlesOfParts>
  <Company>INEGI</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Consumo Privado en el Mercado Interior</dc:title>
  <dc:subject/>
  <dc:creator>INEGI</dc:creator>
  <cp:keywords/>
  <cp:lastModifiedBy>SALA DE PRENSA</cp:lastModifiedBy>
  <cp:revision>49</cp:revision>
  <cp:lastPrinted>2019-08-02T15:42:00Z</cp:lastPrinted>
  <dcterms:created xsi:type="dcterms:W3CDTF">2019-08-01T18:53:00Z</dcterms:created>
  <dcterms:modified xsi:type="dcterms:W3CDTF">2019-08-06T23:02:00Z</dcterms:modified>
</cp:coreProperties>
</file>