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AA" w:rsidRDefault="00B24EAA" w:rsidP="00B24EAA">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0A231AF7" wp14:editId="7FCE24DB">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rsidR="00B24EAA" w:rsidRPr="008A2C21" w:rsidRDefault="00B24EAA" w:rsidP="00B24EAA">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231AF7"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rsidR="00B24EAA" w:rsidRPr="008A2C21" w:rsidRDefault="00B24EAA" w:rsidP="00B24EAA">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B24EAA" w:rsidRDefault="00B24EAA" w:rsidP="00B24EAA">
      <w:pPr>
        <w:tabs>
          <w:tab w:val="left" w:pos="8789"/>
        </w:tabs>
        <w:ind w:right="51"/>
        <w:jc w:val="center"/>
        <w:rPr>
          <w:b/>
          <w:sz w:val="28"/>
        </w:rPr>
      </w:pPr>
    </w:p>
    <w:p w:rsidR="00B24EAA" w:rsidRPr="00AB6352" w:rsidRDefault="00B24EAA" w:rsidP="00B24EAA">
      <w:pPr>
        <w:pStyle w:val="Textoindependiente"/>
        <w:spacing w:before="120"/>
        <w:rPr>
          <w:sz w:val="28"/>
          <w:szCs w:val="28"/>
        </w:rPr>
      </w:pPr>
      <w:r w:rsidRPr="00AB6352">
        <w:rPr>
          <w:sz w:val="28"/>
          <w:szCs w:val="28"/>
        </w:rPr>
        <w:t>INDICADOR MENSUAL DEL CONSUMO</w:t>
      </w:r>
    </w:p>
    <w:p w:rsidR="00B24EAA" w:rsidRPr="00AB6352" w:rsidRDefault="00B24EAA" w:rsidP="00B24EAA">
      <w:pPr>
        <w:pStyle w:val="Textoindependiente"/>
        <w:tabs>
          <w:tab w:val="center" w:pos="4420"/>
          <w:tab w:val="left" w:pos="8099"/>
        </w:tabs>
        <w:rPr>
          <w:sz w:val="28"/>
          <w:szCs w:val="28"/>
        </w:rPr>
      </w:pPr>
      <w:r w:rsidRPr="00AB6352">
        <w:rPr>
          <w:sz w:val="28"/>
          <w:szCs w:val="28"/>
        </w:rPr>
        <w:t>PRIVADO EN EL MERCADO INTERIOr</w:t>
      </w:r>
      <w:r w:rsidRPr="00AB6352">
        <w:rPr>
          <w:sz w:val="28"/>
          <w:szCs w:val="28"/>
          <w:vertAlign w:val="superscript"/>
        </w:rPr>
        <w:footnoteReference w:id="1"/>
      </w:r>
    </w:p>
    <w:p w:rsidR="00B24EAA" w:rsidRPr="00AB6352" w:rsidRDefault="00B24EAA" w:rsidP="00B24EAA">
      <w:pPr>
        <w:pStyle w:val="Textoindependiente"/>
        <w:rPr>
          <w:b w:val="0"/>
          <w:sz w:val="28"/>
          <w:szCs w:val="28"/>
        </w:rPr>
      </w:pPr>
      <w:r w:rsidRPr="00AB6352">
        <w:rPr>
          <w:sz w:val="28"/>
          <w:szCs w:val="28"/>
        </w:rPr>
        <w:t>DURANTE MAYO DE 2019</w:t>
      </w:r>
    </w:p>
    <w:p w:rsidR="00B24EAA" w:rsidRPr="00AB6352" w:rsidRDefault="00B24EAA" w:rsidP="00B24EAA">
      <w:pPr>
        <w:contextualSpacing/>
        <w:jc w:val="center"/>
        <w:rPr>
          <w:b/>
          <w:spacing w:val="25"/>
          <w:szCs w:val="24"/>
        </w:rPr>
      </w:pPr>
      <w:r w:rsidRPr="005E10BC">
        <w:rPr>
          <w:b/>
          <w:i/>
          <w:spacing w:val="25"/>
          <w:szCs w:val="24"/>
        </w:rPr>
        <w:t xml:space="preserve"> </w:t>
      </w:r>
      <w:r w:rsidRPr="00AB6352">
        <w:rPr>
          <w:b/>
          <w:i/>
          <w:spacing w:val="25"/>
          <w:szCs w:val="24"/>
        </w:rPr>
        <w:t>(Cifras desestacionalizadas)</w:t>
      </w:r>
    </w:p>
    <w:p w:rsidR="00B24EAA" w:rsidRPr="00BA0193" w:rsidRDefault="00B24EAA" w:rsidP="00B24EAA">
      <w:pPr>
        <w:pStyle w:val="bullet"/>
        <w:widowControl w:val="0"/>
        <w:tabs>
          <w:tab w:val="clear" w:pos="7939"/>
          <w:tab w:val="left" w:pos="7230"/>
        </w:tabs>
        <w:ind w:left="0" w:right="-405" w:firstLine="0"/>
        <w:rPr>
          <w:b w:val="0"/>
          <w:sz w:val="24"/>
          <w:szCs w:val="24"/>
        </w:rPr>
      </w:pPr>
      <w:r w:rsidRPr="00BA0193">
        <w:rPr>
          <w:b w:val="0"/>
          <w:sz w:val="24"/>
          <w:szCs w:val="24"/>
        </w:rPr>
        <w:t>El Indicador Mensual del Consumo Privado en el Mercado Interior (IMCPMI)</w:t>
      </w:r>
      <w:r w:rsidRPr="00BA0193">
        <w:rPr>
          <w:b w:val="0"/>
          <w:sz w:val="24"/>
          <w:szCs w:val="24"/>
          <w:vertAlign w:val="superscript"/>
        </w:rPr>
        <w:footnoteReference w:id="2"/>
      </w:r>
      <w:r w:rsidRPr="00BA0193">
        <w:rPr>
          <w:b w:val="0"/>
          <w:sz w:val="24"/>
          <w:szCs w:val="24"/>
        </w:rPr>
        <w:t xml:space="preserve"> disminuyó (-)0.2% durante mayo de 2019 frente al mes inmediato anterior, con cifras desestacionalizadas</w:t>
      </w:r>
      <w:r w:rsidRPr="00BA0193">
        <w:rPr>
          <w:b w:val="0"/>
          <w:sz w:val="24"/>
          <w:szCs w:val="24"/>
          <w:vertAlign w:val="superscript"/>
        </w:rPr>
        <w:footnoteReference w:id="3"/>
      </w:r>
      <w:r w:rsidRPr="00BA0193">
        <w:rPr>
          <w:b w:val="0"/>
          <w:sz w:val="24"/>
          <w:szCs w:val="24"/>
        </w:rPr>
        <w:t xml:space="preserve">. </w:t>
      </w:r>
    </w:p>
    <w:p w:rsidR="00B24EAA" w:rsidRDefault="00B24EAA" w:rsidP="00B24EAA">
      <w:pPr>
        <w:jc w:val="center"/>
        <w:outlineLvl w:val="3"/>
        <w:rPr>
          <w:rFonts w:cs="Arial"/>
          <w:b/>
          <w:smallCaps/>
          <w:sz w:val="22"/>
        </w:rPr>
      </w:pPr>
    </w:p>
    <w:p w:rsidR="00B24EAA" w:rsidRDefault="00B24EAA" w:rsidP="00B24EAA">
      <w:pPr>
        <w:jc w:val="center"/>
        <w:outlineLvl w:val="3"/>
        <w:rPr>
          <w:rFonts w:cs="Arial"/>
          <w:b/>
          <w:smallCaps/>
          <w:sz w:val="22"/>
        </w:rPr>
      </w:pPr>
    </w:p>
    <w:p w:rsidR="00B24EAA" w:rsidRDefault="00B24EAA" w:rsidP="00B24EAA">
      <w:pPr>
        <w:jc w:val="center"/>
        <w:outlineLvl w:val="3"/>
        <w:rPr>
          <w:rFonts w:cs="Arial"/>
          <w:b/>
          <w:smallCaps/>
          <w:sz w:val="22"/>
        </w:rPr>
      </w:pPr>
      <w:r>
        <w:rPr>
          <w:rFonts w:cs="Arial"/>
          <w:b/>
          <w:smallCaps/>
          <w:sz w:val="22"/>
        </w:rPr>
        <w:t xml:space="preserve">Indicador Mensual del Consumo Privado </w:t>
      </w:r>
    </w:p>
    <w:p w:rsidR="00B24EAA" w:rsidRDefault="00B24EAA" w:rsidP="00B24EAA">
      <w:pPr>
        <w:jc w:val="center"/>
        <w:outlineLvl w:val="3"/>
        <w:rPr>
          <w:rFonts w:cs="Arial"/>
          <w:b/>
          <w:smallCaps/>
          <w:sz w:val="22"/>
        </w:rPr>
      </w:pPr>
      <w:r>
        <w:rPr>
          <w:rFonts w:cs="Arial"/>
          <w:b/>
          <w:smallCaps/>
          <w:sz w:val="22"/>
        </w:rPr>
        <w:t>en el Mercado Interior a mayo</w:t>
      </w:r>
      <w:r w:rsidRPr="004C2706">
        <w:rPr>
          <w:rFonts w:cs="Arial"/>
          <w:b/>
          <w:smallCaps/>
          <w:sz w:val="20"/>
        </w:rPr>
        <w:t xml:space="preserve"> </w:t>
      </w:r>
      <w:r>
        <w:rPr>
          <w:rFonts w:cs="Arial"/>
          <w:b/>
          <w:smallCaps/>
          <w:sz w:val="22"/>
        </w:rPr>
        <w:t>de 2019</w:t>
      </w:r>
    </w:p>
    <w:p w:rsidR="00B24EAA" w:rsidRDefault="00B24EAA" w:rsidP="00B24EAA">
      <w:pPr>
        <w:jc w:val="center"/>
        <w:outlineLvl w:val="3"/>
        <w:rPr>
          <w:rFonts w:cs="Arial"/>
          <w:b/>
          <w:smallCaps/>
          <w:sz w:val="22"/>
        </w:rPr>
      </w:pPr>
      <w:r>
        <w:rPr>
          <w:rFonts w:cs="Arial"/>
          <w:b/>
          <w:smallCaps/>
          <w:sz w:val="22"/>
        </w:rPr>
        <w:t>Series desestacionalizada y de tendencia-ciclo</w:t>
      </w:r>
    </w:p>
    <w:p w:rsidR="00B24EAA" w:rsidRDefault="00B24EAA" w:rsidP="00B24EAA">
      <w:pPr>
        <w:jc w:val="center"/>
        <w:outlineLvl w:val="3"/>
        <w:rPr>
          <w:rFonts w:cs="Arial"/>
          <w:sz w:val="18"/>
          <w:szCs w:val="18"/>
        </w:rPr>
      </w:pPr>
      <w:r>
        <w:rPr>
          <w:rFonts w:cs="Arial"/>
          <w:smallCaps/>
          <w:sz w:val="18"/>
          <w:szCs w:val="18"/>
        </w:rPr>
        <w:t>(</w:t>
      </w:r>
      <w:r>
        <w:rPr>
          <w:rFonts w:cs="Arial"/>
          <w:sz w:val="18"/>
          <w:szCs w:val="18"/>
        </w:rPr>
        <w:t>Índice base 2013=100)</w:t>
      </w:r>
    </w:p>
    <w:p w:rsidR="00B24EAA" w:rsidRDefault="00B24EAA" w:rsidP="00B24EAA">
      <w:pPr>
        <w:jc w:val="center"/>
        <w:outlineLvl w:val="3"/>
        <w:rPr>
          <w:rFonts w:cs="Arial"/>
          <w:sz w:val="18"/>
          <w:szCs w:val="18"/>
        </w:rPr>
      </w:pPr>
      <w:r>
        <w:rPr>
          <w:noProof/>
          <w:lang w:eastAsia="es-MX"/>
        </w:rPr>
        <w:drawing>
          <wp:inline distT="0" distB="0" distL="0" distR="0" wp14:anchorId="2268EF6E" wp14:editId="2EB60AD4">
            <wp:extent cx="4320000" cy="2526212"/>
            <wp:effectExtent l="0" t="0" r="23495" b="266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4EAA" w:rsidRDefault="00B24EAA" w:rsidP="00B24EAA">
      <w:pPr>
        <w:ind w:left="708" w:firstLine="708"/>
      </w:pPr>
      <w:r>
        <w:rPr>
          <w:rFonts w:cs="Arial"/>
          <w:sz w:val="16"/>
        </w:rPr>
        <w:t>Fuente: INEGI.</w:t>
      </w:r>
    </w:p>
    <w:p w:rsidR="00B24EAA" w:rsidRDefault="00B24EAA" w:rsidP="00B24EAA">
      <w:pPr>
        <w:pStyle w:val="bullet"/>
        <w:widowControl w:val="0"/>
        <w:tabs>
          <w:tab w:val="clear" w:pos="7939"/>
          <w:tab w:val="left" w:pos="7230"/>
        </w:tabs>
        <w:spacing w:before="120"/>
        <w:ind w:left="284" w:right="-405" w:firstLine="0"/>
        <w:rPr>
          <w:b w:val="0"/>
          <w:sz w:val="24"/>
          <w:szCs w:val="24"/>
        </w:rPr>
      </w:pPr>
    </w:p>
    <w:p w:rsidR="00B24EAA" w:rsidRPr="006F0D56" w:rsidRDefault="00B24EAA" w:rsidP="00B24EAA">
      <w:pPr>
        <w:pStyle w:val="bullet"/>
        <w:widowControl w:val="0"/>
        <w:tabs>
          <w:tab w:val="clear" w:pos="7939"/>
          <w:tab w:val="left" w:pos="7230"/>
        </w:tabs>
        <w:ind w:left="0" w:right="-405" w:firstLine="0"/>
        <w:rPr>
          <w:b w:val="0"/>
          <w:sz w:val="24"/>
          <w:szCs w:val="24"/>
        </w:rPr>
      </w:pPr>
      <w:r w:rsidRPr="006F0D56">
        <w:rPr>
          <w:b w:val="0"/>
          <w:sz w:val="24"/>
          <w:szCs w:val="24"/>
        </w:rPr>
        <w:t>Por componentes, el consumo en Bienes de origen importado se redujo (-)1.8% y en Bienes y Servicios de origen nacional creció 0.1% en el quinto mes del presente año respecto al mes previo, según datos ajustados por estacionalidad.</w:t>
      </w:r>
    </w:p>
    <w:p w:rsidR="00B24EAA" w:rsidRPr="006F0D56" w:rsidRDefault="00B24EAA" w:rsidP="00B24EAA">
      <w:pPr>
        <w:pStyle w:val="bullet"/>
        <w:widowControl w:val="0"/>
        <w:tabs>
          <w:tab w:val="clear" w:pos="7939"/>
          <w:tab w:val="left" w:pos="7230"/>
        </w:tabs>
        <w:spacing w:before="360"/>
        <w:ind w:left="0" w:right="-405" w:firstLine="0"/>
        <w:rPr>
          <w:b w:val="0"/>
          <w:sz w:val="24"/>
          <w:szCs w:val="24"/>
        </w:rPr>
      </w:pPr>
    </w:p>
    <w:p w:rsidR="00B24EAA" w:rsidRPr="00EA2E8E" w:rsidRDefault="00B24EAA" w:rsidP="00B24EAA">
      <w:pPr>
        <w:pStyle w:val="bullet"/>
        <w:widowControl w:val="0"/>
        <w:tabs>
          <w:tab w:val="clear" w:pos="7939"/>
          <w:tab w:val="left" w:pos="7230"/>
        </w:tabs>
        <w:ind w:left="0" w:right="-405" w:firstLine="0"/>
        <w:rPr>
          <w:b w:val="0"/>
          <w:sz w:val="24"/>
          <w:szCs w:val="24"/>
        </w:rPr>
      </w:pPr>
    </w:p>
    <w:p w:rsidR="0018484F" w:rsidRDefault="0018484F" w:rsidP="00B24EAA">
      <w:pPr>
        <w:pStyle w:val="bullet"/>
        <w:widowControl w:val="0"/>
        <w:tabs>
          <w:tab w:val="clear" w:pos="7939"/>
          <w:tab w:val="left" w:pos="7230"/>
        </w:tabs>
        <w:ind w:left="0" w:right="-405" w:firstLine="0"/>
        <w:rPr>
          <w:b w:val="0"/>
          <w:sz w:val="24"/>
          <w:szCs w:val="24"/>
        </w:rPr>
      </w:pPr>
    </w:p>
    <w:p w:rsidR="00B24EAA" w:rsidRPr="00EA2E8E" w:rsidRDefault="00B24EAA" w:rsidP="00B24EAA">
      <w:pPr>
        <w:pStyle w:val="bullet"/>
        <w:widowControl w:val="0"/>
        <w:tabs>
          <w:tab w:val="clear" w:pos="7939"/>
          <w:tab w:val="left" w:pos="7230"/>
        </w:tabs>
        <w:ind w:left="0" w:right="-405" w:firstLine="0"/>
        <w:rPr>
          <w:b w:val="0"/>
          <w:sz w:val="24"/>
          <w:szCs w:val="24"/>
        </w:rPr>
      </w:pPr>
      <w:r w:rsidRPr="00EA2E8E">
        <w:rPr>
          <w:b w:val="0"/>
          <w:sz w:val="24"/>
          <w:szCs w:val="24"/>
        </w:rPr>
        <w:t>En su comparación anual</w:t>
      </w:r>
      <w:r w:rsidRPr="00EA2E8E">
        <w:rPr>
          <w:b w:val="0"/>
          <w:sz w:val="24"/>
          <w:szCs w:val="24"/>
          <w:vertAlign w:val="superscript"/>
        </w:rPr>
        <w:footnoteReference w:id="4"/>
      </w:r>
      <w:r w:rsidRPr="00EA2E8E">
        <w:rPr>
          <w:b w:val="0"/>
          <w:sz w:val="24"/>
          <w:szCs w:val="24"/>
        </w:rPr>
        <w:t>, el IMCPMI mostró un avance real de 0.3% en el mes de referencia. A su interior, los gastos en Bienes de origen importado tuvieron un alza de 0.7%, y en Bienes y Servicios nacionales se incrementaron 0.4% (los gastos en Servicios se elevaron 0.7% y en Bienes fueron mayores en 0.1%), con relación a los de igual mes de 2018.</w:t>
      </w:r>
    </w:p>
    <w:p w:rsidR="00B24EAA" w:rsidRPr="00D0777B" w:rsidRDefault="00B24EAA" w:rsidP="00B24EAA">
      <w:pPr>
        <w:pStyle w:val="bullet"/>
        <w:widowControl w:val="0"/>
        <w:spacing w:before="120"/>
        <w:ind w:right="1418"/>
        <w:rPr>
          <w:lang w:val="es-MX"/>
        </w:rPr>
      </w:pPr>
    </w:p>
    <w:p w:rsidR="00B24EAA" w:rsidRDefault="00B24EAA" w:rsidP="00B24EAA">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B24EAA" w:rsidRDefault="00B24EAA" w:rsidP="00B24EAA">
      <w:pPr>
        <w:pStyle w:val="p0"/>
        <w:spacing w:before="0"/>
        <w:jc w:val="center"/>
        <w:rPr>
          <w:rFonts w:cs="Arial"/>
          <w:b/>
          <w:smallCaps/>
          <w:color w:val="auto"/>
          <w:sz w:val="22"/>
          <w:szCs w:val="22"/>
        </w:rPr>
      </w:pPr>
      <w:r>
        <w:rPr>
          <w:rFonts w:cs="Arial"/>
          <w:b/>
          <w:smallCaps/>
          <w:color w:val="auto"/>
          <w:sz w:val="22"/>
          <w:szCs w:val="22"/>
        </w:rPr>
        <w:t>Mercado Interior durante mayo de 2019</w:t>
      </w:r>
    </w:p>
    <w:p w:rsidR="00B24EAA" w:rsidRDefault="00B24EAA" w:rsidP="00B24EAA">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B24EAA" w:rsidTr="000E7727">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rsidR="00B24EAA" w:rsidRDefault="00B24EAA" w:rsidP="000E7727">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rsidR="00B24EAA" w:rsidRDefault="00B24EAA" w:rsidP="000E7727">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rsidR="00B24EAA" w:rsidRDefault="00B24EAA" w:rsidP="000E7727">
            <w:pPr>
              <w:pStyle w:val="p0"/>
              <w:keepNext/>
              <w:spacing w:before="60" w:after="60"/>
              <w:jc w:val="center"/>
              <w:rPr>
                <w:rFonts w:cs="Arial"/>
                <w:color w:val="auto"/>
                <w:sz w:val="18"/>
                <w:lang w:val="es-ES"/>
              </w:rPr>
            </w:pPr>
            <w:r>
              <w:rPr>
                <w:rFonts w:cs="Arial"/>
                <w:color w:val="auto"/>
                <w:sz w:val="18"/>
                <w:lang w:val="es-ES"/>
              </w:rPr>
              <w:t>Variación % respecto a igual mes de 2018</w:t>
            </w:r>
          </w:p>
        </w:tc>
      </w:tr>
      <w:tr w:rsidR="00B24EAA" w:rsidTr="000E7727">
        <w:trPr>
          <w:cantSplit/>
          <w:trHeight w:val="20"/>
          <w:jc w:val="center"/>
        </w:trPr>
        <w:tc>
          <w:tcPr>
            <w:tcW w:w="2834" w:type="dxa"/>
            <w:tcBorders>
              <w:top w:val="single" w:sz="8" w:space="0" w:color="404040"/>
              <w:left w:val="double" w:sz="4" w:space="0" w:color="auto"/>
              <w:bottom w:val="nil"/>
              <w:right w:val="single" w:sz="8" w:space="0" w:color="404040"/>
            </w:tcBorders>
            <w:hideMark/>
          </w:tcPr>
          <w:p w:rsidR="00B24EAA" w:rsidRDefault="00B24EAA" w:rsidP="000E7727">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rsidR="00B24EAA" w:rsidRPr="00007D7D" w:rsidRDefault="00B24EAA" w:rsidP="000E7727">
            <w:pPr>
              <w:tabs>
                <w:tab w:val="left" w:pos="307"/>
                <w:tab w:val="decimal" w:pos="881"/>
              </w:tabs>
              <w:spacing w:before="60" w:after="60"/>
              <w:ind w:right="567"/>
              <w:jc w:val="right"/>
              <w:rPr>
                <w:rFonts w:cs="Arial"/>
                <w:b/>
                <w:sz w:val="18"/>
                <w:u w:val="single"/>
                <w:lang w:val="es-ES" w:eastAsia="en-US"/>
              </w:rPr>
            </w:pPr>
            <w:r>
              <w:rPr>
                <w:rFonts w:cs="Arial"/>
                <w:b/>
                <w:sz w:val="18"/>
                <w:lang w:val="es-ES" w:eastAsia="en-US"/>
              </w:rPr>
              <w:t>(-)</w:t>
            </w:r>
            <w:r w:rsidRPr="00007D7D">
              <w:rPr>
                <w:rFonts w:cs="Arial"/>
                <w:b/>
                <w:sz w:val="18"/>
                <w:lang w:val="es-ES" w:eastAsia="en-US"/>
              </w:rPr>
              <w:t xml:space="preserve">  </w:t>
            </w:r>
            <w:r>
              <w:rPr>
                <w:rFonts w:cs="Arial"/>
                <w:b/>
                <w:sz w:val="18"/>
                <w:u w:val="single"/>
                <w:lang w:val="es-ES" w:eastAsia="en-US"/>
              </w:rPr>
              <w:t>0.2</w:t>
            </w:r>
          </w:p>
        </w:tc>
        <w:tc>
          <w:tcPr>
            <w:tcW w:w="1843" w:type="dxa"/>
            <w:tcBorders>
              <w:top w:val="single" w:sz="8" w:space="0" w:color="404040"/>
              <w:left w:val="single" w:sz="8" w:space="0" w:color="404040"/>
              <w:bottom w:val="nil"/>
              <w:right w:val="double" w:sz="4" w:space="0" w:color="auto"/>
            </w:tcBorders>
            <w:hideMark/>
          </w:tcPr>
          <w:p w:rsidR="00B24EAA" w:rsidRPr="00007D7D" w:rsidRDefault="00B24EAA" w:rsidP="000E7727">
            <w:pPr>
              <w:tabs>
                <w:tab w:val="left" w:pos="307"/>
                <w:tab w:val="decimal" w:pos="881"/>
              </w:tabs>
              <w:spacing w:before="60" w:after="60"/>
              <w:ind w:right="624"/>
              <w:jc w:val="right"/>
              <w:rPr>
                <w:rFonts w:cs="Arial"/>
                <w:b/>
                <w:sz w:val="18"/>
                <w:lang w:val="es-ES" w:eastAsia="en-US"/>
              </w:rPr>
            </w:pPr>
            <w:r w:rsidRPr="00007D7D">
              <w:rPr>
                <w:rFonts w:cs="Arial"/>
                <w:b/>
                <w:sz w:val="18"/>
                <w:lang w:val="es-ES" w:eastAsia="en-US"/>
              </w:rPr>
              <w:t xml:space="preserve">  </w:t>
            </w:r>
            <w:r>
              <w:rPr>
                <w:rFonts w:cs="Arial"/>
                <w:b/>
                <w:sz w:val="18"/>
                <w:u w:val="single"/>
                <w:lang w:val="es-ES" w:eastAsia="en-US"/>
              </w:rPr>
              <w:t>0.3</w:t>
            </w:r>
          </w:p>
        </w:tc>
      </w:tr>
      <w:tr w:rsidR="00B24EAA" w:rsidTr="000E7727">
        <w:trPr>
          <w:cantSplit/>
          <w:trHeight w:val="20"/>
          <w:jc w:val="center"/>
        </w:trPr>
        <w:tc>
          <w:tcPr>
            <w:tcW w:w="2834" w:type="dxa"/>
            <w:tcBorders>
              <w:top w:val="nil"/>
              <w:left w:val="double" w:sz="4" w:space="0" w:color="auto"/>
              <w:bottom w:val="nil"/>
              <w:right w:val="single" w:sz="8" w:space="0" w:color="404040"/>
            </w:tcBorders>
            <w:hideMark/>
          </w:tcPr>
          <w:p w:rsidR="00B24EAA" w:rsidRDefault="00B24EAA" w:rsidP="000E7727">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rsidR="00B24EAA" w:rsidRPr="00007D7D" w:rsidRDefault="00B24EAA" w:rsidP="000E7727">
            <w:pPr>
              <w:tabs>
                <w:tab w:val="left" w:pos="307"/>
              </w:tabs>
              <w:spacing w:before="20" w:after="20"/>
              <w:ind w:right="567"/>
              <w:jc w:val="right"/>
              <w:rPr>
                <w:rFonts w:cs="Arial"/>
                <w:b/>
                <w:sz w:val="18"/>
                <w:lang w:val="es-ES" w:eastAsia="en-US"/>
              </w:rPr>
            </w:pPr>
            <w:r w:rsidRPr="00007D7D">
              <w:rPr>
                <w:rFonts w:cs="Arial"/>
                <w:b/>
                <w:sz w:val="18"/>
                <w:lang w:val="es-ES" w:eastAsia="en-US"/>
              </w:rPr>
              <w:t xml:space="preserve">  0.</w:t>
            </w:r>
            <w:r>
              <w:rPr>
                <w:rFonts w:cs="Arial"/>
                <w:b/>
                <w:sz w:val="18"/>
                <w:lang w:val="es-ES" w:eastAsia="en-US"/>
              </w:rPr>
              <w:t>1</w:t>
            </w:r>
          </w:p>
        </w:tc>
        <w:tc>
          <w:tcPr>
            <w:tcW w:w="1843" w:type="dxa"/>
            <w:tcBorders>
              <w:top w:val="nil"/>
              <w:left w:val="single" w:sz="8" w:space="0" w:color="404040"/>
              <w:bottom w:val="nil"/>
              <w:right w:val="double" w:sz="4" w:space="0" w:color="auto"/>
            </w:tcBorders>
            <w:hideMark/>
          </w:tcPr>
          <w:p w:rsidR="00B24EAA" w:rsidRPr="00007D7D" w:rsidRDefault="00B24EAA" w:rsidP="000E7727">
            <w:pPr>
              <w:tabs>
                <w:tab w:val="left" w:pos="307"/>
                <w:tab w:val="decimal" w:pos="881"/>
              </w:tabs>
              <w:spacing w:before="20" w:after="20"/>
              <w:ind w:right="624"/>
              <w:jc w:val="right"/>
              <w:rPr>
                <w:rFonts w:cs="Arial"/>
                <w:b/>
                <w:sz w:val="18"/>
                <w:lang w:val="es-ES" w:eastAsia="en-US"/>
              </w:rPr>
            </w:pPr>
            <w:r w:rsidRPr="00007D7D">
              <w:rPr>
                <w:rFonts w:cs="Arial"/>
                <w:b/>
                <w:sz w:val="18"/>
                <w:lang w:val="es-ES" w:eastAsia="en-US"/>
              </w:rPr>
              <w:t xml:space="preserve">    </w:t>
            </w:r>
            <w:r>
              <w:rPr>
                <w:rFonts w:cs="Arial"/>
                <w:b/>
                <w:sz w:val="18"/>
                <w:lang w:val="es-ES" w:eastAsia="en-US"/>
              </w:rPr>
              <w:t>0</w:t>
            </w:r>
            <w:r w:rsidRPr="00007D7D">
              <w:rPr>
                <w:rFonts w:cs="Arial"/>
                <w:b/>
                <w:sz w:val="18"/>
                <w:lang w:val="es-ES" w:eastAsia="en-US"/>
              </w:rPr>
              <w:t>.</w:t>
            </w:r>
            <w:r>
              <w:rPr>
                <w:rFonts w:cs="Arial"/>
                <w:b/>
                <w:sz w:val="18"/>
                <w:lang w:val="es-ES" w:eastAsia="en-US"/>
              </w:rPr>
              <w:t>4</w:t>
            </w:r>
          </w:p>
        </w:tc>
      </w:tr>
      <w:tr w:rsidR="00B24EAA" w:rsidTr="000E7727">
        <w:trPr>
          <w:cantSplit/>
          <w:trHeight w:val="20"/>
          <w:jc w:val="center"/>
        </w:trPr>
        <w:tc>
          <w:tcPr>
            <w:tcW w:w="2834" w:type="dxa"/>
            <w:tcBorders>
              <w:top w:val="nil"/>
              <w:left w:val="double" w:sz="4" w:space="0" w:color="auto"/>
              <w:bottom w:val="nil"/>
              <w:right w:val="single" w:sz="8" w:space="0" w:color="404040"/>
            </w:tcBorders>
            <w:hideMark/>
          </w:tcPr>
          <w:p w:rsidR="00B24EAA" w:rsidRDefault="00B24EAA" w:rsidP="000E7727">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rsidR="00B24EAA" w:rsidRPr="00007D7D" w:rsidRDefault="00B24EAA" w:rsidP="000E7727">
            <w:pPr>
              <w:tabs>
                <w:tab w:val="left" w:pos="307"/>
              </w:tabs>
              <w:spacing w:before="60"/>
              <w:ind w:right="567"/>
              <w:jc w:val="right"/>
              <w:rPr>
                <w:rFonts w:cs="Arial"/>
                <w:sz w:val="18"/>
                <w:lang w:val="es-ES" w:eastAsia="en-US"/>
              </w:rPr>
            </w:pPr>
            <w:r>
              <w:rPr>
                <w:rFonts w:cs="Arial"/>
                <w:sz w:val="18"/>
                <w:lang w:val="es-ES" w:eastAsia="en-US"/>
              </w:rPr>
              <w:t>(-)</w:t>
            </w:r>
            <w:r w:rsidRPr="00007D7D">
              <w:rPr>
                <w:rFonts w:cs="Arial"/>
                <w:sz w:val="18"/>
                <w:lang w:val="es-ES" w:eastAsia="en-US"/>
              </w:rPr>
              <w:t xml:space="preserve">  </w:t>
            </w:r>
            <w:r>
              <w:rPr>
                <w:rFonts w:cs="Arial"/>
                <w:sz w:val="18"/>
                <w:lang w:val="es-ES" w:eastAsia="en-US"/>
              </w:rPr>
              <w:t>0</w:t>
            </w:r>
            <w:r w:rsidRPr="00007D7D">
              <w:rPr>
                <w:rFonts w:cs="Arial"/>
                <w:sz w:val="18"/>
                <w:lang w:val="es-ES" w:eastAsia="en-US"/>
              </w:rPr>
              <w:t>.</w:t>
            </w:r>
            <w:r>
              <w:rPr>
                <w:rFonts w:cs="Arial"/>
                <w:sz w:val="18"/>
                <w:lang w:val="es-ES" w:eastAsia="en-US"/>
              </w:rPr>
              <w:t>6</w:t>
            </w:r>
          </w:p>
        </w:tc>
        <w:tc>
          <w:tcPr>
            <w:tcW w:w="1843" w:type="dxa"/>
            <w:tcBorders>
              <w:top w:val="nil"/>
              <w:left w:val="single" w:sz="8" w:space="0" w:color="404040"/>
              <w:bottom w:val="nil"/>
              <w:right w:val="double" w:sz="4" w:space="0" w:color="auto"/>
            </w:tcBorders>
            <w:hideMark/>
          </w:tcPr>
          <w:p w:rsidR="00B24EAA" w:rsidRPr="00007D7D" w:rsidRDefault="00B24EAA" w:rsidP="000E7727">
            <w:pPr>
              <w:tabs>
                <w:tab w:val="left" w:pos="307"/>
                <w:tab w:val="decimal" w:pos="881"/>
              </w:tabs>
              <w:spacing w:before="60"/>
              <w:ind w:right="624"/>
              <w:jc w:val="right"/>
              <w:rPr>
                <w:rFonts w:cs="Arial"/>
                <w:sz w:val="18"/>
                <w:lang w:val="es-ES" w:eastAsia="en-US"/>
              </w:rPr>
            </w:pPr>
            <w:r w:rsidRPr="00007D7D">
              <w:rPr>
                <w:rFonts w:cs="Arial"/>
                <w:sz w:val="18"/>
                <w:lang w:val="es-ES" w:eastAsia="en-US"/>
              </w:rPr>
              <w:t xml:space="preserve">  </w:t>
            </w:r>
            <w:r>
              <w:rPr>
                <w:rFonts w:cs="Arial"/>
                <w:sz w:val="18"/>
                <w:lang w:val="es-ES" w:eastAsia="en-US"/>
              </w:rPr>
              <w:t>0</w:t>
            </w:r>
            <w:r w:rsidRPr="00007D7D">
              <w:rPr>
                <w:rFonts w:cs="Arial"/>
                <w:sz w:val="18"/>
                <w:lang w:val="es-ES" w:eastAsia="en-US"/>
              </w:rPr>
              <w:t>.</w:t>
            </w:r>
            <w:r>
              <w:rPr>
                <w:rFonts w:cs="Arial"/>
                <w:sz w:val="18"/>
                <w:lang w:val="es-ES" w:eastAsia="en-US"/>
              </w:rPr>
              <w:t>1</w:t>
            </w:r>
          </w:p>
        </w:tc>
      </w:tr>
      <w:tr w:rsidR="00B24EAA" w:rsidTr="000E7727">
        <w:trPr>
          <w:cantSplit/>
          <w:trHeight w:val="20"/>
          <w:jc w:val="center"/>
        </w:trPr>
        <w:tc>
          <w:tcPr>
            <w:tcW w:w="2834" w:type="dxa"/>
            <w:tcBorders>
              <w:top w:val="nil"/>
              <w:left w:val="double" w:sz="4" w:space="0" w:color="auto"/>
              <w:bottom w:val="nil"/>
              <w:right w:val="single" w:sz="8" w:space="0" w:color="404040"/>
            </w:tcBorders>
            <w:hideMark/>
          </w:tcPr>
          <w:p w:rsidR="00B24EAA" w:rsidRDefault="00B24EAA" w:rsidP="000E7727">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rsidR="00B24EAA" w:rsidRPr="00007D7D" w:rsidRDefault="00B24EAA" w:rsidP="000E7727">
            <w:pPr>
              <w:tabs>
                <w:tab w:val="left" w:pos="307"/>
              </w:tabs>
              <w:spacing w:before="60"/>
              <w:ind w:right="567"/>
              <w:jc w:val="right"/>
              <w:rPr>
                <w:rFonts w:cs="Arial"/>
                <w:sz w:val="18"/>
                <w:lang w:val="es-ES" w:eastAsia="en-US"/>
              </w:rPr>
            </w:pPr>
            <w:r w:rsidRPr="00007D7D">
              <w:rPr>
                <w:rFonts w:cs="Arial"/>
                <w:sz w:val="18"/>
                <w:lang w:val="es-ES" w:eastAsia="en-US"/>
              </w:rPr>
              <w:t xml:space="preserve">  0.</w:t>
            </w:r>
            <w:r>
              <w:rPr>
                <w:rFonts w:cs="Arial"/>
                <w:sz w:val="18"/>
                <w:lang w:val="es-ES" w:eastAsia="en-US"/>
              </w:rPr>
              <w:t>9</w:t>
            </w:r>
          </w:p>
        </w:tc>
        <w:tc>
          <w:tcPr>
            <w:tcW w:w="1843" w:type="dxa"/>
            <w:tcBorders>
              <w:top w:val="nil"/>
              <w:left w:val="single" w:sz="8" w:space="0" w:color="404040"/>
              <w:bottom w:val="nil"/>
              <w:right w:val="double" w:sz="4" w:space="0" w:color="auto"/>
            </w:tcBorders>
            <w:hideMark/>
          </w:tcPr>
          <w:p w:rsidR="00B24EAA" w:rsidRPr="00007D7D" w:rsidRDefault="00B24EAA" w:rsidP="000E7727">
            <w:pPr>
              <w:tabs>
                <w:tab w:val="left" w:pos="307"/>
                <w:tab w:val="decimal" w:pos="881"/>
              </w:tabs>
              <w:spacing w:before="60"/>
              <w:ind w:right="624"/>
              <w:jc w:val="right"/>
              <w:rPr>
                <w:rFonts w:cs="Arial"/>
                <w:sz w:val="18"/>
                <w:lang w:val="es-ES" w:eastAsia="en-US"/>
              </w:rPr>
            </w:pPr>
            <w:r w:rsidRPr="00007D7D">
              <w:rPr>
                <w:rFonts w:cs="Arial"/>
                <w:sz w:val="18"/>
                <w:lang w:val="es-ES" w:eastAsia="en-US"/>
              </w:rPr>
              <w:t xml:space="preserve">    0.</w:t>
            </w:r>
            <w:r>
              <w:rPr>
                <w:rFonts w:cs="Arial"/>
                <w:sz w:val="18"/>
                <w:lang w:val="es-ES" w:eastAsia="en-US"/>
              </w:rPr>
              <w:t>7</w:t>
            </w:r>
          </w:p>
        </w:tc>
      </w:tr>
      <w:tr w:rsidR="00B24EAA" w:rsidTr="000E7727">
        <w:trPr>
          <w:cantSplit/>
          <w:trHeight w:val="20"/>
          <w:jc w:val="center"/>
        </w:trPr>
        <w:tc>
          <w:tcPr>
            <w:tcW w:w="2834" w:type="dxa"/>
            <w:tcBorders>
              <w:top w:val="nil"/>
              <w:left w:val="double" w:sz="4" w:space="0" w:color="auto"/>
              <w:bottom w:val="nil"/>
              <w:right w:val="single" w:sz="8" w:space="0" w:color="404040"/>
            </w:tcBorders>
            <w:hideMark/>
          </w:tcPr>
          <w:p w:rsidR="00B24EAA" w:rsidRDefault="00B24EAA" w:rsidP="000E7727">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rsidR="00B24EAA" w:rsidRPr="00007D7D" w:rsidRDefault="00B24EAA" w:rsidP="000E7727">
            <w:pPr>
              <w:tabs>
                <w:tab w:val="left" w:pos="307"/>
                <w:tab w:val="decimal" w:pos="881"/>
              </w:tabs>
              <w:spacing w:before="60" w:after="60"/>
              <w:ind w:right="567"/>
              <w:jc w:val="right"/>
              <w:rPr>
                <w:rFonts w:cs="Arial"/>
                <w:b/>
                <w:sz w:val="18"/>
                <w:lang w:val="es-ES" w:eastAsia="en-US"/>
              </w:rPr>
            </w:pPr>
            <w:r>
              <w:rPr>
                <w:rFonts w:cs="Arial"/>
                <w:b/>
                <w:sz w:val="18"/>
                <w:lang w:val="es-ES" w:eastAsia="en-US"/>
              </w:rPr>
              <w:t>(-)</w:t>
            </w:r>
            <w:r w:rsidRPr="00007D7D">
              <w:rPr>
                <w:rFonts w:cs="Arial"/>
                <w:b/>
                <w:sz w:val="18"/>
                <w:lang w:val="es-ES" w:eastAsia="en-US"/>
              </w:rPr>
              <w:t xml:space="preserve">  </w:t>
            </w:r>
            <w:r>
              <w:rPr>
                <w:rFonts w:cs="Arial"/>
                <w:b/>
                <w:sz w:val="18"/>
                <w:lang w:val="es-ES" w:eastAsia="en-US"/>
              </w:rPr>
              <w:t>1</w:t>
            </w:r>
            <w:r w:rsidRPr="00007D7D">
              <w:rPr>
                <w:rFonts w:cs="Arial"/>
                <w:b/>
                <w:sz w:val="18"/>
                <w:lang w:val="es-ES" w:eastAsia="en-US"/>
              </w:rPr>
              <w:t>.</w:t>
            </w:r>
            <w:r>
              <w:rPr>
                <w:rFonts w:cs="Arial"/>
                <w:b/>
                <w:sz w:val="18"/>
                <w:lang w:val="es-ES" w:eastAsia="en-US"/>
              </w:rPr>
              <w:t>8</w:t>
            </w:r>
          </w:p>
        </w:tc>
        <w:tc>
          <w:tcPr>
            <w:tcW w:w="1843" w:type="dxa"/>
            <w:tcBorders>
              <w:top w:val="nil"/>
              <w:left w:val="single" w:sz="8" w:space="0" w:color="404040"/>
              <w:bottom w:val="nil"/>
              <w:right w:val="double" w:sz="4" w:space="0" w:color="auto"/>
            </w:tcBorders>
            <w:hideMark/>
          </w:tcPr>
          <w:p w:rsidR="00B24EAA" w:rsidRPr="00007D7D" w:rsidRDefault="00B24EAA" w:rsidP="000E7727">
            <w:pPr>
              <w:tabs>
                <w:tab w:val="left" w:pos="307"/>
                <w:tab w:val="decimal" w:pos="881"/>
              </w:tabs>
              <w:spacing w:before="60" w:after="60"/>
              <w:ind w:right="624"/>
              <w:jc w:val="right"/>
              <w:rPr>
                <w:rFonts w:cs="Arial"/>
                <w:b/>
                <w:sz w:val="18"/>
                <w:lang w:val="es-ES" w:eastAsia="en-US"/>
              </w:rPr>
            </w:pPr>
            <w:r w:rsidRPr="00007D7D">
              <w:rPr>
                <w:rFonts w:cs="Arial"/>
                <w:b/>
                <w:sz w:val="18"/>
                <w:lang w:val="es-ES" w:eastAsia="en-US"/>
              </w:rPr>
              <w:t xml:space="preserve">  0</w:t>
            </w:r>
            <w:r>
              <w:rPr>
                <w:rFonts w:cs="Arial"/>
                <w:b/>
                <w:sz w:val="18"/>
                <w:lang w:val="es-ES" w:eastAsia="en-US"/>
              </w:rPr>
              <w:t>.7</w:t>
            </w:r>
            <w:r w:rsidRPr="00007D7D">
              <w:rPr>
                <w:rFonts w:cs="Arial"/>
                <w:b/>
                <w:sz w:val="18"/>
                <w:lang w:val="es-ES" w:eastAsia="en-US"/>
              </w:rPr>
              <w:t xml:space="preserve"> </w:t>
            </w:r>
          </w:p>
        </w:tc>
      </w:tr>
      <w:tr w:rsidR="00B24EAA" w:rsidTr="000E7727">
        <w:trPr>
          <w:cantSplit/>
          <w:trHeight w:val="20"/>
          <w:jc w:val="center"/>
        </w:trPr>
        <w:tc>
          <w:tcPr>
            <w:tcW w:w="2834" w:type="dxa"/>
            <w:tcBorders>
              <w:top w:val="nil"/>
              <w:left w:val="double" w:sz="4" w:space="0" w:color="auto"/>
              <w:bottom w:val="double" w:sz="4" w:space="0" w:color="404040"/>
              <w:right w:val="single" w:sz="8" w:space="0" w:color="404040"/>
            </w:tcBorders>
          </w:tcPr>
          <w:p w:rsidR="00B24EAA" w:rsidRDefault="00B24EAA" w:rsidP="000E7727">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rsidR="00B24EAA" w:rsidRPr="00007D7D" w:rsidRDefault="00B24EAA" w:rsidP="000E7727">
            <w:pPr>
              <w:tabs>
                <w:tab w:val="left" w:pos="307"/>
                <w:tab w:val="decimal" w:pos="881"/>
              </w:tabs>
              <w:ind w:right="567"/>
              <w:jc w:val="right"/>
              <w:rPr>
                <w:rFonts w:cs="Arial"/>
                <w:sz w:val="18"/>
                <w:lang w:val="es-ES"/>
              </w:rPr>
            </w:pPr>
            <w:r>
              <w:rPr>
                <w:rFonts w:cs="Arial"/>
                <w:sz w:val="18"/>
                <w:lang w:val="es-ES"/>
              </w:rPr>
              <w:t>(-)</w:t>
            </w:r>
            <w:r w:rsidRPr="00007D7D">
              <w:rPr>
                <w:rFonts w:cs="Arial"/>
                <w:sz w:val="18"/>
                <w:lang w:val="es-ES"/>
              </w:rPr>
              <w:t xml:space="preserve">  </w:t>
            </w:r>
            <w:r>
              <w:rPr>
                <w:rFonts w:cs="Arial"/>
                <w:sz w:val="18"/>
                <w:lang w:val="es-ES"/>
              </w:rPr>
              <w:t>1</w:t>
            </w:r>
            <w:r w:rsidRPr="00007D7D">
              <w:rPr>
                <w:rFonts w:cs="Arial"/>
                <w:sz w:val="18"/>
                <w:lang w:val="es-ES"/>
              </w:rPr>
              <w:t>.</w:t>
            </w:r>
            <w:r>
              <w:rPr>
                <w:rFonts w:cs="Arial"/>
                <w:sz w:val="18"/>
                <w:lang w:val="es-ES"/>
              </w:rPr>
              <w:t>8</w:t>
            </w:r>
          </w:p>
        </w:tc>
        <w:tc>
          <w:tcPr>
            <w:tcW w:w="1843" w:type="dxa"/>
            <w:tcBorders>
              <w:top w:val="nil"/>
              <w:left w:val="single" w:sz="8" w:space="0" w:color="404040"/>
              <w:bottom w:val="double" w:sz="4" w:space="0" w:color="404040"/>
              <w:right w:val="double" w:sz="4" w:space="0" w:color="auto"/>
            </w:tcBorders>
          </w:tcPr>
          <w:p w:rsidR="00B24EAA" w:rsidRPr="00007D7D" w:rsidRDefault="00B24EAA" w:rsidP="000E7727">
            <w:pPr>
              <w:tabs>
                <w:tab w:val="left" w:pos="307"/>
                <w:tab w:val="decimal" w:pos="881"/>
              </w:tabs>
              <w:ind w:right="624"/>
              <w:jc w:val="right"/>
              <w:rPr>
                <w:rFonts w:cs="Arial"/>
                <w:sz w:val="18"/>
                <w:lang w:val="es-ES"/>
              </w:rPr>
            </w:pPr>
            <w:r w:rsidRPr="00007D7D">
              <w:rPr>
                <w:rFonts w:cs="Arial"/>
                <w:sz w:val="18"/>
                <w:lang w:val="es-ES"/>
              </w:rPr>
              <w:t xml:space="preserve">  0</w:t>
            </w:r>
            <w:r>
              <w:rPr>
                <w:rFonts w:cs="Arial"/>
                <w:sz w:val="18"/>
                <w:lang w:val="es-ES"/>
              </w:rPr>
              <w:t>.7</w:t>
            </w:r>
          </w:p>
        </w:tc>
      </w:tr>
    </w:tbl>
    <w:p w:rsidR="00B24EAA" w:rsidRDefault="00B24EAA" w:rsidP="00B24EAA">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rsidR="00B24EAA" w:rsidRDefault="00B24EAA" w:rsidP="00B24EAA">
      <w:pPr>
        <w:widowControl/>
        <w:ind w:left="1276" w:right="1438"/>
        <w:jc w:val="left"/>
        <w:rPr>
          <w:b/>
          <w:i/>
        </w:rPr>
      </w:pPr>
      <w:r>
        <w:rPr>
          <w:sz w:val="16"/>
          <w:szCs w:val="16"/>
        </w:rPr>
        <w:t>Fuente:    INEGI.</w:t>
      </w:r>
    </w:p>
    <w:p w:rsidR="00B24EAA" w:rsidRPr="00C2318C" w:rsidRDefault="00B24EAA" w:rsidP="00B24EAA">
      <w:pPr>
        <w:pStyle w:val="bullet"/>
        <w:widowControl w:val="0"/>
        <w:tabs>
          <w:tab w:val="clear" w:pos="7939"/>
          <w:tab w:val="left" w:pos="7230"/>
        </w:tabs>
        <w:spacing w:before="0"/>
        <w:ind w:left="0" w:right="584" w:firstLine="0"/>
        <w:rPr>
          <w:b w:val="0"/>
          <w:sz w:val="24"/>
          <w:szCs w:val="24"/>
        </w:rPr>
      </w:pPr>
    </w:p>
    <w:p w:rsidR="00B24EAA" w:rsidRDefault="00B24EAA" w:rsidP="00B24EA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rsidR="00B24EAA" w:rsidRDefault="00B24EAA" w:rsidP="00B24EA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B24EAA" w:rsidRDefault="00B24EAA" w:rsidP="00B24EA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B24EAA" w:rsidRDefault="00B24EAA" w:rsidP="00B24EAA">
      <w:pPr>
        <w:pStyle w:val="p0"/>
        <w:rPr>
          <w:lang w:val="es-ES_tradnl"/>
        </w:rPr>
      </w:pPr>
    </w:p>
    <w:p w:rsidR="00B24EAA" w:rsidRDefault="00B24EAA" w:rsidP="00B24EAA">
      <w:pPr>
        <w:pStyle w:val="p0"/>
        <w:rPr>
          <w:lang w:val="es-ES_tradnl"/>
        </w:rPr>
      </w:pPr>
    </w:p>
    <w:p w:rsidR="00B24EAA" w:rsidRDefault="00B24EAA" w:rsidP="00B24EAA">
      <w:pPr>
        <w:pStyle w:val="p0"/>
        <w:rPr>
          <w:lang w:val="es-ES_tradnl"/>
        </w:rPr>
      </w:pPr>
    </w:p>
    <w:p w:rsidR="00B24EAA" w:rsidRDefault="00B24EAA" w:rsidP="00B24EAA">
      <w:pPr>
        <w:pStyle w:val="p0"/>
        <w:rPr>
          <w:lang w:val="es-ES_tradnl"/>
        </w:rPr>
      </w:pPr>
    </w:p>
    <w:p w:rsidR="00B24EAA" w:rsidRPr="00A457F9" w:rsidRDefault="00B24EAA" w:rsidP="00B24EAA">
      <w:pPr>
        <w:pStyle w:val="NormalWeb"/>
        <w:spacing w:before="0" w:beforeAutospacing="0" w:after="0" w:afterAutospacing="0"/>
        <w:ind w:left="-426" w:right="-518"/>
        <w:contextualSpacing/>
        <w:jc w:val="center"/>
        <w:rPr>
          <w:sz w:val="22"/>
          <w:szCs w:val="22"/>
        </w:rPr>
      </w:pPr>
      <w:r w:rsidRPr="00A457F9">
        <w:rPr>
          <w:sz w:val="22"/>
          <w:szCs w:val="22"/>
        </w:rPr>
        <w:t xml:space="preserve">Para consultas de medios y periodistas, contactar a: </w:t>
      </w:r>
      <w:hyperlink r:id="rId9" w:history="1">
        <w:r w:rsidRPr="00A457F9">
          <w:rPr>
            <w:rStyle w:val="Hipervnculo"/>
            <w:sz w:val="22"/>
            <w:szCs w:val="22"/>
          </w:rPr>
          <w:t>comunicacionsocial@inegi.org.mx</w:t>
        </w:r>
      </w:hyperlink>
      <w:r w:rsidRPr="00A457F9">
        <w:rPr>
          <w:sz w:val="22"/>
          <w:szCs w:val="22"/>
        </w:rPr>
        <w:t xml:space="preserve"> </w:t>
      </w:r>
    </w:p>
    <w:p w:rsidR="00B24EAA" w:rsidRPr="00A457F9" w:rsidRDefault="00B24EAA" w:rsidP="00B24EAA">
      <w:pPr>
        <w:pStyle w:val="NormalWeb"/>
        <w:spacing w:before="0" w:beforeAutospacing="0" w:after="0" w:afterAutospacing="0"/>
        <w:ind w:left="-426" w:right="-518"/>
        <w:contextualSpacing/>
        <w:jc w:val="center"/>
        <w:rPr>
          <w:sz w:val="22"/>
          <w:szCs w:val="22"/>
        </w:rPr>
      </w:pPr>
      <w:r w:rsidRPr="00A457F9">
        <w:rPr>
          <w:sz w:val="22"/>
          <w:szCs w:val="22"/>
        </w:rPr>
        <w:t xml:space="preserve">o llamar al teléfono (55) 52-78-10-00, </w:t>
      </w:r>
      <w:proofErr w:type="spellStart"/>
      <w:r w:rsidRPr="00A457F9">
        <w:rPr>
          <w:sz w:val="22"/>
          <w:szCs w:val="22"/>
        </w:rPr>
        <w:t>exts</w:t>
      </w:r>
      <w:proofErr w:type="spellEnd"/>
      <w:r w:rsidRPr="00A457F9">
        <w:rPr>
          <w:sz w:val="22"/>
          <w:szCs w:val="22"/>
        </w:rPr>
        <w:t>. 1134, 1260 y 1241.</w:t>
      </w:r>
    </w:p>
    <w:p w:rsidR="00B24EAA" w:rsidRPr="00A457F9" w:rsidRDefault="00B24EAA" w:rsidP="00B24EAA">
      <w:pPr>
        <w:ind w:left="-426" w:right="-518"/>
        <w:contextualSpacing/>
        <w:jc w:val="center"/>
        <w:rPr>
          <w:rFonts w:cs="Arial"/>
          <w:sz w:val="22"/>
          <w:szCs w:val="22"/>
        </w:rPr>
      </w:pPr>
    </w:p>
    <w:p w:rsidR="00B24EAA" w:rsidRPr="00A457F9" w:rsidRDefault="00B24EAA" w:rsidP="00B24EAA">
      <w:pPr>
        <w:ind w:left="-426" w:right="-518"/>
        <w:contextualSpacing/>
        <w:jc w:val="center"/>
        <w:rPr>
          <w:rFonts w:cs="Arial"/>
          <w:sz w:val="22"/>
          <w:szCs w:val="22"/>
        </w:rPr>
      </w:pPr>
      <w:r w:rsidRPr="00A457F9">
        <w:rPr>
          <w:rFonts w:cs="Arial"/>
          <w:sz w:val="22"/>
          <w:szCs w:val="22"/>
        </w:rPr>
        <w:t xml:space="preserve">Dirección de Atención a Medios / Dirección General Adjunta de Comunicación </w:t>
      </w:r>
    </w:p>
    <w:p w:rsidR="00B24EAA" w:rsidRPr="00345068" w:rsidRDefault="00B24EAA" w:rsidP="00B24EAA">
      <w:pPr>
        <w:ind w:left="-426" w:right="-518"/>
        <w:contextualSpacing/>
        <w:jc w:val="center"/>
        <w:rPr>
          <w:sz w:val="22"/>
          <w:szCs w:val="22"/>
        </w:rPr>
      </w:pPr>
    </w:p>
    <w:p w:rsidR="00B24EAA" w:rsidRDefault="00B24EAA" w:rsidP="00B24EAA">
      <w:pPr>
        <w:ind w:left="-425" w:right="-516"/>
        <w:contextualSpacing/>
        <w:jc w:val="center"/>
      </w:pPr>
      <w:r w:rsidRPr="00FF1218">
        <w:rPr>
          <w:noProof/>
          <w:lang w:eastAsia="es-MX"/>
        </w:rPr>
        <w:drawing>
          <wp:inline distT="0" distB="0" distL="0" distR="0" wp14:anchorId="18CA45E1" wp14:editId="22E77A91">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555DE80" wp14:editId="6A459576">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A83BC38" wp14:editId="7AD8567B">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87A97FB" wp14:editId="72255637">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1D697A9D" wp14:editId="72918B9C">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B24EAA" w:rsidRPr="00157C43" w:rsidRDefault="00B24EAA" w:rsidP="00B24EAA">
      <w:pPr>
        <w:pStyle w:val="bullet"/>
        <w:tabs>
          <w:tab w:val="left" w:pos="8789"/>
        </w:tabs>
        <w:spacing w:before="0"/>
        <w:ind w:left="0" w:right="51" w:firstLine="0"/>
        <w:jc w:val="center"/>
        <w:rPr>
          <w:rFonts w:cs="Arial"/>
          <w:szCs w:val="24"/>
        </w:rPr>
        <w:sectPr w:rsidR="00B24EAA"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B24EAA" w:rsidRDefault="00B24EAA" w:rsidP="00AB6352">
      <w:pPr>
        <w:pStyle w:val="Textoindependiente"/>
        <w:spacing w:before="100" w:beforeAutospacing="1" w:after="100" w:afterAutospacing="1"/>
        <w:ind w:left="-284" w:right="335"/>
        <w:contextualSpacing/>
        <w:rPr>
          <w:sz w:val="28"/>
          <w:szCs w:val="28"/>
        </w:rPr>
      </w:pPr>
      <w:r w:rsidRPr="002C6894">
        <w:rPr>
          <w:sz w:val="28"/>
          <w:szCs w:val="28"/>
        </w:rPr>
        <w:lastRenderedPageBreak/>
        <w:t xml:space="preserve">      </w:t>
      </w:r>
      <w:r w:rsidRPr="001A2104">
        <w:rPr>
          <w:sz w:val="28"/>
          <w:szCs w:val="28"/>
        </w:rPr>
        <w:t>nota técnica</w:t>
      </w:r>
    </w:p>
    <w:p w:rsidR="00B24EAA" w:rsidRPr="00B24EAA" w:rsidRDefault="00B24EAA" w:rsidP="00B24EAA">
      <w:pPr>
        <w:pStyle w:val="Textoindependiente"/>
        <w:spacing w:before="100" w:beforeAutospacing="1" w:after="100" w:afterAutospacing="1"/>
        <w:ind w:left="-284" w:right="335"/>
        <w:contextualSpacing/>
        <w:rPr>
          <w:sz w:val="16"/>
          <w:szCs w:val="16"/>
        </w:rPr>
      </w:pPr>
    </w:p>
    <w:p w:rsidR="00607F23" w:rsidRPr="00AB6352" w:rsidRDefault="00607F23" w:rsidP="00607F23">
      <w:pPr>
        <w:pStyle w:val="Textoindependiente"/>
        <w:spacing w:before="120"/>
        <w:rPr>
          <w:sz w:val="28"/>
          <w:szCs w:val="28"/>
        </w:rPr>
      </w:pPr>
      <w:r w:rsidRPr="00AB6352">
        <w:rPr>
          <w:sz w:val="28"/>
          <w:szCs w:val="28"/>
        </w:rPr>
        <w:t>INDICADOR MENSUAL DEL CONSUMO</w:t>
      </w:r>
    </w:p>
    <w:p w:rsidR="00607F23" w:rsidRPr="00AB6352" w:rsidRDefault="00607F23" w:rsidP="00607F23">
      <w:pPr>
        <w:pStyle w:val="Textoindependiente"/>
        <w:tabs>
          <w:tab w:val="center" w:pos="4420"/>
          <w:tab w:val="left" w:pos="8099"/>
        </w:tabs>
        <w:rPr>
          <w:sz w:val="28"/>
          <w:szCs w:val="28"/>
        </w:rPr>
      </w:pPr>
      <w:r w:rsidRPr="00AB6352">
        <w:rPr>
          <w:sz w:val="28"/>
          <w:szCs w:val="28"/>
        </w:rPr>
        <w:t>PRIVADO EN EL MERCADO INTERIOr</w:t>
      </w:r>
      <w:r w:rsidRPr="00AB6352">
        <w:rPr>
          <w:sz w:val="28"/>
          <w:szCs w:val="28"/>
          <w:vertAlign w:val="superscript"/>
        </w:rPr>
        <w:footnoteReference w:id="5"/>
      </w:r>
    </w:p>
    <w:p w:rsidR="00607F23" w:rsidRPr="00AB6352" w:rsidRDefault="00607F23" w:rsidP="00607F23">
      <w:pPr>
        <w:pStyle w:val="Textoindependiente"/>
        <w:rPr>
          <w:b w:val="0"/>
          <w:sz w:val="28"/>
          <w:szCs w:val="28"/>
        </w:rPr>
      </w:pPr>
      <w:r w:rsidRPr="00AB6352">
        <w:rPr>
          <w:sz w:val="28"/>
          <w:szCs w:val="28"/>
        </w:rPr>
        <w:t xml:space="preserve">DURANTE </w:t>
      </w:r>
      <w:r w:rsidR="00A83053" w:rsidRPr="00AB6352">
        <w:rPr>
          <w:sz w:val="28"/>
          <w:szCs w:val="28"/>
        </w:rPr>
        <w:t>M</w:t>
      </w:r>
      <w:r w:rsidR="005572C5" w:rsidRPr="00AB6352">
        <w:rPr>
          <w:sz w:val="28"/>
          <w:szCs w:val="28"/>
        </w:rPr>
        <w:t>A</w:t>
      </w:r>
      <w:r w:rsidR="00A83053" w:rsidRPr="00AB6352">
        <w:rPr>
          <w:sz w:val="28"/>
          <w:szCs w:val="28"/>
        </w:rPr>
        <w:t>YO</w:t>
      </w:r>
      <w:r w:rsidRPr="00AB6352">
        <w:rPr>
          <w:sz w:val="28"/>
          <w:szCs w:val="28"/>
        </w:rPr>
        <w:t xml:space="preserve"> DE 201</w:t>
      </w:r>
      <w:r w:rsidR="00FC634B" w:rsidRPr="00AB6352">
        <w:rPr>
          <w:sz w:val="28"/>
          <w:szCs w:val="28"/>
        </w:rPr>
        <w:t>9</w:t>
      </w:r>
    </w:p>
    <w:p w:rsidR="00607F23" w:rsidRDefault="00607F23" w:rsidP="00607F23">
      <w:pPr>
        <w:jc w:val="center"/>
        <w:rPr>
          <w:b/>
          <w:spacing w:val="25"/>
          <w:sz w:val="28"/>
        </w:rPr>
      </w:pPr>
      <w:r>
        <w:rPr>
          <w:b/>
          <w:i/>
          <w:spacing w:val="25"/>
        </w:rPr>
        <w:t>(Cifras desestacionalizadas)</w:t>
      </w:r>
    </w:p>
    <w:p w:rsidR="00140D9C" w:rsidRDefault="00140D9C" w:rsidP="00140D9C">
      <w:pPr>
        <w:pStyle w:val="Ttulo4"/>
        <w:keepNext w:val="0"/>
        <w:spacing w:before="240"/>
        <w:rPr>
          <w:u w:val="none"/>
        </w:rPr>
      </w:pPr>
      <w:r>
        <w:rPr>
          <w:u w:val="none"/>
        </w:rPr>
        <w:t>Principales Resultados</w:t>
      </w:r>
    </w:p>
    <w:p w:rsidR="004C2706" w:rsidRDefault="004C2706" w:rsidP="004C2706">
      <w:pPr>
        <w:spacing w:before="480"/>
      </w:pPr>
      <w:r>
        <w:t xml:space="preserve">Con base en cifras desestacionalizadas, el Indicador Mensual del Consumo Privado en el Mercado Interior (IMCPMI) </w:t>
      </w:r>
      <w:r w:rsidR="00E52F7B">
        <w:t>disminuy</w:t>
      </w:r>
      <w:r w:rsidR="00556CBA">
        <w:t>ó</w:t>
      </w:r>
      <w:r>
        <w:t xml:space="preserve"> </w:t>
      </w:r>
      <w:r w:rsidR="00E52F7B">
        <w:t>(-)0.2</w:t>
      </w:r>
      <w:r w:rsidR="00A56E6C">
        <w:t>%</w:t>
      </w:r>
      <w:r>
        <w:t xml:space="preserve"> durante </w:t>
      </w:r>
      <w:r w:rsidR="00A83053">
        <w:t>m</w:t>
      </w:r>
      <w:r w:rsidR="005572C5">
        <w:t>a</w:t>
      </w:r>
      <w:r w:rsidR="00A83053">
        <w:t>yo</w:t>
      </w:r>
      <w:r>
        <w:t xml:space="preserve"> de 201</w:t>
      </w:r>
      <w:r w:rsidR="00B852F0">
        <w:t>9</w:t>
      </w:r>
      <w:r>
        <w:t xml:space="preserve"> con relación al nivel del mes inmediato anterior</w:t>
      </w:r>
      <w:r w:rsidR="005E6FAD">
        <w:t>.</w:t>
      </w:r>
      <w:r>
        <w:t xml:space="preserve">  </w:t>
      </w:r>
    </w:p>
    <w:p w:rsidR="002A1950" w:rsidRDefault="002A1950" w:rsidP="002A1950">
      <w:pPr>
        <w:widowControl/>
        <w:jc w:val="center"/>
        <w:rPr>
          <w:rFonts w:cs="Arial"/>
          <w:sz w:val="20"/>
          <w:szCs w:val="22"/>
        </w:rPr>
      </w:pPr>
    </w:p>
    <w:p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rsidR="00140D9C" w:rsidRDefault="00140D9C" w:rsidP="00B920A0">
      <w:pPr>
        <w:jc w:val="center"/>
        <w:outlineLvl w:val="3"/>
        <w:rPr>
          <w:rFonts w:cs="Arial"/>
          <w:b/>
          <w:smallCaps/>
          <w:sz w:val="22"/>
        </w:rPr>
      </w:pPr>
      <w:r>
        <w:rPr>
          <w:rFonts w:cs="Arial"/>
          <w:b/>
          <w:smallCaps/>
          <w:sz w:val="22"/>
        </w:rPr>
        <w:t xml:space="preserve">Indicador Mensual del Consumo Privado </w:t>
      </w:r>
    </w:p>
    <w:p w:rsidR="00140D9C" w:rsidRDefault="00140D9C" w:rsidP="00140D9C">
      <w:pPr>
        <w:jc w:val="center"/>
        <w:outlineLvl w:val="3"/>
        <w:rPr>
          <w:rFonts w:cs="Arial"/>
          <w:b/>
          <w:smallCaps/>
          <w:sz w:val="22"/>
        </w:rPr>
      </w:pPr>
      <w:r>
        <w:rPr>
          <w:rFonts w:cs="Arial"/>
          <w:b/>
          <w:smallCaps/>
          <w:sz w:val="22"/>
        </w:rPr>
        <w:t>en el Mercado Interior a</w:t>
      </w:r>
      <w:r w:rsidR="004C2706">
        <w:rPr>
          <w:rFonts w:cs="Arial"/>
          <w:b/>
          <w:smallCaps/>
          <w:sz w:val="22"/>
        </w:rPr>
        <w:t xml:space="preserve"> </w:t>
      </w:r>
      <w:r w:rsidR="005D668A">
        <w:rPr>
          <w:rFonts w:cs="Arial"/>
          <w:b/>
          <w:smallCaps/>
          <w:sz w:val="22"/>
        </w:rPr>
        <w:t>m</w:t>
      </w:r>
      <w:r w:rsidR="005572C5">
        <w:rPr>
          <w:rFonts w:cs="Arial"/>
          <w:b/>
          <w:smallCaps/>
          <w:sz w:val="22"/>
        </w:rPr>
        <w:t>a</w:t>
      </w:r>
      <w:r w:rsidR="005D668A">
        <w:rPr>
          <w:rFonts w:cs="Arial"/>
          <w:b/>
          <w:smallCaps/>
          <w:sz w:val="22"/>
        </w:rPr>
        <w:t>yo</w:t>
      </w:r>
      <w:r w:rsidRPr="004C2706">
        <w:rPr>
          <w:rFonts w:cs="Arial"/>
          <w:b/>
          <w:smallCaps/>
          <w:sz w:val="20"/>
        </w:rPr>
        <w:t xml:space="preserve"> </w:t>
      </w:r>
      <w:r>
        <w:rPr>
          <w:rFonts w:cs="Arial"/>
          <w:b/>
          <w:smallCaps/>
          <w:sz w:val="22"/>
        </w:rPr>
        <w:t>de 201</w:t>
      </w:r>
      <w:r w:rsidR="00B852F0">
        <w:rPr>
          <w:rFonts w:cs="Arial"/>
          <w:b/>
          <w:smallCaps/>
          <w:sz w:val="22"/>
        </w:rPr>
        <w:t>9</w:t>
      </w:r>
    </w:p>
    <w:p w:rsidR="00140D9C" w:rsidRDefault="00140D9C" w:rsidP="00140D9C">
      <w:pPr>
        <w:jc w:val="center"/>
        <w:outlineLvl w:val="3"/>
        <w:rPr>
          <w:rFonts w:cs="Arial"/>
          <w:b/>
          <w:smallCaps/>
          <w:sz w:val="22"/>
        </w:rPr>
      </w:pPr>
      <w:r>
        <w:rPr>
          <w:rFonts w:cs="Arial"/>
          <w:b/>
          <w:smallCaps/>
          <w:sz w:val="22"/>
        </w:rPr>
        <w:t>Series desestacionalizada y de tendencia-ciclo</w:t>
      </w:r>
    </w:p>
    <w:p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rsidR="00140D9C" w:rsidRDefault="00F90750" w:rsidP="00140D9C">
      <w:pPr>
        <w:jc w:val="center"/>
        <w:outlineLvl w:val="3"/>
        <w:rPr>
          <w:rFonts w:cs="Arial"/>
          <w:sz w:val="18"/>
          <w:szCs w:val="18"/>
        </w:rPr>
      </w:pPr>
      <w:r>
        <w:rPr>
          <w:noProof/>
          <w:lang w:eastAsia="es-MX"/>
        </w:rPr>
        <w:drawing>
          <wp:inline distT="0" distB="0" distL="0" distR="0" wp14:anchorId="5E244C57" wp14:editId="0D54CBF6">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0D9C" w:rsidRDefault="00140D9C" w:rsidP="00381696">
      <w:pPr>
        <w:ind w:left="708" w:firstLine="708"/>
      </w:pPr>
      <w:r>
        <w:rPr>
          <w:rFonts w:cs="Arial"/>
          <w:sz w:val="16"/>
        </w:rPr>
        <w:t>Fuente: INEGI.</w:t>
      </w:r>
    </w:p>
    <w:p w:rsidR="00CB0DA0" w:rsidRDefault="00CB0DA0" w:rsidP="002C3239">
      <w:pPr>
        <w:spacing w:before="240"/>
        <w:outlineLvl w:val="3"/>
      </w:pPr>
    </w:p>
    <w:p w:rsidR="002C3239" w:rsidRDefault="002C3239" w:rsidP="00CB0DA0">
      <w:pPr>
        <w:outlineLvl w:val="3"/>
      </w:pPr>
      <w:r>
        <w:t xml:space="preserve">Por componentes, el consumo </w:t>
      </w:r>
      <w:r w:rsidR="00A35F7A">
        <w:t xml:space="preserve">en </w:t>
      </w:r>
      <w:r w:rsidR="008F43A6">
        <w:t xml:space="preserve">Bienes de origen importado </w:t>
      </w:r>
      <w:r w:rsidR="00FC07FE">
        <w:t>c</w:t>
      </w:r>
      <w:r w:rsidR="00E52F7B">
        <w:t>ay</w:t>
      </w:r>
      <w:r w:rsidR="00FC07FE">
        <w:t>ó</w:t>
      </w:r>
      <w:r w:rsidR="00B172DF">
        <w:t xml:space="preserve"> </w:t>
      </w:r>
      <w:r w:rsidR="00E52F7B">
        <w:t>(-)1.8</w:t>
      </w:r>
      <w:r w:rsidR="000E6B69">
        <w:t xml:space="preserve">% </w:t>
      </w:r>
      <w:r w:rsidR="00A35F7A">
        <w:t xml:space="preserve">y en </w:t>
      </w:r>
      <w:r w:rsidR="008F43A6">
        <w:t xml:space="preserve">Bienes y Servicios de origen nacional </w:t>
      </w:r>
      <w:r w:rsidR="00913CE7">
        <w:t>creci</w:t>
      </w:r>
      <w:r w:rsidR="00B172DF">
        <w:t>ó</w:t>
      </w:r>
      <w:r w:rsidR="00CB0DA0">
        <w:t xml:space="preserve"> </w:t>
      </w:r>
      <w:r w:rsidR="00E52F7B">
        <w:t>0.1</w:t>
      </w:r>
      <w:r w:rsidR="000E6B69">
        <w:t xml:space="preserve">% </w:t>
      </w:r>
      <w:r w:rsidR="00462EE0">
        <w:t xml:space="preserve">en </w:t>
      </w:r>
      <w:r w:rsidR="006A62D8">
        <w:t>m</w:t>
      </w:r>
      <w:r w:rsidR="005572C5">
        <w:t>a</w:t>
      </w:r>
      <w:r w:rsidR="006A62D8">
        <w:t>yo</w:t>
      </w:r>
      <w:r>
        <w:t xml:space="preserve"> </w:t>
      </w:r>
      <w:r w:rsidR="00E72BF2">
        <w:t>de</w:t>
      </w:r>
      <w:r w:rsidR="00F4780F">
        <w:t>l</w:t>
      </w:r>
      <w:r>
        <w:t xml:space="preserve"> </w:t>
      </w:r>
      <w:r w:rsidR="00393B44">
        <w:t xml:space="preserve">presente </w:t>
      </w:r>
      <w:r>
        <w:t xml:space="preserve">año </w:t>
      </w:r>
      <w:r w:rsidR="00137231">
        <w:t>frente</w:t>
      </w:r>
      <w:r>
        <w:t xml:space="preserve"> al mes </w:t>
      </w:r>
      <w:r w:rsidR="00B80E2D">
        <w:t>previo</w:t>
      </w:r>
      <w:r>
        <w:t>, según datos ajustados por estacionalidad.</w:t>
      </w:r>
    </w:p>
    <w:p w:rsidR="004C2706" w:rsidRDefault="004C2706" w:rsidP="004C2706">
      <w:pPr>
        <w:pStyle w:val="p0"/>
        <w:spacing w:before="0"/>
        <w:jc w:val="center"/>
        <w:rPr>
          <w:rFonts w:cs="Arial"/>
          <w:color w:val="auto"/>
          <w:sz w:val="20"/>
          <w:szCs w:val="22"/>
        </w:rPr>
      </w:pPr>
    </w:p>
    <w:p w:rsidR="0057663D" w:rsidRDefault="0057663D">
      <w:pPr>
        <w:widowControl/>
        <w:jc w:val="left"/>
        <w:rPr>
          <w:rFonts w:cs="Arial"/>
          <w:sz w:val="20"/>
          <w:szCs w:val="22"/>
        </w:rPr>
      </w:pPr>
      <w:r>
        <w:rPr>
          <w:rFonts w:cs="Arial"/>
          <w:sz w:val="20"/>
          <w:szCs w:val="22"/>
        </w:rPr>
        <w:br w:type="page"/>
      </w:r>
    </w:p>
    <w:p w:rsidR="008B3946" w:rsidRDefault="004C2706" w:rsidP="008B3946">
      <w:pPr>
        <w:pStyle w:val="p0"/>
        <w:spacing w:before="0"/>
        <w:jc w:val="center"/>
        <w:rPr>
          <w:rFonts w:cs="Arial"/>
          <w:color w:val="auto"/>
          <w:sz w:val="20"/>
          <w:szCs w:val="22"/>
        </w:rPr>
      </w:pPr>
      <w:r w:rsidRPr="00B920A0">
        <w:rPr>
          <w:rFonts w:cs="Arial"/>
          <w:color w:val="auto"/>
          <w:sz w:val="20"/>
          <w:szCs w:val="22"/>
        </w:rPr>
        <w:lastRenderedPageBreak/>
        <w:t xml:space="preserve">Gráfica </w:t>
      </w:r>
      <w:r>
        <w:rPr>
          <w:rFonts w:cs="Arial"/>
          <w:color w:val="auto"/>
          <w:sz w:val="20"/>
          <w:szCs w:val="22"/>
        </w:rPr>
        <w:t>2</w:t>
      </w:r>
    </w:p>
    <w:p w:rsidR="00BF5BAD" w:rsidRPr="00376D7C" w:rsidRDefault="00BF5BAD" w:rsidP="00BF5BAD">
      <w:pPr>
        <w:pStyle w:val="p0"/>
        <w:spacing w:before="0"/>
        <w:jc w:val="center"/>
        <w:rPr>
          <w:rFonts w:cs="Arial"/>
          <w:b/>
          <w:smallCaps/>
          <w:color w:val="000000"/>
          <w:sz w:val="22"/>
        </w:rPr>
      </w:pPr>
      <w:r w:rsidRPr="00376D7C">
        <w:rPr>
          <w:rFonts w:cs="Arial"/>
          <w:b/>
          <w:smallCaps/>
          <w:color w:val="000000"/>
          <w:sz w:val="22"/>
        </w:rPr>
        <w:t xml:space="preserve">Consumo en bienes de origen importado a </w:t>
      </w:r>
      <w:r w:rsidR="006A62D8">
        <w:rPr>
          <w:rFonts w:cs="Arial"/>
          <w:b/>
          <w:smallCaps/>
          <w:color w:val="000000"/>
          <w:sz w:val="22"/>
        </w:rPr>
        <w:t>m</w:t>
      </w:r>
      <w:r w:rsidR="005572C5">
        <w:rPr>
          <w:rFonts w:cs="Arial"/>
          <w:b/>
          <w:smallCaps/>
          <w:color w:val="000000"/>
          <w:sz w:val="22"/>
        </w:rPr>
        <w:t>a</w:t>
      </w:r>
      <w:r w:rsidR="006A62D8">
        <w:rPr>
          <w:rFonts w:cs="Arial"/>
          <w:b/>
          <w:smallCaps/>
          <w:color w:val="000000"/>
          <w:sz w:val="22"/>
        </w:rPr>
        <w:t>yo</w:t>
      </w:r>
      <w:r w:rsidRPr="00376D7C">
        <w:rPr>
          <w:rFonts w:cs="Arial"/>
          <w:b/>
          <w:smallCaps/>
          <w:color w:val="000000"/>
          <w:sz w:val="22"/>
        </w:rPr>
        <w:t xml:space="preserve"> de 201</w:t>
      </w:r>
      <w:r w:rsidR="00B852F0">
        <w:rPr>
          <w:rFonts w:cs="Arial"/>
          <w:b/>
          <w:smallCaps/>
          <w:color w:val="000000"/>
          <w:sz w:val="22"/>
        </w:rPr>
        <w:t>9</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 xml:space="preserve">(Índice base 2013=100) </w:t>
      </w:r>
    </w:p>
    <w:p w:rsidR="001A032F" w:rsidRDefault="008F1F01" w:rsidP="001A032F">
      <w:pPr>
        <w:jc w:val="center"/>
        <w:rPr>
          <w:rFonts w:cs="Arial"/>
          <w:sz w:val="18"/>
          <w:szCs w:val="18"/>
        </w:rPr>
      </w:pPr>
      <w:r>
        <w:rPr>
          <w:noProof/>
          <w:lang w:eastAsia="es-MX"/>
        </w:rPr>
        <w:drawing>
          <wp:inline distT="0" distB="0" distL="0" distR="0" wp14:anchorId="649B151A" wp14:editId="17243BA8">
            <wp:extent cx="4320000" cy="2520000"/>
            <wp:effectExtent l="0" t="0" r="23495" b="1397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rsidR="001A032F" w:rsidRDefault="001A032F" w:rsidP="004C2706">
      <w:pPr>
        <w:pStyle w:val="p0"/>
        <w:spacing w:before="0"/>
        <w:jc w:val="center"/>
        <w:rPr>
          <w:rFonts w:cs="Arial"/>
          <w:color w:val="auto"/>
          <w:sz w:val="20"/>
          <w:szCs w:val="22"/>
        </w:rPr>
      </w:pPr>
    </w:p>
    <w:p w:rsidR="00C07487" w:rsidRDefault="00C07487" w:rsidP="004C2706">
      <w:pPr>
        <w:pStyle w:val="p0"/>
        <w:spacing w:before="0"/>
        <w:jc w:val="center"/>
        <w:rPr>
          <w:rFonts w:cs="Arial"/>
          <w:color w:val="auto"/>
          <w:sz w:val="20"/>
          <w:szCs w:val="22"/>
        </w:rPr>
      </w:pPr>
    </w:p>
    <w:p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rsidR="00BF5BAD" w:rsidRDefault="00BF5BAD" w:rsidP="00BF5BAD">
      <w:pPr>
        <w:pStyle w:val="p0"/>
        <w:spacing w:before="0"/>
        <w:jc w:val="center"/>
        <w:rPr>
          <w:rFonts w:cs="Arial"/>
          <w:b/>
          <w:smallCaps/>
          <w:color w:val="000000"/>
          <w:sz w:val="22"/>
        </w:rPr>
      </w:pPr>
      <w:r>
        <w:rPr>
          <w:rFonts w:cs="Arial"/>
          <w:b/>
          <w:smallCaps/>
          <w:color w:val="000000"/>
          <w:sz w:val="22"/>
        </w:rPr>
        <w:t xml:space="preserve">Consumo en bienes y servicios de origen nacional a </w:t>
      </w:r>
      <w:r w:rsidR="006A62D8">
        <w:rPr>
          <w:rFonts w:cs="Arial"/>
          <w:b/>
          <w:smallCaps/>
          <w:color w:val="000000"/>
          <w:sz w:val="22"/>
        </w:rPr>
        <w:t>m</w:t>
      </w:r>
      <w:r w:rsidR="005572C5">
        <w:rPr>
          <w:rFonts w:cs="Arial"/>
          <w:b/>
          <w:smallCaps/>
          <w:color w:val="000000"/>
          <w:sz w:val="22"/>
        </w:rPr>
        <w:t>a</w:t>
      </w:r>
      <w:r w:rsidR="006A62D8">
        <w:rPr>
          <w:rFonts w:cs="Arial"/>
          <w:b/>
          <w:smallCaps/>
          <w:color w:val="000000"/>
          <w:sz w:val="22"/>
        </w:rPr>
        <w:t>yo</w:t>
      </w:r>
      <w:r>
        <w:rPr>
          <w:rFonts w:cs="Arial"/>
          <w:b/>
          <w:smallCaps/>
          <w:color w:val="000000"/>
          <w:sz w:val="22"/>
        </w:rPr>
        <w:t xml:space="preserve"> de 201</w:t>
      </w:r>
      <w:r w:rsidR="00B852F0">
        <w:rPr>
          <w:rFonts w:cs="Arial"/>
          <w:b/>
          <w:smallCaps/>
          <w:color w:val="000000"/>
          <w:sz w:val="22"/>
        </w:rPr>
        <w:t>9</w:t>
      </w:r>
      <w:r>
        <w:rPr>
          <w:rFonts w:cs="Arial"/>
          <w:b/>
          <w:smallCaps/>
          <w:color w:val="000000"/>
          <w:sz w:val="22"/>
        </w:rPr>
        <w:t xml:space="preserve"> </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(Índice base 2013=100)</w:t>
      </w:r>
    </w:p>
    <w:p w:rsidR="001A032F" w:rsidRDefault="00F90750" w:rsidP="001A032F">
      <w:pPr>
        <w:jc w:val="center"/>
        <w:rPr>
          <w:rFonts w:cs="Arial"/>
          <w:sz w:val="18"/>
          <w:szCs w:val="18"/>
        </w:rPr>
      </w:pPr>
      <w:r>
        <w:rPr>
          <w:noProof/>
          <w:lang w:eastAsia="es-MX"/>
        </w:rPr>
        <w:drawing>
          <wp:inline distT="0" distB="0" distL="0" distR="0" wp14:anchorId="2A02BE2C" wp14:editId="5DCC8B72">
            <wp:extent cx="4320000" cy="2527200"/>
            <wp:effectExtent l="0" t="0" r="23495" b="2603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rsidR="00D0777B" w:rsidRDefault="00D0777B">
      <w:pPr>
        <w:widowControl/>
        <w:jc w:val="left"/>
        <w:rPr>
          <w:rFonts w:cs="Arial"/>
          <w:sz w:val="18"/>
          <w:szCs w:val="18"/>
        </w:rPr>
      </w:pPr>
      <w:r>
        <w:rPr>
          <w:rFonts w:cs="Arial"/>
          <w:sz w:val="18"/>
          <w:szCs w:val="18"/>
        </w:rPr>
        <w:br w:type="page"/>
      </w:r>
    </w:p>
    <w:p w:rsidR="00D0777B" w:rsidRPr="0044281B" w:rsidRDefault="00D0777B" w:rsidP="00D0777B">
      <w:pPr>
        <w:rPr>
          <w:rFonts w:cs="Arial"/>
          <w:sz w:val="18"/>
          <w:szCs w:val="18"/>
        </w:rPr>
      </w:pPr>
    </w:p>
    <w:p w:rsidR="00140D9C" w:rsidRDefault="00140D9C" w:rsidP="00140D9C">
      <w:pPr>
        <w:pStyle w:val="Ttulo4"/>
        <w:keepNext w:val="0"/>
        <w:spacing w:before="360"/>
        <w:rPr>
          <w:u w:val="none"/>
        </w:rPr>
      </w:pPr>
      <w:r>
        <w:rPr>
          <w:u w:val="none"/>
        </w:rPr>
        <w:t xml:space="preserve">Cifras originales </w:t>
      </w:r>
    </w:p>
    <w:p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6A62D8">
        <w:rPr>
          <w:rFonts w:cs="Arial"/>
          <w:b/>
          <w:smallCaps/>
          <w:color w:val="auto"/>
          <w:sz w:val="22"/>
          <w:szCs w:val="22"/>
        </w:rPr>
        <w:t>mayo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201</w:t>
      </w:r>
      <w:r w:rsidR="00B852F0">
        <w:rPr>
          <w:rFonts w:cs="Arial"/>
          <w:b/>
          <w:smallCaps/>
          <w:color w:val="auto"/>
          <w:sz w:val="22"/>
          <w:szCs w:val="22"/>
        </w:rPr>
        <w:t>9</w:t>
      </w:r>
    </w:p>
    <w:p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CF67D4" w:rsidTr="00BD31FC">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rsidR="00CF67D4" w:rsidRPr="005756E3" w:rsidRDefault="00CF67D4" w:rsidP="00813D38">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rsidR="00CF67D4" w:rsidRPr="005756E3" w:rsidRDefault="006A62D8" w:rsidP="00F05497">
            <w:pPr>
              <w:pStyle w:val="p0"/>
              <w:keepNext/>
              <w:spacing w:before="120" w:after="120"/>
              <w:jc w:val="center"/>
              <w:rPr>
                <w:rFonts w:cs="Arial"/>
                <w:color w:val="auto"/>
                <w:sz w:val="18"/>
                <w:szCs w:val="18"/>
                <w:lang w:val="es-ES"/>
              </w:rPr>
            </w:pPr>
            <w:r>
              <w:rPr>
                <w:rFonts w:cs="Arial"/>
                <w:color w:val="auto"/>
                <w:sz w:val="18"/>
                <w:szCs w:val="18"/>
                <w:lang w:val="es-ES"/>
              </w:rPr>
              <w:t>Mayo</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rsidR="00CF67D4" w:rsidRDefault="00CF67D4" w:rsidP="006A62D8">
            <w:pPr>
              <w:pStyle w:val="p0"/>
              <w:keepNext/>
              <w:spacing w:before="120" w:after="120"/>
              <w:jc w:val="center"/>
              <w:rPr>
                <w:rFonts w:cs="Arial"/>
                <w:color w:val="auto"/>
                <w:sz w:val="18"/>
                <w:szCs w:val="18"/>
                <w:lang w:val="es-ES"/>
              </w:rPr>
            </w:pPr>
            <w:r>
              <w:rPr>
                <w:rFonts w:cs="Arial"/>
                <w:color w:val="auto"/>
                <w:sz w:val="18"/>
                <w:szCs w:val="18"/>
                <w:lang w:val="es-ES"/>
              </w:rPr>
              <w:t>Ene-</w:t>
            </w:r>
            <w:r w:rsidR="006A62D8">
              <w:rPr>
                <w:rFonts w:cs="Arial"/>
                <w:color w:val="auto"/>
                <w:sz w:val="18"/>
                <w:szCs w:val="18"/>
                <w:lang w:val="es-ES"/>
              </w:rPr>
              <w:t>May</w:t>
            </w:r>
          </w:p>
        </w:tc>
      </w:tr>
      <w:tr w:rsidR="00CF67D4" w:rsidTr="00BD31FC">
        <w:trPr>
          <w:cantSplit/>
          <w:trHeight w:val="20"/>
          <w:jc w:val="center"/>
        </w:trPr>
        <w:tc>
          <w:tcPr>
            <w:tcW w:w="3888" w:type="dxa"/>
            <w:tcBorders>
              <w:top w:val="single" w:sz="4" w:space="0" w:color="auto"/>
              <w:left w:val="double" w:sz="4" w:space="0" w:color="auto"/>
              <w:bottom w:val="nil"/>
              <w:right w:val="single" w:sz="6" w:space="0" w:color="auto"/>
            </w:tcBorders>
            <w:hideMark/>
          </w:tcPr>
          <w:p w:rsidR="00CF67D4" w:rsidRDefault="00CF67D4" w:rsidP="00CF67D4">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rsidR="00CF67D4" w:rsidRPr="002F1DB7" w:rsidRDefault="004C2113" w:rsidP="00AC29D8">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0.</w:t>
            </w:r>
            <w:r w:rsidR="00AC29D8">
              <w:rPr>
                <w:rFonts w:cs="Arial"/>
                <w:b/>
                <w:sz w:val="18"/>
                <w:u w:val="single"/>
                <w:lang w:val="es-ES" w:eastAsia="en-US"/>
              </w:rPr>
              <w:t>2</w:t>
            </w:r>
          </w:p>
        </w:tc>
        <w:tc>
          <w:tcPr>
            <w:tcW w:w="1499" w:type="dxa"/>
            <w:tcBorders>
              <w:top w:val="single" w:sz="4" w:space="0" w:color="auto"/>
              <w:left w:val="single" w:sz="4" w:space="0" w:color="auto"/>
              <w:bottom w:val="nil"/>
              <w:right w:val="double" w:sz="4" w:space="0" w:color="auto"/>
            </w:tcBorders>
          </w:tcPr>
          <w:p w:rsidR="00CF67D4" w:rsidRPr="002F1DB7" w:rsidRDefault="005C1644" w:rsidP="0067756D">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1.</w:t>
            </w:r>
            <w:r w:rsidR="0067756D">
              <w:rPr>
                <w:rFonts w:cs="Arial"/>
                <w:b/>
                <w:sz w:val="18"/>
                <w:u w:val="single"/>
                <w:lang w:val="es-ES" w:eastAsia="en-US"/>
              </w:rPr>
              <w:t>0</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rsidR="00CF67D4" w:rsidRPr="002F1DB7" w:rsidRDefault="00AC29D8" w:rsidP="0067756D">
            <w:pPr>
              <w:tabs>
                <w:tab w:val="left" w:pos="307"/>
              </w:tabs>
              <w:ind w:right="510"/>
              <w:jc w:val="right"/>
              <w:rPr>
                <w:rFonts w:cs="Arial"/>
                <w:b/>
                <w:sz w:val="18"/>
                <w:lang w:val="es-ES" w:eastAsia="en-US"/>
              </w:rPr>
            </w:pPr>
            <w:r>
              <w:rPr>
                <w:rFonts w:cs="Arial"/>
                <w:b/>
                <w:sz w:val="18"/>
                <w:lang w:val="es-ES" w:eastAsia="en-US"/>
              </w:rPr>
              <w:t>0</w:t>
            </w:r>
            <w:r w:rsidR="00CF67D4">
              <w:rPr>
                <w:rFonts w:cs="Arial"/>
                <w:b/>
                <w:sz w:val="18"/>
                <w:lang w:val="es-ES" w:eastAsia="en-US"/>
              </w:rPr>
              <w:t>.</w:t>
            </w:r>
            <w:r w:rsidR="0067756D">
              <w:rPr>
                <w:rFonts w:cs="Arial"/>
                <w:b/>
                <w:sz w:val="18"/>
                <w:lang w:val="es-ES" w:eastAsia="en-US"/>
              </w:rPr>
              <w:t>3</w:t>
            </w:r>
          </w:p>
        </w:tc>
        <w:tc>
          <w:tcPr>
            <w:tcW w:w="1499" w:type="dxa"/>
            <w:tcBorders>
              <w:top w:val="nil"/>
              <w:left w:val="single" w:sz="4" w:space="0" w:color="auto"/>
              <w:bottom w:val="nil"/>
              <w:right w:val="double" w:sz="4" w:space="0" w:color="auto"/>
            </w:tcBorders>
          </w:tcPr>
          <w:p w:rsidR="00CF67D4" w:rsidRPr="002F1DB7" w:rsidRDefault="00CF67D4" w:rsidP="0067756D">
            <w:pPr>
              <w:tabs>
                <w:tab w:val="left" w:pos="307"/>
              </w:tabs>
              <w:ind w:right="510"/>
              <w:jc w:val="right"/>
              <w:rPr>
                <w:rFonts w:cs="Arial"/>
                <w:b/>
                <w:sz w:val="18"/>
                <w:lang w:val="es-ES" w:eastAsia="en-US"/>
              </w:rPr>
            </w:pPr>
            <w:r>
              <w:rPr>
                <w:rFonts w:cs="Arial"/>
                <w:b/>
                <w:sz w:val="18"/>
                <w:lang w:val="es-ES" w:eastAsia="en-US"/>
              </w:rPr>
              <w:t>1.</w:t>
            </w:r>
            <w:r w:rsidR="0067756D">
              <w:rPr>
                <w:rFonts w:cs="Arial"/>
                <w:b/>
                <w:sz w:val="18"/>
                <w:lang w:val="es-ES" w:eastAsia="en-US"/>
              </w:rPr>
              <w:t>0</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rsidR="00CF67D4" w:rsidRPr="002F1DB7" w:rsidRDefault="00AC29D8" w:rsidP="00261CC9">
            <w:pPr>
              <w:tabs>
                <w:tab w:val="left" w:pos="307"/>
              </w:tabs>
              <w:ind w:right="510"/>
              <w:jc w:val="right"/>
              <w:rPr>
                <w:rFonts w:cs="Arial"/>
                <w:sz w:val="18"/>
                <w:lang w:val="es-ES" w:eastAsia="en-US"/>
              </w:rPr>
            </w:pPr>
            <w:r>
              <w:rPr>
                <w:rFonts w:cs="Arial"/>
                <w:sz w:val="18"/>
                <w:lang w:val="es-ES" w:eastAsia="en-US"/>
              </w:rPr>
              <w:t>(-)</w:t>
            </w:r>
            <w:r w:rsidR="00CF67D4">
              <w:rPr>
                <w:rFonts w:cs="Arial"/>
                <w:sz w:val="18"/>
                <w:lang w:val="es-ES" w:eastAsia="en-US"/>
              </w:rPr>
              <w:t xml:space="preserve"> </w:t>
            </w:r>
            <w:r w:rsidR="00CF67D4" w:rsidRPr="002F1DB7">
              <w:rPr>
                <w:rFonts w:cs="Arial"/>
                <w:sz w:val="18"/>
                <w:lang w:val="es-ES" w:eastAsia="en-US"/>
              </w:rPr>
              <w:t xml:space="preserve">  </w:t>
            </w:r>
            <w:r w:rsidR="004C2113">
              <w:rPr>
                <w:rFonts w:cs="Arial"/>
                <w:sz w:val="18"/>
                <w:lang w:val="es-ES" w:eastAsia="en-US"/>
              </w:rPr>
              <w:t>0.</w:t>
            </w:r>
            <w:r w:rsidR="0067756D">
              <w:rPr>
                <w:rFonts w:cs="Arial"/>
                <w:sz w:val="18"/>
                <w:lang w:val="es-ES" w:eastAsia="en-US"/>
              </w:rPr>
              <w:t>2</w:t>
            </w:r>
          </w:p>
          <w:p w:rsidR="00CF67D4" w:rsidRPr="002F1DB7" w:rsidRDefault="004C2113" w:rsidP="00261CC9">
            <w:pPr>
              <w:tabs>
                <w:tab w:val="left" w:pos="307"/>
              </w:tabs>
              <w:ind w:right="510"/>
              <w:jc w:val="right"/>
              <w:rPr>
                <w:rFonts w:cs="Arial"/>
                <w:sz w:val="18"/>
                <w:lang w:val="es-ES" w:eastAsia="en-US"/>
              </w:rPr>
            </w:pPr>
            <w:r>
              <w:rPr>
                <w:rFonts w:cs="Arial"/>
                <w:sz w:val="18"/>
                <w:lang w:val="es-ES" w:eastAsia="en-US"/>
              </w:rPr>
              <w:t>(-) 1</w:t>
            </w:r>
            <w:r w:rsidR="0067756D">
              <w:rPr>
                <w:rFonts w:cs="Arial"/>
                <w:sz w:val="18"/>
                <w:lang w:val="es-ES" w:eastAsia="en-US"/>
              </w:rPr>
              <w:t>3</w:t>
            </w:r>
            <w:r>
              <w:rPr>
                <w:rFonts w:cs="Arial"/>
                <w:sz w:val="18"/>
                <w:lang w:val="es-ES" w:eastAsia="en-US"/>
              </w:rPr>
              <w:t>.</w:t>
            </w:r>
            <w:r w:rsidR="0067756D">
              <w:rPr>
                <w:rFonts w:cs="Arial"/>
                <w:sz w:val="18"/>
                <w:lang w:val="es-ES" w:eastAsia="en-US"/>
              </w:rPr>
              <w:t>3</w:t>
            </w:r>
          </w:p>
          <w:p w:rsidR="00CF67D4" w:rsidRPr="002F1DB7" w:rsidRDefault="0067756D" w:rsidP="00261CC9">
            <w:pPr>
              <w:tabs>
                <w:tab w:val="left" w:pos="307"/>
              </w:tabs>
              <w:ind w:right="510"/>
              <w:jc w:val="right"/>
              <w:rPr>
                <w:rFonts w:cs="Arial"/>
                <w:sz w:val="18"/>
                <w:lang w:val="es-ES" w:eastAsia="en-US"/>
              </w:rPr>
            </w:pPr>
            <w:r>
              <w:rPr>
                <w:rFonts w:cs="Arial"/>
                <w:sz w:val="18"/>
                <w:lang w:val="es-ES" w:eastAsia="en-US"/>
              </w:rPr>
              <w:t>(-)</w:t>
            </w:r>
            <w:r w:rsidR="00CF67D4">
              <w:rPr>
                <w:rFonts w:cs="Arial"/>
                <w:sz w:val="18"/>
                <w:lang w:val="es-ES" w:eastAsia="en-US"/>
              </w:rPr>
              <w:t xml:space="preserve">   </w:t>
            </w:r>
            <w:r>
              <w:rPr>
                <w:rFonts w:cs="Arial"/>
                <w:sz w:val="18"/>
                <w:lang w:val="es-ES" w:eastAsia="en-US"/>
              </w:rPr>
              <w:t>0</w:t>
            </w:r>
            <w:r w:rsidR="004C2113">
              <w:rPr>
                <w:rFonts w:cs="Arial"/>
                <w:sz w:val="18"/>
                <w:lang w:val="es-ES" w:eastAsia="en-US"/>
              </w:rPr>
              <w:t>.</w:t>
            </w:r>
            <w:r>
              <w:rPr>
                <w:rFonts w:cs="Arial"/>
                <w:sz w:val="18"/>
                <w:lang w:val="es-ES" w:eastAsia="en-US"/>
              </w:rPr>
              <w:t>3</w:t>
            </w:r>
          </w:p>
          <w:p w:rsidR="00CF67D4" w:rsidRPr="002F1DB7" w:rsidRDefault="00CF67D4" w:rsidP="0067756D">
            <w:pPr>
              <w:tabs>
                <w:tab w:val="left" w:pos="307"/>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w:t>
            </w:r>
            <w:r>
              <w:rPr>
                <w:rFonts w:cs="Arial"/>
                <w:sz w:val="18"/>
                <w:lang w:val="es-ES" w:eastAsia="en-US"/>
              </w:rPr>
              <w:t>.</w:t>
            </w:r>
            <w:r w:rsidR="0067756D">
              <w:rPr>
                <w:rFonts w:cs="Arial"/>
                <w:sz w:val="18"/>
                <w:lang w:val="es-ES" w:eastAsia="en-US"/>
              </w:rPr>
              <w:t>8</w:t>
            </w:r>
          </w:p>
        </w:tc>
        <w:tc>
          <w:tcPr>
            <w:tcW w:w="1499" w:type="dxa"/>
            <w:tcBorders>
              <w:top w:val="nil"/>
              <w:left w:val="single" w:sz="4" w:space="0" w:color="auto"/>
              <w:bottom w:val="nil"/>
              <w:right w:val="double" w:sz="4" w:space="0" w:color="auto"/>
            </w:tcBorders>
          </w:tcPr>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Pr="002F1DB7">
              <w:rPr>
                <w:rFonts w:cs="Arial"/>
                <w:sz w:val="18"/>
                <w:lang w:val="es-ES" w:eastAsia="en-US"/>
              </w:rPr>
              <w:t xml:space="preserve">  </w:t>
            </w:r>
            <w:r w:rsidR="00AC29D8">
              <w:rPr>
                <w:rFonts w:cs="Arial"/>
                <w:sz w:val="18"/>
                <w:lang w:val="es-ES" w:eastAsia="en-US"/>
              </w:rPr>
              <w:t>0</w:t>
            </w:r>
            <w:r w:rsidRPr="002F1DB7">
              <w:rPr>
                <w:rFonts w:cs="Arial"/>
                <w:sz w:val="18"/>
                <w:lang w:val="es-ES" w:eastAsia="en-US"/>
              </w:rPr>
              <w:t>.</w:t>
            </w:r>
            <w:r w:rsidR="0067756D">
              <w:rPr>
                <w:rFonts w:cs="Arial"/>
                <w:sz w:val="18"/>
                <w:lang w:val="es-ES" w:eastAsia="en-US"/>
              </w:rPr>
              <w:t>7</w:t>
            </w:r>
          </w:p>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10</w:t>
            </w:r>
            <w:r>
              <w:rPr>
                <w:rFonts w:cs="Arial"/>
                <w:sz w:val="18"/>
                <w:lang w:val="es-ES" w:eastAsia="en-US"/>
              </w:rPr>
              <w:t>.</w:t>
            </w:r>
            <w:r w:rsidR="0067756D">
              <w:rPr>
                <w:rFonts w:cs="Arial"/>
                <w:sz w:val="18"/>
                <w:lang w:val="es-ES" w:eastAsia="en-US"/>
              </w:rPr>
              <w:t>7</w:t>
            </w:r>
          </w:p>
          <w:p w:rsidR="00CF67D4" w:rsidRPr="002F1DB7" w:rsidRDefault="00CF67D4" w:rsidP="001B074F">
            <w:pPr>
              <w:tabs>
                <w:tab w:val="left" w:pos="307"/>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w:t>
            </w:r>
            <w:r>
              <w:rPr>
                <w:rFonts w:cs="Arial"/>
                <w:sz w:val="18"/>
                <w:lang w:val="es-ES" w:eastAsia="en-US"/>
              </w:rPr>
              <w:t>.</w:t>
            </w:r>
            <w:r w:rsidR="0067756D">
              <w:rPr>
                <w:rFonts w:cs="Arial"/>
                <w:sz w:val="18"/>
                <w:lang w:val="es-ES" w:eastAsia="en-US"/>
              </w:rPr>
              <w:t>9</w:t>
            </w:r>
          </w:p>
          <w:p w:rsidR="00CF67D4" w:rsidRPr="002F1DB7" w:rsidRDefault="00CF67D4" w:rsidP="0067756D">
            <w:pPr>
              <w:tabs>
                <w:tab w:val="left" w:pos="307"/>
              </w:tabs>
              <w:ind w:right="510"/>
              <w:jc w:val="right"/>
              <w:rPr>
                <w:rFonts w:cs="Arial"/>
                <w:sz w:val="18"/>
                <w:lang w:val="es-ES" w:eastAsia="en-US"/>
              </w:rPr>
            </w:pPr>
            <w:r>
              <w:rPr>
                <w:rFonts w:cs="Arial"/>
                <w:sz w:val="18"/>
                <w:lang w:val="es-ES" w:eastAsia="en-US"/>
              </w:rPr>
              <w:t xml:space="preserve">    2.</w:t>
            </w:r>
            <w:r w:rsidR="0067756D">
              <w:rPr>
                <w:rFonts w:cs="Arial"/>
                <w:sz w:val="18"/>
                <w:lang w:val="es-ES" w:eastAsia="en-US"/>
              </w:rPr>
              <w:t>0</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rsidR="00CF67D4" w:rsidRPr="002F1DB7" w:rsidRDefault="00AC29D8" w:rsidP="0067756D">
            <w:pPr>
              <w:tabs>
                <w:tab w:val="left" w:pos="307"/>
              </w:tabs>
              <w:ind w:right="510"/>
              <w:jc w:val="right"/>
              <w:rPr>
                <w:rFonts w:cs="Arial"/>
                <w:sz w:val="18"/>
                <w:lang w:val="es-ES" w:eastAsia="en-US"/>
              </w:rPr>
            </w:pPr>
            <w:r>
              <w:rPr>
                <w:rFonts w:cs="Arial"/>
                <w:sz w:val="18"/>
                <w:lang w:val="es-ES" w:eastAsia="en-US"/>
              </w:rPr>
              <w:t>0</w:t>
            </w:r>
            <w:r w:rsidR="00CF67D4" w:rsidRPr="002F1DB7">
              <w:rPr>
                <w:rFonts w:cs="Arial"/>
                <w:sz w:val="18"/>
                <w:lang w:val="es-ES" w:eastAsia="en-US"/>
              </w:rPr>
              <w:t>.</w:t>
            </w:r>
            <w:r w:rsidR="0067756D">
              <w:rPr>
                <w:rFonts w:cs="Arial"/>
                <w:sz w:val="18"/>
                <w:lang w:val="es-ES" w:eastAsia="en-US"/>
              </w:rPr>
              <w:t>8</w:t>
            </w:r>
          </w:p>
        </w:tc>
        <w:tc>
          <w:tcPr>
            <w:tcW w:w="1499" w:type="dxa"/>
            <w:tcBorders>
              <w:top w:val="nil"/>
              <w:left w:val="single" w:sz="4" w:space="0" w:color="auto"/>
              <w:bottom w:val="nil"/>
              <w:right w:val="double" w:sz="4" w:space="0" w:color="auto"/>
            </w:tcBorders>
          </w:tcPr>
          <w:p w:rsidR="00CF67D4" w:rsidRPr="002F1DB7" w:rsidRDefault="005C1644" w:rsidP="0067756D">
            <w:pPr>
              <w:tabs>
                <w:tab w:val="left" w:pos="307"/>
              </w:tabs>
              <w:ind w:right="510"/>
              <w:jc w:val="right"/>
              <w:rPr>
                <w:rFonts w:cs="Arial"/>
                <w:sz w:val="18"/>
                <w:lang w:val="es-ES" w:eastAsia="en-US"/>
              </w:rPr>
            </w:pPr>
            <w:r>
              <w:rPr>
                <w:rFonts w:cs="Arial"/>
                <w:sz w:val="18"/>
                <w:lang w:val="es-ES" w:eastAsia="en-US"/>
              </w:rPr>
              <w:t>1</w:t>
            </w:r>
            <w:r w:rsidR="00CF67D4" w:rsidRPr="002F1DB7">
              <w:rPr>
                <w:rFonts w:cs="Arial"/>
                <w:sz w:val="18"/>
                <w:lang w:val="es-ES" w:eastAsia="en-US"/>
              </w:rPr>
              <w:t>.</w:t>
            </w:r>
            <w:r w:rsidR="0067756D">
              <w:rPr>
                <w:rFonts w:cs="Arial"/>
                <w:sz w:val="18"/>
                <w:lang w:val="es-ES" w:eastAsia="en-US"/>
              </w:rPr>
              <w:t>3</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rsidR="00CF67D4" w:rsidRPr="002F1DB7" w:rsidRDefault="0067756D" w:rsidP="0067756D">
            <w:pPr>
              <w:tabs>
                <w:tab w:val="left" w:pos="307"/>
                <w:tab w:val="decimal" w:pos="881"/>
              </w:tabs>
              <w:ind w:right="510"/>
              <w:jc w:val="right"/>
              <w:rPr>
                <w:rFonts w:cs="Arial"/>
                <w:b/>
                <w:sz w:val="18"/>
                <w:lang w:val="es-ES" w:eastAsia="en-US"/>
              </w:rPr>
            </w:pPr>
            <w:r>
              <w:rPr>
                <w:rFonts w:cs="Arial"/>
                <w:b/>
                <w:sz w:val="18"/>
                <w:lang w:val="es-ES" w:eastAsia="en-US"/>
              </w:rPr>
              <w:t>(-)</w:t>
            </w:r>
            <w:r w:rsidR="00CF67D4">
              <w:rPr>
                <w:rFonts w:cs="Arial"/>
                <w:b/>
                <w:sz w:val="18"/>
                <w:lang w:val="es-ES" w:eastAsia="en-US"/>
              </w:rPr>
              <w:t xml:space="preserve">  </w:t>
            </w:r>
            <w:r w:rsidR="00CF67D4" w:rsidRPr="002F1DB7">
              <w:rPr>
                <w:rFonts w:cs="Arial"/>
                <w:b/>
                <w:sz w:val="18"/>
                <w:lang w:val="es-ES" w:eastAsia="en-US"/>
              </w:rPr>
              <w:t xml:space="preserve"> </w:t>
            </w:r>
            <w:r>
              <w:rPr>
                <w:rFonts w:cs="Arial"/>
                <w:b/>
                <w:sz w:val="18"/>
                <w:lang w:val="es-ES" w:eastAsia="en-US"/>
              </w:rPr>
              <w:t>0</w:t>
            </w:r>
            <w:r w:rsidR="004C2113">
              <w:rPr>
                <w:rFonts w:cs="Arial"/>
                <w:b/>
                <w:sz w:val="18"/>
                <w:lang w:val="es-ES" w:eastAsia="en-US"/>
              </w:rPr>
              <w:t>.</w:t>
            </w:r>
            <w:r>
              <w:rPr>
                <w:rFonts w:cs="Arial"/>
                <w:b/>
                <w:sz w:val="18"/>
                <w:lang w:val="es-ES" w:eastAsia="en-US"/>
              </w:rPr>
              <w:t>1</w:t>
            </w:r>
          </w:p>
        </w:tc>
        <w:tc>
          <w:tcPr>
            <w:tcW w:w="1499" w:type="dxa"/>
            <w:tcBorders>
              <w:top w:val="nil"/>
              <w:left w:val="single" w:sz="4" w:space="0" w:color="auto"/>
              <w:bottom w:val="nil"/>
              <w:right w:val="double" w:sz="4" w:space="0" w:color="auto"/>
            </w:tcBorders>
          </w:tcPr>
          <w:p w:rsidR="00CF67D4" w:rsidRPr="002F1DB7" w:rsidRDefault="00CF67D4" w:rsidP="0067756D">
            <w:pPr>
              <w:tabs>
                <w:tab w:val="left" w:pos="307"/>
                <w:tab w:val="decimal" w:pos="881"/>
              </w:tabs>
              <w:ind w:right="510"/>
              <w:jc w:val="right"/>
              <w:rPr>
                <w:rFonts w:cs="Arial"/>
                <w:b/>
                <w:sz w:val="18"/>
                <w:lang w:val="es-ES" w:eastAsia="en-US"/>
              </w:rPr>
            </w:pPr>
            <w:r>
              <w:rPr>
                <w:rFonts w:cs="Arial"/>
                <w:b/>
                <w:sz w:val="18"/>
                <w:lang w:val="es-ES" w:eastAsia="en-US"/>
              </w:rPr>
              <w:t xml:space="preserve">   </w:t>
            </w:r>
            <w:r w:rsidRPr="002F1DB7">
              <w:rPr>
                <w:rFonts w:cs="Arial"/>
                <w:b/>
                <w:sz w:val="18"/>
                <w:lang w:val="es-ES" w:eastAsia="en-US"/>
              </w:rPr>
              <w:t xml:space="preserve"> </w:t>
            </w:r>
            <w:r w:rsidR="0067756D">
              <w:rPr>
                <w:rFonts w:cs="Arial"/>
                <w:b/>
                <w:sz w:val="18"/>
                <w:lang w:val="es-ES" w:eastAsia="en-US"/>
              </w:rPr>
              <w:t>1</w:t>
            </w:r>
            <w:r w:rsidR="005C1644">
              <w:rPr>
                <w:rFonts w:cs="Arial"/>
                <w:b/>
                <w:sz w:val="18"/>
                <w:lang w:val="es-ES" w:eastAsia="en-US"/>
              </w:rPr>
              <w:t>.</w:t>
            </w:r>
            <w:r w:rsidR="0067756D">
              <w:rPr>
                <w:rFonts w:cs="Arial"/>
                <w:b/>
                <w:sz w:val="18"/>
                <w:lang w:val="es-ES" w:eastAsia="en-US"/>
              </w:rPr>
              <w:t>5</w:t>
            </w:r>
          </w:p>
        </w:tc>
      </w:tr>
      <w:tr w:rsidR="00CF67D4" w:rsidTr="00FB456A">
        <w:trPr>
          <w:cantSplit/>
          <w:trHeight w:val="20"/>
          <w:jc w:val="center"/>
        </w:trPr>
        <w:tc>
          <w:tcPr>
            <w:tcW w:w="3888" w:type="dxa"/>
            <w:tcBorders>
              <w:top w:val="nil"/>
              <w:left w:val="double" w:sz="4" w:space="0" w:color="auto"/>
              <w:bottom w:val="double" w:sz="4" w:space="0" w:color="auto"/>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rsidR="00CF67D4" w:rsidRPr="002F1DB7" w:rsidRDefault="0067756D" w:rsidP="00261CC9">
            <w:pPr>
              <w:tabs>
                <w:tab w:val="left" w:pos="307"/>
                <w:tab w:val="decimal" w:pos="881"/>
              </w:tabs>
              <w:ind w:right="510"/>
              <w:jc w:val="right"/>
              <w:rPr>
                <w:rFonts w:cs="Arial"/>
                <w:sz w:val="18"/>
                <w:lang w:val="es-ES" w:eastAsia="en-US"/>
              </w:rPr>
            </w:pPr>
            <w:r>
              <w:rPr>
                <w:rFonts w:cs="Arial"/>
                <w:sz w:val="18"/>
                <w:lang w:val="es-ES" w:eastAsia="en-US"/>
              </w:rPr>
              <w:t>(-)</w:t>
            </w:r>
            <w:r w:rsidR="00CF67D4">
              <w:rPr>
                <w:rFonts w:cs="Arial"/>
                <w:sz w:val="18"/>
                <w:lang w:val="es-ES" w:eastAsia="en-US"/>
              </w:rPr>
              <w:t xml:space="preserve">   </w:t>
            </w:r>
            <w:r w:rsidR="00AC29D8">
              <w:rPr>
                <w:rFonts w:cs="Arial"/>
                <w:sz w:val="18"/>
                <w:lang w:val="es-ES" w:eastAsia="en-US"/>
              </w:rPr>
              <w:t>0</w:t>
            </w:r>
            <w:r>
              <w:rPr>
                <w:rFonts w:cs="Arial"/>
                <w:sz w:val="18"/>
                <w:lang w:val="es-ES" w:eastAsia="en-US"/>
              </w:rPr>
              <w:t>.1</w:t>
            </w:r>
          </w:p>
          <w:p w:rsidR="00CF67D4" w:rsidRPr="002F1DB7" w:rsidRDefault="0067756D" w:rsidP="00261CC9">
            <w:pPr>
              <w:tabs>
                <w:tab w:val="left" w:pos="307"/>
                <w:tab w:val="decimal" w:pos="881"/>
              </w:tabs>
              <w:ind w:right="510"/>
              <w:jc w:val="right"/>
              <w:rPr>
                <w:rFonts w:cs="Arial"/>
                <w:sz w:val="18"/>
                <w:lang w:val="es-ES" w:eastAsia="en-US"/>
              </w:rPr>
            </w:pPr>
            <w:r>
              <w:rPr>
                <w:rFonts w:cs="Arial"/>
                <w:sz w:val="18"/>
                <w:lang w:val="es-ES" w:eastAsia="en-US"/>
              </w:rPr>
              <w:t xml:space="preserve">(-)  </w:t>
            </w:r>
            <w:r w:rsidR="00CF67D4">
              <w:rPr>
                <w:rFonts w:cs="Arial"/>
                <w:sz w:val="18"/>
                <w:lang w:val="es-ES" w:eastAsia="en-US"/>
              </w:rPr>
              <w:t xml:space="preserve"> </w:t>
            </w:r>
            <w:r>
              <w:rPr>
                <w:rFonts w:cs="Arial"/>
                <w:sz w:val="18"/>
                <w:lang w:val="es-ES" w:eastAsia="en-US"/>
              </w:rPr>
              <w:t>6</w:t>
            </w:r>
            <w:r w:rsidR="00CF67D4">
              <w:rPr>
                <w:rFonts w:cs="Arial"/>
                <w:sz w:val="18"/>
                <w:lang w:val="es-ES" w:eastAsia="en-US"/>
              </w:rPr>
              <w:t>.</w:t>
            </w:r>
            <w:r w:rsidR="00AC29D8">
              <w:rPr>
                <w:rFonts w:cs="Arial"/>
                <w:sz w:val="18"/>
                <w:lang w:val="es-ES" w:eastAsia="en-US"/>
              </w:rPr>
              <w:t>4</w:t>
            </w:r>
          </w:p>
          <w:p w:rsidR="00CF67D4" w:rsidRPr="002F1DB7" w:rsidRDefault="00CF67D4" w:rsidP="00261CC9">
            <w:pPr>
              <w:tabs>
                <w:tab w:val="left" w:pos="307"/>
                <w:tab w:val="decimal" w:pos="881"/>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12</w:t>
            </w:r>
            <w:r w:rsidR="004C2113">
              <w:rPr>
                <w:rFonts w:cs="Arial"/>
                <w:sz w:val="18"/>
                <w:lang w:val="es-ES" w:eastAsia="en-US"/>
              </w:rPr>
              <w:t>.</w:t>
            </w:r>
            <w:r w:rsidR="0067756D">
              <w:rPr>
                <w:rFonts w:cs="Arial"/>
                <w:sz w:val="18"/>
                <w:lang w:val="es-ES" w:eastAsia="en-US"/>
              </w:rPr>
              <w:t>1</w:t>
            </w:r>
          </w:p>
          <w:p w:rsidR="00CF67D4" w:rsidRPr="002F1DB7" w:rsidRDefault="00CF67D4" w:rsidP="0067756D">
            <w:pPr>
              <w:tabs>
                <w:tab w:val="left" w:pos="307"/>
                <w:tab w:val="decimal" w:pos="881"/>
              </w:tabs>
              <w:ind w:right="510"/>
              <w:jc w:val="right"/>
              <w:rPr>
                <w:rFonts w:cs="Arial"/>
                <w:b/>
                <w:sz w:val="18"/>
                <w:lang w:val="es-ES" w:eastAsia="en-US"/>
              </w:rPr>
            </w:pPr>
            <w:r>
              <w:rPr>
                <w:rFonts w:cs="Arial"/>
                <w:sz w:val="18"/>
                <w:lang w:val="es-ES" w:eastAsia="en-US"/>
              </w:rPr>
              <w:t xml:space="preserve">   </w:t>
            </w:r>
            <w:r w:rsidR="0067756D">
              <w:rPr>
                <w:rFonts w:cs="Arial"/>
                <w:sz w:val="18"/>
                <w:lang w:val="es-ES" w:eastAsia="en-US"/>
              </w:rPr>
              <w:t>0</w:t>
            </w:r>
            <w:r w:rsidR="004C2113">
              <w:rPr>
                <w:rFonts w:cs="Arial"/>
                <w:sz w:val="18"/>
                <w:lang w:val="es-ES" w:eastAsia="en-US"/>
              </w:rPr>
              <w:t>.</w:t>
            </w:r>
            <w:r w:rsidR="0067756D">
              <w:rPr>
                <w:rFonts w:cs="Arial"/>
                <w:sz w:val="18"/>
                <w:lang w:val="es-ES" w:eastAsia="en-US"/>
              </w:rPr>
              <w:t>6</w:t>
            </w:r>
          </w:p>
        </w:tc>
        <w:tc>
          <w:tcPr>
            <w:tcW w:w="1499" w:type="dxa"/>
            <w:tcBorders>
              <w:top w:val="nil"/>
              <w:left w:val="single" w:sz="4" w:space="0" w:color="auto"/>
              <w:bottom w:val="double" w:sz="4" w:space="0" w:color="auto"/>
              <w:right w:val="double" w:sz="4" w:space="0" w:color="auto"/>
            </w:tcBorders>
          </w:tcPr>
          <w:p w:rsidR="00CF67D4" w:rsidRPr="002F1DB7" w:rsidRDefault="00CF67D4"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1</w:t>
            </w:r>
            <w:r w:rsidR="005C1644">
              <w:rPr>
                <w:rFonts w:cs="Arial"/>
                <w:sz w:val="18"/>
                <w:lang w:val="es-ES" w:eastAsia="en-US"/>
              </w:rPr>
              <w:t>.</w:t>
            </w:r>
            <w:r w:rsidR="0067756D">
              <w:rPr>
                <w:rFonts w:cs="Arial"/>
                <w:sz w:val="18"/>
                <w:lang w:val="es-ES" w:eastAsia="en-US"/>
              </w:rPr>
              <w:t>5</w:t>
            </w:r>
          </w:p>
          <w:p w:rsidR="00CF67D4" w:rsidRPr="002F1DB7" w:rsidRDefault="0067756D"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CF67D4">
              <w:rPr>
                <w:rFonts w:cs="Arial"/>
                <w:sz w:val="18"/>
                <w:lang w:val="es-ES" w:eastAsia="en-US"/>
              </w:rPr>
              <w:t xml:space="preserve">  </w:t>
            </w:r>
            <w:r w:rsidR="005C1644">
              <w:rPr>
                <w:rFonts w:cs="Arial"/>
                <w:sz w:val="18"/>
                <w:lang w:val="es-ES" w:eastAsia="en-US"/>
              </w:rPr>
              <w:t>0</w:t>
            </w:r>
            <w:r w:rsidR="00CF67D4">
              <w:rPr>
                <w:rFonts w:cs="Arial"/>
                <w:sz w:val="18"/>
                <w:lang w:val="es-ES" w:eastAsia="en-US"/>
              </w:rPr>
              <w:t>.</w:t>
            </w:r>
            <w:r>
              <w:rPr>
                <w:rFonts w:cs="Arial"/>
                <w:sz w:val="18"/>
                <w:lang w:val="es-ES" w:eastAsia="en-US"/>
              </w:rPr>
              <w:t>9</w:t>
            </w:r>
          </w:p>
          <w:p w:rsidR="00CF67D4" w:rsidRPr="002F1DB7" w:rsidRDefault="00CF67D4" w:rsidP="001B074F">
            <w:pPr>
              <w:tabs>
                <w:tab w:val="left" w:pos="307"/>
                <w:tab w:val="decimal" w:pos="881"/>
              </w:tabs>
              <w:ind w:right="510"/>
              <w:jc w:val="right"/>
              <w:rPr>
                <w:rFonts w:cs="Arial"/>
                <w:sz w:val="18"/>
                <w:lang w:val="es-ES" w:eastAsia="en-US"/>
              </w:rPr>
            </w:pPr>
            <w:r>
              <w:rPr>
                <w:rFonts w:cs="Arial"/>
                <w:sz w:val="18"/>
                <w:lang w:val="es-ES" w:eastAsia="en-US"/>
              </w:rPr>
              <w:t xml:space="preserve">   </w:t>
            </w:r>
            <w:r w:rsidR="0067756D">
              <w:rPr>
                <w:rFonts w:cs="Arial"/>
                <w:sz w:val="18"/>
                <w:lang w:val="es-ES" w:eastAsia="en-US"/>
              </w:rPr>
              <w:t>6.</w:t>
            </w:r>
            <w:r w:rsidR="00AC29D8">
              <w:rPr>
                <w:rFonts w:cs="Arial"/>
                <w:sz w:val="18"/>
                <w:lang w:val="es-ES" w:eastAsia="en-US"/>
              </w:rPr>
              <w:t>5</w:t>
            </w:r>
          </w:p>
          <w:p w:rsidR="00CF67D4" w:rsidRPr="002F1DB7" w:rsidRDefault="00CF67D4" w:rsidP="0067756D">
            <w:pPr>
              <w:tabs>
                <w:tab w:val="left" w:pos="307"/>
                <w:tab w:val="decimal" w:pos="881"/>
              </w:tabs>
              <w:ind w:right="510"/>
              <w:jc w:val="right"/>
              <w:rPr>
                <w:rFonts w:cs="Arial"/>
                <w:b/>
                <w:sz w:val="18"/>
                <w:lang w:val="es-ES" w:eastAsia="en-US"/>
              </w:rPr>
            </w:pPr>
            <w:r>
              <w:rPr>
                <w:rFonts w:cs="Arial"/>
                <w:sz w:val="18"/>
                <w:lang w:val="es-ES" w:eastAsia="en-US"/>
              </w:rPr>
              <w:t xml:space="preserve">    </w:t>
            </w:r>
            <w:r w:rsidR="005C1644">
              <w:rPr>
                <w:rFonts w:cs="Arial"/>
                <w:sz w:val="18"/>
                <w:lang w:val="es-ES" w:eastAsia="en-US"/>
              </w:rPr>
              <w:t>1</w:t>
            </w:r>
            <w:r w:rsidR="00AC29D8">
              <w:rPr>
                <w:rFonts w:cs="Arial"/>
                <w:sz w:val="18"/>
                <w:lang w:val="es-ES" w:eastAsia="en-US"/>
              </w:rPr>
              <w:t>.</w:t>
            </w:r>
            <w:r w:rsidR="0067756D">
              <w:rPr>
                <w:rFonts w:cs="Arial"/>
                <w:sz w:val="18"/>
                <w:lang w:val="es-ES" w:eastAsia="en-US"/>
              </w:rPr>
              <w:t>4</w:t>
            </w:r>
          </w:p>
        </w:tc>
      </w:tr>
    </w:tbl>
    <w:p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rsidR="00224330" w:rsidRDefault="00140D9C" w:rsidP="00ED340C">
      <w:pPr>
        <w:pStyle w:val="parr2"/>
        <w:keepNext/>
        <w:keepLines/>
        <w:spacing w:before="360"/>
        <w:ind w:left="0" w:right="584"/>
        <w:rPr>
          <w:b/>
          <w:i/>
        </w:rPr>
      </w:pPr>
      <w:r>
        <w:rPr>
          <w:b/>
          <w:i/>
        </w:rPr>
        <w:t>Nota metodológica</w:t>
      </w:r>
    </w:p>
    <w:p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rsidR="00140D9C" w:rsidRDefault="00140D9C" w:rsidP="003249F6">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CB0DA0" w:rsidRDefault="00CB0DA0" w:rsidP="00CB0DA0">
      <w:pPr>
        <w:spacing w:before="120"/>
        <w:outlineLvl w:val="3"/>
      </w:pPr>
    </w:p>
    <w:p w:rsidR="00A358DE" w:rsidRDefault="00A358DE">
      <w:pPr>
        <w:widowControl/>
        <w:jc w:val="left"/>
      </w:pPr>
    </w:p>
    <w:p w:rsidR="00A358DE" w:rsidRDefault="00A358DE" w:rsidP="00CB0DA0">
      <w:pPr>
        <w:outlineLvl w:val="3"/>
      </w:pPr>
    </w:p>
    <w:p w:rsidR="00140D9C" w:rsidRDefault="00140D9C" w:rsidP="00CB0DA0">
      <w:pPr>
        <w:outlineLvl w:val="3"/>
      </w:pPr>
      <w:r w:rsidRPr="00434EAE">
        <w:t xml:space="preserve">En este sentido, la desestacionalización o ajuste estacional de series económicas consiste en remover estas influencias </w:t>
      </w:r>
      <w:proofErr w:type="spellStart"/>
      <w:r w:rsidRPr="00434EAE">
        <w:t>intra</w:t>
      </w:r>
      <w:proofErr w:type="spellEnd"/>
      <w:r w:rsidRPr="00434EAE">
        <w:t xml:space="preserve">-anuales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rsidR="00140D9C" w:rsidRPr="00434EAE" w:rsidRDefault="00B72479" w:rsidP="003249F6">
      <w:pPr>
        <w:spacing w:before="240"/>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rsidR="000E5547" w:rsidRDefault="00BE322B" w:rsidP="000E5547">
      <w:pPr>
        <w:spacing w:before="240"/>
        <w:rPr>
          <w:rFonts w:ascii="Calibri" w:hAnsi="Calibri"/>
          <w:color w:val="1F497D"/>
          <w:sz w:val="22"/>
          <w:lang w:eastAsia="en-US"/>
        </w:rPr>
      </w:pPr>
      <w:hyperlink r:id="rId29" w:history="1">
        <w:r w:rsidR="00171758" w:rsidRPr="00446E00">
          <w:rPr>
            <w:rStyle w:val="Hipervnculo"/>
            <w:lang w:eastAsia="en-US"/>
          </w:rPr>
          <w:t>http://www.inegi.org.mx/app/biblioteca/ficha.html?upc=702825099060</w:t>
        </w:r>
      </w:hyperlink>
    </w:p>
    <w:p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rsidR="00FA238C" w:rsidRPr="006F503A" w:rsidRDefault="00BE322B" w:rsidP="00FA238C">
      <w:pPr>
        <w:spacing w:before="240"/>
        <w:outlineLvl w:val="3"/>
      </w:pPr>
      <w:hyperlink w:anchor="page3" w:history="1">
        <w:r w:rsidR="00FA238C" w:rsidRPr="006F503A">
          <w:t>Su cobertura geográfica es nacional y mide exclusivamente el consumo privado en el mercado interior, se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éste indicador es del 95.2% </w:t>
        </w:r>
      </w:hyperlink>
      <w:hyperlink w:anchor="page3" w:history="1">
        <w:r w:rsidR="00FA238C" w:rsidRPr="006F503A">
          <w:t>en el año 2013, año base de los productos del SCNM.</w:t>
        </w:r>
      </w:hyperlink>
    </w:p>
    <w:p w:rsidR="000B3636" w:rsidRDefault="00FA238C" w:rsidP="00FA238C">
      <w:pPr>
        <w:spacing w:before="240"/>
        <w:outlineLvl w:val="3"/>
      </w:pPr>
      <w:r w:rsidRPr="006F503A">
        <w:t>La información estadística que da respaldo al cálculo de los índices mensuales de volumen físico del consumo privado en el mercado interior, reconoce distintas vertientes, que pueden sintetizarse así:</w:t>
      </w:r>
    </w:p>
    <w:p w:rsidR="00FA238C" w:rsidRPr="006F503A" w:rsidRDefault="00FA238C" w:rsidP="00FA238C">
      <w:pPr>
        <w:pStyle w:val="Prrafodelista"/>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rsidR="00ED340C" w:rsidRDefault="00ED340C">
      <w:pPr>
        <w:widowControl/>
        <w:jc w:val="left"/>
      </w:pPr>
      <w:r>
        <w:br w:type="page"/>
      </w:r>
    </w:p>
    <w:p w:rsidR="00C46FD6" w:rsidRDefault="00C46FD6" w:rsidP="00365832">
      <w:pPr>
        <w:pStyle w:val="Prrafodelista"/>
        <w:spacing w:before="120"/>
        <w:outlineLvl w:val="3"/>
      </w:pPr>
    </w:p>
    <w:p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of Labor </w:t>
      </w:r>
      <w:proofErr w:type="spellStart"/>
      <w:r w:rsidRPr="006F503A">
        <w:t>Statistics</w:t>
      </w:r>
      <w:proofErr w:type="spellEnd"/>
      <w:r w:rsidRPr="006F503A">
        <w:t>; principalmente.</w:t>
      </w:r>
    </w:p>
    <w:p w:rsidR="00C46FD6" w:rsidRPr="006F503A" w:rsidRDefault="00C46FD6" w:rsidP="00365832">
      <w:pPr>
        <w:pStyle w:val="Prrafodelista"/>
        <w:spacing w:before="120"/>
        <w:outlineLvl w:val="3"/>
      </w:pPr>
    </w:p>
    <w:p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rsidR="00EB0367" w:rsidRPr="006F503A" w:rsidRDefault="00EB0367" w:rsidP="00EB0367">
      <w:pPr>
        <w:pStyle w:val="Prrafodelista"/>
        <w:spacing w:before="240"/>
        <w:outlineLvl w:val="3"/>
      </w:pPr>
    </w:p>
    <w:p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rsidR="00BA1145" w:rsidRPr="00BA1145" w:rsidRDefault="00631C67" w:rsidP="00F75C7D">
      <w:pPr>
        <w:spacing w:before="240"/>
        <w:rPr>
          <w:b/>
          <w:color w:val="0070C0"/>
          <w:sz w:val="20"/>
        </w:rPr>
      </w:pPr>
      <w:r w:rsidRPr="00631C67">
        <w:t>Las se</w:t>
      </w:r>
      <w:r w:rsidR="007333FB">
        <w:t>ries del Consumo Privado en el Mercado I</w:t>
      </w:r>
      <w:r w:rsidRPr="00631C67">
        <w:t xml:space="preserve">nterior,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1D" w:rsidRDefault="007B3C1D">
      <w:r>
        <w:separator/>
      </w:r>
    </w:p>
  </w:endnote>
  <w:endnote w:type="continuationSeparator" w:id="0">
    <w:p w:rsidR="007B3C1D" w:rsidRDefault="007B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2B" w:rsidRDefault="00BE32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AA" w:rsidRPr="002346CA" w:rsidRDefault="00B24EAA"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2B" w:rsidRDefault="00BE322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8F2BC8" w:rsidP="009D2FB0">
    <w:pPr>
      <w:pStyle w:val="Piedepgina"/>
      <w:jc w:val="center"/>
    </w:pPr>
    <w:r>
      <w:rPr>
        <w:b/>
      </w:rPr>
      <w:t>COMUNICACIÓN SOCIAL</w:t>
    </w:r>
  </w:p>
  <w:p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1D" w:rsidRDefault="007B3C1D">
      <w:r>
        <w:separator/>
      </w:r>
    </w:p>
  </w:footnote>
  <w:footnote w:type="continuationSeparator" w:id="0">
    <w:p w:rsidR="007B3C1D" w:rsidRDefault="007B3C1D">
      <w:r>
        <w:continuationSeparator/>
      </w:r>
    </w:p>
  </w:footnote>
  <w:footnote w:id="1">
    <w:p w:rsidR="00B24EAA" w:rsidRPr="00140D9C" w:rsidRDefault="00B24EAA" w:rsidP="00854354">
      <w:pPr>
        <w:pStyle w:val="Textonotapie"/>
        <w:ind w:left="142" w:right="-121"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rsidR="00B24EAA" w:rsidRPr="00140D9C" w:rsidRDefault="00B24EAA" w:rsidP="00854354">
      <w:pPr>
        <w:pStyle w:val="Textonotapie"/>
        <w:ind w:left="142" w:right="-121"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rsidR="00B24EAA" w:rsidRDefault="00B24EAA" w:rsidP="00854354">
      <w:pPr>
        <w:pStyle w:val="Textonotapie"/>
        <w:ind w:left="142" w:right="-121"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B24EAA" w:rsidRPr="00140D9C" w:rsidRDefault="00B24EAA" w:rsidP="00B24EAA">
      <w:pPr>
        <w:pStyle w:val="Textonotapie"/>
        <w:ind w:left="142" w:hanging="142"/>
        <w:jc w:val="both"/>
        <w:rPr>
          <w:rFonts w:ascii="Arial" w:hAnsi="Arial" w:cs="Arial"/>
          <w:sz w:val="16"/>
          <w:szCs w:val="16"/>
        </w:rPr>
      </w:pPr>
    </w:p>
  </w:footnote>
  <w:footnote w:id="4">
    <w:p w:rsidR="00B24EAA" w:rsidRDefault="00B24EAA" w:rsidP="00B24EAA">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rsidR="00B24EAA" w:rsidRDefault="00B24EAA" w:rsidP="00B24EAA">
      <w:pPr>
        <w:pStyle w:val="Textonotapie"/>
        <w:ind w:left="142" w:hanging="142"/>
        <w:jc w:val="both"/>
        <w:rPr>
          <w:rFonts w:ascii="Arial" w:hAnsi="Arial" w:cs="Arial"/>
          <w:sz w:val="16"/>
          <w:szCs w:val="16"/>
        </w:rPr>
      </w:pPr>
    </w:p>
  </w:footnote>
  <w:footnote w:id="5">
    <w:p w:rsidR="00607F23" w:rsidRPr="00140D9C"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2B" w:rsidRDefault="00BE32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AA" w:rsidRPr="00E0416A" w:rsidRDefault="00B24EAA" w:rsidP="00BE322B">
    <w:pPr>
      <w:pStyle w:val="Encabezado"/>
      <w:framePr w:w="5459" w:hSpace="141" w:wrap="auto" w:vAnchor="text" w:hAnchor="page" w:x="5647" w:y="34"/>
      <w:ind w:left="567" w:hanging="11"/>
      <w:jc w:val="right"/>
      <w:rPr>
        <w:b/>
        <w:color w:val="002060"/>
      </w:rPr>
    </w:pPr>
    <w:bookmarkStart w:id="0" w:name="_GoBack"/>
    <w:r>
      <w:rPr>
        <w:b/>
        <w:color w:val="002060"/>
      </w:rPr>
      <w:t>COMUNICADO DE</w:t>
    </w:r>
    <w:r w:rsidRPr="00E0416A">
      <w:rPr>
        <w:b/>
        <w:color w:val="002060"/>
      </w:rPr>
      <w:t xml:space="preserve"> PRENSA NÚM. </w:t>
    </w:r>
    <w:r w:rsidR="00BE322B">
      <w:rPr>
        <w:b/>
        <w:color w:val="002060"/>
      </w:rPr>
      <w:t>393</w:t>
    </w:r>
    <w:r w:rsidRPr="00E0416A">
      <w:rPr>
        <w:b/>
        <w:color w:val="002060"/>
      </w:rPr>
      <w:t>/1</w:t>
    </w:r>
    <w:r>
      <w:rPr>
        <w:b/>
        <w:color w:val="002060"/>
      </w:rPr>
      <w:t>9</w:t>
    </w:r>
  </w:p>
  <w:p w:rsidR="00B24EAA" w:rsidRPr="00E0416A" w:rsidRDefault="00B24EAA" w:rsidP="00BE322B">
    <w:pPr>
      <w:pStyle w:val="Encabezado"/>
      <w:framePr w:w="5459" w:hSpace="141" w:wrap="auto" w:vAnchor="text" w:hAnchor="page" w:x="5647" w:y="34"/>
      <w:ind w:left="567" w:hanging="11"/>
      <w:jc w:val="right"/>
      <w:rPr>
        <w:b/>
        <w:color w:val="002060"/>
        <w:lang w:val="pt-BR"/>
      </w:rPr>
    </w:pPr>
    <w:r>
      <w:rPr>
        <w:b/>
        <w:color w:val="002060"/>
        <w:lang w:val="pt-BR"/>
      </w:rPr>
      <w:t xml:space="preserve">7 DE AGOSTO DE </w:t>
    </w:r>
    <w:r w:rsidRPr="00E0416A">
      <w:rPr>
        <w:b/>
        <w:color w:val="002060"/>
        <w:lang w:val="pt-BR"/>
      </w:rPr>
      <w:t>201</w:t>
    </w:r>
    <w:r>
      <w:rPr>
        <w:b/>
        <w:color w:val="002060"/>
        <w:lang w:val="pt-BR"/>
      </w:rPr>
      <w:t>9</w:t>
    </w:r>
  </w:p>
  <w:p w:rsidR="00B24EAA" w:rsidRPr="00ED588B" w:rsidRDefault="00B24EAA" w:rsidP="00BE322B">
    <w:pPr>
      <w:pStyle w:val="Encabezado"/>
      <w:framePr w:w="5459" w:hSpace="141" w:wrap="auto" w:vAnchor="text" w:hAnchor="page" w:x="5647" w:y="34"/>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BE322B">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B24EAA" w:rsidRDefault="00B24EAA" w:rsidP="004C150C">
    <w:pPr>
      <w:pStyle w:val="Encabezado"/>
      <w:ind w:left="-993"/>
    </w:pPr>
    <w:r>
      <w:rPr>
        <w:noProof/>
        <w:lang w:eastAsia="es-MX"/>
      </w:rPr>
      <w:drawing>
        <wp:inline distT="0" distB="0" distL="0" distR="0" wp14:anchorId="61050AC5" wp14:editId="197B172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2B" w:rsidRDefault="00BE322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137231" w:rsidP="00B24EAA">
    <w:pPr>
      <w:pStyle w:val="Encabezado"/>
      <w:tabs>
        <w:tab w:val="clear" w:pos="4320"/>
        <w:tab w:val="clear" w:pos="8640"/>
        <w:tab w:val="center" w:pos="2606"/>
      </w:tabs>
      <w:jc w:val="center"/>
    </w:pPr>
    <w:r>
      <w:rPr>
        <w:noProof/>
        <w:lang w:eastAsia="es-MX"/>
      </w:rPr>
      <w:drawing>
        <wp:inline distT="0" distB="0" distL="0" distR="0" wp14:anchorId="70E6ED4A" wp14:editId="662A22D2">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8015E"/>
    <w:rsid w:val="00080491"/>
    <w:rsid w:val="0008072A"/>
    <w:rsid w:val="00082088"/>
    <w:rsid w:val="00082728"/>
    <w:rsid w:val="00082F15"/>
    <w:rsid w:val="00083372"/>
    <w:rsid w:val="000841BA"/>
    <w:rsid w:val="000846B1"/>
    <w:rsid w:val="00084AF0"/>
    <w:rsid w:val="00085872"/>
    <w:rsid w:val="0008588C"/>
    <w:rsid w:val="00085AA4"/>
    <w:rsid w:val="00085B9C"/>
    <w:rsid w:val="00086533"/>
    <w:rsid w:val="000867C9"/>
    <w:rsid w:val="000867E1"/>
    <w:rsid w:val="00086E14"/>
    <w:rsid w:val="000872B2"/>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CA9"/>
    <w:rsid w:val="000A3E3D"/>
    <w:rsid w:val="000A410C"/>
    <w:rsid w:val="000A4671"/>
    <w:rsid w:val="000A5154"/>
    <w:rsid w:val="000A58D0"/>
    <w:rsid w:val="000A69D3"/>
    <w:rsid w:val="000A6F37"/>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723B"/>
    <w:rsid w:val="000C7250"/>
    <w:rsid w:val="000C7274"/>
    <w:rsid w:val="000C7DB5"/>
    <w:rsid w:val="000D0249"/>
    <w:rsid w:val="000D0FCD"/>
    <w:rsid w:val="000D118D"/>
    <w:rsid w:val="000D1690"/>
    <w:rsid w:val="000D179E"/>
    <w:rsid w:val="000D21B6"/>
    <w:rsid w:val="000D2233"/>
    <w:rsid w:val="000D232B"/>
    <w:rsid w:val="000D264F"/>
    <w:rsid w:val="000D27CE"/>
    <w:rsid w:val="000D2B5C"/>
    <w:rsid w:val="000D3520"/>
    <w:rsid w:val="000D36E0"/>
    <w:rsid w:val="000D4C2F"/>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28F2"/>
    <w:rsid w:val="00163343"/>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84F"/>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A59"/>
    <w:rsid w:val="00193A8C"/>
    <w:rsid w:val="00193FFF"/>
    <w:rsid w:val="00194825"/>
    <w:rsid w:val="00194DC1"/>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E026B"/>
    <w:rsid w:val="001E0816"/>
    <w:rsid w:val="001E092E"/>
    <w:rsid w:val="001E09C0"/>
    <w:rsid w:val="001E0E77"/>
    <w:rsid w:val="001E1257"/>
    <w:rsid w:val="001E2814"/>
    <w:rsid w:val="001E2ECB"/>
    <w:rsid w:val="001E31B7"/>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ABF"/>
    <w:rsid w:val="00200CAE"/>
    <w:rsid w:val="002010BD"/>
    <w:rsid w:val="002010FA"/>
    <w:rsid w:val="002013A7"/>
    <w:rsid w:val="00201487"/>
    <w:rsid w:val="00201A5C"/>
    <w:rsid w:val="00201B7C"/>
    <w:rsid w:val="00201BEA"/>
    <w:rsid w:val="00201F70"/>
    <w:rsid w:val="00203A38"/>
    <w:rsid w:val="00203D48"/>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7B"/>
    <w:rsid w:val="00226287"/>
    <w:rsid w:val="00226B2D"/>
    <w:rsid w:val="00226D72"/>
    <w:rsid w:val="00226F8D"/>
    <w:rsid w:val="002276D7"/>
    <w:rsid w:val="00230A50"/>
    <w:rsid w:val="0023158A"/>
    <w:rsid w:val="002315A0"/>
    <w:rsid w:val="0023234E"/>
    <w:rsid w:val="00232383"/>
    <w:rsid w:val="002325F7"/>
    <w:rsid w:val="00232C9F"/>
    <w:rsid w:val="00232CDE"/>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41E1"/>
    <w:rsid w:val="00244322"/>
    <w:rsid w:val="002443E6"/>
    <w:rsid w:val="00244C30"/>
    <w:rsid w:val="00244EF4"/>
    <w:rsid w:val="00245BEE"/>
    <w:rsid w:val="002463FB"/>
    <w:rsid w:val="002465DF"/>
    <w:rsid w:val="00246D18"/>
    <w:rsid w:val="00247211"/>
    <w:rsid w:val="00247682"/>
    <w:rsid w:val="002505AF"/>
    <w:rsid w:val="00250F32"/>
    <w:rsid w:val="002514B7"/>
    <w:rsid w:val="002522A7"/>
    <w:rsid w:val="00253E1D"/>
    <w:rsid w:val="00254197"/>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8F7"/>
    <w:rsid w:val="00334A9F"/>
    <w:rsid w:val="00334AC3"/>
    <w:rsid w:val="00334EA3"/>
    <w:rsid w:val="00334F56"/>
    <w:rsid w:val="0033744F"/>
    <w:rsid w:val="00337B1E"/>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BF2"/>
    <w:rsid w:val="003D24F9"/>
    <w:rsid w:val="003D301D"/>
    <w:rsid w:val="003D344E"/>
    <w:rsid w:val="003D3818"/>
    <w:rsid w:val="003D3BE9"/>
    <w:rsid w:val="003D42C1"/>
    <w:rsid w:val="003D463D"/>
    <w:rsid w:val="003D470A"/>
    <w:rsid w:val="003D5413"/>
    <w:rsid w:val="003D5743"/>
    <w:rsid w:val="003D5A05"/>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873"/>
    <w:rsid w:val="004440CE"/>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23C5"/>
    <w:rsid w:val="004E3073"/>
    <w:rsid w:val="004E3693"/>
    <w:rsid w:val="004E36C1"/>
    <w:rsid w:val="004E36E0"/>
    <w:rsid w:val="004E3A6C"/>
    <w:rsid w:val="004E3D22"/>
    <w:rsid w:val="004E3F0B"/>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38F7"/>
    <w:rsid w:val="0057491B"/>
    <w:rsid w:val="0057519D"/>
    <w:rsid w:val="005756E3"/>
    <w:rsid w:val="00576617"/>
    <w:rsid w:val="0057663D"/>
    <w:rsid w:val="00577A86"/>
    <w:rsid w:val="00577B51"/>
    <w:rsid w:val="00577B74"/>
    <w:rsid w:val="00577BBC"/>
    <w:rsid w:val="00577E3D"/>
    <w:rsid w:val="0058068C"/>
    <w:rsid w:val="005806A9"/>
    <w:rsid w:val="005809A2"/>
    <w:rsid w:val="0058416D"/>
    <w:rsid w:val="005841AA"/>
    <w:rsid w:val="0058445E"/>
    <w:rsid w:val="00584805"/>
    <w:rsid w:val="0058515F"/>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DD"/>
    <w:rsid w:val="006305FB"/>
    <w:rsid w:val="00630B0A"/>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6B7"/>
    <w:rsid w:val="006B38EF"/>
    <w:rsid w:val="006B3951"/>
    <w:rsid w:val="006B39E4"/>
    <w:rsid w:val="006B449B"/>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C88"/>
    <w:rsid w:val="006D135C"/>
    <w:rsid w:val="006D1D42"/>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0D56"/>
    <w:rsid w:val="006F1B7F"/>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FD1"/>
    <w:rsid w:val="00766FE7"/>
    <w:rsid w:val="007670DC"/>
    <w:rsid w:val="00767304"/>
    <w:rsid w:val="007700F5"/>
    <w:rsid w:val="007706CD"/>
    <w:rsid w:val="00770EBD"/>
    <w:rsid w:val="00770F92"/>
    <w:rsid w:val="00771306"/>
    <w:rsid w:val="00772121"/>
    <w:rsid w:val="00772BF8"/>
    <w:rsid w:val="00772D61"/>
    <w:rsid w:val="0077328E"/>
    <w:rsid w:val="00774520"/>
    <w:rsid w:val="00774AB7"/>
    <w:rsid w:val="00774AE6"/>
    <w:rsid w:val="00774BDC"/>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96"/>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A57"/>
    <w:rsid w:val="007A5CB6"/>
    <w:rsid w:val="007A612B"/>
    <w:rsid w:val="007A614A"/>
    <w:rsid w:val="007A6181"/>
    <w:rsid w:val="007A6470"/>
    <w:rsid w:val="007A65B9"/>
    <w:rsid w:val="007A6810"/>
    <w:rsid w:val="007A6821"/>
    <w:rsid w:val="007B01FF"/>
    <w:rsid w:val="007B0683"/>
    <w:rsid w:val="007B085C"/>
    <w:rsid w:val="007B09BF"/>
    <w:rsid w:val="007B102A"/>
    <w:rsid w:val="007B109C"/>
    <w:rsid w:val="007B13A3"/>
    <w:rsid w:val="007B1E65"/>
    <w:rsid w:val="007B2A52"/>
    <w:rsid w:val="007B2E52"/>
    <w:rsid w:val="007B37B3"/>
    <w:rsid w:val="007B3C1D"/>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A3E"/>
    <w:rsid w:val="007D20EE"/>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6CD"/>
    <w:rsid w:val="008160DE"/>
    <w:rsid w:val="00816369"/>
    <w:rsid w:val="00816634"/>
    <w:rsid w:val="00816726"/>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B06"/>
    <w:rsid w:val="00834C38"/>
    <w:rsid w:val="00834C3C"/>
    <w:rsid w:val="00834D3F"/>
    <w:rsid w:val="00835533"/>
    <w:rsid w:val="00835699"/>
    <w:rsid w:val="008365A6"/>
    <w:rsid w:val="008365B8"/>
    <w:rsid w:val="00836DBE"/>
    <w:rsid w:val="008376F9"/>
    <w:rsid w:val="00837BDB"/>
    <w:rsid w:val="00837F6F"/>
    <w:rsid w:val="008400D8"/>
    <w:rsid w:val="008402A4"/>
    <w:rsid w:val="008419F9"/>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354"/>
    <w:rsid w:val="00854CF2"/>
    <w:rsid w:val="0085581A"/>
    <w:rsid w:val="00855886"/>
    <w:rsid w:val="008559FE"/>
    <w:rsid w:val="00857B5A"/>
    <w:rsid w:val="00857C83"/>
    <w:rsid w:val="00860120"/>
    <w:rsid w:val="0086076C"/>
    <w:rsid w:val="008609A7"/>
    <w:rsid w:val="00860CC1"/>
    <w:rsid w:val="00860E5E"/>
    <w:rsid w:val="00861219"/>
    <w:rsid w:val="0086135F"/>
    <w:rsid w:val="00861374"/>
    <w:rsid w:val="00861E76"/>
    <w:rsid w:val="008625ED"/>
    <w:rsid w:val="00862BED"/>
    <w:rsid w:val="00864107"/>
    <w:rsid w:val="008642B5"/>
    <w:rsid w:val="00864307"/>
    <w:rsid w:val="00864731"/>
    <w:rsid w:val="008647D7"/>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C31"/>
    <w:rsid w:val="00883CA7"/>
    <w:rsid w:val="00883D2A"/>
    <w:rsid w:val="0088421A"/>
    <w:rsid w:val="0088436A"/>
    <w:rsid w:val="00885C7D"/>
    <w:rsid w:val="00885D0F"/>
    <w:rsid w:val="00885E85"/>
    <w:rsid w:val="00886ADF"/>
    <w:rsid w:val="00887D83"/>
    <w:rsid w:val="00887E55"/>
    <w:rsid w:val="0089024B"/>
    <w:rsid w:val="008906BF"/>
    <w:rsid w:val="008908FB"/>
    <w:rsid w:val="00890B17"/>
    <w:rsid w:val="00890BB1"/>
    <w:rsid w:val="00890D97"/>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A"/>
    <w:rsid w:val="008B32CA"/>
    <w:rsid w:val="008B330E"/>
    <w:rsid w:val="008B3331"/>
    <w:rsid w:val="008B3946"/>
    <w:rsid w:val="008B3A68"/>
    <w:rsid w:val="008B3DDE"/>
    <w:rsid w:val="008B3EC4"/>
    <w:rsid w:val="008B4299"/>
    <w:rsid w:val="008B43B7"/>
    <w:rsid w:val="008B490E"/>
    <w:rsid w:val="008B4AB0"/>
    <w:rsid w:val="008B4E94"/>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6C0"/>
    <w:rsid w:val="00900784"/>
    <w:rsid w:val="009009C9"/>
    <w:rsid w:val="00900F8A"/>
    <w:rsid w:val="00901857"/>
    <w:rsid w:val="00902332"/>
    <w:rsid w:val="0090376C"/>
    <w:rsid w:val="00904290"/>
    <w:rsid w:val="00904596"/>
    <w:rsid w:val="00904BD9"/>
    <w:rsid w:val="00904EBF"/>
    <w:rsid w:val="00904FA3"/>
    <w:rsid w:val="0090540C"/>
    <w:rsid w:val="00905901"/>
    <w:rsid w:val="00905C16"/>
    <w:rsid w:val="00905EB9"/>
    <w:rsid w:val="00906421"/>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A41"/>
    <w:rsid w:val="00933431"/>
    <w:rsid w:val="009342F8"/>
    <w:rsid w:val="00934409"/>
    <w:rsid w:val="009345E4"/>
    <w:rsid w:val="00935556"/>
    <w:rsid w:val="00935701"/>
    <w:rsid w:val="00936FBA"/>
    <w:rsid w:val="00937075"/>
    <w:rsid w:val="0093723B"/>
    <w:rsid w:val="00937D0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A39"/>
    <w:rsid w:val="00990DF8"/>
    <w:rsid w:val="00990F4A"/>
    <w:rsid w:val="00991235"/>
    <w:rsid w:val="00991401"/>
    <w:rsid w:val="00991816"/>
    <w:rsid w:val="00991DC9"/>
    <w:rsid w:val="00992561"/>
    <w:rsid w:val="00992CF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328B"/>
    <w:rsid w:val="009E386F"/>
    <w:rsid w:val="009E444C"/>
    <w:rsid w:val="009E558E"/>
    <w:rsid w:val="009E5B75"/>
    <w:rsid w:val="009E679E"/>
    <w:rsid w:val="009E696F"/>
    <w:rsid w:val="009F013A"/>
    <w:rsid w:val="009F044C"/>
    <w:rsid w:val="009F20A3"/>
    <w:rsid w:val="009F2171"/>
    <w:rsid w:val="009F2A15"/>
    <w:rsid w:val="009F345B"/>
    <w:rsid w:val="009F384B"/>
    <w:rsid w:val="009F43F9"/>
    <w:rsid w:val="009F4799"/>
    <w:rsid w:val="009F4869"/>
    <w:rsid w:val="009F579C"/>
    <w:rsid w:val="009F5A8B"/>
    <w:rsid w:val="009F5DD2"/>
    <w:rsid w:val="009F64D4"/>
    <w:rsid w:val="009F6595"/>
    <w:rsid w:val="009F65F1"/>
    <w:rsid w:val="009F66D6"/>
    <w:rsid w:val="009F726E"/>
    <w:rsid w:val="009F764B"/>
    <w:rsid w:val="009F7A30"/>
    <w:rsid w:val="009F7F71"/>
    <w:rsid w:val="00A01428"/>
    <w:rsid w:val="00A018DF"/>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FB0"/>
    <w:rsid w:val="00A96112"/>
    <w:rsid w:val="00A963AD"/>
    <w:rsid w:val="00A96784"/>
    <w:rsid w:val="00A96E1F"/>
    <w:rsid w:val="00A96F2F"/>
    <w:rsid w:val="00A977F5"/>
    <w:rsid w:val="00A97B22"/>
    <w:rsid w:val="00A97D3F"/>
    <w:rsid w:val="00A97E98"/>
    <w:rsid w:val="00AA1299"/>
    <w:rsid w:val="00AA1930"/>
    <w:rsid w:val="00AA1C59"/>
    <w:rsid w:val="00AA1DA1"/>
    <w:rsid w:val="00AA1DE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352"/>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BBB"/>
    <w:rsid w:val="00AD2D3F"/>
    <w:rsid w:val="00AD2D8D"/>
    <w:rsid w:val="00AD5164"/>
    <w:rsid w:val="00AD5565"/>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9D7"/>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DE1"/>
    <w:rsid w:val="00B21E91"/>
    <w:rsid w:val="00B23137"/>
    <w:rsid w:val="00B23409"/>
    <w:rsid w:val="00B2342E"/>
    <w:rsid w:val="00B23938"/>
    <w:rsid w:val="00B23D5E"/>
    <w:rsid w:val="00B245EB"/>
    <w:rsid w:val="00B24B40"/>
    <w:rsid w:val="00B24EAA"/>
    <w:rsid w:val="00B2584C"/>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734E"/>
    <w:rsid w:val="00B97416"/>
    <w:rsid w:val="00B978CA"/>
    <w:rsid w:val="00B97916"/>
    <w:rsid w:val="00B97DEC"/>
    <w:rsid w:val="00B97EAF"/>
    <w:rsid w:val="00BA012B"/>
    <w:rsid w:val="00BA0193"/>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482"/>
    <w:rsid w:val="00BD31FC"/>
    <w:rsid w:val="00BD36A5"/>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22B"/>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99F"/>
    <w:rsid w:val="00BF074A"/>
    <w:rsid w:val="00BF0BD5"/>
    <w:rsid w:val="00BF0DB1"/>
    <w:rsid w:val="00BF121B"/>
    <w:rsid w:val="00BF129E"/>
    <w:rsid w:val="00BF1657"/>
    <w:rsid w:val="00BF17CE"/>
    <w:rsid w:val="00BF1F7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487"/>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EF1"/>
    <w:rsid w:val="00C27197"/>
    <w:rsid w:val="00C273C0"/>
    <w:rsid w:val="00C279BF"/>
    <w:rsid w:val="00C27C99"/>
    <w:rsid w:val="00C30615"/>
    <w:rsid w:val="00C30881"/>
    <w:rsid w:val="00C30A13"/>
    <w:rsid w:val="00C30A67"/>
    <w:rsid w:val="00C310D0"/>
    <w:rsid w:val="00C337EE"/>
    <w:rsid w:val="00C33AA3"/>
    <w:rsid w:val="00C33AD2"/>
    <w:rsid w:val="00C33EDA"/>
    <w:rsid w:val="00C3422A"/>
    <w:rsid w:val="00C352F7"/>
    <w:rsid w:val="00C353BB"/>
    <w:rsid w:val="00C3559D"/>
    <w:rsid w:val="00C35BC1"/>
    <w:rsid w:val="00C360F4"/>
    <w:rsid w:val="00C37109"/>
    <w:rsid w:val="00C37563"/>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448F"/>
    <w:rsid w:val="00C645EB"/>
    <w:rsid w:val="00C6476C"/>
    <w:rsid w:val="00C6519A"/>
    <w:rsid w:val="00C6535C"/>
    <w:rsid w:val="00C65AB0"/>
    <w:rsid w:val="00C67C03"/>
    <w:rsid w:val="00C70998"/>
    <w:rsid w:val="00C70C6E"/>
    <w:rsid w:val="00C70CF5"/>
    <w:rsid w:val="00C71230"/>
    <w:rsid w:val="00C7139E"/>
    <w:rsid w:val="00C72CE6"/>
    <w:rsid w:val="00C73D67"/>
    <w:rsid w:val="00C7470A"/>
    <w:rsid w:val="00C749B6"/>
    <w:rsid w:val="00C755B9"/>
    <w:rsid w:val="00C757A8"/>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542"/>
    <w:rsid w:val="00C85667"/>
    <w:rsid w:val="00C85D85"/>
    <w:rsid w:val="00C85F31"/>
    <w:rsid w:val="00C86937"/>
    <w:rsid w:val="00C86973"/>
    <w:rsid w:val="00C87039"/>
    <w:rsid w:val="00C877A4"/>
    <w:rsid w:val="00C87862"/>
    <w:rsid w:val="00C87BF4"/>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3F2"/>
    <w:rsid w:val="00CC752C"/>
    <w:rsid w:val="00CD08BF"/>
    <w:rsid w:val="00CD195B"/>
    <w:rsid w:val="00CD1EEB"/>
    <w:rsid w:val="00CD3C0E"/>
    <w:rsid w:val="00CD3C54"/>
    <w:rsid w:val="00CD4C97"/>
    <w:rsid w:val="00CD4CA7"/>
    <w:rsid w:val="00CD4DA3"/>
    <w:rsid w:val="00CD4DE3"/>
    <w:rsid w:val="00CD58B0"/>
    <w:rsid w:val="00CD591A"/>
    <w:rsid w:val="00CD5D04"/>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766"/>
    <w:rsid w:val="00CF7975"/>
    <w:rsid w:val="00CF799A"/>
    <w:rsid w:val="00CF7ABE"/>
    <w:rsid w:val="00CF7CC1"/>
    <w:rsid w:val="00CF7DA2"/>
    <w:rsid w:val="00D000DF"/>
    <w:rsid w:val="00D00585"/>
    <w:rsid w:val="00D00E51"/>
    <w:rsid w:val="00D013DD"/>
    <w:rsid w:val="00D0173A"/>
    <w:rsid w:val="00D01C34"/>
    <w:rsid w:val="00D02438"/>
    <w:rsid w:val="00D02974"/>
    <w:rsid w:val="00D03264"/>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8E2"/>
    <w:rsid w:val="00D24937"/>
    <w:rsid w:val="00D24B94"/>
    <w:rsid w:val="00D24C43"/>
    <w:rsid w:val="00D2512D"/>
    <w:rsid w:val="00D25B97"/>
    <w:rsid w:val="00D25F51"/>
    <w:rsid w:val="00D25FFC"/>
    <w:rsid w:val="00D27175"/>
    <w:rsid w:val="00D271AB"/>
    <w:rsid w:val="00D275FD"/>
    <w:rsid w:val="00D27B37"/>
    <w:rsid w:val="00D30324"/>
    <w:rsid w:val="00D3065F"/>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1CF"/>
    <w:rsid w:val="00DD124D"/>
    <w:rsid w:val="00DD158F"/>
    <w:rsid w:val="00DD1A23"/>
    <w:rsid w:val="00DD26C1"/>
    <w:rsid w:val="00DD2853"/>
    <w:rsid w:val="00DD33B9"/>
    <w:rsid w:val="00DD398C"/>
    <w:rsid w:val="00DD47E9"/>
    <w:rsid w:val="00DD4AA4"/>
    <w:rsid w:val="00DD5F85"/>
    <w:rsid w:val="00DD7D1D"/>
    <w:rsid w:val="00DE054F"/>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E00"/>
    <w:rsid w:val="00E0110B"/>
    <w:rsid w:val="00E015B7"/>
    <w:rsid w:val="00E01E1B"/>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B60"/>
    <w:rsid w:val="00E13102"/>
    <w:rsid w:val="00E13159"/>
    <w:rsid w:val="00E136F4"/>
    <w:rsid w:val="00E13740"/>
    <w:rsid w:val="00E1413A"/>
    <w:rsid w:val="00E14434"/>
    <w:rsid w:val="00E1480F"/>
    <w:rsid w:val="00E14C8C"/>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7B5"/>
    <w:rsid w:val="00E32847"/>
    <w:rsid w:val="00E32B56"/>
    <w:rsid w:val="00E32E1B"/>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EC"/>
    <w:rsid w:val="00E44A9B"/>
    <w:rsid w:val="00E44AAF"/>
    <w:rsid w:val="00E44BC9"/>
    <w:rsid w:val="00E44C1D"/>
    <w:rsid w:val="00E450EF"/>
    <w:rsid w:val="00E45236"/>
    <w:rsid w:val="00E4584A"/>
    <w:rsid w:val="00E4686C"/>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59F"/>
    <w:rsid w:val="00E94871"/>
    <w:rsid w:val="00E95230"/>
    <w:rsid w:val="00E96089"/>
    <w:rsid w:val="00E975AD"/>
    <w:rsid w:val="00E9763E"/>
    <w:rsid w:val="00E97AE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3349"/>
    <w:rsid w:val="00EB3C03"/>
    <w:rsid w:val="00EB40DB"/>
    <w:rsid w:val="00EB4591"/>
    <w:rsid w:val="00EB4ABC"/>
    <w:rsid w:val="00EB51DF"/>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D4E"/>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10C5"/>
    <w:rsid w:val="00F211A4"/>
    <w:rsid w:val="00F21636"/>
    <w:rsid w:val="00F21E66"/>
    <w:rsid w:val="00F21EB4"/>
    <w:rsid w:val="00F22432"/>
    <w:rsid w:val="00F234C6"/>
    <w:rsid w:val="00F23501"/>
    <w:rsid w:val="00F241A7"/>
    <w:rsid w:val="00F2424C"/>
    <w:rsid w:val="00F24CA0"/>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583F"/>
    <w:rsid w:val="00F45A8B"/>
    <w:rsid w:val="00F46167"/>
    <w:rsid w:val="00F46400"/>
    <w:rsid w:val="00F47174"/>
    <w:rsid w:val="00F47636"/>
    <w:rsid w:val="00F47681"/>
    <w:rsid w:val="00F47690"/>
    <w:rsid w:val="00F4780F"/>
    <w:rsid w:val="00F47BC2"/>
    <w:rsid w:val="00F47F6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C1"/>
    <w:rsid w:val="00FE37CC"/>
    <w:rsid w:val="00FE3A05"/>
    <w:rsid w:val="00FE3E1C"/>
    <w:rsid w:val="00FE4152"/>
    <w:rsid w:val="00FE4B3C"/>
    <w:rsid w:val="00FE4F00"/>
    <w:rsid w:val="00FE5C37"/>
    <w:rsid w:val="00FE6395"/>
    <w:rsid w:val="00FE66E2"/>
    <w:rsid w:val="00FE6E82"/>
    <w:rsid w:val="00FE7515"/>
    <w:rsid w:val="00FE7703"/>
    <w:rsid w:val="00FE7C31"/>
    <w:rsid w:val="00FE7C9A"/>
    <w:rsid w:val="00FE7CF9"/>
    <w:rsid w:val="00FF0202"/>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63102"/>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5.3.235\Gestion_DAE\Indicadores%20coyuntura\notas-calendario\IConsumo%20Privado%202013\Nueva%20Base%202013%2008-17\2019\05-19\Graficas%20Consumo%20Priv%20%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Consumo%20Privado\Graficas%20Consumo%20Priv%20%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'!$C$77:$C$141</c:f>
              <c:numCache>
                <c:formatCode>0.0</c:formatCode>
                <c:ptCount val="65"/>
                <c:pt idx="0">
                  <c:v>100.458265874072</c:v>
                </c:pt>
                <c:pt idx="1">
                  <c:v>101.019453909177</c:v>
                </c:pt>
                <c:pt idx="2">
                  <c:v>101.121204676424</c:v>
                </c:pt>
                <c:pt idx="3">
                  <c:v>102.576351141137</c:v>
                </c:pt>
                <c:pt idx="4">
                  <c:v>102.839299456221</c:v>
                </c:pt>
                <c:pt idx="5">
                  <c:v>102.836627178383</c:v>
                </c:pt>
                <c:pt idx="6">
                  <c:v>102.791299598024</c:v>
                </c:pt>
                <c:pt idx="7">
                  <c:v>102.213170739516</c:v>
                </c:pt>
                <c:pt idx="8">
                  <c:v>102.420647207144</c:v>
                </c:pt>
                <c:pt idx="9">
                  <c:v>103.42159976439</c:v>
                </c:pt>
                <c:pt idx="10">
                  <c:v>103.646680215769</c:v>
                </c:pt>
                <c:pt idx="11">
                  <c:v>102.306647952685</c:v>
                </c:pt>
                <c:pt idx="12">
                  <c:v>103.89870658928599</c:v>
                </c:pt>
                <c:pt idx="13">
                  <c:v>103.507866931994</c:v>
                </c:pt>
                <c:pt idx="14">
                  <c:v>103.87500190398499</c:v>
                </c:pt>
                <c:pt idx="15">
                  <c:v>104.485309521804</c:v>
                </c:pt>
                <c:pt idx="16">
                  <c:v>104.67784980173499</c:v>
                </c:pt>
                <c:pt idx="17">
                  <c:v>105.102964390411</c:v>
                </c:pt>
                <c:pt idx="18">
                  <c:v>104.902293335157</c:v>
                </c:pt>
                <c:pt idx="19">
                  <c:v>106.636699509864</c:v>
                </c:pt>
                <c:pt idx="20">
                  <c:v>106.83467998410001</c:v>
                </c:pt>
                <c:pt idx="21">
                  <c:v>107.84430944939299</c:v>
                </c:pt>
                <c:pt idx="22">
                  <c:v>107.485465500651</c:v>
                </c:pt>
                <c:pt idx="23">
                  <c:v>107.598385942261</c:v>
                </c:pt>
                <c:pt idx="24">
                  <c:v>108.42863818099001</c:v>
                </c:pt>
                <c:pt idx="25">
                  <c:v>108.733153551554</c:v>
                </c:pt>
                <c:pt idx="26">
                  <c:v>108.576652207747</c:v>
                </c:pt>
                <c:pt idx="27">
                  <c:v>107.61400263092099</c:v>
                </c:pt>
                <c:pt idx="28">
                  <c:v>108.787486860443</c:v>
                </c:pt>
                <c:pt idx="29">
                  <c:v>109.777727969758</c:v>
                </c:pt>
                <c:pt idx="30">
                  <c:v>110.050187099581</c:v>
                </c:pt>
                <c:pt idx="31">
                  <c:v>110.370222213484</c:v>
                </c:pt>
                <c:pt idx="32">
                  <c:v>110.947696912819</c:v>
                </c:pt>
                <c:pt idx="33">
                  <c:v>111.22745646708999</c:v>
                </c:pt>
                <c:pt idx="34">
                  <c:v>111.26631564146101</c:v>
                </c:pt>
                <c:pt idx="35">
                  <c:v>113.999105512756</c:v>
                </c:pt>
                <c:pt idx="36">
                  <c:v>112.646897573286</c:v>
                </c:pt>
                <c:pt idx="37">
                  <c:v>112.86201042909801</c:v>
                </c:pt>
                <c:pt idx="38">
                  <c:v>111.476851237191</c:v>
                </c:pt>
                <c:pt idx="39">
                  <c:v>113.214262335321</c:v>
                </c:pt>
                <c:pt idx="40">
                  <c:v>113.347313818676</c:v>
                </c:pt>
                <c:pt idx="41">
                  <c:v>113.933771331692</c:v>
                </c:pt>
                <c:pt idx="42">
                  <c:v>113.925281293789</c:v>
                </c:pt>
                <c:pt idx="43">
                  <c:v>114.0123237518</c:v>
                </c:pt>
                <c:pt idx="44">
                  <c:v>114.382952981671</c:v>
                </c:pt>
                <c:pt idx="45">
                  <c:v>113.947373419171</c:v>
                </c:pt>
                <c:pt idx="46">
                  <c:v>114.45483082778701</c:v>
                </c:pt>
                <c:pt idx="47">
                  <c:v>116.172135885594</c:v>
                </c:pt>
                <c:pt idx="48">
                  <c:v>114.65551546016199</c:v>
                </c:pt>
                <c:pt idx="49">
                  <c:v>114.743931721648</c:v>
                </c:pt>
                <c:pt idx="50">
                  <c:v>116.208166224602</c:v>
                </c:pt>
                <c:pt idx="51">
                  <c:v>115.26271838882499</c:v>
                </c:pt>
                <c:pt idx="52">
                  <c:v>116.151567652514</c:v>
                </c:pt>
                <c:pt idx="53">
                  <c:v>116.13048701185799</c:v>
                </c:pt>
                <c:pt idx="54">
                  <c:v>116.40214688808599</c:v>
                </c:pt>
                <c:pt idx="55">
                  <c:v>116.88126078701799</c:v>
                </c:pt>
                <c:pt idx="56">
                  <c:v>117.631941458003</c:v>
                </c:pt>
                <c:pt idx="57">
                  <c:v>115.67417673937599</c:v>
                </c:pt>
                <c:pt idx="58">
                  <c:v>116.88058014903299</c:v>
                </c:pt>
                <c:pt idx="59">
                  <c:v>116.857554745922</c:v>
                </c:pt>
                <c:pt idx="60">
                  <c:v>117.09783749809399</c:v>
                </c:pt>
                <c:pt idx="61">
                  <c:v>117.085547697724</c:v>
                </c:pt>
                <c:pt idx="62">
                  <c:v>115.40265639191399</c:v>
                </c:pt>
                <c:pt idx="63">
                  <c:v>116.689428125597</c:v>
                </c:pt>
                <c:pt idx="64">
                  <c:v>116.472204260157</c:v>
                </c:pt>
              </c:numCache>
            </c:numRef>
          </c:val>
          <c:extLst>
            <c:ext xmlns:c16="http://schemas.microsoft.com/office/drawing/2014/chart" uri="{C3380CC4-5D6E-409C-BE32-E72D297353CC}">
              <c16:uniqueId val="{00000000-9B2A-4F51-8859-CC602DFFAA2D}"/>
            </c:ext>
          </c:extLst>
        </c:ser>
        <c:dLbls>
          <c:showLegendKey val="0"/>
          <c:showVal val="0"/>
          <c:showCatName val="0"/>
          <c:showSerName val="0"/>
          <c:showPercent val="0"/>
          <c:showBubbleSize val="0"/>
        </c:dLbls>
        <c:gapWidth val="50"/>
        <c:axId val="516107152"/>
        <c:axId val="516105584"/>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'!$D$77:$D$141</c:f>
              <c:numCache>
                <c:formatCode>0.0</c:formatCode>
                <c:ptCount val="65"/>
                <c:pt idx="0">
                  <c:v>100.660426364277</c:v>
                </c:pt>
                <c:pt idx="1">
                  <c:v>101.09322646435599</c:v>
                </c:pt>
                <c:pt idx="2">
                  <c:v>101.610672520123</c:v>
                </c:pt>
                <c:pt idx="3">
                  <c:v>102.09404363217099</c:v>
                </c:pt>
                <c:pt idx="4">
                  <c:v>102.449720076397</c:v>
                </c:pt>
                <c:pt idx="5">
                  <c:v>102.641331849644</c:v>
                </c:pt>
                <c:pt idx="6">
                  <c:v>102.714715756621</c:v>
                </c:pt>
                <c:pt idx="7">
                  <c:v>102.767891432315</c:v>
                </c:pt>
                <c:pt idx="8">
                  <c:v>102.87544571771301</c:v>
                </c:pt>
                <c:pt idx="9">
                  <c:v>103.05368912350799</c:v>
                </c:pt>
                <c:pt idx="10">
                  <c:v>103.279840905783</c:v>
                </c:pt>
                <c:pt idx="11">
                  <c:v>103.489326453385</c:v>
                </c:pt>
                <c:pt idx="12">
                  <c:v>103.665400680331</c:v>
                </c:pt>
                <c:pt idx="13">
                  <c:v>103.815311149072</c:v>
                </c:pt>
                <c:pt idx="14">
                  <c:v>104.000480447321</c:v>
                </c:pt>
                <c:pt idx="15">
                  <c:v>104.28134392932699</c:v>
                </c:pt>
                <c:pt idx="16">
                  <c:v>104.68991422745999</c:v>
                </c:pt>
                <c:pt idx="17">
                  <c:v>105.206302598682</c:v>
                </c:pt>
                <c:pt idx="18">
                  <c:v>105.777147713426</c:v>
                </c:pt>
                <c:pt idx="19">
                  <c:v>106.345038098885</c:v>
                </c:pt>
                <c:pt idx="20">
                  <c:v>106.86531043520699</c:v>
                </c:pt>
                <c:pt idx="21">
                  <c:v>107.32362922186</c:v>
                </c:pt>
                <c:pt idx="22">
                  <c:v>107.70664444221801</c:v>
                </c:pt>
                <c:pt idx="23">
                  <c:v>107.997654880933</c:v>
                </c:pt>
                <c:pt idx="24">
                  <c:v>108.223239714323</c:v>
                </c:pt>
                <c:pt idx="25">
                  <c:v>108.428234395575</c:v>
                </c:pt>
                <c:pt idx="26">
                  <c:v>108.64740248956301</c:v>
                </c:pt>
                <c:pt idx="27">
                  <c:v>108.897228484937</c:v>
                </c:pt>
                <c:pt idx="28">
                  <c:v>109.20617484934</c:v>
                </c:pt>
                <c:pt idx="29">
                  <c:v>109.56262351823599</c:v>
                </c:pt>
                <c:pt idx="30">
                  <c:v>109.964250867714</c:v>
                </c:pt>
                <c:pt idx="31">
                  <c:v>110.389442906136</c:v>
                </c:pt>
                <c:pt idx="32">
                  <c:v>110.80915383637</c:v>
                </c:pt>
                <c:pt idx="33">
                  <c:v>111.220656581949</c:v>
                </c:pt>
                <c:pt idx="34">
                  <c:v>111.635258021092</c:v>
                </c:pt>
                <c:pt idx="35">
                  <c:v>112.040922882088</c:v>
                </c:pt>
                <c:pt idx="36">
                  <c:v>112.427196310965</c:v>
                </c:pt>
                <c:pt idx="37">
                  <c:v>112.769039573378</c:v>
                </c:pt>
                <c:pt idx="38">
                  <c:v>113.059031001216</c:v>
                </c:pt>
                <c:pt idx="39">
                  <c:v>113.312396988516</c:v>
                </c:pt>
                <c:pt idx="40">
                  <c:v>113.531100334806</c:v>
                </c:pt>
                <c:pt idx="41">
                  <c:v>113.72401180729</c:v>
                </c:pt>
                <c:pt idx="42">
                  <c:v>113.90188699474599</c:v>
                </c:pt>
                <c:pt idx="43">
                  <c:v>114.054990296749</c:v>
                </c:pt>
                <c:pt idx="44">
                  <c:v>114.16595178750499</c:v>
                </c:pt>
                <c:pt idx="45">
                  <c:v>114.268116459588</c:v>
                </c:pt>
                <c:pt idx="46">
                  <c:v>114.38562822717201</c:v>
                </c:pt>
                <c:pt idx="47">
                  <c:v>114.54760636664599</c:v>
                </c:pt>
                <c:pt idx="48">
                  <c:v>114.76521155249</c:v>
                </c:pt>
                <c:pt idx="49">
                  <c:v>115.020920252576</c:v>
                </c:pt>
                <c:pt idx="50">
                  <c:v>115.308683859232</c:v>
                </c:pt>
                <c:pt idx="51">
                  <c:v>115.620132298797</c:v>
                </c:pt>
                <c:pt idx="52">
                  <c:v>115.934508719227</c:v>
                </c:pt>
                <c:pt idx="53">
                  <c:v>116.235601453024</c:v>
                </c:pt>
                <c:pt idx="54">
                  <c:v>116.483050801883</c:v>
                </c:pt>
                <c:pt idx="55">
                  <c:v>116.66388293283801</c:v>
                </c:pt>
                <c:pt idx="56">
                  <c:v>116.797613159851</c:v>
                </c:pt>
                <c:pt idx="57">
                  <c:v>116.89064588094099</c:v>
                </c:pt>
                <c:pt idx="58">
                  <c:v>116.940553275998</c:v>
                </c:pt>
                <c:pt idx="59">
                  <c:v>116.960462422913</c:v>
                </c:pt>
                <c:pt idx="60">
                  <c:v>116.936262818286</c:v>
                </c:pt>
                <c:pt idx="61">
                  <c:v>116.873721440317</c:v>
                </c:pt>
                <c:pt idx="62">
                  <c:v>116.777836996083</c:v>
                </c:pt>
                <c:pt idx="63">
                  <c:v>116.67705053971299</c:v>
                </c:pt>
                <c:pt idx="64">
                  <c:v>116.605639947843</c:v>
                </c:pt>
              </c:numCache>
            </c:numRef>
          </c:val>
          <c:smooth val="0"/>
          <c:extLst>
            <c:ext xmlns:c16="http://schemas.microsoft.com/office/drawing/2014/chart" uri="{C3380CC4-5D6E-409C-BE32-E72D297353CC}">
              <c16:uniqueId val="{00000001-9B2A-4F51-8859-CC602DFFAA2D}"/>
            </c:ext>
          </c:extLst>
        </c:ser>
        <c:dLbls>
          <c:showLegendKey val="0"/>
          <c:showVal val="0"/>
          <c:showCatName val="0"/>
          <c:showSerName val="0"/>
          <c:showPercent val="0"/>
          <c:showBubbleSize val="0"/>
        </c:dLbls>
        <c:marker val="1"/>
        <c:smooth val="0"/>
        <c:axId val="516107152"/>
        <c:axId val="516105584"/>
      </c:lineChart>
      <c:catAx>
        <c:axId val="516107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516105584"/>
        <c:crosses val="autoZero"/>
        <c:auto val="1"/>
        <c:lblAlgn val="ctr"/>
        <c:lblOffset val="100"/>
        <c:tickLblSkip val="1"/>
        <c:tickMarkSkip val="12"/>
        <c:noMultiLvlLbl val="1"/>
      </c:catAx>
      <c:valAx>
        <c:axId val="516105584"/>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516107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'!$C$77:$C$141</c:f>
              <c:numCache>
                <c:formatCode>0.0</c:formatCode>
                <c:ptCount val="65"/>
                <c:pt idx="0">
                  <c:v>100.458265874072</c:v>
                </c:pt>
                <c:pt idx="1">
                  <c:v>101.019453909177</c:v>
                </c:pt>
                <c:pt idx="2">
                  <c:v>101.121204676424</c:v>
                </c:pt>
                <c:pt idx="3">
                  <c:v>102.576351141137</c:v>
                </c:pt>
                <c:pt idx="4">
                  <c:v>102.839299456221</c:v>
                </c:pt>
                <c:pt idx="5">
                  <c:v>102.836627178383</c:v>
                </c:pt>
                <c:pt idx="6">
                  <c:v>102.791299598024</c:v>
                </c:pt>
                <c:pt idx="7">
                  <c:v>102.213170739516</c:v>
                </c:pt>
                <c:pt idx="8">
                  <c:v>102.420647207144</c:v>
                </c:pt>
                <c:pt idx="9">
                  <c:v>103.42159976439</c:v>
                </c:pt>
                <c:pt idx="10">
                  <c:v>103.646680215769</c:v>
                </c:pt>
                <c:pt idx="11">
                  <c:v>102.306647952685</c:v>
                </c:pt>
                <c:pt idx="12">
                  <c:v>103.89870658928599</c:v>
                </c:pt>
                <c:pt idx="13">
                  <c:v>103.507866931994</c:v>
                </c:pt>
                <c:pt idx="14">
                  <c:v>103.87500190398499</c:v>
                </c:pt>
                <c:pt idx="15">
                  <c:v>104.485309521804</c:v>
                </c:pt>
                <c:pt idx="16">
                  <c:v>104.67784980173499</c:v>
                </c:pt>
                <c:pt idx="17">
                  <c:v>105.102964390411</c:v>
                </c:pt>
                <c:pt idx="18">
                  <c:v>104.902293335157</c:v>
                </c:pt>
                <c:pt idx="19">
                  <c:v>106.636699509864</c:v>
                </c:pt>
                <c:pt idx="20">
                  <c:v>106.83467998410001</c:v>
                </c:pt>
                <c:pt idx="21">
                  <c:v>107.84430944939299</c:v>
                </c:pt>
                <c:pt idx="22">
                  <c:v>107.485465500651</c:v>
                </c:pt>
                <c:pt idx="23">
                  <c:v>107.598385942261</c:v>
                </c:pt>
                <c:pt idx="24">
                  <c:v>108.42863818099001</c:v>
                </c:pt>
                <c:pt idx="25">
                  <c:v>108.733153551554</c:v>
                </c:pt>
                <c:pt idx="26">
                  <c:v>108.576652207747</c:v>
                </c:pt>
                <c:pt idx="27">
                  <c:v>107.61400263092099</c:v>
                </c:pt>
                <c:pt idx="28">
                  <c:v>108.787486860443</c:v>
                </c:pt>
                <c:pt idx="29">
                  <c:v>109.777727969758</c:v>
                </c:pt>
                <c:pt idx="30">
                  <c:v>110.050187099581</c:v>
                </c:pt>
                <c:pt idx="31">
                  <c:v>110.370222213484</c:v>
                </c:pt>
                <c:pt idx="32">
                  <c:v>110.947696912819</c:v>
                </c:pt>
                <c:pt idx="33">
                  <c:v>111.22745646708999</c:v>
                </c:pt>
                <c:pt idx="34">
                  <c:v>111.26631564146101</c:v>
                </c:pt>
                <c:pt idx="35">
                  <c:v>113.999105512756</c:v>
                </c:pt>
                <c:pt idx="36">
                  <c:v>112.646897573286</c:v>
                </c:pt>
                <c:pt idx="37">
                  <c:v>112.86201042909801</c:v>
                </c:pt>
                <c:pt idx="38">
                  <c:v>111.476851237191</c:v>
                </c:pt>
                <c:pt idx="39">
                  <c:v>113.214262335321</c:v>
                </c:pt>
                <c:pt idx="40">
                  <c:v>113.347313818676</c:v>
                </c:pt>
                <c:pt idx="41">
                  <c:v>113.933771331692</c:v>
                </c:pt>
                <c:pt idx="42">
                  <c:v>113.925281293789</c:v>
                </c:pt>
                <c:pt idx="43">
                  <c:v>114.0123237518</c:v>
                </c:pt>
                <c:pt idx="44">
                  <c:v>114.382952981671</c:v>
                </c:pt>
                <c:pt idx="45">
                  <c:v>113.947373419171</c:v>
                </c:pt>
                <c:pt idx="46">
                  <c:v>114.45483082778701</c:v>
                </c:pt>
                <c:pt idx="47">
                  <c:v>116.172135885594</c:v>
                </c:pt>
                <c:pt idx="48">
                  <c:v>114.65551546016199</c:v>
                </c:pt>
                <c:pt idx="49">
                  <c:v>114.743931721648</c:v>
                </c:pt>
                <c:pt idx="50">
                  <c:v>116.208166224602</c:v>
                </c:pt>
                <c:pt idx="51">
                  <c:v>115.26271838882499</c:v>
                </c:pt>
                <c:pt idx="52">
                  <c:v>116.151567652514</c:v>
                </c:pt>
                <c:pt idx="53">
                  <c:v>116.13048701185799</c:v>
                </c:pt>
                <c:pt idx="54">
                  <c:v>116.40214688808599</c:v>
                </c:pt>
                <c:pt idx="55">
                  <c:v>116.88126078701799</c:v>
                </c:pt>
                <c:pt idx="56">
                  <c:v>117.631941458003</c:v>
                </c:pt>
                <c:pt idx="57">
                  <c:v>115.67417673937599</c:v>
                </c:pt>
                <c:pt idx="58">
                  <c:v>116.88058014903299</c:v>
                </c:pt>
                <c:pt idx="59">
                  <c:v>116.857554745922</c:v>
                </c:pt>
                <c:pt idx="60">
                  <c:v>117.09783749809399</c:v>
                </c:pt>
                <c:pt idx="61">
                  <c:v>117.085547697724</c:v>
                </c:pt>
                <c:pt idx="62">
                  <c:v>115.40265639191399</c:v>
                </c:pt>
                <c:pt idx="63">
                  <c:v>116.689428125597</c:v>
                </c:pt>
                <c:pt idx="64">
                  <c:v>116.472204260157</c:v>
                </c:pt>
              </c:numCache>
            </c:numRef>
          </c:val>
          <c:extLst>
            <c:ext xmlns:c16="http://schemas.microsoft.com/office/drawing/2014/chart" uri="{C3380CC4-5D6E-409C-BE32-E72D297353CC}">
              <c16:uniqueId val="{00000000-E4EF-47D2-913F-FEC227A2DBC8}"/>
            </c:ext>
          </c:extLst>
        </c:ser>
        <c:dLbls>
          <c:showLegendKey val="0"/>
          <c:showVal val="0"/>
          <c:showCatName val="0"/>
          <c:showSerName val="0"/>
          <c:showPercent val="0"/>
          <c:showBubbleSize val="0"/>
        </c:dLbls>
        <c:gapWidth val="50"/>
        <c:axId val="516107152"/>
        <c:axId val="516105584"/>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'!$D$77:$D$141</c:f>
              <c:numCache>
                <c:formatCode>0.0</c:formatCode>
                <c:ptCount val="65"/>
                <c:pt idx="0">
                  <c:v>100.660426364277</c:v>
                </c:pt>
                <c:pt idx="1">
                  <c:v>101.09322646435599</c:v>
                </c:pt>
                <c:pt idx="2">
                  <c:v>101.610672520123</c:v>
                </c:pt>
                <c:pt idx="3">
                  <c:v>102.09404363217099</c:v>
                </c:pt>
                <c:pt idx="4">
                  <c:v>102.449720076397</c:v>
                </c:pt>
                <c:pt idx="5">
                  <c:v>102.641331849644</c:v>
                </c:pt>
                <c:pt idx="6">
                  <c:v>102.714715756621</c:v>
                </c:pt>
                <c:pt idx="7">
                  <c:v>102.767891432315</c:v>
                </c:pt>
                <c:pt idx="8">
                  <c:v>102.87544571771301</c:v>
                </c:pt>
                <c:pt idx="9">
                  <c:v>103.05368912350799</c:v>
                </c:pt>
                <c:pt idx="10">
                  <c:v>103.279840905783</c:v>
                </c:pt>
                <c:pt idx="11">
                  <c:v>103.489326453385</c:v>
                </c:pt>
                <c:pt idx="12">
                  <c:v>103.665400680331</c:v>
                </c:pt>
                <c:pt idx="13">
                  <c:v>103.815311149072</c:v>
                </c:pt>
                <c:pt idx="14">
                  <c:v>104.000480447321</c:v>
                </c:pt>
                <c:pt idx="15">
                  <c:v>104.28134392932699</c:v>
                </c:pt>
                <c:pt idx="16">
                  <c:v>104.68991422745999</c:v>
                </c:pt>
                <c:pt idx="17">
                  <c:v>105.206302598682</c:v>
                </c:pt>
                <c:pt idx="18">
                  <c:v>105.777147713426</c:v>
                </c:pt>
                <c:pt idx="19">
                  <c:v>106.345038098885</c:v>
                </c:pt>
                <c:pt idx="20">
                  <c:v>106.86531043520699</c:v>
                </c:pt>
                <c:pt idx="21">
                  <c:v>107.32362922186</c:v>
                </c:pt>
                <c:pt idx="22">
                  <c:v>107.70664444221801</c:v>
                </c:pt>
                <c:pt idx="23">
                  <c:v>107.997654880933</c:v>
                </c:pt>
                <c:pt idx="24">
                  <c:v>108.223239714323</c:v>
                </c:pt>
                <c:pt idx="25">
                  <c:v>108.428234395575</c:v>
                </c:pt>
                <c:pt idx="26">
                  <c:v>108.64740248956301</c:v>
                </c:pt>
                <c:pt idx="27">
                  <c:v>108.897228484937</c:v>
                </c:pt>
                <c:pt idx="28">
                  <c:v>109.20617484934</c:v>
                </c:pt>
                <c:pt idx="29">
                  <c:v>109.56262351823599</c:v>
                </c:pt>
                <c:pt idx="30">
                  <c:v>109.964250867714</c:v>
                </c:pt>
                <c:pt idx="31">
                  <c:v>110.389442906136</c:v>
                </c:pt>
                <c:pt idx="32">
                  <c:v>110.80915383637</c:v>
                </c:pt>
                <c:pt idx="33">
                  <c:v>111.220656581949</c:v>
                </c:pt>
                <c:pt idx="34">
                  <c:v>111.635258021092</c:v>
                </c:pt>
                <c:pt idx="35">
                  <c:v>112.040922882088</c:v>
                </c:pt>
                <c:pt idx="36">
                  <c:v>112.427196310965</c:v>
                </c:pt>
                <c:pt idx="37">
                  <c:v>112.769039573378</c:v>
                </c:pt>
                <c:pt idx="38">
                  <c:v>113.059031001216</c:v>
                </c:pt>
                <c:pt idx="39">
                  <c:v>113.312396988516</c:v>
                </c:pt>
                <c:pt idx="40">
                  <c:v>113.531100334806</c:v>
                </c:pt>
                <c:pt idx="41">
                  <c:v>113.72401180729</c:v>
                </c:pt>
                <c:pt idx="42">
                  <c:v>113.90188699474599</c:v>
                </c:pt>
                <c:pt idx="43">
                  <c:v>114.054990296749</c:v>
                </c:pt>
                <c:pt idx="44">
                  <c:v>114.16595178750499</c:v>
                </c:pt>
                <c:pt idx="45">
                  <c:v>114.268116459588</c:v>
                </c:pt>
                <c:pt idx="46">
                  <c:v>114.38562822717201</c:v>
                </c:pt>
                <c:pt idx="47">
                  <c:v>114.54760636664599</c:v>
                </c:pt>
                <c:pt idx="48">
                  <c:v>114.76521155249</c:v>
                </c:pt>
                <c:pt idx="49">
                  <c:v>115.020920252576</c:v>
                </c:pt>
                <c:pt idx="50">
                  <c:v>115.308683859232</c:v>
                </c:pt>
                <c:pt idx="51">
                  <c:v>115.620132298797</c:v>
                </c:pt>
                <c:pt idx="52">
                  <c:v>115.934508719227</c:v>
                </c:pt>
                <c:pt idx="53">
                  <c:v>116.235601453024</c:v>
                </c:pt>
                <c:pt idx="54">
                  <c:v>116.483050801883</c:v>
                </c:pt>
                <c:pt idx="55">
                  <c:v>116.66388293283801</c:v>
                </c:pt>
                <c:pt idx="56">
                  <c:v>116.797613159851</c:v>
                </c:pt>
                <c:pt idx="57">
                  <c:v>116.89064588094099</c:v>
                </c:pt>
                <c:pt idx="58">
                  <c:v>116.940553275998</c:v>
                </c:pt>
                <c:pt idx="59">
                  <c:v>116.960462422913</c:v>
                </c:pt>
                <c:pt idx="60">
                  <c:v>116.936262818286</c:v>
                </c:pt>
                <c:pt idx="61">
                  <c:v>116.873721440317</c:v>
                </c:pt>
                <c:pt idx="62">
                  <c:v>116.777836996083</c:v>
                </c:pt>
                <c:pt idx="63">
                  <c:v>116.67705053971299</c:v>
                </c:pt>
                <c:pt idx="64">
                  <c:v>116.605639947843</c:v>
                </c:pt>
              </c:numCache>
            </c:numRef>
          </c:val>
          <c:smooth val="0"/>
          <c:extLst>
            <c:ext xmlns:c16="http://schemas.microsoft.com/office/drawing/2014/chart" uri="{C3380CC4-5D6E-409C-BE32-E72D297353CC}">
              <c16:uniqueId val="{00000001-E4EF-47D2-913F-FEC227A2DBC8}"/>
            </c:ext>
          </c:extLst>
        </c:ser>
        <c:dLbls>
          <c:showLegendKey val="0"/>
          <c:showVal val="0"/>
          <c:showCatName val="0"/>
          <c:showSerName val="0"/>
          <c:showPercent val="0"/>
          <c:showBubbleSize val="0"/>
        </c:dLbls>
        <c:marker val="1"/>
        <c:smooth val="0"/>
        <c:axId val="516107152"/>
        <c:axId val="516105584"/>
      </c:lineChart>
      <c:catAx>
        <c:axId val="516107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516105584"/>
        <c:crosses val="autoZero"/>
        <c:auto val="1"/>
        <c:lblAlgn val="ctr"/>
        <c:lblOffset val="100"/>
        <c:tickLblSkip val="1"/>
        <c:tickMarkSkip val="12"/>
        <c:noMultiLvlLbl val="1"/>
      </c:catAx>
      <c:valAx>
        <c:axId val="516105584"/>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516107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'!$G$77:$G$141</c:f>
              <c:numCache>
                <c:formatCode>0.0</c:formatCode>
                <c:ptCount val="65"/>
                <c:pt idx="0">
                  <c:v>99.309007981260393</c:v>
                </c:pt>
                <c:pt idx="1">
                  <c:v>100.975570358113</c:v>
                </c:pt>
                <c:pt idx="2">
                  <c:v>101.51100780973201</c:v>
                </c:pt>
                <c:pt idx="3">
                  <c:v>104.40341430486799</c:v>
                </c:pt>
                <c:pt idx="4">
                  <c:v>105.062859386223</c:v>
                </c:pt>
                <c:pt idx="5">
                  <c:v>103.739327991617</c:v>
                </c:pt>
                <c:pt idx="6">
                  <c:v>104.337394682023</c:v>
                </c:pt>
                <c:pt idx="7">
                  <c:v>104.22728015308</c:v>
                </c:pt>
                <c:pt idx="8">
                  <c:v>100.103204075207</c:v>
                </c:pt>
                <c:pt idx="9">
                  <c:v>105.495212363232</c:v>
                </c:pt>
                <c:pt idx="10">
                  <c:v>106.381046800601</c:v>
                </c:pt>
                <c:pt idx="11">
                  <c:v>104.25438371431601</c:v>
                </c:pt>
                <c:pt idx="12">
                  <c:v>105.446387948907</c:v>
                </c:pt>
                <c:pt idx="13">
                  <c:v>102.98788151004899</c:v>
                </c:pt>
                <c:pt idx="14">
                  <c:v>104.698010999441</c:v>
                </c:pt>
                <c:pt idx="15">
                  <c:v>108.523550253902</c:v>
                </c:pt>
                <c:pt idx="16">
                  <c:v>111.496361102788</c:v>
                </c:pt>
                <c:pt idx="17">
                  <c:v>115.39046923082</c:v>
                </c:pt>
                <c:pt idx="18">
                  <c:v>110.89829550980301</c:v>
                </c:pt>
                <c:pt idx="19">
                  <c:v>114.705970230123</c:v>
                </c:pt>
                <c:pt idx="20">
                  <c:v>108.87594810916799</c:v>
                </c:pt>
                <c:pt idx="21">
                  <c:v>116.324865156434</c:v>
                </c:pt>
                <c:pt idx="22">
                  <c:v>116.838567483943</c:v>
                </c:pt>
                <c:pt idx="23">
                  <c:v>112.80735676258401</c:v>
                </c:pt>
                <c:pt idx="24">
                  <c:v>111.155315332168</c:v>
                </c:pt>
                <c:pt idx="25">
                  <c:v>111.865389203728</c:v>
                </c:pt>
                <c:pt idx="26">
                  <c:v>112.507593274429</c:v>
                </c:pt>
                <c:pt idx="27">
                  <c:v>108.122688240014</c:v>
                </c:pt>
                <c:pt idx="28">
                  <c:v>108.163799993498</c:v>
                </c:pt>
                <c:pt idx="29">
                  <c:v>109.621343927955</c:v>
                </c:pt>
                <c:pt idx="30">
                  <c:v>109.942712162869</c:v>
                </c:pt>
                <c:pt idx="31">
                  <c:v>109.144198295015</c:v>
                </c:pt>
                <c:pt idx="32">
                  <c:v>110.04454204106599</c:v>
                </c:pt>
                <c:pt idx="33">
                  <c:v>109.687466449824</c:v>
                </c:pt>
                <c:pt idx="34">
                  <c:v>106.947490616857</c:v>
                </c:pt>
                <c:pt idx="35">
                  <c:v>111.303495888811</c:v>
                </c:pt>
                <c:pt idx="36">
                  <c:v>110.60388261796901</c:v>
                </c:pt>
                <c:pt idx="37">
                  <c:v>115.757061010462</c:v>
                </c:pt>
                <c:pt idx="38">
                  <c:v>116.094026564023</c:v>
                </c:pt>
                <c:pt idx="39">
                  <c:v>116.140412081592</c:v>
                </c:pt>
                <c:pt idx="40">
                  <c:v>118.549573170125</c:v>
                </c:pt>
                <c:pt idx="41">
                  <c:v>120.764857342657</c:v>
                </c:pt>
                <c:pt idx="42">
                  <c:v>119.799076512827</c:v>
                </c:pt>
                <c:pt idx="43">
                  <c:v>116.024073487135</c:v>
                </c:pt>
                <c:pt idx="44">
                  <c:v>116.735911249399</c:v>
                </c:pt>
                <c:pt idx="45">
                  <c:v>116.196517987345</c:v>
                </c:pt>
                <c:pt idx="46">
                  <c:v>116.451854566942</c:v>
                </c:pt>
                <c:pt idx="47">
                  <c:v>124.28119394492199</c:v>
                </c:pt>
                <c:pt idx="48">
                  <c:v>120.482159064502</c:v>
                </c:pt>
                <c:pt idx="49">
                  <c:v>117.508279167094</c:v>
                </c:pt>
                <c:pt idx="50">
                  <c:v>124.203823303278</c:v>
                </c:pt>
                <c:pt idx="51">
                  <c:v>119.866248179268</c:v>
                </c:pt>
                <c:pt idx="52">
                  <c:v>119.11786413134099</c:v>
                </c:pt>
                <c:pt idx="53">
                  <c:v>118.699339342236</c:v>
                </c:pt>
                <c:pt idx="54">
                  <c:v>118.365273968712</c:v>
                </c:pt>
                <c:pt idx="55">
                  <c:v>121.98061397911999</c:v>
                </c:pt>
                <c:pt idx="56">
                  <c:v>121.831618856224</c:v>
                </c:pt>
                <c:pt idx="57">
                  <c:v>119.78521832299499</c:v>
                </c:pt>
                <c:pt idx="58">
                  <c:v>121.441614920726</c:v>
                </c:pt>
                <c:pt idx="59">
                  <c:v>120.795507675225</c:v>
                </c:pt>
                <c:pt idx="60">
                  <c:v>128.00787137877401</c:v>
                </c:pt>
                <c:pt idx="61">
                  <c:v>122.46629293557601</c:v>
                </c:pt>
                <c:pt idx="62">
                  <c:v>116.113343280835</c:v>
                </c:pt>
                <c:pt idx="63">
                  <c:v>122.18835969840799</c:v>
                </c:pt>
                <c:pt idx="64">
                  <c:v>119.938609151916</c:v>
                </c:pt>
              </c:numCache>
            </c:numRef>
          </c:val>
          <c:extLst>
            <c:ext xmlns:c16="http://schemas.microsoft.com/office/drawing/2014/chart" uri="{C3380CC4-5D6E-409C-BE32-E72D297353CC}">
              <c16:uniqueId val="{00000000-DEF1-47BF-9DDA-40850588B6EF}"/>
            </c:ext>
          </c:extLst>
        </c:ser>
        <c:dLbls>
          <c:showLegendKey val="0"/>
          <c:showVal val="0"/>
          <c:showCatName val="0"/>
          <c:showSerName val="0"/>
          <c:showPercent val="0"/>
          <c:showBubbleSize val="0"/>
        </c:dLbls>
        <c:gapWidth val="50"/>
        <c:axId val="490697976"/>
        <c:axId val="490700720"/>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'!$H$77:$H$141</c:f>
              <c:numCache>
                <c:formatCode>0.0</c:formatCode>
                <c:ptCount val="65"/>
                <c:pt idx="0">
                  <c:v>100.169927679979</c:v>
                </c:pt>
                <c:pt idx="1">
                  <c:v>101.083485606464</c:v>
                </c:pt>
                <c:pt idx="2">
                  <c:v>102.173272772112</c:v>
                </c:pt>
                <c:pt idx="3">
                  <c:v>103.209799460421</c:v>
                </c:pt>
                <c:pt idx="4">
                  <c:v>103.923246043188</c:v>
                </c:pt>
                <c:pt idx="5">
                  <c:v>104.32935134843299</c:v>
                </c:pt>
                <c:pt idx="6">
                  <c:v>104.561942188513</c:v>
                </c:pt>
                <c:pt idx="7">
                  <c:v>104.725758670712</c:v>
                </c:pt>
                <c:pt idx="8">
                  <c:v>104.911044810728</c:v>
                </c:pt>
                <c:pt idx="9">
                  <c:v>105.01039033432301</c:v>
                </c:pt>
                <c:pt idx="10">
                  <c:v>104.93662089058</c:v>
                </c:pt>
                <c:pt idx="11">
                  <c:v>104.772834253369</c:v>
                </c:pt>
                <c:pt idx="12">
                  <c:v>104.82720616040901</c:v>
                </c:pt>
                <c:pt idx="13">
                  <c:v>105.31798980155</c:v>
                </c:pt>
                <c:pt idx="14">
                  <c:v>106.34361104999201</c:v>
                </c:pt>
                <c:pt idx="15">
                  <c:v>107.820420760823</c:v>
                </c:pt>
                <c:pt idx="16">
                  <c:v>109.52943200335</c:v>
                </c:pt>
                <c:pt idx="17">
                  <c:v>111.279773653006</c:v>
                </c:pt>
                <c:pt idx="18">
                  <c:v>112.88288539146301</c:v>
                </c:pt>
                <c:pt idx="19">
                  <c:v>114.136826258966</c:v>
                </c:pt>
                <c:pt idx="20">
                  <c:v>114.83906317343001</c:v>
                </c:pt>
                <c:pt idx="21">
                  <c:v>115.062618455002</c:v>
                </c:pt>
                <c:pt idx="22">
                  <c:v>114.80329200990499</c:v>
                </c:pt>
                <c:pt idx="23">
                  <c:v>113.998537461929</c:v>
                </c:pt>
                <c:pt idx="24">
                  <c:v>112.775990903102</c:v>
                </c:pt>
                <c:pt idx="25">
                  <c:v>111.487908151553</c:v>
                </c:pt>
                <c:pt idx="26">
                  <c:v>110.420584479293</c:v>
                </c:pt>
                <c:pt idx="27">
                  <c:v>109.682637642364</c:v>
                </c:pt>
                <c:pt idx="28">
                  <c:v>109.34788432756299</c:v>
                </c:pt>
                <c:pt idx="29">
                  <c:v>109.216879394874</c:v>
                </c:pt>
                <c:pt idx="30">
                  <c:v>109.191891318209</c:v>
                </c:pt>
                <c:pt idx="31">
                  <c:v>109.192254932056</c:v>
                </c:pt>
                <c:pt idx="32">
                  <c:v>109.215492504618</c:v>
                </c:pt>
                <c:pt idx="33">
                  <c:v>109.366263528283</c:v>
                </c:pt>
                <c:pt idx="34">
                  <c:v>109.813330681037</c:v>
                </c:pt>
                <c:pt idx="35">
                  <c:v>110.740165399289</c:v>
                </c:pt>
                <c:pt idx="36">
                  <c:v>112.15100384241801</c:v>
                </c:pt>
                <c:pt idx="37">
                  <c:v>113.956907388031</c:v>
                </c:pt>
                <c:pt idx="38">
                  <c:v>115.861833880554</c:v>
                </c:pt>
                <c:pt idx="39">
                  <c:v>117.488046416929</c:v>
                </c:pt>
                <c:pt idx="40">
                  <c:v>118.49783625358999</c:v>
                </c:pt>
                <c:pt idx="41">
                  <c:v>118.759760081319</c:v>
                </c:pt>
                <c:pt idx="42">
                  <c:v>118.39412857884901</c:v>
                </c:pt>
                <c:pt idx="43">
                  <c:v>117.7409180299</c:v>
                </c:pt>
                <c:pt idx="44">
                  <c:v>117.19347060015301</c:v>
                </c:pt>
                <c:pt idx="45">
                  <c:v>116.981332286678</c:v>
                </c:pt>
                <c:pt idx="46">
                  <c:v>117.28883524524799</c:v>
                </c:pt>
                <c:pt idx="47">
                  <c:v>118.029654862735</c:v>
                </c:pt>
                <c:pt idx="48">
                  <c:v>118.856427892932</c:v>
                </c:pt>
                <c:pt idx="49">
                  <c:v>119.354381110624</c:v>
                </c:pt>
                <c:pt idx="50">
                  <c:v>119.448677925038</c:v>
                </c:pt>
                <c:pt idx="51">
                  <c:v>119.386898153519</c:v>
                </c:pt>
                <c:pt idx="52">
                  <c:v>119.346757328301</c:v>
                </c:pt>
                <c:pt idx="53">
                  <c:v>119.50326602576</c:v>
                </c:pt>
                <c:pt idx="54">
                  <c:v>119.860998700455</c:v>
                </c:pt>
                <c:pt idx="55">
                  <c:v>120.27402104778599</c:v>
                </c:pt>
                <c:pt idx="56">
                  <c:v>120.663861567532</c:v>
                </c:pt>
                <c:pt idx="57">
                  <c:v>120.99869742479601</c:v>
                </c:pt>
                <c:pt idx="58">
                  <c:v>121.248122559713</c:v>
                </c:pt>
                <c:pt idx="59">
                  <c:v>121.43641856677399</c:v>
                </c:pt>
                <c:pt idx="60">
                  <c:v>121.570605254593</c:v>
                </c:pt>
                <c:pt idx="61">
                  <c:v>121.609587017772</c:v>
                </c:pt>
                <c:pt idx="62">
                  <c:v>121.50782057668501</c:v>
                </c:pt>
                <c:pt idx="63">
                  <c:v>121.18082742884999</c:v>
                </c:pt>
                <c:pt idx="64">
                  <c:v>120.756183388419</c:v>
                </c:pt>
              </c:numCache>
            </c:numRef>
          </c:val>
          <c:smooth val="0"/>
          <c:extLst>
            <c:ext xmlns:c16="http://schemas.microsoft.com/office/drawing/2014/chart" uri="{C3380CC4-5D6E-409C-BE32-E72D297353CC}">
              <c16:uniqueId val="{00000001-DEF1-47BF-9DDA-40850588B6EF}"/>
            </c:ext>
          </c:extLst>
        </c:ser>
        <c:dLbls>
          <c:showLegendKey val="0"/>
          <c:showVal val="0"/>
          <c:showCatName val="0"/>
          <c:showSerName val="0"/>
          <c:showPercent val="0"/>
          <c:showBubbleSize val="0"/>
        </c:dLbls>
        <c:marker val="1"/>
        <c:smooth val="0"/>
        <c:axId val="490697976"/>
        <c:axId val="490700720"/>
      </c:lineChart>
      <c:catAx>
        <c:axId val="490697976"/>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90700720"/>
        <c:crosses val="autoZero"/>
        <c:auto val="1"/>
        <c:lblAlgn val="ctr"/>
        <c:lblOffset val="100"/>
        <c:tickLblSkip val="1"/>
        <c:tickMarkSkip val="12"/>
        <c:noMultiLvlLbl val="1"/>
      </c:catAx>
      <c:valAx>
        <c:axId val="490700720"/>
        <c:scaling>
          <c:orientation val="minMax"/>
          <c:max val="13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906979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'!$E$77:$E$141</c:f>
              <c:numCache>
                <c:formatCode>0.0</c:formatCode>
                <c:ptCount val="65"/>
                <c:pt idx="0">
                  <c:v>100.637172217509</c:v>
                </c:pt>
                <c:pt idx="1">
                  <c:v>100.97029298199</c:v>
                </c:pt>
                <c:pt idx="2">
                  <c:v>101.12061908596699</c:v>
                </c:pt>
                <c:pt idx="3">
                  <c:v>102.313933018593</c:v>
                </c:pt>
                <c:pt idx="4">
                  <c:v>102.59397047250199</c:v>
                </c:pt>
                <c:pt idx="5">
                  <c:v>102.884243670545</c:v>
                </c:pt>
                <c:pt idx="6">
                  <c:v>102.672488578521</c:v>
                </c:pt>
                <c:pt idx="7">
                  <c:v>102.114360713561</c:v>
                </c:pt>
                <c:pt idx="8">
                  <c:v>102.259196885986</c:v>
                </c:pt>
                <c:pt idx="9">
                  <c:v>103.152065542358</c:v>
                </c:pt>
                <c:pt idx="10">
                  <c:v>103.50382049238399</c:v>
                </c:pt>
                <c:pt idx="11">
                  <c:v>102.002275952552</c:v>
                </c:pt>
                <c:pt idx="12">
                  <c:v>103.79611068520801</c:v>
                </c:pt>
                <c:pt idx="13">
                  <c:v>103.548116428296</c:v>
                </c:pt>
                <c:pt idx="14">
                  <c:v>103.660199044808</c:v>
                </c:pt>
                <c:pt idx="15">
                  <c:v>104.098393185327</c:v>
                </c:pt>
                <c:pt idx="16">
                  <c:v>104.115834847738</c:v>
                </c:pt>
                <c:pt idx="17">
                  <c:v>103.909013785122</c:v>
                </c:pt>
                <c:pt idx="18">
                  <c:v>104.364897317963</c:v>
                </c:pt>
                <c:pt idx="19">
                  <c:v>105.86327427429801</c:v>
                </c:pt>
                <c:pt idx="20">
                  <c:v>106.259463083467</c:v>
                </c:pt>
                <c:pt idx="21">
                  <c:v>106.845217116464</c:v>
                </c:pt>
                <c:pt idx="22">
                  <c:v>106.45540843474301</c:v>
                </c:pt>
                <c:pt idx="23">
                  <c:v>106.795754617699</c:v>
                </c:pt>
                <c:pt idx="24">
                  <c:v>108.379539401698</c:v>
                </c:pt>
                <c:pt idx="25">
                  <c:v>108.387933547533</c:v>
                </c:pt>
                <c:pt idx="26">
                  <c:v>108.177099993469</c:v>
                </c:pt>
                <c:pt idx="27">
                  <c:v>107.487417579949</c:v>
                </c:pt>
                <c:pt idx="28">
                  <c:v>108.812787239505</c:v>
                </c:pt>
                <c:pt idx="29">
                  <c:v>109.931910180459</c:v>
                </c:pt>
                <c:pt idx="30">
                  <c:v>110.276979682782</c:v>
                </c:pt>
                <c:pt idx="31">
                  <c:v>110.36850050909899</c:v>
                </c:pt>
                <c:pt idx="32">
                  <c:v>110.74758071049899</c:v>
                </c:pt>
                <c:pt idx="33">
                  <c:v>111.72073427187399</c:v>
                </c:pt>
                <c:pt idx="34">
                  <c:v>111.66847264494</c:v>
                </c:pt>
                <c:pt idx="35">
                  <c:v>113.983735459955</c:v>
                </c:pt>
                <c:pt idx="36">
                  <c:v>112.926834457295</c:v>
                </c:pt>
                <c:pt idx="37">
                  <c:v>112.541969752345</c:v>
                </c:pt>
                <c:pt idx="38">
                  <c:v>110.978450587963</c:v>
                </c:pt>
                <c:pt idx="39">
                  <c:v>113.171252696474</c:v>
                </c:pt>
                <c:pt idx="40">
                  <c:v>112.709051787832</c:v>
                </c:pt>
                <c:pt idx="41">
                  <c:v>113.18640725341599</c:v>
                </c:pt>
                <c:pt idx="42">
                  <c:v>113.437048590706</c:v>
                </c:pt>
                <c:pt idx="43">
                  <c:v>113.640679865245</c:v>
                </c:pt>
                <c:pt idx="44">
                  <c:v>113.942600390617</c:v>
                </c:pt>
                <c:pt idx="45">
                  <c:v>113.727945734576</c:v>
                </c:pt>
                <c:pt idx="46">
                  <c:v>114.225218265964</c:v>
                </c:pt>
                <c:pt idx="47">
                  <c:v>115.103280674262</c:v>
                </c:pt>
                <c:pt idx="48">
                  <c:v>114.193105527383</c:v>
                </c:pt>
                <c:pt idx="49">
                  <c:v>114.42187756222</c:v>
                </c:pt>
                <c:pt idx="50">
                  <c:v>115.56150255127601</c:v>
                </c:pt>
                <c:pt idx="51">
                  <c:v>114.81128986135199</c:v>
                </c:pt>
                <c:pt idx="52">
                  <c:v>115.809047902307</c:v>
                </c:pt>
                <c:pt idx="53">
                  <c:v>115.932908377616</c:v>
                </c:pt>
                <c:pt idx="54">
                  <c:v>116.03909584199999</c:v>
                </c:pt>
                <c:pt idx="55">
                  <c:v>116.273921906783</c:v>
                </c:pt>
                <c:pt idx="56">
                  <c:v>117.16069266461299</c:v>
                </c:pt>
                <c:pt idx="57">
                  <c:v>115.16482295225801</c:v>
                </c:pt>
                <c:pt idx="58">
                  <c:v>116.234506359381</c:v>
                </c:pt>
                <c:pt idx="59">
                  <c:v>116.123531427507</c:v>
                </c:pt>
                <c:pt idx="60">
                  <c:v>116.159738361197</c:v>
                </c:pt>
                <c:pt idx="61">
                  <c:v>116.490674444699</c:v>
                </c:pt>
                <c:pt idx="62">
                  <c:v>115.55491162940601</c:v>
                </c:pt>
                <c:pt idx="63">
                  <c:v>116.05771361083499</c:v>
                </c:pt>
                <c:pt idx="64">
                  <c:v>116.220388889042</c:v>
                </c:pt>
              </c:numCache>
            </c:numRef>
          </c:val>
          <c:extLst>
            <c:ext xmlns:c16="http://schemas.microsoft.com/office/drawing/2014/chart" uri="{C3380CC4-5D6E-409C-BE32-E72D297353CC}">
              <c16:uniqueId val="{00000000-3C24-497A-B21C-7CEB25254AED}"/>
            </c:ext>
          </c:extLst>
        </c:ser>
        <c:dLbls>
          <c:showLegendKey val="0"/>
          <c:showVal val="0"/>
          <c:showCatName val="0"/>
          <c:showSerName val="0"/>
          <c:showPercent val="0"/>
          <c:showBubbleSize val="0"/>
        </c:dLbls>
        <c:gapWidth val="50"/>
        <c:axId val="457852800"/>
        <c:axId val="45785319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'!$A$77:$B$141</c:f>
              <c:multiLvlStrCache>
                <c:ptCount val="65"/>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2014</c:v>
                  </c:pt>
                  <c:pt idx="12">
                    <c:v>2015</c:v>
                  </c:pt>
                  <c:pt idx="24">
                    <c:v>2016</c:v>
                  </c:pt>
                  <c:pt idx="36">
                    <c:v>2017</c:v>
                  </c:pt>
                  <c:pt idx="48">
                    <c:v>2018</c:v>
                  </c:pt>
                  <c:pt idx="60">
                    <c:v>2019</c:v>
                  </c:pt>
                </c:lvl>
              </c:multiLvlStrCache>
            </c:multiLvlStrRef>
          </c:cat>
          <c:val>
            <c:numRef>
              <c:f>'Datos '!$F$77:$F$141</c:f>
              <c:numCache>
                <c:formatCode>0.0</c:formatCode>
                <c:ptCount val="65"/>
                <c:pt idx="0">
                  <c:v>100.729509841501</c:v>
                </c:pt>
                <c:pt idx="1">
                  <c:v>101.10634071341801</c:v>
                </c:pt>
                <c:pt idx="2">
                  <c:v>101.558582933888</c:v>
                </c:pt>
                <c:pt idx="3">
                  <c:v>101.98827442414699</c:v>
                </c:pt>
                <c:pt idx="4">
                  <c:v>102.318448041374</c:v>
                </c:pt>
                <c:pt idx="5">
                  <c:v>102.50907095251</c:v>
                </c:pt>
                <c:pt idx="6">
                  <c:v>102.582885406157</c:v>
                </c:pt>
                <c:pt idx="7">
                  <c:v>102.62902434159101</c:v>
                </c:pt>
                <c:pt idx="8">
                  <c:v>102.726661461379</c:v>
                </c:pt>
                <c:pt idx="9">
                  <c:v>102.90659674932</c:v>
                </c:pt>
                <c:pt idx="10">
                  <c:v>103.150487196702</c:v>
                </c:pt>
                <c:pt idx="11">
                  <c:v>103.397465447738</c:v>
                </c:pt>
                <c:pt idx="12">
                  <c:v>103.593307523148</c:v>
                </c:pt>
                <c:pt idx="13">
                  <c:v>103.691755214523</c:v>
                </c:pt>
                <c:pt idx="14">
                  <c:v>103.735803499428</c:v>
                </c:pt>
                <c:pt idx="15">
                  <c:v>103.818386272951</c:v>
                </c:pt>
                <c:pt idx="16">
                  <c:v>104.029439356911</c:v>
                </c:pt>
                <c:pt idx="17">
                  <c:v>104.393803790729</c:v>
                </c:pt>
                <c:pt idx="18">
                  <c:v>104.869013738197</c:v>
                </c:pt>
                <c:pt idx="19">
                  <c:v>105.402313072322</c:v>
                </c:pt>
                <c:pt idx="20">
                  <c:v>105.945076389731</c:v>
                </c:pt>
                <c:pt idx="21">
                  <c:v>106.462297492779</c:v>
                </c:pt>
                <c:pt idx="22">
                  <c:v>106.925933432631</c:v>
                </c:pt>
                <c:pt idx="23">
                  <c:v>107.31238569688701</c:v>
                </c:pt>
                <c:pt idx="24">
                  <c:v>107.655290538862</c:v>
                </c:pt>
                <c:pt idx="25">
                  <c:v>108.014123094382</c:v>
                </c:pt>
                <c:pt idx="26">
                  <c:v>108.404645794093</c:v>
                </c:pt>
                <c:pt idx="27">
                  <c:v>108.791835175579</c:v>
                </c:pt>
                <c:pt idx="28">
                  <c:v>109.18607661018</c:v>
                </c:pt>
                <c:pt idx="29">
                  <c:v>109.601856693198</c:v>
                </c:pt>
                <c:pt idx="30">
                  <c:v>110.053734370109</c:v>
                </c:pt>
                <c:pt idx="31">
                  <c:v>110.53435535041</c:v>
                </c:pt>
                <c:pt idx="32">
                  <c:v>111.005308590376</c:v>
                </c:pt>
                <c:pt idx="33">
                  <c:v>111.448825069005</c:v>
                </c:pt>
                <c:pt idx="34">
                  <c:v>111.871412416049</c:v>
                </c:pt>
                <c:pt idx="35">
                  <c:v>112.24496554399499</c:v>
                </c:pt>
                <c:pt idx="36">
                  <c:v>112.538722104432</c:v>
                </c:pt>
                <c:pt idx="37">
                  <c:v>112.72784516759999</c:v>
                </c:pt>
                <c:pt idx="38">
                  <c:v>112.840031905904</c:v>
                </c:pt>
                <c:pt idx="39">
                  <c:v>112.93745956502001</c:v>
                </c:pt>
                <c:pt idx="40">
                  <c:v>113.053336963828</c:v>
                </c:pt>
                <c:pt idx="41">
                  <c:v>113.18735585302601</c:v>
                </c:pt>
                <c:pt idx="42">
                  <c:v>113.37358619187199</c:v>
                </c:pt>
                <c:pt idx="43">
                  <c:v>113.599595528257</c:v>
                </c:pt>
                <c:pt idx="44">
                  <c:v>113.815393624663</c:v>
                </c:pt>
                <c:pt idx="45">
                  <c:v>114.027750896387</c:v>
                </c:pt>
                <c:pt idx="46">
                  <c:v>114.215648157923</c:v>
                </c:pt>
                <c:pt idx="47">
                  <c:v>114.384318721374</c:v>
                </c:pt>
                <c:pt idx="48">
                  <c:v>114.56873236185299</c:v>
                </c:pt>
                <c:pt idx="49">
                  <c:v>114.77932415152701</c:v>
                </c:pt>
                <c:pt idx="50">
                  <c:v>115.02617914799001</c:v>
                </c:pt>
                <c:pt idx="51">
                  <c:v>115.306838201605</c:v>
                </c:pt>
                <c:pt idx="52">
                  <c:v>115.59636715669301</c:v>
                </c:pt>
                <c:pt idx="53">
                  <c:v>115.863273376875</c:v>
                </c:pt>
                <c:pt idx="54">
                  <c:v>116.05879050098601</c:v>
                </c:pt>
                <c:pt idx="55">
                  <c:v>116.15802077854499</c:v>
                </c:pt>
                <c:pt idx="56">
                  <c:v>116.21439446455901</c:v>
                </c:pt>
                <c:pt idx="57">
                  <c:v>116.234024636108</c:v>
                </c:pt>
                <c:pt idx="58">
                  <c:v>116.211525972296</c:v>
                </c:pt>
                <c:pt idx="59">
                  <c:v>116.17237283051</c:v>
                </c:pt>
                <c:pt idx="60">
                  <c:v>116.115297992089</c:v>
                </c:pt>
                <c:pt idx="61">
                  <c:v>116.066285006027</c:v>
                </c:pt>
                <c:pt idx="62">
                  <c:v>116.046245851267</c:v>
                </c:pt>
                <c:pt idx="63">
                  <c:v>116.106186502559</c:v>
                </c:pt>
                <c:pt idx="64">
                  <c:v>116.252675443028</c:v>
                </c:pt>
              </c:numCache>
            </c:numRef>
          </c:val>
          <c:smooth val="0"/>
          <c:extLst>
            <c:ext xmlns:c16="http://schemas.microsoft.com/office/drawing/2014/chart" uri="{C3380CC4-5D6E-409C-BE32-E72D297353CC}">
              <c16:uniqueId val="{00000001-3C24-497A-B21C-7CEB25254AED}"/>
            </c:ext>
          </c:extLst>
        </c:ser>
        <c:dLbls>
          <c:showLegendKey val="0"/>
          <c:showVal val="0"/>
          <c:showCatName val="0"/>
          <c:showSerName val="0"/>
          <c:showPercent val="0"/>
          <c:showBubbleSize val="0"/>
        </c:dLbls>
        <c:marker val="1"/>
        <c:smooth val="0"/>
        <c:axId val="457852800"/>
        <c:axId val="457853192"/>
      </c:lineChart>
      <c:catAx>
        <c:axId val="457852800"/>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57853192"/>
        <c:crosses val="autoZero"/>
        <c:auto val="1"/>
        <c:lblAlgn val="ctr"/>
        <c:lblOffset val="100"/>
        <c:tickLblSkip val="1"/>
        <c:tickMarkSkip val="12"/>
        <c:noMultiLvlLbl val="1"/>
      </c:catAx>
      <c:valAx>
        <c:axId val="457853192"/>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5785280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F534-8152-42DE-8B84-862BF2DD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1461</Words>
  <Characters>8542</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Comunicado de Prensa. Consumo Privado en el Mercado Interior</vt:lpstr>
    </vt:vector>
  </TitlesOfParts>
  <Company>INEGI</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Consumo Privado en el Mercado Interior</dc:title>
  <dc:subject/>
  <dc:creator>INEGI</dc:creator>
  <cp:keywords/>
  <cp:lastModifiedBy>SALA DE PRENSA</cp:lastModifiedBy>
  <cp:revision>49</cp:revision>
  <cp:lastPrinted>2019-08-02T15:42:00Z</cp:lastPrinted>
  <dcterms:created xsi:type="dcterms:W3CDTF">2019-08-01T18:53:00Z</dcterms:created>
  <dcterms:modified xsi:type="dcterms:W3CDTF">2019-08-06T23:02:00Z</dcterms:modified>
</cp:coreProperties>
</file>