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5C2" w:rsidRDefault="005C75C2" w:rsidP="005C75C2">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62D3ACCD" wp14:editId="6D99299F">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rsidR="005C75C2" w:rsidRPr="008A2C21" w:rsidRDefault="005C75C2" w:rsidP="005C75C2">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D3ACCD"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rsidR="005C75C2" w:rsidRPr="008A2C21" w:rsidRDefault="005C75C2" w:rsidP="005C75C2">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5C75C2" w:rsidRDefault="005C75C2" w:rsidP="005C75C2">
      <w:pPr>
        <w:tabs>
          <w:tab w:val="left" w:pos="8789"/>
        </w:tabs>
        <w:ind w:right="51"/>
        <w:jc w:val="center"/>
        <w:rPr>
          <w:b/>
          <w:sz w:val="28"/>
        </w:rPr>
      </w:pPr>
    </w:p>
    <w:p w:rsidR="005C75C2" w:rsidRPr="002244E1" w:rsidRDefault="005C75C2" w:rsidP="005C75C2">
      <w:pPr>
        <w:pStyle w:val="Textoindependiente"/>
        <w:spacing w:before="120"/>
        <w:rPr>
          <w:sz w:val="28"/>
          <w:szCs w:val="28"/>
        </w:rPr>
      </w:pPr>
      <w:r w:rsidRPr="002244E1">
        <w:rPr>
          <w:sz w:val="28"/>
          <w:szCs w:val="28"/>
        </w:rPr>
        <w:t>INDICADOR MENSUAL DEL CONSUMO</w:t>
      </w:r>
    </w:p>
    <w:p w:rsidR="005C75C2" w:rsidRPr="002244E1" w:rsidRDefault="005C75C2" w:rsidP="005C75C2">
      <w:pPr>
        <w:pStyle w:val="Textoindependiente"/>
        <w:tabs>
          <w:tab w:val="center" w:pos="4420"/>
          <w:tab w:val="left" w:pos="8099"/>
        </w:tabs>
        <w:rPr>
          <w:sz w:val="28"/>
          <w:szCs w:val="28"/>
        </w:rPr>
      </w:pPr>
      <w:r w:rsidRPr="002244E1">
        <w:rPr>
          <w:sz w:val="28"/>
          <w:szCs w:val="28"/>
        </w:rPr>
        <w:t>PRIVADO EN EL MERCADO INTERIOr</w:t>
      </w:r>
      <w:r w:rsidRPr="002244E1">
        <w:rPr>
          <w:sz w:val="28"/>
          <w:szCs w:val="28"/>
          <w:vertAlign w:val="superscript"/>
        </w:rPr>
        <w:footnoteReference w:id="1"/>
      </w:r>
    </w:p>
    <w:p w:rsidR="005C75C2" w:rsidRPr="002244E1" w:rsidRDefault="005C75C2" w:rsidP="005C75C2">
      <w:pPr>
        <w:pStyle w:val="Textoindependiente"/>
        <w:rPr>
          <w:b w:val="0"/>
          <w:sz w:val="28"/>
          <w:szCs w:val="28"/>
        </w:rPr>
      </w:pPr>
      <w:r w:rsidRPr="002244E1">
        <w:rPr>
          <w:sz w:val="28"/>
          <w:szCs w:val="28"/>
        </w:rPr>
        <w:t>DURANTE JUNIO DE 2019</w:t>
      </w:r>
    </w:p>
    <w:p w:rsidR="005C75C2" w:rsidRPr="002244E1" w:rsidRDefault="005C75C2" w:rsidP="005C75C2">
      <w:pPr>
        <w:jc w:val="center"/>
        <w:rPr>
          <w:b/>
          <w:spacing w:val="25"/>
          <w:szCs w:val="24"/>
        </w:rPr>
      </w:pPr>
      <w:r w:rsidRPr="002244E1">
        <w:rPr>
          <w:b/>
          <w:i/>
          <w:spacing w:val="25"/>
          <w:szCs w:val="24"/>
        </w:rPr>
        <w:t>(Cifras desestacionalizadas)</w:t>
      </w:r>
    </w:p>
    <w:p w:rsidR="005C75C2" w:rsidRPr="00396149" w:rsidRDefault="005C75C2" w:rsidP="005C75C2">
      <w:pPr>
        <w:pStyle w:val="bullet"/>
        <w:widowControl w:val="0"/>
        <w:tabs>
          <w:tab w:val="clear" w:pos="7939"/>
          <w:tab w:val="left" w:pos="7230"/>
        </w:tabs>
        <w:spacing w:before="360"/>
        <w:ind w:left="0" w:right="-405" w:firstLine="0"/>
        <w:rPr>
          <w:b w:val="0"/>
          <w:sz w:val="24"/>
          <w:szCs w:val="24"/>
        </w:rPr>
      </w:pPr>
      <w:r w:rsidRPr="00396149">
        <w:rPr>
          <w:b w:val="0"/>
          <w:sz w:val="24"/>
          <w:szCs w:val="24"/>
        </w:rPr>
        <w:t>El Indicador Mensual del Consumo Privado en el Mercado Interior (IMCPMI)</w:t>
      </w:r>
      <w:r w:rsidRPr="00396149">
        <w:rPr>
          <w:b w:val="0"/>
          <w:sz w:val="24"/>
          <w:szCs w:val="24"/>
          <w:vertAlign w:val="superscript"/>
        </w:rPr>
        <w:footnoteReference w:id="2"/>
      </w:r>
      <w:r w:rsidRPr="00396149">
        <w:rPr>
          <w:b w:val="0"/>
          <w:sz w:val="24"/>
          <w:szCs w:val="24"/>
        </w:rPr>
        <w:t xml:space="preserve"> aumentó 0.7% durante junio de 2019 frente al mes inmediato anterior, con cifras desestacionalizadas</w:t>
      </w:r>
      <w:r w:rsidRPr="00396149">
        <w:rPr>
          <w:b w:val="0"/>
          <w:sz w:val="24"/>
          <w:szCs w:val="24"/>
          <w:vertAlign w:val="superscript"/>
        </w:rPr>
        <w:footnoteReference w:id="3"/>
      </w:r>
      <w:r w:rsidRPr="00396149">
        <w:rPr>
          <w:b w:val="0"/>
          <w:sz w:val="24"/>
          <w:szCs w:val="24"/>
        </w:rPr>
        <w:t xml:space="preserve">. </w:t>
      </w:r>
    </w:p>
    <w:p w:rsidR="005C75C2" w:rsidRDefault="005C75C2" w:rsidP="005C75C2">
      <w:pPr>
        <w:jc w:val="center"/>
        <w:outlineLvl w:val="3"/>
        <w:rPr>
          <w:rFonts w:cs="Arial"/>
          <w:b/>
          <w:smallCaps/>
          <w:sz w:val="22"/>
        </w:rPr>
      </w:pPr>
    </w:p>
    <w:p w:rsidR="005C75C2" w:rsidRDefault="005C75C2" w:rsidP="005C75C2">
      <w:pPr>
        <w:jc w:val="center"/>
        <w:outlineLvl w:val="3"/>
        <w:rPr>
          <w:rFonts w:cs="Arial"/>
          <w:b/>
          <w:smallCaps/>
          <w:sz w:val="22"/>
        </w:rPr>
      </w:pPr>
    </w:p>
    <w:p w:rsidR="005C75C2" w:rsidRDefault="005C75C2" w:rsidP="005C75C2">
      <w:pPr>
        <w:jc w:val="center"/>
        <w:outlineLvl w:val="3"/>
        <w:rPr>
          <w:rFonts w:cs="Arial"/>
          <w:b/>
          <w:smallCaps/>
          <w:sz w:val="22"/>
        </w:rPr>
      </w:pPr>
      <w:r>
        <w:rPr>
          <w:rFonts w:cs="Arial"/>
          <w:b/>
          <w:smallCaps/>
          <w:sz w:val="22"/>
        </w:rPr>
        <w:t xml:space="preserve">Indicador Mensual del Consumo Privado </w:t>
      </w:r>
    </w:p>
    <w:p w:rsidR="005C75C2" w:rsidRDefault="005C75C2" w:rsidP="005C75C2">
      <w:pPr>
        <w:jc w:val="center"/>
        <w:outlineLvl w:val="3"/>
        <w:rPr>
          <w:rFonts w:cs="Arial"/>
          <w:b/>
          <w:smallCaps/>
          <w:sz w:val="22"/>
        </w:rPr>
      </w:pPr>
      <w:r>
        <w:rPr>
          <w:rFonts w:cs="Arial"/>
          <w:b/>
          <w:smallCaps/>
          <w:sz w:val="22"/>
        </w:rPr>
        <w:t>en el Mercado Interior a junio</w:t>
      </w:r>
      <w:r w:rsidRPr="004C2706">
        <w:rPr>
          <w:rFonts w:cs="Arial"/>
          <w:b/>
          <w:smallCaps/>
          <w:sz w:val="20"/>
        </w:rPr>
        <w:t xml:space="preserve"> </w:t>
      </w:r>
      <w:r>
        <w:rPr>
          <w:rFonts w:cs="Arial"/>
          <w:b/>
          <w:smallCaps/>
          <w:sz w:val="22"/>
        </w:rPr>
        <w:t>de 2019</w:t>
      </w:r>
    </w:p>
    <w:p w:rsidR="005C75C2" w:rsidRDefault="005C75C2" w:rsidP="005C75C2">
      <w:pPr>
        <w:jc w:val="center"/>
        <w:outlineLvl w:val="3"/>
        <w:rPr>
          <w:rFonts w:cs="Arial"/>
          <w:b/>
          <w:smallCaps/>
          <w:sz w:val="22"/>
        </w:rPr>
      </w:pPr>
      <w:r>
        <w:rPr>
          <w:rFonts w:cs="Arial"/>
          <w:b/>
          <w:smallCaps/>
          <w:sz w:val="22"/>
        </w:rPr>
        <w:t>Series desestacionalizada y de tendencia-ciclo</w:t>
      </w:r>
    </w:p>
    <w:p w:rsidR="005C75C2" w:rsidRDefault="005C75C2" w:rsidP="005C75C2">
      <w:pPr>
        <w:jc w:val="center"/>
        <w:outlineLvl w:val="3"/>
        <w:rPr>
          <w:rFonts w:cs="Arial"/>
          <w:sz w:val="18"/>
          <w:szCs w:val="18"/>
        </w:rPr>
      </w:pPr>
      <w:r>
        <w:rPr>
          <w:rFonts w:cs="Arial"/>
          <w:smallCaps/>
          <w:sz w:val="18"/>
          <w:szCs w:val="18"/>
        </w:rPr>
        <w:t>(</w:t>
      </w:r>
      <w:r>
        <w:rPr>
          <w:rFonts w:cs="Arial"/>
          <w:sz w:val="18"/>
          <w:szCs w:val="18"/>
        </w:rPr>
        <w:t>Índice base 2013=100)</w:t>
      </w:r>
    </w:p>
    <w:p w:rsidR="005C75C2" w:rsidRDefault="005C75C2" w:rsidP="005C75C2">
      <w:pPr>
        <w:jc w:val="center"/>
        <w:outlineLvl w:val="3"/>
        <w:rPr>
          <w:rFonts w:cs="Arial"/>
          <w:sz w:val="18"/>
          <w:szCs w:val="18"/>
        </w:rPr>
      </w:pPr>
      <w:r>
        <w:rPr>
          <w:noProof/>
          <w:lang w:eastAsia="es-MX"/>
        </w:rPr>
        <w:drawing>
          <wp:inline distT="0" distB="0" distL="0" distR="0" wp14:anchorId="27DEA58F" wp14:editId="23822EE6">
            <wp:extent cx="4320000" cy="2526212"/>
            <wp:effectExtent l="0" t="0" r="23495" b="266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75C2" w:rsidRDefault="005C75C2" w:rsidP="005C75C2">
      <w:pPr>
        <w:ind w:left="708" w:firstLine="708"/>
      </w:pPr>
      <w:r>
        <w:rPr>
          <w:rFonts w:cs="Arial"/>
          <w:sz w:val="16"/>
        </w:rPr>
        <w:t>Fuente: INEGI.</w:t>
      </w:r>
    </w:p>
    <w:p w:rsidR="005C75C2" w:rsidRDefault="005C75C2" w:rsidP="005C75C2">
      <w:pPr>
        <w:pStyle w:val="bullet"/>
        <w:widowControl w:val="0"/>
        <w:tabs>
          <w:tab w:val="clear" w:pos="7939"/>
          <w:tab w:val="left" w:pos="7230"/>
        </w:tabs>
        <w:spacing w:before="120"/>
        <w:ind w:left="284" w:right="-405" w:firstLine="0"/>
        <w:rPr>
          <w:b w:val="0"/>
          <w:sz w:val="24"/>
          <w:szCs w:val="24"/>
        </w:rPr>
      </w:pPr>
    </w:p>
    <w:p w:rsidR="005C75C2" w:rsidRPr="002244E1" w:rsidRDefault="005C75C2" w:rsidP="005C75C2">
      <w:pPr>
        <w:pStyle w:val="bullet"/>
        <w:widowControl w:val="0"/>
        <w:tabs>
          <w:tab w:val="clear" w:pos="7939"/>
          <w:tab w:val="left" w:pos="7230"/>
        </w:tabs>
        <w:spacing w:before="120"/>
        <w:ind w:left="0" w:right="-405" w:firstLine="0"/>
        <w:rPr>
          <w:b w:val="0"/>
          <w:sz w:val="24"/>
          <w:szCs w:val="24"/>
        </w:rPr>
      </w:pPr>
      <w:r w:rsidRPr="002244E1">
        <w:rPr>
          <w:b w:val="0"/>
          <w:sz w:val="24"/>
          <w:szCs w:val="24"/>
        </w:rPr>
        <w:t>Por componentes, el consumo en Bienes y Servicios de origen nacional creció 1%, en tanto que en Bienes de origen importado se redujo (</w:t>
      </w:r>
      <w:r w:rsidRPr="002244E1">
        <w:rPr>
          <w:b w:val="0"/>
          <w:sz w:val="24"/>
          <w:szCs w:val="24"/>
        </w:rPr>
        <w:noBreakHyphen/>
        <w:t>)1.6% en el sexto mes del presente año respecto al mes previo, según datos ajustados por estacionalidad.</w:t>
      </w:r>
    </w:p>
    <w:p w:rsidR="005C75C2" w:rsidRPr="006F0D56" w:rsidRDefault="005C75C2" w:rsidP="005C75C2">
      <w:pPr>
        <w:pStyle w:val="bullet"/>
        <w:widowControl w:val="0"/>
        <w:tabs>
          <w:tab w:val="clear" w:pos="7939"/>
          <w:tab w:val="left" w:pos="7230"/>
        </w:tabs>
        <w:spacing w:before="360"/>
        <w:ind w:left="0" w:right="-405" w:firstLine="0"/>
        <w:rPr>
          <w:b w:val="0"/>
          <w:sz w:val="24"/>
          <w:szCs w:val="24"/>
        </w:rPr>
      </w:pPr>
    </w:p>
    <w:p w:rsidR="007E7C23" w:rsidRDefault="007E7C23" w:rsidP="00E01896">
      <w:pPr>
        <w:pStyle w:val="bullet"/>
        <w:widowControl w:val="0"/>
        <w:tabs>
          <w:tab w:val="clear" w:pos="7939"/>
          <w:tab w:val="left" w:pos="7230"/>
        </w:tabs>
        <w:ind w:left="0" w:right="-405" w:firstLine="0"/>
        <w:rPr>
          <w:b w:val="0"/>
          <w:sz w:val="24"/>
          <w:szCs w:val="24"/>
        </w:rPr>
      </w:pPr>
    </w:p>
    <w:p w:rsidR="005C75C2" w:rsidRPr="002630CC" w:rsidRDefault="005C75C2" w:rsidP="00E01896">
      <w:pPr>
        <w:pStyle w:val="bullet"/>
        <w:widowControl w:val="0"/>
        <w:tabs>
          <w:tab w:val="clear" w:pos="7939"/>
          <w:tab w:val="left" w:pos="7230"/>
        </w:tabs>
        <w:ind w:left="0" w:right="-405" w:firstLine="0"/>
        <w:rPr>
          <w:b w:val="0"/>
          <w:sz w:val="24"/>
          <w:szCs w:val="24"/>
        </w:rPr>
      </w:pPr>
      <w:r w:rsidRPr="002630CC">
        <w:rPr>
          <w:b w:val="0"/>
          <w:sz w:val="24"/>
          <w:szCs w:val="24"/>
        </w:rPr>
        <w:t>En su comparación anual</w:t>
      </w:r>
      <w:r w:rsidRPr="002630CC">
        <w:rPr>
          <w:b w:val="0"/>
          <w:sz w:val="24"/>
          <w:szCs w:val="24"/>
          <w:vertAlign w:val="superscript"/>
        </w:rPr>
        <w:footnoteReference w:id="4"/>
      </w:r>
      <w:r w:rsidRPr="002630CC">
        <w:rPr>
          <w:b w:val="0"/>
          <w:sz w:val="24"/>
          <w:szCs w:val="24"/>
        </w:rPr>
        <w:t>, el IMCPMI mostró un avance real de 1.3% en el mes de referencia. A su interior, los gastos en Bienes y Servicios nacionales tuvieron un alza de 1.6% (los gastos en Servicios se elevaron 1.6% y en Bienes fueron mayores en 1.4%), mientras que en Bienes de origen importado disminuyeron (</w:t>
      </w:r>
      <w:r w:rsidRPr="002630CC">
        <w:rPr>
          <w:b w:val="0"/>
          <w:sz w:val="24"/>
          <w:szCs w:val="24"/>
        </w:rPr>
        <w:noBreakHyphen/>
        <w:t>)1.2%, con relación a los de igual mes de 2018.</w:t>
      </w:r>
    </w:p>
    <w:p w:rsidR="005C75C2" w:rsidRPr="002244E1" w:rsidRDefault="005C75C2" w:rsidP="005C75C2">
      <w:pPr>
        <w:pStyle w:val="bullet"/>
        <w:widowControl w:val="0"/>
        <w:tabs>
          <w:tab w:val="clear" w:pos="7939"/>
          <w:tab w:val="left" w:pos="7230"/>
        </w:tabs>
        <w:ind w:left="0" w:right="-405" w:firstLine="0"/>
        <w:rPr>
          <w:b w:val="0"/>
          <w:sz w:val="24"/>
          <w:szCs w:val="24"/>
        </w:rPr>
      </w:pPr>
    </w:p>
    <w:p w:rsidR="005C75C2" w:rsidRDefault="005C75C2" w:rsidP="005C75C2">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5C75C2" w:rsidRDefault="005C75C2" w:rsidP="005C75C2">
      <w:pPr>
        <w:pStyle w:val="p0"/>
        <w:spacing w:before="0"/>
        <w:jc w:val="center"/>
        <w:rPr>
          <w:rFonts w:cs="Arial"/>
          <w:b/>
          <w:smallCaps/>
          <w:color w:val="auto"/>
          <w:sz w:val="22"/>
          <w:szCs w:val="22"/>
        </w:rPr>
      </w:pPr>
      <w:r>
        <w:rPr>
          <w:rFonts w:cs="Arial"/>
          <w:b/>
          <w:smallCaps/>
          <w:color w:val="auto"/>
          <w:sz w:val="22"/>
          <w:szCs w:val="22"/>
        </w:rPr>
        <w:t>Mercado Interior durante junio de 2019</w:t>
      </w:r>
    </w:p>
    <w:p w:rsidR="005C75C2" w:rsidRDefault="005C75C2" w:rsidP="005C75C2">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5C75C2" w:rsidTr="003825AE">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rsidR="005C75C2" w:rsidRDefault="005C75C2" w:rsidP="003825AE">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rsidR="005C75C2" w:rsidRDefault="005C75C2" w:rsidP="003825AE">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rsidR="005C75C2" w:rsidRDefault="005C75C2" w:rsidP="003825AE">
            <w:pPr>
              <w:pStyle w:val="p0"/>
              <w:keepNext/>
              <w:spacing w:before="60" w:after="60"/>
              <w:jc w:val="center"/>
              <w:rPr>
                <w:rFonts w:cs="Arial"/>
                <w:color w:val="auto"/>
                <w:sz w:val="18"/>
                <w:lang w:val="es-ES"/>
              </w:rPr>
            </w:pPr>
            <w:r>
              <w:rPr>
                <w:rFonts w:cs="Arial"/>
                <w:color w:val="auto"/>
                <w:sz w:val="18"/>
                <w:lang w:val="es-ES"/>
              </w:rPr>
              <w:t>Variación % respecto a igual mes de 2018</w:t>
            </w:r>
          </w:p>
        </w:tc>
      </w:tr>
      <w:tr w:rsidR="005C75C2" w:rsidTr="003825AE">
        <w:trPr>
          <w:cantSplit/>
          <w:trHeight w:val="20"/>
          <w:jc w:val="center"/>
        </w:trPr>
        <w:tc>
          <w:tcPr>
            <w:tcW w:w="2834" w:type="dxa"/>
            <w:tcBorders>
              <w:top w:val="single" w:sz="8" w:space="0" w:color="404040"/>
              <w:left w:val="double" w:sz="4" w:space="0" w:color="auto"/>
              <w:bottom w:val="nil"/>
              <w:right w:val="single" w:sz="8" w:space="0" w:color="404040"/>
            </w:tcBorders>
            <w:hideMark/>
          </w:tcPr>
          <w:p w:rsidR="005C75C2" w:rsidRDefault="005C75C2" w:rsidP="003825AE">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rsidR="005C75C2" w:rsidRPr="006F3CEA" w:rsidRDefault="005C75C2" w:rsidP="003825AE">
            <w:pPr>
              <w:tabs>
                <w:tab w:val="left" w:pos="307"/>
                <w:tab w:val="decimal" w:pos="881"/>
              </w:tabs>
              <w:spacing w:before="60" w:after="60"/>
              <w:ind w:right="567"/>
              <w:jc w:val="right"/>
              <w:rPr>
                <w:rFonts w:cs="Arial"/>
                <w:b/>
                <w:sz w:val="18"/>
                <w:u w:val="single"/>
                <w:lang w:val="es-ES" w:eastAsia="en-US"/>
              </w:rPr>
            </w:pPr>
            <w:r w:rsidRPr="006F3CEA">
              <w:rPr>
                <w:rFonts w:cs="Arial"/>
                <w:b/>
                <w:sz w:val="18"/>
                <w:lang w:val="es-ES" w:eastAsia="en-US"/>
              </w:rPr>
              <w:t xml:space="preserve">  </w:t>
            </w:r>
            <w:r w:rsidRPr="006F3CEA">
              <w:rPr>
                <w:rFonts w:cs="Arial"/>
                <w:b/>
                <w:sz w:val="18"/>
                <w:u w:val="single"/>
                <w:lang w:val="es-ES" w:eastAsia="en-US"/>
              </w:rPr>
              <w:t>0.</w:t>
            </w:r>
            <w:r>
              <w:rPr>
                <w:rFonts w:cs="Arial"/>
                <w:b/>
                <w:sz w:val="18"/>
                <w:u w:val="single"/>
                <w:lang w:val="es-ES" w:eastAsia="en-US"/>
              </w:rPr>
              <w:t>7</w:t>
            </w:r>
          </w:p>
        </w:tc>
        <w:tc>
          <w:tcPr>
            <w:tcW w:w="1843" w:type="dxa"/>
            <w:tcBorders>
              <w:top w:val="single" w:sz="8" w:space="0" w:color="404040"/>
              <w:left w:val="single" w:sz="8" w:space="0" w:color="404040"/>
              <w:bottom w:val="nil"/>
              <w:right w:val="double" w:sz="4" w:space="0" w:color="auto"/>
            </w:tcBorders>
            <w:hideMark/>
          </w:tcPr>
          <w:p w:rsidR="005C75C2" w:rsidRPr="006F3CEA" w:rsidRDefault="005C75C2" w:rsidP="003825AE">
            <w:pPr>
              <w:tabs>
                <w:tab w:val="left" w:pos="307"/>
                <w:tab w:val="decimal" w:pos="881"/>
              </w:tabs>
              <w:spacing w:before="60" w:after="60"/>
              <w:ind w:right="624"/>
              <w:jc w:val="right"/>
              <w:rPr>
                <w:rFonts w:cs="Arial"/>
                <w:b/>
                <w:sz w:val="18"/>
                <w:lang w:val="es-ES" w:eastAsia="en-US"/>
              </w:rPr>
            </w:pPr>
            <w:r w:rsidRPr="006F3CEA">
              <w:rPr>
                <w:rFonts w:cs="Arial"/>
                <w:b/>
                <w:sz w:val="18"/>
                <w:lang w:val="es-ES" w:eastAsia="en-US"/>
              </w:rPr>
              <w:t xml:space="preserve">  </w:t>
            </w:r>
            <w:r>
              <w:rPr>
                <w:rFonts w:cs="Arial"/>
                <w:b/>
                <w:sz w:val="18"/>
                <w:u w:val="single"/>
                <w:lang w:val="es-ES" w:eastAsia="en-US"/>
              </w:rPr>
              <w:t>1</w:t>
            </w:r>
            <w:r w:rsidRPr="006F3CEA">
              <w:rPr>
                <w:rFonts w:cs="Arial"/>
                <w:b/>
                <w:sz w:val="18"/>
                <w:u w:val="single"/>
                <w:lang w:val="es-ES" w:eastAsia="en-US"/>
              </w:rPr>
              <w:t>.3</w:t>
            </w:r>
          </w:p>
        </w:tc>
      </w:tr>
      <w:tr w:rsidR="005C75C2" w:rsidTr="003825AE">
        <w:trPr>
          <w:cantSplit/>
          <w:trHeight w:val="20"/>
          <w:jc w:val="center"/>
        </w:trPr>
        <w:tc>
          <w:tcPr>
            <w:tcW w:w="2834" w:type="dxa"/>
            <w:tcBorders>
              <w:top w:val="nil"/>
              <w:left w:val="double" w:sz="4" w:space="0" w:color="auto"/>
              <w:bottom w:val="nil"/>
              <w:right w:val="single" w:sz="8" w:space="0" w:color="404040"/>
            </w:tcBorders>
            <w:hideMark/>
          </w:tcPr>
          <w:p w:rsidR="005C75C2" w:rsidRDefault="005C75C2" w:rsidP="003825AE">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rsidR="005C75C2" w:rsidRPr="006F3CEA" w:rsidRDefault="005C75C2" w:rsidP="003825AE">
            <w:pPr>
              <w:tabs>
                <w:tab w:val="left" w:pos="307"/>
              </w:tabs>
              <w:spacing w:before="20" w:after="20"/>
              <w:ind w:right="567"/>
              <w:jc w:val="right"/>
              <w:rPr>
                <w:rFonts w:cs="Arial"/>
                <w:b/>
                <w:sz w:val="18"/>
                <w:lang w:val="es-ES" w:eastAsia="en-US"/>
              </w:rPr>
            </w:pPr>
            <w:r w:rsidRPr="006F3CEA">
              <w:rPr>
                <w:rFonts w:cs="Arial"/>
                <w:b/>
                <w:sz w:val="18"/>
                <w:lang w:val="es-ES" w:eastAsia="en-US"/>
              </w:rPr>
              <w:t xml:space="preserve">  </w:t>
            </w:r>
            <w:r>
              <w:rPr>
                <w:rFonts w:cs="Arial"/>
                <w:b/>
                <w:sz w:val="18"/>
                <w:lang w:val="es-ES" w:eastAsia="en-US"/>
              </w:rPr>
              <w:t>1.0</w:t>
            </w:r>
          </w:p>
        </w:tc>
        <w:tc>
          <w:tcPr>
            <w:tcW w:w="1843" w:type="dxa"/>
            <w:tcBorders>
              <w:top w:val="nil"/>
              <w:left w:val="single" w:sz="8" w:space="0" w:color="404040"/>
              <w:bottom w:val="nil"/>
              <w:right w:val="double" w:sz="4" w:space="0" w:color="auto"/>
            </w:tcBorders>
            <w:hideMark/>
          </w:tcPr>
          <w:p w:rsidR="005C75C2" w:rsidRPr="006F3CEA" w:rsidRDefault="005C75C2" w:rsidP="003825AE">
            <w:pPr>
              <w:tabs>
                <w:tab w:val="left" w:pos="307"/>
                <w:tab w:val="decimal" w:pos="881"/>
              </w:tabs>
              <w:spacing w:before="20" w:after="20"/>
              <w:ind w:right="624"/>
              <w:jc w:val="right"/>
              <w:rPr>
                <w:rFonts w:cs="Arial"/>
                <w:b/>
                <w:sz w:val="18"/>
                <w:lang w:val="es-ES" w:eastAsia="en-US"/>
              </w:rPr>
            </w:pPr>
            <w:r w:rsidRPr="006F3CEA">
              <w:rPr>
                <w:rFonts w:cs="Arial"/>
                <w:b/>
                <w:sz w:val="18"/>
                <w:lang w:val="es-ES" w:eastAsia="en-US"/>
              </w:rPr>
              <w:t xml:space="preserve">    </w:t>
            </w:r>
            <w:r>
              <w:rPr>
                <w:rFonts w:cs="Arial"/>
                <w:b/>
                <w:sz w:val="18"/>
                <w:lang w:val="es-ES" w:eastAsia="en-US"/>
              </w:rPr>
              <w:t>1</w:t>
            </w:r>
            <w:r w:rsidRPr="006F3CEA">
              <w:rPr>
                <w:rFonts w:cs="Arial"/>
                <w:b/>
                <w:sz w:val="18"/>
                <w:lang w:val="es-ES" w:eastAsia="en-US"/>
              </w:rPr>
              <w:t>.</w:t>
            </w:r>
            <w:r>
              <w:rPr>
                <w:rFonts w:cs="Arial"/>
                <w:b/>
                <w:sz w:val="18"/>
                <w:lang w:val="es-ES" w:eastAsia="en-US"/>
              </w:rPr>
              <w:t>6</w:t>
            </w:r>
          </w:p>
        </w:tc>
      </w:tr>
      <w:tr w:rsidR="005C75C2" w:rsidTr="003825AE">
        <w:trPr>
          <w:cantSplit/>
          <w:trHeight w:val="20"/>
          <w:jc w:val="center"/>
        </w:trPr>
        <w:tc>
          <w:tcPr>
            <w:tcW w:w="2834" w:type="dxa"/>
            <w:tcBorders>
              <w:top w:val="nil"/>
              <w:left w:val="double" w:sz="4" w:space="0" w:color="auto"/>
              <w:bottom w:val="nil"/>
              <w:right w:val="single" w:sz="8" w:space="0" w:color="404040"/>
            </w:tcBorders>
            <w:hideMark/>
          </w:tcPr>
          <w:p w:rsidR="005C75C2" w:rsidRDefault="005C75C2" w:rsidP="003825AE">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rsidR="005C75C2" w:rsidRPr="006F3CEA" w:rsidRDefault="005C75C2" w:rsidP="003825AE">
            <w:pPr>
              <w:tabs>
                <w:tab w:val="left" w:pos="307"/>
              </w:tabs>
              <w:spacing w:before="60"/>
              <w:ind w:right="567"/>
              <w:jc w:val="right"/>
              <w:rPr>
                <w:rFonts w:cs="Arial"/>
                <w:sz w:val="18"/>
                <w:lang w:val="es-ES" w:eastAsia="en-US"/>
              </w:rPr>
            </w:pPr>
            <w:r w:rsidRPr="006F3CEA">
              <w:rPr>
                <w:rFonts w:cs="Arial"/>
                <w:sz w:val="18"/>
                <w:lang w:val="es-ES" w:eastAsia="en-US"/>
              </w:rPr>
              <w:t xml:space="preserve">  0.</w:t>
            </w:r>
            <w:r>
              <w:rPr>
                <w:rFonts w:cs="Arial"/>
                <w:sz w:val="18"/>
                <w:lang w:val="es-ES" w:eastAsia="en-US"/>
              </w:rPr>
              <w:t>8</w:t>
            </w:r>
          </w:p>
        </w:tc>
        <w:tc>
          <w:tcPr>
            <w:tcW w:w="1843" w:type="dxa"/>
            <w:tcBorders>
              <w:top w:val="nil"/>
              <w:left w:val="single" w:sz="8" w:space="0" w:color="404040"/>
              <w:bottom w:val="nil"/>
              <w:right w:val="double" w:sz="4" w:space="0" w:color="auto"/>
            </w:tcBorders>
            <w:hideMark/>
          </w:tcPr>
          <w:p w:rsidR="005C75C2" w:rsidRPr="006F3CEA" w:rsidRDefault="005C75C2" w:rsidP="003825AE">
            <w:pPr>
              <w:tabs>
                <w:tab w:val="left" w:pos="307"/>
                <w:tab w:val="decimal" w:pos="881"/>
              </w:tabs>
              <w:spacing w:before="60"/>
              <w:ind w:right="624"/>
              <w:jc w:val="right"/>
              <w:rPr>
                <w:rFonts w:cs="Arial"/>
                <w:sz w:val="18"/>
                <w:lang w:val="es-ES" w:eastAsia="en-US"/>
              </w:rPr>
            </w:pPr>
            <w:r w:rsidRPr="006F3CEA">
              <w:rPr>
                <w:rFonts w:cs="Arial"/>
                <w:sz w:val="18"/>
                <w:lang w:val="es-ES" w:eastAsia="en-US"/>
              </w:rPr>
              <w:t xml:space="preserve">  1</w:t>
            </w:r>
            <w:r>
              <w:rPr>
                <w:rFonts w:cs="Arial"/>
                <w:sz w:val="18"/>
                <w:lang w:val="es-ES" w:eastAsia="en-US"/>
              </w:rPr>
              <w:t>.4</w:t>
            </w:r>
          </w:p>
        </w:tc>
      </w:tr>
      <w:tr w:rsidR="005C75C2" w:rsidTr="003825AE">
        <w:trPr>
          <w:cantSplit/>
          <w:trHeight w:val="20"/>
          <w:jc w:val="center"/>
        </w:trPr>
        <w:tc>
          <w:tcPr>
            <w:tcW w:w="2834" w:type="dxa"/>
            <w:tcBorders>
              <w:top w:val="nil"/>
              <w:left w:val="double" w:sz="4" w:space="0" w:color="auto"/>
              <w:bottom w:val="nil"/>
              <w:right w:val="single" w:sz="8" w:space="0" w:color="404040"/>
            </w:tcBorders>
            <w:hideMark/>
          </w:tcPr>
          <w:p w:rsidR="005C75C2" w:rsidRDefault="005C75C2" w:rsidP="003825AE">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rsidR="005C75C2" w:rsidRPr="006F3CEA" w:rsidRDefault="005C75C2" w:rsidP="003825AE">
            <w:pPr>
              <w:tabs>
                <w:tab w:val="left" w:pos="307"/>
              </w:tabs>
              <w:spacing w:before="60"/>
              <w:ind w:right="567"/>
              <w:jc w:val="right"/>
              <w:rPr>
                <w:rFonts w:cs="Arial"/>
                <w:sz w:val="18"/>
                <w:lang w:val="es-ES" w:eastAsia="en-US"/>
              </w:rPr>
            </w:pPr>
            <w:r w:rsidRPr="006F3CEA">
              <w:rPr>
                <w:rFonts w:cs="Arial"/>
                <w:sz w:val="18"/>
                <w:lang w:val="es-ES" w:eastAsia="en-US"/>
              </w:rPr>
              <w:t xml:space="preserve">  0.</w:t>
            </w:r>
            <w:r>
              <w:rPr>
                <w:rFonts w:cs="Arial"/>
                <w:sz w:val="18"/>
                <w:lang w:val="es-ES" w:eastAsia="en-US"/>
              </w:rPr>
              <w:t>7</w:t>
            </w:r>
          </w:p>
        </w:tc>
        <w:tc>
          <w:tcPr>
            <w:tcW w:w="1843" w:type="dxa"/>
            <w:tcBorders>
              <w:top w:val="nil"/>
              <w:left w:val="single" w:sz="8" w:space="0" w:color="404040"/>
              <w:bottom w:val="nil"/>
              <w:right w:val="double" w:sz="4" w:space="0" w:color="auto"/>
            </w:tcBorders>
            <w:hideMark/>
          </w:tcPr>
          <w:p w:rsidR="005C75C2" w:rsidRPr="006F3CEA" w:rsidRDefault="005C75C2" w:rsidP="003825AE">
            <w:pPr>
              <w:tabs>
                <w:tab w:val="left" w:pos="307"/>
                <w:tab w:val="decimal" w:pos="881"/>
              </w:tabs>
              <w:spacing w:before="60"/>
              <w:ind w:right="624"/>
              <w:jc w:val="right"/>
              <w:rPr>
                <w:rFonts w:cs="Arial"/>
                <w:sz w:val="18"/>
                <w:lang w:val="es-ES" w:eastAsia="en-US"/>
              </w:rPr>
            </w:pPr>
            <w:r w:rsidRPr="006F3CEA">
              <w:rPr>
                <w:rFonts w:cs="Arial"/>
                <w:sz w:val="18"/>
                <w:lang w:val="es-ES" w:eastAsia="en-US"/>
              </w:rPr>
              <w:t xml:space="preserve">    </w:t>
            </w:r>
            <w:r>
              <w:rPr>
                <w:rFonts w:cs="Arial"/>
                <w:sz w:val="18"/>
                <w:lang w:val="es-ES" w:eastAsia="en-US"/>
              </w:rPr>
              <w:t>1</w:t>
            </w:r>
            <w:r w:rsidRPr="006F3CEA">
              <w:rPr>
                <w:rFonts w:cs="Arial"/>
                <w:sz w:val="18"/>
                <w:lang w:val="es-ES" w:eastAsia="en-US"/>
              </w:rPr>
              <w:t>.</w:t>
            </w:r>
            <w:r>
              <w:rPr>
                <w:rFonts w:cs="Arial"/>
                <w:sz w:val="18"/>
                <w:lang w:val="es-ES" w:eastAsia="en-US"/>
              </w:rPr>
              <w:t>6</w:t>
            </w:r>
          </w:p>
        </w:tc>
      </w:tr>
      <w:tr w:rsidR="005C75C2" w:rsidTr="003825AE">
        <w:trPr>
          <w:cantSplit/>
          <w:trHeight w:val="20"/>
          <w:jc w:val="center"/>
        </w:trPr>
        <w:tc>
          <w:tcPr>
            <w:tcW w:w="2834" w:type="dxa"/>
            <w:tcBorders>
              <w:top w:val="nil"/>
              <w:left w:val="double" w:sz="4" w:space="0" w:color="auto"/>
              <w:bottom w:val="nil"/>
              <w:right w:val="single" w:sz="8" w:space="0" w:color="404040"/>
            </w:tcBorders>
            <w:hideMark/>
          </w:tcPr>
          <w:p w:rsidR="005C75C2" w:rsidRDefault="005C75C2" w:rsidP="003825AE">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rsidR="005C75C2" w:rsidRPr="006F3CEA" w:rsidRDefault="005C75C2" w:rsidP="003825AE">
            <w:pPr>
              <w:tabs>
                <w:tab w:val="left" w:pos="307"/>
                <w:tab w:val="decimal" w:pos="881"/>
              </w:tabs>
              <w:spacing w:before="60" w:after="60"/>
              <w:ind w:right="567"/>
              <w:jc w:val="right"/>
              <w:rPr>
                <w:rFonts w:cs="Arial"/>
                <w:b/>
                <w:sz w:val="18"/>
                <w:lang w:val="es-ES" w:eastAsia="en-US"/>
              </w:rPr>
            </w:pPr>
            <w:r w:rsidRPr="006F3CEA">
              <w:rPr>
                <w:rFonts w:cs="Arial"/>
                <w:b/>
                <w:sz w:val="18"/>
                <w:lang w:val="es-ES" w:eastAsia="en-US"/>
              </w:rPr>
              <w:t>(-)  1.</w:t>
            </w:r>
            <w:r>
              <w:rPr>
                <w:rFonts w:cs="Arial"/>
                <w:b/>
                <w:sz w:val="18"/>
                <w:lang w:val="es-ES" w:eastAsia="en-US"/>
              </w:rPr>
              <w:t>6</w:t>
            </w:r>
          </w:p>
        </w:tc>
        <w:tc>
          <w:tcPr>
            <w:tcW w:w="1843" w:type="dxa"/>
            <w:tcBorders>
              <w:top w:val="nil"/>
              <w:left w:val="single" w:sz="8" w:space="0" w:color="404040"/>
              <w:bottom w:val="nil"/>
              <w:right w:val="double" w:sz="4" w:space="0" w:color="auto"/>
            </w:tcBorders>
            <w:hideMark/>
          </w:tcPr>
          <w:p w:rsidR="005C75C2" w:rsidRPr="006F3CEA" w:rsidRDefault="005C75C2" w:rsidP="003825AE">
            <w:pPr>
              <w:tabs>
                <w:tab w:val="left" w:pos="307"/>
                <w:tab w:val="decimal" w:pos="881"/>
              </w:tabs>
              <w:spacing w:before="60" w:after="60"/>
              <w:ind w:right="624"/>
              <w:jc w:val="right"/>
              <w:rPr>
                <w:rFonts w:cs="Arial"/>
                <w:b/>
                <w:sz w:val="18"/>
                <w:lang w:val="es-ES" w:eastAsia="en-US"/>
              </w:rPr>
            </w:pPr>
            <w:r>
              <w:rPr>
                <w:rFonts w:cs="Arial"/>
                <w:b/>
                <w:sz w:val="18"/>
                <w:lang w:val="es-ES" w:eastAsia="en-US"/>
              </w:rPr>
              <w:t>(-)</w:t>
            </w:r>
            <w:r w:rsidRPr="006F3CEA">
              <w:rPr>
                <w:rFonts w:cs="Arial"/>
                <w:b/>
                <w:sz w:val="18"/>
                <w:lang w:val="es-ES" w:eastAsia="en-US"/>
              </w:rPr>
              <w:t xml:space="preserve">  </w:t>
            </w:r>
            <w:r>
              <w:rPr>
                <w:rFonts w:cs="Arial"/>
                <w:b/>
                <w:sz w:val="18"/>
                <w:lang w:val="es-ES" w:eastAsia="en-US"/>
              </w:rPr>
              <w:t>1</w:t>
            </w:r>
            <w:r w:rsidRPr="006F3CEA">
              <w:rPr>
                <w:rFonts w:cs="Arial"/>
                <w:b/>
                <w:sz w:val="18"/>
                <w:lang w:val="es-ES" w:eastAsia="en-US"/>
              </w:rPr>
              <w:t>.</w:t>
            </w:r>
            <w:r>
              <w:rPr>
                <w:rFonts w:cs="Arial"/>
                <w:b/>
                <w:sz w:val="18"/>
                <w:lang w:val="es-ES" w:eastAsia="en-US"/>
              </w:rPr>
              <w:t>2</w:t>
            </w:r>
            <w:r w:rsidRPr="006F3CEA">
              <w:rPr>
                <w:rFonts w:cs="Arial"/>
                <w:b/>
                <w:sz w:val="18"/>
                <w:lang w:val="es-ES" w:eastAsia="en-US"/>
              </w:rPr>
              <w:t xml:space="preserve"> </w:t>
            </w:r>
          </w:p>
        </w:tc>
      </w:tr>
      <w:tr w:rsidR="005C75C2" w:rsidTr="003825AE">
        <w:trPr>
          <w:cantSplit/>
          <w:trHeight w:val="20"/>
          <w:jc w:val="center"/>
        </w:trPr>
        <w:tc>
          <w:tcPr>
            <w:tcW w:w="2834" w:type="dxa"/>
            <w:tcBorders>
              <w:top w:val="nil"/>
              <w:left w:val="double" w:sz="4" w:space="0" w:color="auto"/>
              <w:bottom w:val="double" w:sz="4" w:space="0" w:color="404040"/>
              <w:right w:val="single" w:sz="8" w:space="0" w:color="404040"/>
            </w:tcBorders>
          </w:tcPr>
          <w:p w:rsidR="005C75C2" w:rsidRDefault="005C75C2" w:rsidP="003825AE">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rsidR="005C75C2" w:rsidRPr="006F3CEA" w:rsidRDefault="005C75C2" w:rsidP="003825AE">
            <w:pPr>
              <w:tabs>
                <w:tab w:val="left" w:pos="307"/>
                <w:tab w:val="decimal" w:pos="881"/>
              </w:tabs>
              <w:ind w:right="567"/>
              <w:jc w:val="right"/>
              <w:rPr>
                <w:rFonts w:cs="Arial"/>
                <w:sz w:val="18"/>
                <w:lang w:val="es-ES"/>
              </w:rPr>
            </w:pPr>
            <w:r w:rsidRPr="006F3CEA">
              <w:rPr>
                <w:rFonts w:cs="Arial"/>
                <w:sz w:val="18"/>
                <w:lang w:val="es-ES"/>
              </w:rPr>
              <w:t>(-)  1.</w:t>
            </w:r>
            <w:r>
              <w:rPr>
                <w:rFonts w:cs="Arial"/>
                <w:sz w:val="18"/>
                <w:lang w:val="es-ES"/>
              </w:rPr>
              <w:t>6</w:t>
            </w:r>
          </w:p>
        </w:tc>
        <w:tc>
          <w:tcPr>
            <w:tcW w:w="1843" w:type="dxa"/>
            <w:tcBorders>
              <w:top w:val="nil"/>
              <w:left w:val="single" w:sz="8" w:space="0" w:color="404040"/>
              <w:bottom w:val="double" w:sz="4" w:space="0" w:color="404040"/>
              <w:right w:val="double" w:sz="4" w:space="0" w:color="auto"/>
            </w:tcBorders>
          </w:tcPr>
          <w:p w:rsidR="005C75C2" w:rsidRPr="006F3CEA" w:rsidRDefault="005C75C2" w:rsidP="003825AE">
            <w:pPr>
              <w:tabs>
                <w:tab w:val="left" w:pos="307"/>
                <w:tab w:val="decimal" w:pos="881"/>
              </w:tabs>
              <w:ind w:right="624"/>
              <w:jc w:val="right"/>
              <w:rPr>
                <w:rFonts w:cs="Arial"/>
                <w:sz w:val="18"/>
                <w:lang w:val="es-ES"/>
              </w:rPr>
            </w:pPr>
            <w:r>
              <w:rPr>
                <w:rFonts w:cs="Arial"/>
                <w:sz w:val="18"/>
                <w:lang w:val="es-ES"/>
              </w:rPr>
              <w:t>(-)</w:t>
            </w:r>
            <w:r w:rsidRPr="006F3CEA">
              <w:rPr>
                <w:rFonts w:cs="Arial"/>
                <w:sz w:val="18"/>
                <w:lang w:val="es-ES"/>
              </w:rPr>
              <w:t xml:space="preserve">  </w:t>
            </w:r>
            <w:r>
              <w:rPr>
                <w:rFonts w:cs="Arial"/>
                <w:sz w:val="18"/>
                <w:lang w:val="es-ES"/>
              </w:rPr>
              <w:t>1</w:t>
            </w:r>
            <w:r w:rsidRPr="006F3CEA">
              <w:rPr>
                <w:rFonts w:cs="Arial"/>
                <w:sz w:val="18"/>
                <w:lang w:val="es-ES"/>
              </w:rPr>
              <w:t>.</w:t>
            </w:r>
            <w:r>
              <w:rPr>
                <w:rFonts w:cs="Arial"/>
                <w:sz w:val="18"/>
                <w:lang w:val="es-ES"/>
              </w:rPr>
              <w:t>2</w:t>
            </w:r>
          </w:p>
        </w:tc>
      </w:tr>
    </w:tbl>
    <w:p w:rsidR="005C75C2" w:rsidRDefault="005C75C2" w:rsidP="005C75C2">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rsidR="005C75C2" w:rsidRDefault="005C75C2" w:rsidP="005C75C2">
      <w:pPr>
        <w:widowControl/>
        <w:ind w:left="1276"/>
        <w:jc w:val="left"/>
        <w:rPr>
          <w:b/>
          <w:i/>
        </w:rPr>
      </w:pPr>
      <w:r>
        <w:rPr>
          <w:sz w:val="16"/>
          <w:szCs w:val="16"/>
        </w:rPr>
        <w:t>Fuente:    INEGI.</w:t>
      </w:r>
    </w:p>
    <w:p w:rsidR="005C75C2" w:rsidRDefault="005C75C2" w:rsidP="005C75C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rsidR="005C75C2" w:rsidRDefault="005C75C2" w:rsidP="005C75C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5C75C2" w:rsidRDefault="005C75C2" w:rsidP="005C75C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5C75C2" w:rsidRDefault="005C75C2" w:rsidP="005C75C2">
      <w:pPr>
        <w:pStyle w:val="p0"/>
        <w:rPr>
          <w:lang w:val="es-ES_tradnl"/>
        </w:rPr>
      </w:pPr>
    </w:p>
    <w:p w:rsidR="005C75C2" w:rsidRDefault="005C75C2" w:rsidP="005C75C2">
      <w:pPr>
        <w:pStyle w:val="p0"/>
        <w:rPr>
          <w:lang w:val="es-ES_tradnl"/>
        </w:rPr>
      </w:pPr>
    </w:p>
    <w:p w:rsidR="005C75C2" w:rsidRDefault="005C75C2" w:rsidP="005C75C2">
      <w:pPr>
        <w:pStyle w:val="p0"/>
        <w:rPr>
          <w:lang w:val="es-ES_tradnl"/>
        </w:rPr>
      </w:pPr>
    </w:p>
    <w:p w:rsidR="005C75C2" w:rsidRDefault="005C75C2" w:rsidP="005C75C2">
      <w:pPr>
        <w:pStyle w:val="p0"/>
        <w:rPr>
          <w:lang w:val="es-ES_tradnl"/>
        </w:rPr>
      </w:pPr>
    </w:p>
    <w:p w:rsidR="005C75C2" w:rsidRPr="00A457F9" w:rsidRDefault="005C75C2" w:rsidP="005C75C2">
      <w:pPr>
        <w:pStyle w:val="NormalWeb"/>
        <w:spacing w:before="0" w:beforeAutospacing="0" w:after="0" w:afterAutospacing="0"/>
        <w:ind w:left="-426" w:right="-518"/>
        <w:contextualSpacing/>
        <w:jc w:val="center"/>
        <w:rPr>
          <w:sz w:val="22"/>
          <w:szCs w:val="22"/>
        </w:rPr>
      </w:pPr>
      <w:r w:rsidRPr="00A457F9">
        <w:rPr>
          <w:sz w:val="22"/>
          <w:szCs w:val="22"/>
        </w:rPr>
        <w:t xml:space="preserve">Para consultas de medios y periodistas, contactar a: </w:t>
      </w:r>
      <w:hyperlink r:id="rId9" w:history="1">
        <w:r w:rsidRPr="00A457F9">
          <w:rPr>
            <w:rStyle w:val="Hipervnculo"/>
            <w:sz w:val="22"/>
            <w:szCs w:val="22"/>
          </w:rPr>
          <w:t>comunicacionsocial@inegi.org.mx</w:t>
        </w:r>
      </w:hyperlink>
      <w:r w:rsidRPr="00A457F9">
        <w:rPr>
          <w:sz w:val="22"/>
          <w:szCs w:val="22"/>
        </w:rPr>
        <w:t xml:space="preserve"> </w:t>
      </w:r>
    </w:p>
    <w:p w:rsidR="005C75C2" w:rsidRPr="00A457F9" w:rsidRDefault="005C75C2" w:rsidP="005C75C2">
      <w:pPr>
        <w:pStyle w:val="NormalWeb"/>
        <w:spacing w:before="0" w:beforeAutospacing="0" w:after="0" w:afterAutospacing="0"/>
        <w:ind w:left="-426" w:right="-518"/>
        <w:contextualSpacing/>
        <w:jc w:val="center"/>
        <w:rPr>
          <w:sz w:val="22"/>
          <w:szCs w:val="22"/>
        </w:rPr>
      </w:pPr>
      <w:r w:rsidRPr="00A457F9">
        <w:rPr>
          <w:sz w:val="22"/>
          <w:szCs w:val="22"/>
        </w:rPr>
        <w:t xml:space="preserve">o llamar al teléfono (55) 52-78-10-00, </w:t>
      </w:r>
      <w:proofErr w:type="spellStart"/>
      <w:r w:rsidRPr="00A457F9">
        <w:rPr>
          <w:sz w:val="22"/>
          <w:szCs w:val="22"/>
        </w:rPr>
        <w:t>exts</w:t>
      </w:r>
      <w:proofErr w:type="spellEnd"/>
      <w:r w:rsidRPr="00A457F9">
        <w:rPr>
          <w:sz w:val="22"/>
          <w:szCs w:val="22"/>
        </w:rPr>
        <w:t>. 1134, 1260 y 1241.</w:t>
      </w:r>
    </w:p>
    <w:p w:rsidR="005C75C2" w:rsidRPr="00A457F9" w:rsidRDefault="005C75C2" w:rsidP="005C75C2">
      <w:pPr>
        <w:ind w:left="-426" w:right="-518"/>
        <w:contextualSpacing/>
        <w:jc w:val="center"/>
        <w:rPr>
          <w:rFonts w:cs="Arial"/>
          <w:sz w:val="22"/>
          <w:szCs w:val="22"/>
        </w:rPr>
      </w:pPr>
    </w:p>
    <w:p w:rsidR="005C75C2" w:rsidRPr="00A457F9" w:rsidRDefault="005C75C2" w:rsidP="005C75C2">
      <w:pPr>
        <w:ind w:left="-426" w:right="-518"/>
        <w:contextualSpacing/>
        <w:jc w:val="center"/>
        <w:rPr>
          <w:rFonts w:cs="Arial"/>
          <w:sz w:val="22"/>
          <w:szCs w:val="22"/>
        </w:rPr>
      </w:pPr>
      <w:r w:rsidRPr="00A457F9">
        <w:rPr>
          <w:rFonts w:cs="Arial"/>
          <w:sz w:val="22"/>
          <w:szCs w:val="22"/>
        </w:rPr>
        <w:t xml:space="preserve">Dirección de Atención a Medios / Dirección General Adjunta de Comunicación </w:t>
      </w:r>
    </w:p>
    <w:p w:rsidR="005C75C2" w:rsidRPr="00345068" w:rsidRDefault="005C75C2" w:rsidP="005C75C2">
      <w:pPr>
        <w:ind w:left="-426" w:right="-518"/>
        <w:contextualSpacing/>
        <w:jc w:val="center"/>
        <w:rPr>
          <w:sz w:val="22"/>
          <w:szCs w:val="22"/>
        </w:rPr>
      </w:pPr>
    </w:p>
    <w:p w:rsidR="005C75C2" w:rsidRDefault="005C75C2" w:rsidP="005C75C2">
      <w:pPr>
        <w:ind w:left="-425" w:right="-516"/>
        <w:contextualSpacing/>
        <w:jc w:val="center"/>
      </w:pPr>
      <w:r w:rsidRPr="00FF1218">
        <w:rPr>
          <w:noProof/>
          <w:lang w:eastAsia="es-MX"/>
        </w:rPr>
        <w:drawing>
          <wp:inline distT="0" distB="0" distL="0" distR="0" wp14:anchorId="544E0020" wp14:editId="4F67ABE8">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73ACCC7" wp14:editId="05CEE4E9">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D30605C" wp14:editId="73ED9F95">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E100233" wp14:editId="47314E18">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98DDA64" wp14:editId="620008D7">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5C75C2" w:rsidRPr="00157C43" w:rsidRDefault="005C75C2" w:rsidP="005C75C2">
      <w:pPr>
        <w:pStyle w:val="bullet"/>
        <w:tabs>
          <w:tab w:val="left" w:pos="8789"/>
        </w:tabs>
        <w:spacing w:before="0"/>
        <w:ind w:left="0" w:right="51" w:firstLine="0"/>
        <w:jc w:val="center"/>
        <w:rPr>
          <w:rFonts w:cs="Arial"/>
          <w:szCs w:val="24"/>
        </w:rPr>
        <w:sectPr w:rsidR="005C75C2"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5C75C2" w:rsidRPr="005C75C2" w:rsidRDefault="005C75C2" w:rsidP="005C75C2">
      <w:pPr>
        <w:pStyle w:val="Textoindependiente"/>
        <w:spacing w:before="100" w:beforeAutospacing="1" w:after="100" w:afterAutospacing="1"/>
        <w:ind w:left="-284" w:right="335"/>
        <w:contextualSpacing/>
        <w:rPr>
          <w:sz w:val="28"/>
          <w:szCs w:val="28"/>
        </w:rPr>
      </w:pPr>
      <w:r w:rsidRPr="005C75C2">
        <w:rPr>
          <w:sz w:val="28"/>
          <w:szCs w:val="28"/>
        </w:rPr>
        <w:lastRenderedPageBreak/>
        <w:t xml:space="preserve">      nota técnica</w:t>
      </w:r>
    </w:p>
    <w:p w:rsidR="005C75C2" w:rsidRPr="005C75C2" w:rsidRDefault="005C75C2" w:rsidP="005C75C2">
      <w:pPr>
        <w:pStyle w:val="Textoindependiente"/>
        <w:spacing w:before="100" w:beforeAutospacing="1" w:after="100" w:afterAutospacing="1"/>
        <w:ind w:left="-284" w:right="335"/>
        <w:contextualSpacing/>
        <w:rPr>
          <w:sz w:val="16"/>
          <w:szCs w:val="16"/>
        </w:rPr>
      </w:pPr>
    </w:p>
    <w:p w:rsidR="00607F23" w:rsidRPr="005C75C2" w:rsidRDefault="00607F23" w:rsidP="005C75C2">
      <w:pPr>
        <w:pStyle w:val="Textoindependiente"/>
        <w:spacing w:before="100" w:beforeAutospacing="1"/>
        <w:rPr>
          <w:sz w:val="28"/>
          <w:szCs w:val="28"/>
        </w:rPr>
      </w:pPr>
      <w:r w:rsidRPr="005C75C2">
        <w:rPr>
          <w:sz w:val="28"/>
          <w:szCs w:val="28"/>
        </w:rPr>
        <w:t>INDICADOR MENSUAL DEL CONSUMO</w:t>
      </w:r>
    </w:p>
    <w:p w:rsidR="00607F23" w:rsidRPr="005C75C2" w:rsidRDefault="00607F23" w:rsidP="00607F23">
      <w:pPr>
        <w:pStyle w:val="Textoindependiente"/>
        <w:tabs>
          <w:tab w:val="center" w:pos="4420"/>
          <w:tab w:val="left" w:pos="8099"/>
        </w:tabs>
        <w:rPr>
          <w:sz w:val="28"/>
          <w:szCs w:val="28"/>
        </w:rPr>
      </w:pPr>
      <w:r w:rsidRPr="005C75C2">
        <w:rPr>
          <w:sz w:val="28"/>
          <w:szCs w:val="28"/>
        </w:rPr>
        <w:t>PRIVADO EN EL MERCADO INTERIOr</w:t>
      </w:r>
      <w:r w:rsidRPr="005C75C2">
        <w:rPr>
          <w:sz w:val="28"/>
          <w:szCs w:val="28"/>
          <w:vertAlign w:val="superscript"/>
        </w:rPr>
        <w:footnoteReference w:id="5"/>
      </w:r>
    </w:p>
    <w:p w:rsidR="00607F23" w:rsidRPr="005C75C2" w:rsidRDefault="00607F23" w:rsidP="00607F23">
      <w:pPr>
        <w:pStyle w:val="Textoindependiente"/>
        <w:rPr>
          <w:b w:val="0"/>
          <w:sz w:val="28"/>
          <w:szCs w:val="28"/>
        </w:rPr>
      </w:pPr>
      <w:r w:rsidRPr="005C75C2">
        <w:rPr>
          <w:sz w:val="28"/>
          <w:szCs w:val="28"/>
        </w:rPr>
        <w:t xml:space="preserve">DURANTE </w:t>
      </w:r>
      <w:r w:rsidR="007D2735" w:rsidRPr="005C75C2">
        <w:rPr>
          <w:sz w:val="28"/>
          <w:szCs w:val="28"/>
        </w:rPr>
        <w:t>JUNIO</w:t>
      </w:r>
      <w:r w:rsidRPr="005C75C2">
        <w:rPr>
          <w:sz w:val="28"/>
          <w:szCs w:val="28"/>
        </w:rPr>
        <w:t xml:space="preserve"> DE 201</w:t>
      </w:r>
      <w:r w:rsidR="00FC634B" w:rsidRPr="005C75C2">
        <w:rPr>
          <w:sz w:val="28"/>
          <w:szCs w:val="28"/>
        </w:rPr>
        <w:t>9</w:t>
      </w:r>
    </w:p>
    <w:p w:rsidR="00607F23" w:rsidRPr="00396149" w:rsidRDefault="00607F23" w:rsidP="00607F23">
      <w:pPr>
        <w:jc w:val="center"/>
        <w:rPr>
          <w:b/>
          <w:spacing w:val="25"/>
          <w:szCs w:val="24"/>
        </w:rPr>
      </w:pPr>
      <w:r w:rsidRPr="00396149">
        <w:rPr>
          <w:b/>
          <w:i/>
          <w:spacing w:val="25"/>
          <w:szCs w:val="24"/>
        </w:rPr>
        <w:t>(Cifras desestacionalizadas)</w:t>
      </w:r>
    </w:p>
    <w:p w:rsidR="006B66BD" w:rsidRDefault="006B66BD">
      <w:pPr>
        <w:widowControl/>
        <w:jc w:val="left"/>
        <w:rPr>
          <w:rFonts w:cs="Arial"/>
          <w:sz w:val="20"/>
          <w:szCs w:val="22"/>
        </w:rPr>
      </w:pPr>
    </w:p>
    <w:p w:rsidR="00D0777B" w:rsidRDefault="00D0777B" w:rsidP="00603623">
      <w:pPr>
        <w:pStyle w:val="p0"/>
        <w:spacing w:before="60"/>
        <w:jc w:val="center"/>
        <w:rPr>
          <w:rFonts w:cs="Arial"/>
          <w:color w:val="auto"/>
          <w:sz w:val="20"/>
          <w:szCs w:val="22"/>
        </w:rPr>
      </w:pPr>
    </w:p>
    <w:p w:rsidR="00140D9C" w:rsidRDefault="00140D9C" w:rsidP="00140D9C">
      <w:pPr>
        <w:pStyle w:val="Ttulo4"/>
        <w:keepNext w:val="0"/>
        <w:spacing w:before="240"/>
        <w:rPr>
          <w:u w:val="none"/>
        </w:rPr>
      </w:pPr>
      <w:r>
        <w:rPr>
          <w:u w:val="none"/>
        </w:rPr>
        <w:t>Principales Resultados</w:t>
      </w:r>
    </w:p>
    <w:p w:rsidR="004C2706" w:rsidRDefault="004C2706" w:rsidP="004C2706">
      <w:pPr>
        <w:spacing w:before="480"/>
      </w:pPr>
      <w:r>
        <w:t xml:space="preserve">Con base en cifras desestacionalizadas, el Indicador Mensual del Consumo Privado en el Mercado Interior (IMCPMI) </w:t>
      </w:r>
      <w:r w:rsidR="00816CF0">
        <w:t>aument</w:t>
      </w:r>
      <w:r w:rsidR="00556CBA">
        <w:t>ó</w:t>
      </w:r>
      <w:r>
        <w:t xml:space="preserve"> </w:t>
      </w:r>
      <w:r w:rsidR="00816CF0">
        <w:t>0.7</w:t>
      </w:r>
      <w:r w:rsidR="00A56E6C">
        <w:t>%</w:t>
      </w:r>
      <w:r>
        <w:t xml:space="preserve"> durante </w:t>
      </w:r>
      <w:r w:rsidR="007D2735">
        <w:t>juni</w:t>
      </w:r>
      <w:r w:rsidR="00A83053">
        <w:t>o</w:t>
      </w:r>
      <w:r>
        <w:t xml:space="preserve"> de 201</w:t>
      </w:r>
      <w:r w:rsidR="00B852F0">
        <w:t>9</w:t>
      </w:r>
      <w:r>
        <w:t xml:space="preserve"> con relación al nivel del mes inmediato anterior</w:t>
      </w:r>
      <w:r w:rsidR="005E6FAD">
        <w:t>.</w:t>
      </w:r>
      <w:r>
        <w:t xml:space="preserve">  </w:t>
      </w:r>
    </w:p>
    <w:p w:rsidR="002A1950" w:rsidRDefault="002A1950" w:rsidP="002A1950">
      <w:pPr>
        <w:widowControl/>
        <w:jc w:val="center"/>
        <w:rPr>
          <w:rFonts w:cs="Arial"/>
          <w:sz w:val="20"/>
          <w:szCs w:val="22"/>
        </w:rPr>
      </w:pPr>
    </w:p>
    <w:p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rsidR="00140D9C" w:rsidRDefault="00140D9C" w:rsidP="00B920A0">
      <w:pPr>
        <w:jc w:val="center"/>
        <w:outlineLvl w:val="3"/>
        <w:rPr>
          <w:rFonts w:cs="Arial"/>
          <w:b/>
          <w:smallCaps/>
          <w:sz w:val="22"/>
        </w:rPr>
      </w:pPr>
      <w:r>
        <w:rPr>
          <w:rFonts w:cs="Arial"/>
          <w:b/>
          <w:smallCaps/>
          <w:sz w:val="22"/>
        </w:rPr>
        <w:t xml:space="preserve">Indicador Mensual del Consumo Privado </w:t>
      </w:r>
    </w:p>
    <w:p w:rsidR="00140D9C" w:rsidRDefault="00140D9C" w:rsidP="00140D9C">
      <w:pPr>
        <w:jc w:val="center"/>
        <w:outlineLvl w:val="3"/>
        <w:rPr>
          <w:rFonts w:cs="Arial"/>
          <w:b/>
          <w:smallCaps/>
          <w:sz w:val="22"/>
        </w:rPr>
      </w:pPr>
      <w:r>
        <w:rPr>
          <w:rFonts w:cs="Arial"/>
          <w:b/>
          <w:smallCaps/>
          <w:sz w:val="22"/>
        </w:rPr>
        <w:t>en el Mercado Interior a</w:t>
      </w:r>
      <w:r w:rsidR="004C2706">
        <w:rPr>
          <w:rFonts w:cs="Arial"/>
          <w:b/>
          <w:smallCaps/>
          <w:sz w:val="22"/>
        </w:rPr>
        <w:t xml:space="preserve"> </w:t>
      </w:r>
      <w:r w:rsidR="007D2735">
        <w:rPr>
          <w:rFonts w:cs="Arial"/>
          <w:b/>
          <w:smallCaps/>
          <w:sz w:val="22"/>
        </w:rPr>
        <w:t>junio</w:t>
      </w:r>
      <w:r w:rsidRPr="004C2706">
        <w:rPr>
          <w:rFonts w:cs="Arial"/>
          <w:b/>
          <w:smallCaps/>
          <w:sz w:val="20"/>
        </w:rPr>
        <w:t xml:space="preserve"> </w:t>
      </w:r>
      <w:r>
        <w:rPr>
          <w:rFonts w:cs="Arial"/>
          <w:b/>
          <w:smallCaps/>
          <w:sz w:val="22"/>
        </w:rPr>
        <w:t>de 201</w:t>
      </w:r>
      <w:r w:rsidR="00B852F0">
        <w:rPr>
          <w:rFonts w:cs="Arial"/>
          <w:b/>
          <w:smallCaps/>
          <w:sz w:val="22"/>
        </w:rPr>
        <w:t>9</w:t>
      </w:r>
    </w:p>
    <w:p w:rsidR="00140D9C" w:rsidRDefault="00140D9C" w:rsidP="00140D9C">
      <w:pPr>
        <w:jc w:val="center"/>
        <w:outlineLvl w:val="3"/>
        <w:rPr>
          <w:rFonts w:cs="Arial"/>
          <w:b/>
          <w:smallCaps/>
          <w:sz w:val="22"/>
        </w:rPr>
      </w:pPr>
      <w:r>
        <w:rPr>
          <w:rFonts w:cs="Arial"/>
          <w:b/>
          <w:smallCaps/>
          <w:sz w:val="22"/>
        </w:rPr>
        <w:t>Series desestacionalizada y de tendencia-ciclo</w:t>
      </w:r>
    </w:p>
    <w:p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rsidR="00140D9C" w:rsidRDefault="00794EA9" w:rsidP="00140D9C">
      <w:pPr>
        <w:jc w:val="center"/>
        <w:outlineLvl w:val="3"/>
        <w:rPr>
          <w:rFonts w:cs="Arial"/>
          <w:sz w:val="18"/>
          <w:szCs w:val="18"/>
        </w:rPr>
      </w:pPr>
      <w:r>
        <w:rPr>
          <w:noProof/>
          <w:lang w:eastAsia="es-MX"/>
        </w:rPr>
        <w:drawing>
          <wp:inline distT="0" distB="0" distL="0" distR="0" wp14:anchorId="65A8C496" wp14:editId="6BF736C4">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0D9C" w:rsidRDefault="00140D9C" w:rsidP="00381696">
      <w:pPr>
        <w:ind w:left="708" w:firstLine="708"/>
      </w:pPr>
      <w:r>
        <w:rPr>
          <w:rFonts w:cs="Arial"/>
          <w:sz w:val="16"/>
        </w:rPr>
        <w:t>Fuente: INEGI.</w:t>
      </w:r>
    </w:p>
    <w:p w:rsidR="002C3239" w:rsidRDefault="002C3239" w:rsidP="002C3239">
      <w:pPr>
        <w:spacing w:before="240"/>
        <w:outlineLvl w:val="3"/>
      </w:pPr>
    </w:p>
    <w:p w:rsidR="00396149" w:rsidRDefault="00396149" w:rsidP="002C3239">
      <w:pPr>
        <w:spacing w:before="240"/>
        <w:outlineLvl w:val="3"/>
      </w:pPr>
    </w:p>
    <w:p w:rsidR="00396149" w:rsidRDefault="00396149" w:rsidP="002C3239">
      <w:pPr>
        <w:spacing w:before="240"/>
        <w:outlineLvl w:val="3"/>
      </w:pPr>
    </w:p>
    <w:p w:rsidR="00CB0DA0" w:rsidRDefault="00CB0DA0" w:rsidP="002C3239">
      <w:pPr>
        <w:spacing w:before="240"/>
        <w:outlineLvl w:val="3"/>
      </w:pPr>
    </w:p>
    <w:p w:rsidR="002C3239" w:rsidRDefault="002C3239" w:rsidP="00CB0DA0">
      <w:pPr>
        <w:outlineLvl w:val="3"/>
      </w:pPr>
      <w:r>
        <w:t xml:space="preserve">Por componentes, el consumo </w:t>
      </w:r>
      <w:r w:rsidR="00A35F7A">
        <w:t xml:space="preserve">en </w:t>
      </w:r>
      <w:r w:rsidR="00C2726B">
        <w:t>Bienes y Servicios de origen nacional creció 1%</w:t>
      </w:r>
      <w:r w:rsidR="007A53CA">
        <w:t xml:space="preserve">, en tanto que </w:t>
      </w:r>
      <w:r w:rsidR="00A35F7A">
        <w:t xml:space="preserve">en </w:t>
      </w:r>
      <w:r w:rsidR="00C2726B">
        <w:t xml:space="preserve">Bienes de origen importado cayó (-)1.6% </w:t>
      </w:r>
      <w:r w:rsidR="00462EE0">
        <w:t xml:space="preserve">en </w:t>
      </w:r>
      <w:r w:rsidR="007D2735">
        <w:t>juni</w:t>
      </w:r>
      <w:r w:rsidR="006A62D8">
        <w:t>o</w:t>
      </w:r>
      <w:r>
        <w:t xml:space="preserve"> </w:t>
      </w:r>
      <w:r w:rsidR="00E72BF2">
        <w:t>de</w:t>
      </w:r>
      <w:r w:rsidR="00F4780F">
        <w:t>l</w:t>
      </w:r>
      <w:r>
        <w:t xml:space="preserve"> </w:t>
      </w:r>
      <w:r w:rsidR="00393B44">
        <w:t xml:space="preserve">presente </w:t>
      </w:r>
      <w:r>
        <w:t xml:space="preserve">año </w:t>
      </w:r>
      <w:r w:rsidR="00137231">
        <w:t>frente</w:t>
      </w:r>
      <w:r>
        <w:t xml:space="preserve"> al mes </w:t>
      </w:r>
      <w:r w:rsidR="00B80E2D">
        <w:t>previo</w:t>
      </w:r>
      <w:r>
        <w:t>, según datos ajustados por estacionalidad.</w:t>
      </w:r>
    </w:p>
    <w:p w:rsidR="004C2706" w:rsidRDefault="004C2706" w:rsidP="004C2706">
      <w:pPr>
        <w:pStyle w:val="p0"/>
        <w:spacing w:before="0"/>
        <w:jc w:val="center"/>
        <w:rPr>
          <w:rFonts w:cs="Arial"/>
          <w:color w:val="auto"/>
          <w:sz w:val="20"/>
          <w:szCs w:val="22"/>
        </w:rPr>
      </w:pPr>
    </w:p>
    <w:p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rsidR="00794EA9" w:rsidRDefault="00794EA9" w:rsidP="00794EA9">
      <w:pPr>
        <w:pStyle w:val="p0"/>
        <w:spacing w:before="0"/>
        <w:jc w:val="center"/>
        <w:rPr>
          <w:rFonts w:cs="Arial"/>
          <w:b/>
          <w:smallCaps/>
          <w:color w:val="000000"/>
          <w:sz w:val="22"/>
        </w:rPr>
      </w:pPr>
      <w:r>
        <w:rPr>
          <w:rFonts w:cs="Arial"/>
          <w:b/>
          <w:smallCaps/>
          <w:color w:val="000000"/>
          <w:sz w:val="22"/>
        </w:rPr>
        <w:t xml:space="preserve">Consumo en bienes y servicios de origen nacional a junio de 2019 </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 xml:space="preserve">(Índice base 2013=100) </w:t>
      </w:r>
    </w:p>
    <w:p w:rsidR="001A032F" w:rsidRDefault="00794EA9" w:rsidP="001A032F">
      <w:pPr>
        <w:jc w:val="center"/>
        <w:rPr>
          <w:rFonts w:cs="Arial"/>
          <w:sz w:val="18"/>
          <w:szCs w:val="18"/>
        </w:rPr>
      </w:pPr>
      <w:r>
        <w:rPr>
          <w:noProof/>
          <w:lang w:eastAsia="es-MX"/>
        </w:rPr>
        <w:drawing>
          <wp:inline distT="0" distB="0" distL="0" distR="0" wp14:anchorId="5EE4062E" wp14:editId="4C53D3DC">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rsidR="001A032F" w:rsidRDefault="001A032F" w:rsidP="004C2706">
      <w:pPr>
        <w:pStyle w:val="p0"/>
        <w:spacing w:before="0"/>
        <w:jc w:val="center"/>
        <w:rPr>
          <w:rFonts w:cs="Arial"/>
          <w:color w:val="auto"/>
          <w:sz w:val="20"/>
          <w:szCs w:val="22"/>
        </w:rPr>
      </w:pPr>
    </w:p>
    <w:p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rsidR="00794EA9" w:rsidRPr="00376D7C" w:rsidRDefault="00794EA9" w:rsidP="00794EA9">
      <w:pPr>
        <w:pStyle w:val="p0"/>
        <w:spacing w:before="0"/>
        <w:jc w:val="center"/>
        <w:rPr>
          <w:rFonts w:cs="Arial"/>
          <w:b/>
          <w:smallCaps/>
          <w:color w:val="000000"/>
          <w:sz w:val="22"/>
        </w:rPr>
      </w:pPr>
      <w:r w:rsidRPr="00376D7C">
        <w:rPr>
          <w:rFonts w:cs="Arial"/>
          <w:b/>
          <w:smallCaps/>
          <w:color w:val="000000"/>
          <w:sz w:val="22"/>
        </w:rPr>
        <w:t xml:space="preserve">Consumo en bienes de origen importado a </w:t>
      </w:r>
      <w:r>
        <w:rPr>
          <w:rFonts w:cs="Arial"/>
          <w:b/>
          <w:smallCaps/>
          <w:color w:val="000000"/>
          <w:sz w:val="22"/>
        </w:rPr>
        <w:t>junio</w:t>
      </w:r>
      <w:r w:rsidRPr="00376D7C">
        <w:rPr>
          <w:rFonts w:cs="Arial"/>
          <w:b/>
          <w:smallCaps/>
          <w:color w:val="000000"/>
          <w:sz w:val="22"/>
        </w:rPr>
        <w:t xml:space="preserve"> de 201</w:t>
      </w:r>
      <w:r>
        <w:rPr>
          <w:rFonts w:cs="Arial"/>
          <w:b/>
          <w:smallCaps/>
          <w:color w:val="000000"/>
          <w:sz w:val="22"/>
        </w:rPr>
        <w:t>9</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(Índice base 2013=100)</w:t>
      </w:r>
    </w:p>
    <w:p w:rsidR="001A032F" w:rsidRDefault="00794EA9" w:rsidP="001A032F">
      <w:pPr>
        <w:jc w:val="center"/>
        <w:rPr>
          <w:rFonts w:cs="Arial"/>
          <w:sz w:val="18"/>
          <w:szCs w:val="18"/>
        </w:rPr>
      </w:pPr>
      <w:r>
        <w:rPr>
          <w:noProof/>
          <w:lang w:eastAsia="es-MX"/>
        </w:rPr>
        <w:drawing>
          <wp:inline distT="0" distB="0" distL="0" distR="0" wp14:anchorId="536B0649" wp14:editId="2C5261DB">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rsidR="00D0777B" w:rsidRDefault="00D0777B">
      <w:pPr>
        <w:widowControl/>
        <w:jc w:val="left"/>
        <w:rPr>
          <w:rFonts w:cs="Arial"/>
          <w:sz w:val="18"/>
          <w:szCs w:val="18"/>
        </w:rPr>
      </w:pPr>
      <w:r>
        <w:rPr>
          <w:rFonts w:cs="Arial"/>
          <w:sz w:val="18"/>
          <w:szCs w:val="18"/>
        </w:rPr>
        <w:br w:type="page"/>
      </w:r>
    </w:p>
    <w:p w:rsidR="00D0777B" w:rsidRPr="0044281B" w:rsidRDefault="00D0777B" w:rsidP="00D0777B">
      <w:pPr>
        <w:rPr>
          <w:rFonts w:cs="Arial"/>
          <w:sz w:val="18"/>
          <w:szCs w:val="18"/>
        </w:rPr>
      </w:pPr>
    </w:p>
    <w:p w:rsidR="00140D9C" w:rsidRDefault="00140D9C" w:rsidP="00140D9C">
      <w:pPr>
        <w:pStyle w:val="Ttulo4"/>
        <w:keepNext w:val="0"/>
        <w:spacing w:before="360"/>
        <w:rPr>
          <w:u w:val="none"/>
        </w:rPr>
      </w:pPr>
      <w:r>
        <w:rPr>
          <w:u w:val="none"/>
        </w:rPr>
        <w:t xml:space="preserve">Cifras originales </w:t>
      </w:r>
    </w:p>
    <w:p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7D2735">
        <w:rPr>
          <w:rFonts w:cs="Arial"/>
          <w:b/>
          <w:smallCaps/>
          <w:color w:val="auto"/>
          <w:sz w:val="22"/>
          <w:szCs w:val="22"/>
        </w:rPr>
        <w:t>juni</w:t>
      </w:r>
      <w:r w:rsidR="006A62D8">
        <w:rPr>
          <w:rFonts w:cs="Arial"/>
          <w:b/>
          <w:smallCaps/>
          <w:color w:val="auto"/>
          <w:sz w:val="22"/>
          <w:szCs w:val="22"/>
        </w:rPr>
        <w:t>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201</w:t>
      </w:r>
      <w:r w:rsidR="00B852F0">
        <w:rPr>
          <w:rFonts w:cs="Arial"/>
          <w:b/>
          <w:smallCaps/>
          <w:color w:val="auto"/>
          <w:sz w:val="22"/>
          <w:szCs w:val="22"/>
        </w:rPr>
        <w:t>9</w:t>
      </w:r>
    </w:p>
    <w:p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CF67D4" w:rsidTr="00BD31FC">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rsidR="00CF67D4" w:rsidRPr="005756E3" w:rsidRDefault="00CF67D4"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rsidR="00CF67D4" w:rsidRPr="005756E3" w:rsidRDefault="007D2735" w:rsidP="00F05497">
            <w:pPr>
              <w:pStyle w:val="p0"/>
              <w:keepNext/>
              <w:spacing w:before="120" w:after="120"/>
              <w:jc w:val="center"/>
              <w:rPr>
                <w:rFonts w:cs="Arial"/>
                <w:color w:val="auto"/>
                <w:sz w:val="18"/>
                <w:szCs w:val="18"/>
                <w:lang w:val="es-ES"/>
              </w:rPr>
            </w:pPr>
            <w:r>
              <w:rPr>
                <w:rFonts w:cs="Arial"/>
                <w:color w:val="auto"/>
                <w:sz w:val="18"/>
                <w:szCs w:val="18"/>
                <w:lang w:val="es-ES"/>
              </w:rPr>
              <w:t>Juni</w:t>
            </w:r>
            <w:r w:rsidR="006A62D8">
              <w:rPr>
                <w:rFonts w:cs="Arial"/>
                <w:color w:val="auto"/>
                <w:sz w:val="18"/>
                <w:szCs w:val="18"/>
                <w:lang w:val="es-ES"/>
              </w:rPr>
              <w:t>o</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rsidR="00CF67D4" w:rsidRDefault="00CF67D4" w:rsidP="007D2735">
            <w:pPr>
              <w:pStyle w:val="p0"/>
              <w:keepNext/>
              <w:spacing w:before="120" w:after="120"/>
              <w:jc w:val="center"/>
              <w:rPr>
                <w:rFonts w:cs="Arial"/>
                <w:color w:val="auto"/>
                <w:sz w:val="18"/>
                <w:szCs w:val="18"/>
                <w:lang w:val="es-ES"/>
              </w:rPr>
            </w:pPr>
            <w:r>
              <w:rPr>
                <w:rFonts w:cs="Arial"/>
                <w:color w:val="auto"/>
                <w:sz w:val="18"/>
                <w:szCs w:val="18"/>
                <w:lang w:val="es-ES"/>
              </w:rPr>
              <w:t>Ene-</w:t>
            </w:r>
            <w:r w:rsidR="007D2735">
              <w:rPr>
                <w:rFonts w:cs="Arial"/>
                <w:color w:val="auto"/>
                <w:sz w:val="18"/>
                <w:szCs w:val="18"/>
                <w:lang w:val="es-ES"/>
              </w:rPr>
              <w:t>Jun</w:t>
            </w:r>
          </w:p>
        </w:tc>
      </w:tr>
      <w:tr w:rsidR="00CF67D4" w:rsidTr="00BD31FC">
        <w:trPr>
          <w:cantSplit/>
          <w:trHeight w:val="20"/>
          <w:jc w:val="center"/>
        </w:trPr>
        <w:tc>
          <w:tcPr>
            <w:tcW w:w="3888" w:type="dxa"/>
            <w:tcBorders>
              <w:top w:val="single" w:sz="4" w:space="0" w:color="auto"/>
              <w:left w:val="double" w:sz="4" w:space="0" w:color="auto"/>
              <w:bottom w:val="nil"/>
              <w:right w:val="single" w:sz="6" w:space="0" w:color="auto"/>
            </w:tcBorders>
            <w:hideMark/>
          </w:tcPr>
          <w:p w:rsidR="00CF67D4" w:rsidRDefault="00CF67D4"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rsidR="00CF67D4" w:rsidRPr="002F1DB7" w:rsidRDefault="004C2113" w:rsidP="0063122C">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0.</w:t>
            </w:r>
            <w:r w:rsidR="0063122C">
              <w:rPr>
                <w:rFonts w:cs="Arial"/>
                <w:b/>
                <w:sz w:val="18"/>
                <w:u w:val="single"/>
                <w:lang w:val="es-ES" w:eastAsia="en-US"/>
              </w:rPr>
              <w:t>2</w:t>
            </w:r>
          </w:p>
        </w:tc>
        <w:tc>
          <w:tcPr>
            <w:tcW w:w="1499" w:type="dxa"/>
            <w:tcBorders>
              <w:top w:val="single" w:sz="4" w:space="0" w:color="auto"/>
              <w:left w:val="single" w:sz="4" w:space="0" w:color="auto"/>
              <w:bottom w:val="nil"/>
              <w:right w:val="double" w:sz="4" w:space="0" w:color="auto"/>
            </w:tcBorders>
          </w:tcPr>
          <w:p w:rsidR="00CF67D4" w:rsidRPr="002F1DB7" w:rsidRDefault="0067756D" w:rsidP="0067756D">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0</w:t>
            </w:r>
            <w:r w:rsidR="0063122C">
              <w:rPr>
                <w:rFonts w:cs="Arial"/>
                <w:b/>
                <w:sz w:val="18"/>
                <w:u w:val="single"/>
                <w:lang w:val="es-ES" w:eastAsia="en-US"/>
              </w:rPr>
              <w:t>.9</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rsidR="00CF67D4" w:rsidRPr="002F1DB7" w:rsidRDefault="00AC29D8" w:rsidP="0063122C">
            <w:pPr>
              <w:tabs>
                <w:tab w:val="left" w:pos="307"/>
              </w:tabs>
              <w:ind w:right="510"/>
              <w:jc w:val="right"/>
              <w:rPr>
                <w:rFonts w:cs="Arial"/>
                <w:b/>
                <w:sz w:val="18"/>
                <w:lang w:val="es-ES" w:eastAsia="en-US"/>
              </w:rPr>
            </w:pPr>
            <w:r>
              <w:rPr>
                <w:rFonts w:cs="Arial"/>
                <w:b/>
                <w:sz w:val="18"/>
                <w:lang w:val="es-ES" w:eastAsia="en-US"/>
              </w:rPr>
              <w:t>0</w:t>
            </w:r>
            <w:r w:rsidR="00CF67D4">
              <w:rPr>
                <w:rFonts w:cs="Arial"/>
                <w:b/>
                <w:sz w:val="18"/>
                <w:lang w:val="es-ES" w:eastAsia="en-US"/>
              </w:rPr>
              <w:t>.</w:t>
            </w:r>
            <w:r w:rsidR="0063122C">
              <w:rPr>
                <w:rFonts w:cs="Arial"/>
                <w:b/>
                <w:sz w:val="18"/>
                <w:lang w:val="es-ES" w:eastAsia="en-US"/>
              </w:rPr>
              <w:t>8</w:t>
            </w:r>
          </w:p>
        </w:tc>
        <w:tc>
          <w:tcPr>
            <w:tcW w:w="1499" w:type="dxa"/>
            <w:tcBorders>
              <w:top w:val="nil"/>
              <w:left w:val="single" w:sz="4" w:space="0" w:color="auto"/>
              <w:bottom w:val="nil"/>
              <w:right w:val="double" w:sz="4" w:space="0" w:color="auto"/>
            </w:tcBorders>
          </w:tcPr>
          <w:p w:rsidR="00CF67D4" w:rsidRPr="002F1DB7" w:rsidRDefault="00CF67D4" w:rsidP="0067756D">
            <w:pPr>
              <w:tabs>
                <w:tab w:val="left" w:pos="307"/>
              </w:tabs>
              <w:ind w:right="510"/>
              <w:jc w:val="right"/>
              <w:rPr>
                <w:rFonts w:cs="Arial"/>
                <w:b/>
                <w:sz w:val="18"/>
                <w:lang w:val="es-ES" w:eastAsia="en-US"/>
              </w:rPr>
            </w:pPr>
            <w:r>
              <w:rPr>
                <w:rFonts w:cs="Arial"/>
                <w:b/>
                <w:sz w:val="18"/>
                <w:lang w:val="es-ES" w:eastAsia="en-US"/>
              </w:rPr>
              <w:t>1.</w:t>
            </w:r>
            <w:r w:rsidR="0067756D">
              <w:rPr>
                <w:rFonts w:cs="Arial"/>
                <w:b/>
                <w:sz w:val="18"/>
                <w:lang w:val="es-ES" w:eastAsia="en-US"/>
              </w:rPr>
              <w:t>0</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rsidR="00CF67D4" w:rsidRPr="002F1DB7" w:rsidRDefault="00AC29D8" w:rsidP="00261CC9">
            <w:pPr>
              <w:tabs>
                <w:tab w:val="left" w:pos="307"/>
              </w:tabs>
              <w:ind w:right="510"/>
              <w:jc w:val="right"/>
              <w:rPr>
                <w:rFonts w:cs="Arial"/>
                <w:sz w:val="18"/>
                <w:lang w:val="es-ES" w:eastAsia="en-US"/>
              </w:rPr>
            </w:pPr>
            <w:r>
              <w:rPr>
                <w:rFonts w:cs="Arial"/>
                <w:sz w:val="18"/>
                <w:lang w:val="es-ES" w:eastAsia="en-US"/>
              </w:rPr>
              <w:t>(-)</w:t>
            </w:r>
            <w:r w:rsidR="00CF67D4">
              <w:rPr>
                <w:rFonts w:cs="Arial"/>
                <w:sz w:val="18"/>
                <w:lang w:val="es-ES" w:eastAsia="en-US"/>
              </w:rPr>
              <w:t xml:space="preserve"> </w:t>
            </w:r>
            <w:r w:rsidR="00CF67D4" w:rsidRPr="002F1DB7">
              <w:rPr>
                <w:rFonts w:cs="Arial"/>
                <w:sz w:val="18"/>
                <w:lang w:val="es-ES" w:eastAsia="en-US"/>
              </w:rPr>
              <w:t xml:space="preserve">  </w:t>
            </w:r>
            <w:r w:rsidR="004C2113">
              <w:rPr>
                <w:rFonts w:cs="Arial"/>
                <w:sz w:val="18"/>
                <w:lang w:val="es-ES" w:eastAsia="en-US"/>
              </w:rPr>
              <w:t>0.</w:t>
            </w:r>
            <w:r w:rsidR="0063122C">
              <w:rPr>
                <w:rFonts w:cs="Arial"/>
                <w:sz w:val="18"/>
                <w:lang w:val="es-ES" w:eastAsia="en-US"/>
              </w:rPr>
              <w:t>1</w:t>
            </w:r>
          </w:p>
          <w:p w:rsidR="00CF67D4" w:rsidRPr="002F1DB7" w:rsidRDefault="004C2113" w:rsidP="00261CC9">
            <w:pPr>
              <w:tabs>
                <w:tab w:val="left" w:pos="307"/>
              </w:tabs>
              <w:ind w:right="510"/>
              <w:jc w:val="right"/>
              <w:rPr>
                <w:rFonts w:cs="Arial"/>
                <w:sz w:val="18"/>
                <w:lang w:val="es-ES" w:eastAsia="en-US"/>
              </w:rPr>
            </w:pPr>
            <w:r>
              <w:rPr>
                <w:rFonts w:cs="Arial"/>
                <w:sz w:val="18"/>
                <w:lang w:val="es-ES" w:eastAsia="en-US"/>
              </w:rPr>
              <w:t>(-) 1</w:t>
            </w:r>
            <w:r w:rsidR="0063122C">
              <w:rPr>
                <w:rFonts w:cs="Arial"/>
                <w:sz w:val="18"/>
                <w:lang w:val="es-ES" w:eastAsia="en-US"/>
              </w:rPr>
              <w:t>0</w:t>
            </w:r>
            <w:r>
              <w:rPr>
                <w:rFonts w:cs="Arial"/>
                <w:sz w:val="18"/>
                <w:lang w:val="es-ES" w:eastAsia="en-US"/>
              </w:rPr>
              <w:t>.</w:t>
            </w:r>
            <w:r w:rsidR="0063122C">
              <w:rPr>
                <w:rFonts w:cs="Arial"/>
                <w:sz w:val="18"/>
                <w:lang w:val="es-ES" w:eastAsia="en-US"/>
              </w:rPr>
              <w:t>8</w:t>
            </w:r>
          </w:p>
          <w:p w:rsidR="00CF67D4" w:rsidRPr="002F1DB7" w:rsidRDefault="00CF67D4" w:rsidP="00261CC9">
            <w:pPr>
              <w:tabs>
                <w:tab w:val="left" w:pos="307"/>
              </w:tabs>
              <w:ind w:right="510"/>
              <w:jc w:val="right"/>
              <w:rPr>
                <w:rFonts w:cs="Arial"/>
                <w:sz w:val="18"/>
                <w:lang w:val="es-ES" w:eastAsia="en-US"/>
              </w:rPr>
            </w:pPr>
            <w:r>
              <w:rPr>
                <w:rFonts w:cs="Arial"/>
                <w:sz w:val="18"/>
                <w:lang w:val="es-ES" w:eastAsia="en-US"/>
              </w:rPr>
              <w:t xml:space="preserve">   </w:t>
            </w:r>
            <w:r w:rsidR="0063122C">
              <w:rPr>
                <w:rFonts w:cs="Arial"/>
                <w:sz w:val="18"/>
                <w:lang w:val="es-ES" w:eastAsia="en-US"/>
              </w:rPr>
              <w:t>1</w:t>
            </w:r>
            <w:r w:rsidR="004C2113">
              <w:rPr>
                <w:rFonts w:cs="Arial"/>
                <w:sz w:val="18"/>
                <w:lang w:val="es-ES" w:eastAsia="en-US"/>
              </w:rPr>
              <w:t>.</w:t>
            </w:r>
            <w:r w:rsidR="0067756D">
              <w:rPr>
                <w:rFonts w:cs="Arial"/>
                <w:sz w:val="18"/>
                <w:lang w:val="es-ES" w:eastAsia="en-US"/>
              </w:rPr>
              <w:t>3</w:t>
            </w:r>
          </w:p>
          <w:p w:rsidR="00CF67D4" w:rsidRPr="002F1DB7" w:rsidRDefault="00CF67D4" w:rsidP="0063122C">
            <w:pPr>
              <w:tabs>
                <w:tab w:val="left" w:pos="307"/>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w:t>
            </w:r>
            <w:r>
              <w:rPr>
                <w:rFonts w:cs="Arial"/>
                <w:sz w:val="18"/>
                <w:lang w:val="es-ES" w:eastAsia="en-US"/>
              </w:rPr>
              <w:t>.</w:t>
            </w:r>
            <w:r w:rsidR="0063122C">
              <w:rPr>
                <w:rFonts w:cs="Arial"/>
                <w:sz w:val="18"/>
                <w:lang w:val="es-ES" w:eastAsia="en-US"/>
              </w:rPr>
              <w:t>0</w:t>
            </w:r>
          </w:p>
        </w:tc>
        <w:tc>
          <w:tcPr>
            <w:tcW w:w="1499" w:type="dxa"/>
            <w:tcBorders>
              <w:top w:val="nil"/>
              <w:left w:val="single" w:sz="4" w:space="0" w:color="auto"/>
              <w:bottom w:val="nil"/>
              <w:right w:val="double" w:sz="4" w:space="0" w:color="auto"/>
            </w:tcBorders>
          </w:tcPr>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Pr="002F1DB7">
              <w:rPr>
                <w:rFonts w:cs="Arial"/>
                <w:sz w:val="18"/>
                <w:lang w:val="es-ES" w:eastAsia="en-US"/>
              </w:rPr>
              <w:t xml:space="preserve">  </w:t>
            </w:r>
            <w:r w:rsidR="00AC29D8">
              <w:rPr>
                <w:rFonts w:cs="Arial"/>
                <w:sz w:val="18"/>
                <w:lang w:val="es-ES" w:eastAsia="en-US"/>
              </w:rPr>
              <w:t>0</w:t>
            </w:r>
            <w:r w:rsidRPr="002F1DB7">
              <w:rPr>
                <w:rFonts w:cs="Arial"/>
                <w:sz w:val="18"/>
                <w:lang w:val="es-ES" w:eastAsia="en-US"/>
              </w:rPr>
              <w:t>.</w:t>
            </w:r>
            <w:r w:rsidR="0063122C">
              <w:rPr>
                <w:rFonts w:cs="Arial"/>
                <w:sz w:val="18"/>
                <w:lang w:val="es-ES" w:eastAsia="en-US"/>
              </w:rPr>
              <w:t>6</w:t>
            </w:r>
          </w:p>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w:t>
            </w:r>
            <w:r w:rsidR="0063122C">
              <w:rPr>
                <w:rFonts w:cs="Arial"/>
                <w:sz w:val="18"/>
                <w:lang w:val="es-ES" w:eastAsia="en-US"/>
              </w:rPr>
              <w:t>1</w:t>
            </w:r>
            <w:r>
              <w:rPr>
                <w:rFonts w:cs="Arial"/>
                <w:sz w:val="18"/>
                <w:lang w:val="es-ES" w:eastAsia="en-US"/>
              </w:rPr>
              <w:t>.</w:t>
            </w:r>
            <w:r w:rsidR="0063122C">
              <w:rPr>
                <w:rFonts w:cs="Arial"/>
                <w:sz w:val="18"/>
                <w:lang w:val="es-ES" w:eastAsia="en-US"/>
              </w:rPr>
              <w:t>1</w:t>
            </w:r>
          </w:p>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0063122C">
              <w:rPr>
                <w:rFonts w:cs="Arial"/>
                <w:sz w:val="18"/>
                <w:lang w:val="es-ES" w:eastAsia="en-US"/>
              </w:rPr>
              <w:t>2</w:t>
            </w:r>
            <w:r>
              <w:rPr>
                <w:rFonts w:cs="Arial"/>
                <w:sz w:val="18"/>
                <w:lang w:val="es-ES" w:eastAsia="en-US"/>
              </w:rPr>
              <w:t>.</w:t>
            </w:r>
            <w:r w:rsidR="0063122C">
              <w:rPr>
                <w:rFonts w:cs="Arial"/>
                <w:sz w:val="18"/>
                <w:lang w:val="es-ES" w:eastAsia="en-US"/>
              </w:rPr>
              <w:t>5</w:t>
            </w:r>
          </w:p>
          <w:p w:rsidR="00CF67D4" w:rsidRPr="002F1DB7" w:rsidRDefault="00CF67D4" w:rsidP="0063122C">
            <w:pPr>
              <w:tabs>
                <w:tab w:val="left" w:pos="307"/>
              </w:tabs>
              <w:ind w:right="510"/>
              <w:jc w:val="right"/>
              <w:rPr>
                <w:rFonts w:cs="Arial"/>
                <w:sz w:val="18"/>
                <w:lang w:val="es-ES" w:eastAsia="en-US"/>
              </w:rPr>
            </w:pPr>
            <w:r>
              <w:rPr>
                <w:rFonts w:cs="Arial"/>
                <w:sz w:val="18"/>
                <w:lang w:val="es-ES" w:eastAsia="en-US"/>
              </w:rPr>
              <w:t xml:space="preserve">    </w:t>
            </w:r>
            <w:r w:rsidR="0063122C">
              <w:rPr>
                <w:rFonts w:cs="Arial"/>
                <w:sz w:val="18"/>
                <w:lang w:val="es-ES" w:eastAsia="en-US"/>
              </w:rPr>
              <w:t>1</w:t>
            </w:r>
            <w:r>
              <w:rPr>
                <w:rFonts w:cs="Arial"/>
                <w:sz w:val="18"/>
                <w:lang w:val="es-ES" w:eastAsia="en-US"/>
              </w:rPr>
              <w:t>.</w:t>
            </w:r>
            <w:r w:rsidR="0063122C">
              <w:rPr>
                <w:rFonts w:cs="Arial"/>
                <w:sz w:val="18"/>
                <w:lang w:val="es-ES" w:eastAsia="en-US"/>
              </w:rPr>
              <w:t>8</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rsidR="00CF67D4" w:rsidRPr="002F1DB7" w:rsidRDefault="0063122C" w:rsidP="0063122C">
            <w:pPr>
              <w:tabs>
                <w:tab w:val="left" w:pos="307"/>
              </w:tabs>
              <w:ind w:right="510"/>
              <w:jc w:val="right"/>
              <w:rPr>
                <w:rFonts w:cs="Arial"/>
                <w:sz w:val="18"/>
                <w:lang w:val="es-ES" w:eastAsia="en-US"/>
              </w:rPr>
            </w:pPr>
            <w:r>
              <w:rPr>
                <w:rFonts w:cs="Arial"/>
                <w:sz w:val="18"/>
                <w:lang w:val="es-ES" w:eastAsia="en-US"/>
              </w:rPr>
              <w:t>1</w:t>
            </w:r>
            <w:r w:rsidR="00CF67D4" w:rsidRPr="002F1DB7">
              <w:rPr>
                <w:rFonts w:cs="Arial"/>
                <w:sz w:val="18"/>
                <w:lang w:val="es-ES" w:eastAsia="en-US"/>
              </w:rPr>
              <w:t>.</w:t>
            </w:r>
            <w:r>
              <w:rPr>
                <w:rFonts w:cs="Arial"/>
                <w:sz w:val="18"/>
                <w:lang w:val="es-ES" w:eastAsia="en-US"/>
              </w:rPr>
              <w:t>7</w:t>
            </w:r>
          </w:p>
        </w:tc>
        <w:tc>
          <w:tcPr>
            <w:tcW w:w="1499" w:type="dxa"/>
            <w:tcBorders>
              <w:top w:val="nil"/>
              <w:left w:val="single" w:sz="4" w:space="0" w:color="auto"/>
              <w:bottom w:val="nil"/>
              <w:right w:val="double" w:sz="4" w:space="0" w:color="auto"/>
            </w:tcBorders>
          </w:tcPr>
          <w:p w:rsidR="00CF67D4" w:rsidRPr="002F1DB7" w:rsidRDefault="005C1644" w:rsidP="0067756D">
            <w:pPr>
              <w:tabs>
                <w:tab w:val="left" w:pos="307"/>
              </w:tabs>
              <w:ind w:right="510"/>
              <w:jc w:val="right"/>
              <w:rPr>
                <w:rFonts w:cs="Arial"/>
                <w:sz w:val="18"/>
                <w:lang w:val="es-ES" w:eastAsia="en-US"/>
              </w:rPr>
            </w:pPr>
            <w:r>
              <w:rPr>
                <w:rFonts w:cs="Arial"/>
                <w:sz w:val="18"/>
                <w:lang w:val="es-ES" w:eastAsia="en-US"/>
              </w:rPr>
              <w:t>1</w:t>
            </w:r>
            <w:r w:rsidR="00CF67D4" w:rsidRPr="002F1DB7">
              <w:rPr>
                <w:rFonts w:cs="Arial"/>
                <w:sz w:val="18"/>
                <w:lang w:val="es-ES" w:eastAsia="en-US"/>
              </w:rPr>
              <w:t>.</w:t>
            </w:r>
            <w:r w:rsidR="0067756D">
              <w:rPr>
                <w:rFonts w:cs="Arial"/>
                <w:sz w:val="18"/>
                <w:lang w:val="es-ES" w:eastAsia="en-US"/>
              </w:rPr>
              <w:t>3</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rsidR="00CF67D4" w:rsidRPr="002F1DB7" w:rsidRDefault="0067756D" w:rsidP="0063122C">
            <w:pPr>
              <w:tabs>
                <w:tab w:val="left" w:pos="307"/>
                <w:tab w:val="decimal" w:pos="881"/>
              </w:tabs>
              <w:ind w:right="510"/>
              <w:jc w:val="right"/>
              <w:rPr>
                <w:rFonts w:cs="Arial"/>
                <w:b/>
                <w:sz w:val="18"/>
                <w:lang w:val="es-ES" w:eastAsia="en-US"/>
              </w:rPr>
            </w:pPr>
            <w:r>
              <w:rPr>
                <w:rFonts w:cs="Arial"/>
                <w:b/>
                <w:sz w:val="18"/>
                <w:lang w:val="es-ES" w:eastAsia="en-US"/>
              </w:rPr>
              <w:t>(-)</w:t>
            </w:r>
            <w:r w:rsidR="00CF67D4">
              <w:rPr>
                <w:rFonts w:cs="Arial"/>
                <w:b/>
                <w:sz w:val="18"/>
                <w:lang w:val="es-ES" w:eastAsia="en-US"/>
              </w:rPr>
              <w:t xml:space="preserve">  </w:t>
            </w:r>
            <w:r w:rsidR="00CF67D4" w:rsidRPr="002F1DB7">
              <w:rPr>
                <w:rFonts w:cs="Arial"/>
                <w:b/>
                <w:sz w:val="18"/>
                <w:lang w:val="es-ES" w:eastAsia="en-US"/>
              </w:rPr>
              <w:t xml:space="preserve"> </w:t>
            </w:r>
            <w:r w:rsidR="0063122C">
              <w:rPr>
                <w:rFonts w:cs="Arial"/>
                <w:b/>
                <w:sz w:val="18"/>
                <w:lang w:val="es-ES" w:eastAsia="en-US"/>
              </w:rPr>
              <w:t>5</w:t>
            </w:r>
            <w:r w:rsidR="004C2113">
              <w:rPr>
                <w:rFonts w:cs="Arial"/>
                <w:b/>
                <w:sz w:val="18"/>
                <w:lang w:val="es-ES" w:eastAsia="en-US"/>
              </w:rPr>
              <w:t>.</w:t>
            </w:r>
            <w:r w:rsidR="0063122C">
              <w:rPr>
                <w:rFonts w:cs="Arial"/>
                <w:b/>
                <w:sz w:val="18"/>
                <w:lang w:val="es-ES" w:eastAsia="en-US"/>
              </w:rPr>
              <w:t>8</w:t>
            </w:r>
          </w:p>
        </w:tc>
        <w:tc>
          <w:tcPr>
            <w:tcW w:w="1499" w:type="dxa"/>
            <w:tcBorders>
              <w:top w:val="nil"/>
              <w:left w:val="single" w:sz="4" w:space="0" w:color="auto"/>
              <w:bottom w:val="nil"/>
              <w:right w:val="double" w:sz="4" w:space="0" w:color="auto"/>
            </w:tcBorders>
          </w:tcPr>
          <w:p w:rsidR="00CF67D4" w:rsidRPr="002F1DB7" w:rsidRDefault="00CF67D4" w:rsidP="0063122C">
            <w:pPr>
              <w:tabs>
                <w:tab w:val="left" w:pos="307"/>
                <w:tab w:val="decimal" w:pos="881"/>
              </w:tabs>
              <w:ind w:right="510"/>
              <w:jc w:val="right"/>
              <w:rPr>
                <w:rFonts w:cs="Arial"/>
                <w:b/>
                <w:sz w:val="18"/>
                <w:lang w:val="es-ES" w:eastAsia="en-US"/>
              </w:rPr>
            </w:pPr>
            <w:r>
              <w:rPr>
                <w:rFonts w:cs="Arial"/>
                <w:b/>
                <w:sz w:val="18"/>
                <w:lang w:val="es-ES" w:eastAsia="en-US"/>
              </w:rPr>
              <w:t xml:space="preserve">   </w:t>
            </w:r>
            <w:r w:rsidRPr="002F1DB7">
              <w:rPr>
                <w:rFonts w:cs="Arial"/>
                <w:b/>
                <w:sz w:val="18"/>
                <w:lang w:val="es-ES" w:eastAsia="en-US"/>
              </w:rPr>
              <w:t xml:space="preserve"> </w:t>
            </w:r>
            <w:r w:rsidR="0063122C">
              <w:rPr>
                <w:rFonts w:cs="Arial"/>
                <w:b/>
                <w:sz w:val="18"/>
                <w:lang w:val="es-ES" w:eastAsia="en-US"/>
              </w:rPr>
              <w:t>0</w:t>
            </w:r>
            <w:r w:rsidR="005C1644">
              <w:rPr>
                <w:rFonts w:cs="Arial"/>
                <w:b/>
                <w:sz w:val="18"/>
                <w:lang w:val="es-ES" w:eastAsia="en-US"/>
              </w:rPr>
              <w:t>.</w:t>
            </w:r>
            <w:r w:rsidR="0063122C">
              <w:rPr>
                <w:rFonts w:cs="Arial"/>
                <w:b/>
                <w:sz w:val="18"/>
                <w:lang w:val="es-ES" w:eastAsia="en-US"/>
              </w:rPr>
              <w:t>3</w:t>
            </w:r>
          </w:p>
        </w:tc>
      </w:tr>
      <w:tr w:rsidR="00CF67D4" w:rsidTr="00FB456A">
        <w:trPr>
          <w:cantSplit/>
          <w:trHeight w:val="20"/>
          <w:jc w:val="center"/>
        </w:trPr>
        <w:tc>
          <w:tcPr>
            <w:tcW w:w="3888" w:type="dxa"/>
            <w:tcBorders>
              <w:top w:val="nil"/>
              <w:left w:val="double" w:sz="4" w:space="0" w:color="auto"/>
              <w:bottom w:val="double" w:sz="4" w:space="0" w:color="auto"/>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rsidR="00CF67D4" w:rsidRPr="002F1DB7" w:rsidRDefault="0067756D" w:rsidP="00261CC9">
            <w:pPr>
              <w:tabs>
                <w:tab w:val="left" w:pos="307"/>
                <w:tab w:val="decimal" w:pos="881"/>
              </w:tabs>
              <w:ind w:right="510"/>
              <w:jc w:val="right"/>
              <w:rPr>
                <w:rFonts w:cs="Arial"/>
                <w:sz w:val="18"/>
                <w:lang w:val="es-ES" w:eastAsia="en-US"/>
              </w:rPr>
            </w:pPr>
            <w:r>
              <w:rPr>
                <w:rFonts w:cs="Arial"/>
                <w:sz w:val="18"/>
                <w:lang w:val="es-ES" w:eastAsia="en-US"/>
              </w:rPr>
              <w:t>(-)</w:t>
            </w:r>
            <w:r w:rsidR="00CF67D4">
              <w:rPr>
                <w:rFonts w:cs="Arial"/>
                <w:sz w:val="18"/>
                <w:lang w:val="es-ES" w:eastAsia="en-US"/>
              </w:rPr>
              <w:t xml:space="preserve">   </w:t>
            </w:r>
            <w:r w:rsidR="0063122C">
              <w:rPr>
                <w:rFonts w:cs="Arial"/>
                <w:sz w:val="18"/>
                <w:lang w:val="es-ES" w:eastAsia="en-US"/>
              </w:rPr>
              <w:t>5</w:t>
            </w:r>
            <w:r>
              <w:rPr>
                <w:rFonts w:cs="Arial"/>
                <w:sz w:val="18"/>
                <w:lang w:val="es-ES" w:eastAsia="en-US"/>
              </w:rPr>
              <w:t>.</w:t>
            </w:r>
            <w:r w:rsidR="0063122C">
              <w:rPr>
                <w:rFonts w:cs="Arial"/>
                <w:sz w:val="18"/>
                <w:lang w:val="es-ES" w:eastAsia="en-US"/>
              </w:rPr>
              <w:t>8</w:t>
            </w:r>
          </w:p>
          <w:p w:rsidR="00CF67D4" w:rsidRPr="002F1DB7" w:rsidRDefault="0067756D"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63122C">
              <w:rPr>
                <w:rFonts w:cs="Arial"/>
                <w:sz w:val="18"/>
                <w:lang w:val="es-ES" w:eastAsia="en-US"/>
              </w:rPr>
              <w:t>13</w:t>
            </w:r>
            <w:r w:rsidR="00CF67D4">
              <w:rPr>
                <w:rFonts w:cs="Arial"/>
                <w:sz w:val="18"/>
                <w:lang w:val="es-ES" w:eastAsia="en-US"/>
              </w:rPr>
              <w:t>.</w:t>
            </w:r>
            <w:r w:rsidR="0063122C">
              <w:rPr>
                <w:rFonts w:cs="Arial"/>
                <w:sz w:val="18"/>
                <w:lang w:val="es-ES" w:eastAsia="en-US"/>
              </w:rPr>
              <w:t>8</w:t>
            </w:r>
          </w:p>
          <w:p w:rsidR="00CF67D4" w:rsidRPr="002F1DB7" w:rsidRDefault="0063122C"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CF67D4">
              <w:rPr>
                <w:rFonts w:cs="Arial"/>
                <w:sz w:val="18"/>
                <w:lang w:val="es-ES" w:eastAsia="en-US"/>
              </w:rPr>
              <w:t xml:space="preserve"> </w:t>
            </w:r>
            <w:r>
              <w:rPr>
                <w:rFonts w:cs="Arial"/>
                <w:sz w:val="18"/>
                <w:lang w:val="es-ES" w:eastAsia="en-US"/>
              </w:rPr>
              <w:t>0</w:t>
            </w:r>
            <w:r w:rsidR="004C2113">
              <w:rPr>
                <w:rFonts w:cs="Arial"/>
                <w:sz w:val="18"/>
                <w:lang w:val="es-ES" w:eastAsia="en-US"/>
              </w:rPr>
              <w:t>.</w:t>
            </w:r>
            <w:r>
              <w:rPr>
                <w:rFonts w:cs="Arial"/>
                <w:sz w:val="18"/>
                <w:lang w:val="es-ES" w:eastAsia="en-US"/>
              </w:rPr>
              <w:t>7</w:t>
            </w:r>
          </w:p>
          <w:p w:rsidR="00CF67D4" w:rsidRPr="002F1DB7" w:rsidRDefault="0063122C" w:rsidP="0063122C">
            <w:pPr>
              <w:tabs>
                <w:tab w:val="left" w:pos="307"/>
                <w:tab w:val="decimal" w:pos="881"/>
              </w:tabs>
              <w:ind w:right="510"/>
              <w:jc w:val="right"/>
              <w:rPr>
                <w:rFonts w:cs="Arial"/>
                <w:b/>
                <w:sz w:val="18"/>
                <w:lang w:val="es-ES" w:eastAsia="en-US"/>
              </w:rPr>
            </w:pPr>
            <w:r>
              <w:rPr>
                <w:rFonts w:cs="Arial"/>
                <w:sz w:val="18"/>
                <w:lang w:val="es-ES" w:eastAsia="en-US"/>
              </w:rPr>
              <w:t>(-)</w:t>
            </w:r>
            <w:r w:rsidR="00CF67D4">
              <w:rPr>
                <w:rFonts w:cs="Arial"/>
                <w:sz w:val="18"/>
                <w:lang w:val="es-ES" w:eastAsia="en-US"/>
              </w:rPr>
              <w:t xml:space="preserve">   </w:t>
            </w:r>
            <w:r w:rsidR="0067756D">
              <w:rPr>
                <w:rFonts w:cs="Arial"/>
                <w:sz w:val="18"/>
                <w:lang w:val="es-ES" w:eastAsia="en-US"/>
              </w:rPr>
              <w:t>0</w:t>
            </w:r>
            <w:r w:rsidR="004C2113">
              <w:rPr>
                <w:rFonts w:cs="Arial"/>
                <w:sz w:val="18"/>
                <w:lang w:val="es-ES" w:eastAsia="en-US"/>
              </w:rPr>
              <w:t>.</w:t>
            </w:r>
            <w:r>
              <w:rPr>
                <w:rFonts w:cs="Arial"/>
                <w:sz w:val="18"/>
                <w:lang w:val="es-ES" w:eastAsia="en-US"/>
              </w:rPr>
              <w:t>4</w:t>
            </w:r>
          </w:p>
        </w:tc>
        <w:tc>
          <w:tcPr>
            <w:tcW w:w="1499" w:type="dxa"/>
            <w:tcBorders>
              <w:top w:val="nil"/>
              <w:left w:val="single" w:sz="4" w:space="0" w:color="auto"/>
              <w:bottom w:val="double" w:sz="4" w:space="0" w:color="auto"/>
              <w:right w:val="double" w:sz="4" w:space="0" w:color="auto"/>
            </w:tcBorders>
          </w:tcPr>
          <w:p w:rsidR="00CF67D4" w:rsidRPr="002F1DB7" w:rsidRDefault="00CF67D4"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63122C">
              <w:rPr>
                <w:rFonts w:cs="Arial"/>
                <w:sz w:val="18"/>
                <w:lang w:val="es-ES" w:eastAsia="en-US"/>
              </w:rPr>
              <w:t>0</w:t>
            </w:r>
            <w:r w:rsidR="005C1644">
              <w:rPr>
                <w:rFonts w:cs="Arial"/>
                <w:sz w:val="18"/>
                <w:lang w:val="es-ES" w:eastAsia="en-US"/>
              </w:rPr>
              <w:t>.</w:t>
            </w:r>
            <w:r w:rsidR="0063122C">
              <w:rPr>
                <w:rFonts w:cs="Arial"/>
                <w:sz w:val="18"/>
                <w:lang w:val="es-ES" w:eastAsia="en-US"/>
              </w:rPr>
              <w:t>3</w:t>
            </w:r>
          </w:p>
          <w:p w:rsidR="00CF67D4" w:rsidRPr="002F1DB7" w:rsidRDefault="0067756D"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CF67D4">
              <w:rPr>
                <w:rFonts w:cs="Arial"/>
                <w:sz w:val="18"/>
                <w:lang w:val="es-ES" w:eastAsia="en-US"/>
              </w:rPr>
              <w:t xml:space="preserve">  </w:t>
            </w:r>
            <w:r w:rsidR="0063122C">
              <w:rPr>
                <w:rFonts w:cs="Arial"/>
                <w:sz w:val="18"/>
                <w:lang w:val="es-ES" w:eastAsia="en-US"/>
              </w:rPr>
              <w:t>3</w:t>
            </w:r>
            <w:r w:rsidR="00CF67D4">
              <w:rPr>
                <w:rFonts w:cs="Arial"/>
                <w:sz w:val="18"/>
                <w:lang w:val="es-ES" w:eastAsia="en-US"/>
              </w:rPr>
              <w:t>.</w:t>
            </w:r>
            <w:r w:rsidR="0063122C">
              <w:rPr>
                <w:rFonts w:cs="Arial"/>
                <w:sz w:val="18"/>
                <w:lang w:val="es-ES" w:eastAsia="en-US"/>
              </w:rPr>
              <w:t>1</w:t>
            </w:r>
          </w:p>
          <w:p w:rsidR="00CF67D4" w:rsidRPr="002F1DB7" w:rsidRDefault="00CF67D4"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AC29D8">
              <w:rPr>
                <w:rFonts w:cs="Arial"/>
                <w:sz w:val="18"/>
                <w:lang w:val="es-ES" w:eastAsia="en-US"/>
              </w:rPr>
              <w:t>5</w:t>
            </w:r>
            <w:r w:rsidR="0063122C">
              <w:rPr>
                <w:rFonts w:cs="Arial"/>
                <w:sz w:val="18"/>
                <w:lang w:val="es-ES" w:eastAsia="en-US"/>
              </w:rPr>
              <w:t>.3</w:t>
            </w:r>
          </w:p>
          <w:p w:rsidR="00CF67D4" w:rsidRPr="002F1DB7" w:rsidRDefault="00CF67D4" w:rsidP="0063122C">
            <w:pPr>
              <w:tabs>
                <w:tab w:val="left" w:pos="307"/>
                <w:tab w:val="decimal" w:pos="881"/>
              </w:tabs>
              <w:ind w:right="510"/>
              <w:jc w:val="right"/>
              <w:rPr>
                <w:rFonts w:cs="Arial"/>
                <w:b/>
                <w:sz w:val="18"/>
                <w:lang w:val="es-ES" w:eastAsia="en-US"/>
              </w:rPr>
            </w:pPr>
            <w:r>
              <w:rPr>
                <w:rFonts w:cs="Arial"/>
                <w:sz w:val="18"/>
                <w:lang w:val="es-ES" w:eastAsia="en-US"/>
              </w:rPr>
              <w:t xml:space="preserve">    </w:t>
            </w:r>
            <w:r w:rsidR="005C1644">
              <w:rPr>
                <w:rFonts w:cs="Arial"/>
                <w:sz w:val="18"/>
                <w:lang w:val="es-ES" w:eastAsia="en-US"/>
              </w:rPr>
              <w:t>1</w:t>
            </w:r>
            <w:r w:rsidR="00AC29D8">
              <w:rPr>
                <w:rFonts w:cs="Arial"/>
                <w:sz w:val="18"/>
                <w:lang w:val="es-ES" w:eastAsia="en-US"/>
              </w:rPr>
              <w:t>.</w:t>
            </w:r>
            <w:r w:rsidR="0063122C">
              <w:rPr>
                <w:rFonts w:cs="Arial"/>
                <w:sz w:val="18"/>
                <w:lang w:val="es-ES" w:eastAsia="en-US"/>
              </w:rPr>
              <w:t>1</w:t>
            </w:r>
          </w:p>
        </w:tc>
      </w:tr>
    </w:tbl>
    <w:p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rsidR="00224330" w:rsidRDefault="00140D9C" w:rsidP="00ED340C">
      <w:pPr>
        <w:pStyle w:val="parr2"/>
        <w:keepNext/>
        <w:keepLines/>
        <w:spacing w:before="360"/>
        <w:ind w:left="0" w:right="584"/>
        <w:rPr>
          <w:b/>
          <w:i/>
        </w:rPr>
      </w:pPr>
      <w:r>
        <w:rPr>
          <w:b/>
          <w:i/>
        </w:rPr>
        <w:t>Nota metodológica</w:t>
      </w:r>
    </w:p>
    <w:p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rsidR="00140D9C" w:rsidRDefault="00140D9C" w:rsidP="003249F6">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CB0DA0" w:rsidRDefault="00CB0DA0" w:rsidP="00CB0DA0">
      <w:pPr>
        <w:spacing w:before="120"/>
        <w:outlineLvl w:val="3"/>
      </w:pPr>
    </w:p>
    <w:p w:rsidR="00A358DE" w:rsidRDefault="00A358DE">
      <w:pPr>
        <w:widowControl/>
        <w:jc w:val="left"/>
      </w:pPr>
    </w:p>
    <w:p w:rsidR="00A358DE" w:rsidRDefault="00A358DE" w:rsidP="00CB0DA0">
      <w:pPr>
        <w:outlineLvl w:val="3"/>
      </w:pPr>
    </w:p>
    <w:p w:rsidR="00140D9C" w:rsidRDefault="00140D9C" w:rsidP="00CB0DA0">
      <w:pPr>
        <w:outlineLvl w:val="3"/>
      </w:pPr>
      <w:r w:rsidRPr="00434EAE">
        <w:t xml:space="preserve">En este sentido, la desestacionalización o ajuste estacional de series económicas consiste en remover estas influencias </w:t>
      </w:r>
      <w:proofErr w:type="spellStart"/>
      <w:r w:rsidRPr="00434EAE">
        <w:t>intra</w:t>
      </w:r>
      <w:proofErr w:type="spellEnd"/>
      <w:r w:rsidRPr="00434EAE">
        <w:t xml:space="preserve">-anuales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rsidR="000E5547" w:rsidRDefault="009B469D" w:rsidP="000E5547">
      <w:pPr>
        <w:spacing w:before="240"/>
        <w:rPr>
          <w:rFonts w:ascii="Calibri" w:hAnsi="Calibri"/>
          <w:color w:val="1F497D"/>
          <w:sz w:val="22"/>
          <w:lang w:eastAsia="en-US"/>
        </w:rPr>
      </w:pPr>
      <w:hyperlink r:id="rId29" w:history="1">
        <w:r w:rsidR="00171758" w:rsidRPr="00446E00">
          <w:rPr>
            <w:rStyle w:val="Hipervnculo"/>
            <w:lang w:eastAsia="en-US"/>
          </w:rPr>
          <w:t>http://www.inegi.org.mx/app/biblioteca/ficha.html?upc=702825099060</w:t>
        </w:r>
      </w:hyperlink>
    </w:p>
    <w:p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rsidR="00FA238C" w:rsidRPr="006F503A" w:rsidRDefault="009B469D" w:rsidP="00FA238C">
      <w:pPr>
        <w:spacing w:before="240"/>
        <w:outlineLvl w:val="3"/>
      </w:pPr>
      <w:hyperlink w:anchor="page3" w:history="1">
        <w:r w:rsidR="00FA238C" w:rsidRPr="006F503A">
          <w:t>Su cobertura geográfica es nacional y mide exclusivamente el consumo privado en el mercado interior, se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éste indicador es del 95.2% </w:t>
        </w:r>
      </w:hyperlink>
      <w:hyperlink w:anchor="page3" w:history="1">
        <w:r w:rsidR="00FA238C" w:rsidRPr="006F503A">
          <w:t>en el año 2013, año base de los productos del SCNM.</w:t>
        </w:r>
      </w:hyperlink>
    </w:p>
    <w:p w:rsidR="000B3636" w:rsidRDefault="00FA238C" w:rsidP="00FA238C">
      <w:pPr>
        <w:spacing w:before="240"/>
        <w:outlineLvl w:val="3"/>
      </w:pPr>
      <w:r w:rsidRPr="006F503A">
        <w:t>La información estadística que da respaldo al cálculo de los índices mensuales de volumen físico del consumo privado en el mercado interior, reconoce distintas vertientes, que pueden sintetizarse así:</w:t>
      </w:r>
    </w:p>
    <w:p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rsidR="00ED340C" w:rsidRDefault="00ED340C">
      <w:pPr>
        <w:widowControl/>
        <w:jc w:val="left"/>
      </w:pPr>
      <w:r>
        <w:br w:type="page"/>
      </w:r>
    </w:p>
    <w:p w:rsidR="00C46FD6" w:rsidRDefault="00C46FD6" w:rsidP="00365832">
      <w:pPr>
        <w:pStyle w:val="Prrafodelista"/>
        <w:spacing w:before="120"/>
        <w:outlineLvl w:val="3"/>
      </w:pPr>
    </w:p>
    <w:p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of Labor </w:t>
      </w:r>
      <w:proofErr w:type="spellStart"/>
      <w:r w:rsidRPr="006F503A">
        <w:t>Statistics</w:t>
      </w:r>
      <w:proofErr w:type="spellEnd"/>
      <w:r w:rsidRPr="006F503A">
        <w:t>; principalmente.</w:t>
      </w:r>
    </w:p>
    <w:p w:rsidR="00C46FD6" w:rsidRPr="006F503A" w:rsidRDefault="00C46FD6" w:rsidP="00365832">
      <w:pPr>
        <w:pStyle w:val="Prrafodelista"/>
        <w:spacing w:before="120"/>
        <w:outlineLvl w:val="3"/>
      </w:pPr>
    </w:p>
    <w:p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rsidR="00EB0367" w:rsidRPr="006F503A" w:rsidRDefault="00EB0367" w:rsidP="00EB0367">
      <w:pPr>
        <w:pStyle w:val="Prrafodelista"/>
        <w:spacing w:before="240"/>
        <w:outlineLvl w:val="3"/>
      </w:pPr>
    </w:p>
    <w:p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rsidR="00BA1145" w:rsidRPr="00BA1145" w:rsidRDefault="00631C67" w:rsidP="00F75C7D">
      <w:pPr>
        <w:spacing w:before="240"/>
        <w:rPr>
          <w:b/>
          <w:color w:val="0070C0"/>
          <w:sz w:val="20"/>
        </w:rPr>
      </w:pPr>
      <w:r w:rsidRPr="00631C67">
        <w:t>Las se</w:t>
      </w:r>
      <w:r w:rsidR="007333FB">
        <w:t>ries del Consumo Privado en el Mercado I</w:t>
      </w:r>
      <w:r w:rsidRPr="00631C67">
        <w:t xml:space="preserve">nterior,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116" w:rsidRDefault="00E96116">
      <w:r>
        <w:separator/>
      </w:r>
    </w:p>
  </w:endnote>
  <w:endnote w:type="continuationSeparator" w:id="0">
    <w:p w:rsidR="00E96116" w:rsidRDefault="00E9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9D" w:rsidRDefault="009B469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C2" w:rsidRPr="002346CA" w:rsidRDefault="005C75C2"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9D" w:rsidRDefault="009B469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8F2BC8" w:rsidP="009D2FB0">
    <w:pPr>
      <w:pStyle w:val="Piedepgina"/>
      <w:jc w:val="center"/>
    </w:pPr>
    <w:r>
      <w:rPr>
        <w:b/>
      </w:rPr>
      <w:t>COMUNICACIÓN SOCIAL</w:t>
    </w:r>
  </w:p>
  <w:p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116" w:rsidRDefault="00E96116">
      <w:r>
        <w:separator/>
      </w:r>
    </w:p>
  </w:footnote>
  <w:footnote w:type="continuationSeparator" w:id="0">
    <w:p w:rsidR="00E96116" w:rsidRDefault="00E96116">
      <w:r>
        <w:continuationSeparator/>
      </w:r>
    </w:p>
  </w:footnote>
  <w:footnote w:id="1">
    <w:p w:rsidR="005C75C2" w:rsidRPr="00140D9C" w:rsidRDefault="005C75C2" w:rsidP="005C75C2">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rsidR="005C75C2" w:rsidRPr="00140D9C" w:rsidRDefault="005C75C2" w:rsidP="005C75C2">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rsidR="005C75C2" w:rsidRDefault="005C75C2" w:rsidP="005C75C2">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5C75C2" w:rsidRDefault="005C75C2" w:rsidP="005C75C2">
      <w:pPr>
        <w:pStyle w:val="Textonotapie"/>
        <w:ind w:left="142" w:hanging="142"/>
        <w:jc w:val="both"/>
        <w:rPr>
          <w:rFonts w:ascii="Arial" w:hAnsi="Arial" w:cs="Arial"/>
          <w:sz w:val="16"/>
          <w:szCs w:val="16"/>
        </w:rPr>
      </w:pPr>
    </w:p>
    <w:p w:rsidR="005C75C2" w:rsidRPr="00140D9C" w:rsidRDefault="005C75C2" w:rsidP="005C75C2">
      <w:pPr>
        <w:pStyle w:val="Textonotapie"/>
        <w:ind w:left="142" w:hanging="142"/>
        <w:jc w:val="both"/>
        <w:rPr>
          <w:rFonts w:ascii="Arial" w:hAnsi="Arial" w:cs="Arial"/>
          <w:sz w:val="16"/>
          <w:szCs w:val="16"/>
        </w:rPr>
      </w:pPr>
    </w:p>
  </w:footnote>
  <w:footnote w:id="4">
    <w:p w:rsidR="005C75C2" w:rsidRDefault="005C75C2" w:rsidP="005C75C2">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rsidR="005C75C2" w:rsidRDefault="005C75C2" w:rsidP="005C75C2">
      <w:pPr>
        <w:pStyle w:val="Textonotapie"/>
        <w:ind w:left="142" w:hanging="142"/>
        <w:jc w:val="both"/>
        <w:rPr>
          <w:rFonts w:ascii="Arial" w:hAnsi="Arial" w:cs="Arial"/>
          <w:sz w:val="16"/>
          <w:szCs w:val="16"/>
        </w:rPr>
      </w:pPr>
    </w:p>
  </w:footnote>
  <w:footnote w:id="5">
    <w:p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rsidR="00396149" w:rsidRPr="00140D9C" w:rsidRDefault="00396149"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9D" w:rsidRDefault="009B469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C2" w:rsidRPr="00E0416A" w:rsidRDefault="005C75C2" w:rsidP="009B469D">
    <w:pPr>
      <w:pStyle w:val="Encabezado"/>
      <w:framePr w:w="5466" w:hSpace="141" w:wrap="auto" w:vAnchor="text" w:hAnchor="page" w:x="5633" w:y="42"/>
      <w:ind w:left="567" w:hanging="11"/>
      <w:jc w:val="right"/>
      <w:rPr>
        <w:b/>
        <w:color w:val="002060"/>
      </w:rPr>
    </w:pPr>
    <w:bookmarkStart w:id="0" w:name="_GoBack"/>
    <w:r>
      <w:rPr>
        <w:b/>
        <w:color w:val="002060"/>
      </w:rPr>
      <w:t>COMUNICADO DE</w:t>
    </w:r>
    <w:r w:rsidRPr="00E0416A">
      <w:rPr>
        <w:b/>
        <w:color w:val="002060"/>
      </w:rPr>
      <w:t xml:space="preserve"> PRENSA NÚM. </w:t>
    </w:r>
    <w:r w:rsidR="009B469D">
      <w:rPr>
        <w:b/>
        <w:color w:val="002060"/>
      </w:rPr>
      <w:t>451</w:t>
    </w:r>
    <w:r w:rsidRPr="00E0416A">
      <w:rPr>
        <w:b/>
        <w:color w:val="002060"/>
      </w:rPr>
      <w:t>/1</w:t>
    </w:r>
    <w:r>
      <w:rPr>
        <w:b/>
        <w:color w:val="002060"/>
      </w:rPr>
      <w:t>9</w:t>
    </w:r>
  </w:p>
  <w:p w:rsidR="005C75C2" w:rsidRPr="00E0416A" w:rsidRDefault="005C75C2" w:rsidP="009B469D">
    <w:pPr>
      <w:pStyle w:val="Encabezado"/>
      <w:framePr w:w="5466" w:hSpace="141" w:wrap="auto" w:vAnchor="text" w:hAnchor="page" w:x="5633" w:y="42"/>
      <w:ind w:left="567" w:hanging="11"/>
      <w:jc w:val="right"/>
      <w:rPr>
        <w:b/>
        <w:color w:val="002060"/>
        <w:lang w:val="pt-BR"/>
      </w:rPr>
    </w:pPr>
    <w:r>
      <w:rPr>
        <w:b/>
        <w:color w:val="002060"/>
        <w:lang w:val="pt-BR"/>
      </w:rPr>
      <w:t xml:space="preserve">6 DE SEPTIEMBRE DE </w:t>
    </w:r>
    <w:r w:rsidRPr="00E0416A">
      <w:rPr>
        <w:b/>
        <w:color w:val="002060"/>
        <w:lang w:val="pt-BR"/>
      </w:rPr>
      <w:t>201</w:t>
    </w:r>
    <w:r>
      <w:rPr>
        <w:b/>
        <w:color w:val="002060"/>
        <w:lang w:val="pt-BR"/>
      </w:rPr>
      <w:t>9</w:t>
    </w:r>
  </w:p>
  <w:p w:rsidR="005C75C2" w:rsidRPr="00ED588B" w:rsidRDefault="005C75C2" w:rsidP="009B469D">
    <w:pPr>
      <w:pStyle w:val="Encabezado"/>
      <w:framePr w:w="5466" w:hSpace="141" w:wrap="auto" w:vAnchor="text" w:hAnchor="page" w:x="5633" w:y="42"/>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9B469D">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5C75C2" w:rsidRDefault="005C75C2" w:rsidP="004C150C">
    <w:pPr>
      <w:pStyle w:val="Encabezado"/>
      <w:ind w:left="-993"/>
    </w:pPr>
    <w:r>
      <w:rPr>
        <w:noProof/>
        <w:lang w:eastAsia="es-MX"/>
      </w:rPr>
      <w:drawing>
        <wp:inline distT="0" distB="0" distL="0" distR="0" wp14:anchorId="090CF250" wp14:editId="50B8973E">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9D" w:rsidRDefault="009B469D">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137231" w:rsidP="005C75C2">
    <w:pPr>
      <w:pStyle w:val="Encabezado"/>
      <w:tabs>
        <w:tab w:val="clear" w:pos="4320"/>
        <w:tab w:val="clear" w:pos="8640"/>
        <w:tab w:val="center" w:pos="2606"/>
      </w:tabs>
      <w:jc w:val="center"/>
    </w:pPr>
    <w:r>
      <w:rPr>
        <w:noProof/>
        <w:lang w:eastAsia="es-MX"/>
      </w:rPr>
      <w:drawing>
        <wp:inline distT="0" distB="0" distL="0" distR="0" wp14:anchorId="70E6ED4A" wp14:editId="662A22D2">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8015E"/>
    <w:rsid w:val="00080491"/>
    <w:rsid w:val="0008072A"/>
    <w:rsid w:val="00082088"/>
    <w:rsid w:val="00082728"/>
    <w:rsid w:val="00082F15"/>
    <w:rsid w:val="00083372"/>
    <w:rsid w:val="000841BA"/>
    <w:rsid w:val="000846B1"/>
    <w:rsid w:val="00084AF0"/>
    <w:rsid w:val="00085872"/>
    <w:rsid w:val="0008588C"/>
    <w:rsid w:val="00085AA4"/>
    <w:rsid w:val="00085B9C"/>
    <w:rsid w:val="00086533"/>
    <w:rsid w:val="000867C9"/>
    <w:rsid w:val="000867E1"/>
    <w:rsid w:val="00086E14"/>
    <w:rsid w:val="000872B2"/>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CA9"/>
    <w:rsid w:val="000A3E3D"/>
    <w:rsid w:val="000A410C"/>
    <w:rsid w:val="000A4671"/>
    <w:rsid w:val="000A5154"/>
    <w:rsid w:val="000A58D0"/>
    <w:rsid w:val="000A69D3"/>
    <w:rsid w:val="000A6F37"/>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723B"/>
    <w:rsid w:val="000C7250"/>
    <w:rsid w:val="000C7274"/>
    <w:rsid w:val="000C7DB5"/>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ECB"/>
    <w:rsid w:val="001E31B7"/>
    <w:rsid w:val="001E32E8"/>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ABF"/>
    <w:rsid w:val="00200CAE"/>
    <w:rsid w:val="002010BD"/>
    <w:rsid w:val="002010FA"/>
    <w:rsid w:val="002013A7"/>
    <w:rsid w:val="00201487"/>
    <w:rsid w:val="00201A5C"/>
    <w:rsid w:val="00201B7C"/>
    <w:rsid w:val="00201BEA"/>
    <w:rsid w:val="00201F70"/>
    <w:rsid w:val="00203A38"/>
    <w:rsid w:val="00203D48"/>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B2D"/>
    <w:rsid w:val="00226D72"/>
    <w:rsid w:val="00226F8D"/>
    <w:rsid w:val="002276D7"/>
    <w:rsid w:val="00230A50"/>
    <w:rsid w:val="0023158A"/>
    <w:rsid w:val="002315A0"/>
    <w:rsid w:val="0023234E"/>
    <w:rsid w:val="00232383"/>
    <w:rsid w:val="002325F7"/>
    <w:rsid w:val="00232C9F"/>
    <w:rsid w:val="00232CDE"/>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682"/>
    <w:rsid w:val="002505AF"/>
    <w:rsid w:val="00250F32"/>
    <w:rsid w:val="002514B7"/>
    <w:rsid w:val="002522A7"/>
    <w:rsid w:val="00253E1D"/>
    <w:rsid w:val="00254197"/>
    <w:rsid w:val="00255FFF"/>
    <w:rsid w:val="00256C01"/>
    <w:rsid w:val="00257617"/>
    <w:rsid w:val="00260115"/>
    <w:rsid w:val="00261CB0"/>
    <w:rsid w:val="00261CC9"/>
    <w:rsid w:val="00262C5C"/>
    <w:rsid w:val="002630C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6EB"/>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149"/>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BF2"/>
    <w:rsid w:val="003D24F9"/>
    <w:rsid w:val="003D301D"/>
    <w:rsid w:val="003D344E"/>
    <w:rsid w:val="003D3818"/>
    <w:rsid w:val="003D3BE9"/>
    <w:rsid w:val="003D42C1"/>
    <w:rsid w:val="003D463D"/>
    <w:rsid w:val="003D470A"/>
    <w:rsid w:val="003D5413"/>
    <w:rsid w:val="003D5743"/>
    <w:rsid w:val="003D5A05"/>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873"/>
    <w:rsid w:val="004440CE"/>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23C5"/>
    <w:rsid w:val="004E3073"/>
    <w:rsid w:val="004E3693"/>
    <w:rsid w:val="004E36C1"/>
    <w:rsid w:val="004E36E0"/>
    <w:rsid w:val="004E3A6C"/>
    <w:rsid w:val="004E3D22"/>
    <w:rsid w:val="004E3F0B"/>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38F7"/>
    <w:rsid w:val="0057491B"/>
    <w:rsid w:val="0057519D"/>
    <w:rsid w:val="005756E3"/>
    <w:rsid w:val="00576617"/>
    <w:rsid w:val="00577A86"/>
    <w:rsid w:val="00577B51"/>
    <w:rsid w:val="00577B74"/>
    <w:rsid w:val="00577BBC"/>
    <w:rsid w:val="00577E3D"/>
    <w:rsid w:val="0058068C"/>
    <w:rsid w:val="005806A9"/>
    <w:rsid w:val="005809A2"/>
    <w:rsid w:val="0058416D"/>
    <w:rsid w:val="005841AA"/>
    <w:rsid w:val="0058445E"/>
    <w:rsid w:val="00584805"/>
    <w:rsid w:val="0058515F"/>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5C2"/>
    <w:rsid w:val="005C7954"/>
    <w:rsid w:val="005D04CF"/>
    <w:rsid w:val="005D0799"/>
    <w:rsid w:val="005D1211"/>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6B7"/>
    <w:rsid w:val="006B38EF"/>
    <w:rsid w:val="006B3951"/>
    <w:rsid w:val="006B39E4"/>
    <w:rsid w:val="006B449B"/>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C88"/>
    <w:rsid w:val="006D135C"/>
    <w:rsid w:val="006D1D42"/>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700F5"/>
    <w:rsid w:val="007706CD"/>
    <w:rsid w:val="00770EBD"/>
    <w:rsid w:val="00770F92"/>
    <w:rsid w:val="00771306"/>
    <w:rsid w:val="00772121"/>
    <w:rsid w:val="00772BF8"/>
    <w:rsid w:val="00772D61"/>
    <w:rsid w:val="0077328E"/>
    <w:rsid w:val="00774520"/>
    <w:rsid w:val="00774AB7"/>
    <w:rsid w:val="00774AE6"/>
    <w:rsid w:val="00774BDC"/>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96"/>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A3E"/>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63C"/>
    <w:rsid w:val="007E7C23"/>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B06"/>
    <w:rsid w:val="00834C38"/>
    <w:rsid w:val="00834C3C"/>
    <w:rsid w:val="00834D3F"/>
    <w:rsid w:val="00835533"/>
    <w:rsid w:val="00835699"/>
    <w:rsid w:val="008365A6"/>
    <w:rsid w:val="008365B8"/>
    <w:rsid w:val="00836DBE"/>
    <w:rsid w:val="008376F9"/>
    <w:rsid w:val="00837BDB"/>
    <w:rsid w:val="00837F6F"/>
    <w:rsid w:val="008400D8"/>
    <w:rsid w:val="008402A4"/>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E76"/>
    <w:rsid w:val="008625ED"/>
    <w:rsid w:val="00862BED"/>
    <w:rsid w:val="00864107"/>
    <w:rsid w:val="008642B5"/>
    <w:rsid w:val="00864307"/>
    <w:rsid w:val="00864731"/>
    <w:rsid w:val="008647D7"/>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A"/>
    <w:rsid w:val="008B32CA"/>
    <w:rsid w:val="008B330E"/>
    <w:rsid w:val="008B3331"/>
    <w:rsid w:val="008B3946"/>
    <w:rsid w:val="008B3A68"/>
    <w:rsid w:val="008B3DDE"/>
    <w:rsid w:val="008B3EC4"/>
    <w:rsid w:val="008B4299"/>
    <w:rsid w:val="008B43B7"/>
    <w:rsid w:val="008B490E"/>
    <w:rsid w:val="008B4AB0"/>
    <w:rsid w:val="008B4E94"/>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6C0"/>
    <w:rsid w:val="00900784"/>
    <w:rsid w:val="009009C9"/>
    <w:rsid w:val="00900F8A"/>
    <w:rsid w:val="00901857"/>
    <w:rsid w:val="00902332"/>
    <w:rsid w:val="0090376C"/>
    <w:rsid w:val="00904290"/>
    <w:rsid w:val="00904596"/>
    <w:rsid w:val="00904BD9"/>
    <w:rsid w:val="00904EBF"/>
    <w:rsid w:val="00904FA3"/>
    <w:rsid w:val="0090540C"/>
    <w:rsid w:val="00905901"/>
    <w:rsid w:val="00905C16"/>
    <w:rsid w:val="00905EB9"/>
    <w:rsid w:val="00906421"/>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A41"/>
    <w:rsid w:val="00933431"/>
    <w:rsid w:val="009342F8"/>
    <w:rsid w:val="00934409"/>
    <w:rsid w:val="009345E4"/>
    <w:rsid w:val="00935556"/>
    <w:rsid w:val="00935701"/>
    <w:rsid w:val="00936FBA"/>
    <w:rsid w:val="00937075"/>
    <w:rsid w:val="0093723B"/>
    <w:rsid w:val="00937D0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469D"/>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328B"/>
    <w:rsid w:val="009E386F"/>
    <w:rsid w:val="009E444C"/>
    <w:rsid w:val="009E558E"/>
    <w:rsid w:val="009E5B75"/>
    <w:rsid w:val="009E679E"/>
    <w:rsid w:val="009E696F"/>
    <w:rsid w:val="009F013A"/>
    <w:rsid w:val="009F044C"/>
    <w:rsid w:val="009F20A3"/>
    <w:rsid w:val="009F2171"/>
    <w:rsid w:val="009F2A15"/>
    <w:rsid w:val="009F345B"/>
    <w:rsid w:val="009F384B"/>
    <w:rsid w:val="009F43F9"/>
    <w:rsid w:val="009F4799"/>
    <w:rsid w:val="009F4869"/>
    <w:rsid w:val="009F579C"/>
    <w:rsid w:val="009F5A8B"/>
    <w:rsid w:val="009F5DD2"/>
    <w:rsid w:val="009F64D4"/>
    <w:rsid w:val="009F6595"/>
    <w:rsid w:val="009F65F1"/>
    <w:rsid w:val="009F66D6"/>
    <w:rsid w:val="009F726E"/>
    <w:rsid w:val="009F764B"/>
    <w:rsid w:val="009F7A30"/>
    <w:rsid w:val="009F7F71"/>
    <w:rsid w:val="00A01428"/>
    <w:rsid w:val="00A018DF"/>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FB0"/>
    <w:rsid w:val="00A96112"/>
    <w:rsid w:val="00A963AD"/>
    <w:rsid w:val="00A96784"/>
    <w:rsid w:val="00A96E1F"/>
    <w:rsid w:val="00A96F2F"/>
    <w:rsid w:val="00A977F5"/>
    <w:rsid w:val="00A97B22"/>
    <w:rsid w:val="00A97D3F"/>
    <w:rsid w:val="00A97E98"/>
    <w:rsid w:val="00AA1299"/>
    <w:rsid w:val="00AA1930"/>
    <w:rsid w:val="00AA1C59"/>
    <w:rsid w:val="00AA1DA1"/>
    <w:rsid w:val="00AA1DE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9D7"/>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B40"/>
    <w:rsid w:val="00B2584C"/>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103"/>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482"/>
    <w:rsid w:val="00BD31FC"/>
    <w:rsid w:val="00BD36A5"/>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99F"/>
    <w:rsid w:val="00BF074A"/>
    <w:rsid w:val="00BF0BD5"/>
    <w:rsid w:val="00BF0DB1"/>
    <w:rsid w:val="00BF121B"/>
    <w:rsid w:val="00BF129E"/>
    <w:rsid w:val="00BF1657"/>
    <w:rsid w:val="00BF17CE"/>
    <w:rsid w:val="00BF1F7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EF1"/>
    <w:rsid w:val="00C27197"/>
    <w:rsid w:val="00C2726B"/>
    <w:rsid w:val="00C273C0"/>
    <w:rsid w:val="00C279BF"/>
    <w:rsid w:val="00C27C99"/>
    <w:rsid w:val="00C30615"/>
    <w:rsid w:val="00C30881"/>
    <w:rsid w:val="00C30A13"/>
    <w:rsid w:val="00C30A67"/>
    <w:rsid w:val="00C310D0"/>
    <w:rsid w:val="00C337EE"/>
    <w:rsid w:val="00C33AA3"/>
    <w:rsid w:val="00C33AD2"/>
    <w:rsid w:val="00C33EDA"/>
    <w:rsid w:val="00C3422A"/>
    <w:rsid w:val="00C352F7"/>
    <w:rsid w:val="00C353BB"/>
    <w:rsid w:val="00C3559D"/>
    <w:rsid w:val="00C35BC1"/>
    <w:rsid w:val="00C360F4"/>
    <w:rsid w:val="00C37109"/>
    <w:rsid w:val="00C37563"/>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448F"/>
    <w:rsid w:val="00C645EB"/>
    <w:rsid w:val="00C6476C"/>
    <w:rsid w:val="00C6519A"/>
    <w:rsid w:val="00C6535C"/>
    <w:rsid w:val="00C65AB0"/>
    <w:rsid w:val="00C67C03"/>
    <w:rsid w:val="00C70998"/>
    <w:rsid w:val="00C70C6E"/>
    <w:rsid w:val="00C70CF5"/>
    <w:rsid w:val="00C71230"/>
    <w:rsid w:val="00C7139E"/>
    <w:rsid w:val="00C72CE6"/>
    <w:rsid w:val="00C73D67"/>
    <w:rsid w:val="00C7470A"/>
    <w:rsid w:val="00C749B6"/>
    <w:rsid w:val="00C755B9"/>
    <w:rsid w:val="00C757A8"/>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542"/>
    <w:rsid w:val="00C85667"/>
    <w:rsid w:val="00C85D85"/>
    <w:rsid w:val="00C85F31"/>
    <w:rsid w:val="00C86937"/>
    <w:rsid w:val="00C86973"/>
    <w:rsid w:val="00C87039"/>
    <w:rsid w:val="00C877A4"/>
    <w:rsid w:val="00C87862"/>
    <w:rsid w:val="00C87BF4"/>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752C"/>
    <w:rsid w:val="00CD08BF"/>
    <w:rsid w:val="00CD195B"/>
    <w:rsid w:val="00CD1EEB"/>
    <w:rsid w:val="00CD3C0E"/>
    <w:rsid w:val="00CD3C54"/>
    <w:rsid w:val="00CD4C97"/>
    <w:rsid w:val="00CD4CA7"/>
    <w:rsid w:val="00CD4DA3"/>
    <w:rsid w:val="00CD4DE3"/>
    <w:rsid w:val="00CD58B0"/>
    <w:rsid w:val="00CD591A"/>
    <w:rsid w:val="00CD5D04"/>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2438"/>
    <w:rsid w:val="00D02974"/>
    <w:rsid w:val="00D03264"/>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8E2"/>
    <w:rsid w:val="00D24937"/>
    <w:rsid w:val="00D24B94"/>
    <w:rsid w:val="00D24C43"/>
    <w:rsid w:val="00D2512D"/>
    <w:rsid w:val="00D25B97"/>
    <w:rsid w:val="00D25F51"/>
    <w:rsid w:val="00D25FFC"/>
    <w:rsid w:val="00D27175"/>
    <w:rsid w:val="00D271AB"/>
    <w:rsid w:val="00D275FD"/>
    <w:rsid w:val="00D27B37"/>
    <w:rsid w:val="00D30324"/>
    <w:rsid w:val="00D3065F"/>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1CF"/>
    <w:rsid w:val="00DD124D"/>
    <w:rsid w:val="00DD158F"/>
    <w:rsid w:val="00DD1A23"/>
    <w:rsid w:val="00DD26C1"/>
    <w:rsid w:val="00DD2853"/>
    <w:rsid w:val="00DD33B9"/>
    <w:rsid w:val="00DD398C"/>
    <w:rsid w:val="00DD47E9"/>
    <w:rsid w:val="00DD4AA4"/>
    <w:rsid w:val="00DD5F85"/>
    <w:rsid w:val="00DD7D1D"/>
    <w:rsid w:val="00DE054F"/>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E00"/>
    <w:rsid w:val="00E0110B"/>
    <w:rsid w:val="00E015B7"/>
    <w:rsid w:val="00E01896"/>
    <w:rsid w:val="00E01E1B"/>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B60"/>
    <w:rsid w:val="00E13102"/>
    <w:rsid w:val="00E13159"/>
    <w:rsid w:val="00E136F4"/>
    <w:rsid w:val="00E13740"/>
    <w:rsid w:val="00E1413A"/>
    <w:rsid w:val="00E14434"/>
    <w:rsid w:val="00E1480F"/>
    <w:rsid w:val="00E14C8C"/>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EC"/>
    <w:rsid w:val="00E44A9B"/>
    <w:rsid w:val="00E44AAF"/>
    <w:rsid w:val="00E44BC9"/>
    <w:rsid w:val="00E44C1D"/>
    <w:rsid w:val="00E450EF"/>
    <w:rsid w:val="00E45236"/>
    <w:rsid w:val="00E4584A"/>
    <w:rsid w:val="00E4686C"/>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59F"/>
    <w:rsid w:val="00E94871"/>
    <w:rsid w:val="00E95230"/>
    <w:rsid w:val="00E96089"/>
    <w:rsid w:val="00E96116"/>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3349"/>
    <w:rsid w:val="00EB3C03"/>
    <w:rsid w:val="00EB40DB"/>
    <w:rsid w:val="00EB4591"/>
    <w:rsid w:val="00EB4ABC"/>
    <w:rsid w:val="00EB51DF"/>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D4E"/>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583F"/>
    <w:rsid w:val="00F45A8B"/>
    <w:rsid w:val="00F46167"/>
    <w:rsid w:val="00F46400"/>
    <w:rsid w:val="00F47174"/>
    <w:rsid w:val="00F47636"/>
    <w:rsid w:val="00F47681"/>
    <w:rsid w:val="00F47690"/>
    <w:rsid w:val="00F4780F"/>
    <w:rsid w:val="00F47BC2"/>
    <w:rsid w:val="00F47F6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B3C"/>
    <w:rsid w:val="00FE4F00"/>
    <w:rsid w:val="00FE5C37"/>
    <w:rsid w:val="00FE6395"/>
    <w:rsid w:val="00FE66E2"/>
    <w:rsid w:val="00FE6E82"/>
    <w:rsid w:val="00FE7515"/>
    <w:rsid w:val="00FE7703"/>
    <w:rsid w:val="00FE7C31"/>
    <w:rsid w:val="00FE7C9A"/>
    <w:rsid w:val="00FE7CF9"/>
    <w:rsid w:val="00FF0202"/>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BBA1BF"/>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'!$C$77:$C$142</c:f>
              <c:numCache>
                <c:formatCode>0.0</c:formatCode>
                <c:ptCount val="66"/>
                <c:pt idx="0">
                  <c:v>100.46553202085801</c:v>
                </c:pt>
                <c:pt idx="1">
                  <c:v>101.020570118154</c:v>
                </c:pt>
                <c:pt idx="2">
                  <c:v>101.119090530715</c:v>
                </c:pt>
                <c:pt idx="3">
                  <c:v>102.584135461781</c:v>
                </c:pt>
                <c:pt idx="4">
                  <c:v>102.842063279108</c:v>
                </c:pt>
                <c:pt idx="5">
                  <c:v>102.838302443084</c:v>
                </c:pt>
                <c:pt idx="6">
                  <c:v>102.78775715464501</c:v>
                </c:pt>
                <c:pt idx="7">
                  <c:v>102.208461830161</c:v>
                </c:pt>
                <c:pt idx="8">
                  <c:v>102.41849524191301</c:v>
                </c:pt>
                <c:pt idx="9">
                  <c:v>103.424359881648</c:v>
                </c:pt>
                <c:pt idx="10">
                  <c:v>103.6268317621</c:v>
                </c:pt>
                <c:pt idx="11">
                  <c:v>102.304831319748</c:v>
                </c:pt>
                <c:pt idx="12">
                  <c:v>103.89943725712099</c:v>
                </c:pt>
                <c:pt idx="13">
                  <c:v>103.510443088863</c:v>
                </c:pt>
                <c:pt idx="14">
                  <c:v>103.88977242291899</c:v>
                </c:pt>
                <c:pt idx="15">
                  <c:v>104.500101735922</c:v>
                </c:pt>
                <c:pt idx="16">
                  <c:v>104.68021416001299</c:v>
                </c:pt>
                <c:pt idx="17">
                  <c:v>105.108137391238</c:v>
                </c:pt>
                <c:pt idx="18">
                  <c:v>104.913514365034</c:v>
                </c:pt>
                <c:pt idx="19">
                  <c:v>106.62299513130201</c:v>
                </c:pt>
                <c:pt idx="20">
                  <c:v>106.81776880547601</c:v>
                </c:pt>
                <c:pt idx="21">
                  <c:v>107.83239379708699</c:v>
                </c:pt>
                <c:pt idx="22">
                  <c:v>107.473213570609</c:v>
                </c:pt>
                <c:pt idx="23">
                  <c:v>107.579596285505</c:v>
                </c:pt>
                <c:pt idx="24">
                  <c:v>108.42701949916599</c:v>
                </c:pt>
                <c:pt idx="25">
                  <c:v>108.740886291043</c:v>
                </c:pt>
                <c:pt idx="26">
                  <c:v>108.610552605534</c:v>
                </c:pt>
                <c:pt idx="27">
                  <c:v>107.652773868601</c:v>
                </c:pt>
                <c:pt idx="28">
                  <c:v>108.816468677532</c:v>
                </c:pt>
                <c:pt idx="29">
                  <c:v>109.735401976028</c:v>
                </c:pt>
                <c:pt idx="30">
                  <c:v>110.052850044141</c:v>
                </c:pt>
                <c:pt idx="31">
                  <c:v>110.373406508785</c:v>
                </c:pt>
                <c:pt idx="32">
                  <c:v>110.941059407437</c:v>
                </c:pt>
                <c:pt idx="33">
                  <c:v>111.189021445503</c:v>
                </c:pt>
                <c:pt idx="34">
                  <c:v>111.237221577871</c:v>
                </c:pt>
                <c:pt idx="35">
                  <c:v>113.980373664373</c:v>
                </c:pt>
                <c:pt idx="36">
                  <c:v>112.64569242924701</c:v>
                </c:pt>
                <c:pt idx="37">
                  <c:v>112.86309791037399</c:v>
                </c:pt>
                <c:pt idx="38">
                  <c:v>111.541045582509</c:v>
                </c:pt>
                <c:pt idx="39">
                  <c:v>113.27073071800299</c:v>
                </c:pt>
                <c:pt idx="40">
                  <c:v>113.42892321543</c:v>
                </c:pt>
                <c:pt idx="41">
                  <c:v>113.842884818062</c:v>
                </c:pt>
                <c:pt idx="42">
                  <c:v>113.92010688619</c:v>
                </c:pt>
                <c:pt idx="43">
                  <c:v>114.01318571905399</c:v>
                </c:pt>
                <c:pt idx="44">
                  <c:v>114.36993946182299</c:v>
                </c:pt>
                <c:pt idx="45">
                  <c:v>113.896260742796</c:v>
                </c:pt>
                <c:pt idx="46">
                  <c:v>114.410460492293</c:v>
                </c:pt>
                <c:pt idx="47">
                  <c:v>116.141710542616</c:v>
                </c:pt>
                <c:pt idx="48">
                  <c:v>114.661503887886</c:v>
                </c:pt>
                <c:pt idx="49">
                  <c:v>114.743255297912</c:v>
                </c:pt>
                <c:pt idx="50">
                  <c:v>116.293648363834</c:v>
                </c:pt>
                <c:pt idx="51">
                  <c:v>115.361831047907</c:v>
                </c:pt>
                <c:pt idx="52">
                  <c:v>116.281714269332</c:v>
                </c:pt>
                <c:pt idx="53">
                  <c:v>115.953656578728</c:v>
                </c:pt>
                <c:pt idx="54">
                  <c:v>116.40271953209</c:v>
                </c:pt>
                <c:pt idx="55">
                  <c:v>116.91066402447601</c:v>
                </c:pt>
                <c:pt idx="56">
                  <c:v>117.597963358081</c:v>
                </c:pt>
                <c:pt idx="57">
                  <c:v>115.61074615137299</c:v>
                </c:pt>
                <c:pt idx="58">
                  <c:v>116.84098494294</c:v>
                </c:pt>
                <c:pt idx="59">
                  <c:v>116.81351886521701</c:v>
                </c:pt>
                <c:pt idx="60">
                  <c:v>117.061175933898</c:v>
                </c:pt>
                <c:pt idx="61">
                  <c:v>117.142557554642</c:v>
                </c:pt>
                <c:pt idx="62">
                  <c:v>115.512758957901</c:v>
                </c:pt>
                <c:pt idx="63">
                  <c:v>116.795175971297</c:v>
                </c:pt>
                <c:pt idx="64">
                  <c:v>116.629963134986</c:v>
                </c:pt>
                <c:pt idx="65">
                  <c:v>117.46989650191399</c:v>
                </c:pt>
              </c:numCache>
            </c:numRef>
          </c:val>
          <c:extLst>
            <c:ext xmlns:c16="http://schemas.microsoft.com/office/drawing/2014/chart" uri="{C3380CC4-5D6E-409C-BE32-E72D297353CC}">
              <c16:uniqueId val="{00000000-8CB4-468F-BB54-EFAED35719DD}"/>
            </c:ext>
          </c:extLst>
        </c:ser>
        <c:dLbls>
          <c:showLegendKey val="0"/>
          <c:showVal val="0"/>
          <c:showCatName val="0"/>
          <c:showSerName val="0"/>
          <c:showPercent val="0"/>
          <c:showBubbleSize val="0"/>
        </c:dLbls>
        <c:gapWidth val="50"/>
        <c:axId val="129008968"/>
        <c:axId val="129008576"/>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'!$D$77:$D$142</c:f>
              <c:numCache>
                <c:formatCode>0.0</c:formatCode>
                <c:ptCount val="66"/>
                <c:pt idx="0">
                  <c:v>100.661745341434</c:v>
                </c:pt>
                <c:pt idx="1">
                  <c:v>101.095916150337</c:v>
                </c:pt>
                <c:pt idx="2">
                  <c:v>101.613915859353</c:v>
                </c:pt>
                <c:pt idx="3">
                  <c:v>102.09681429287301</c:v>
                </c:pt>
                <c:pt idx="4">
                  <c:v>102.45168339510499</c:v>
                </c:pt>
                <c:pt idx="5">
                  <c:v>102.64222542197101</c:v>
                </c:pt>
                <c:pt idx="6">
                  <c:v>102.713927488377</c:v>
                </c:pt>
                <c:pt idx="7">
                  <c:v>102.765042285596</c:v>
                </c:pt>
                <c:pt idx="8">
                  <c:v>102.870364711543</c:v>
                </c:pt>
                <c:pt idx="9">
                  <c:v>103.04721164132</c:v>
                </c:pt>
                <c:pt idx="10">
                  <c:v>103.273857116646</c:v>
                </c:pt>
                <c:pt idx="11">
                  <c:v>103.48573002771001</c:v>
                </c:pt>
                <c:pt idx="12">
                  <c:v>103.665979458984</c:v>
                </c:pt>
                <c:pt idx="13">
                  <c:v>103.820510635029</c:v>
                </c:pt>
                <c:pt idx="14">
                  <c:v>104.008941526984</c:v>
                </c:pt>
                <c:pt idx="15">
                  <c:v>104.290111981618</c:v>
                </c:pt>
                <c:pt idx="16">
                  <c:v>104.69524381371799</c:v>
                </c:pt>
                <c:pt idx="17">
                  <c:v>105.205539186563</c:v>
                </c:pt>
                <c:pt idx="18">
                  <c:v>105.769593643888</c:v>
                </c:pt>
                <c:pt idx="19">
                  <c:v>106.331391547105</c:v>
                </c:pt>
                <c:pt idx="20">
                  <c:v>106.847441033782</c:v>
                </c:pt>
                <c:pt idx="21">
                  <c:v>107.30552514093201</c:v>
                </c:pt>
                <c:pt idx="22">
                  <c:v>107.69175950438201</c:v>
                </c:pt>
                <c:pt idx="23">
                  <c:v>107.989781014789</c:v>
                </c:pt>
                <c:pt idx="24">
                  <c:v>108.223461958931</c:v>
                </c:pt>
                <c:pt idx="25">
                  <c:v>108.434382140073</c:v>
                </c:pt>
                <c:pt idx="26">
                  <c:v>108.65589633187101</c:v>
                </c:pt>
                <c:pt idx="27">
                  <c:v>108.90480547096</c:v>
                </c:pt>
                <c:pt idx="28">
                  <c:v>109.21029540839901</c:v>
                </c:pt>
                <c:pt idx="29">
                  <c:v>109.561392337008</c:v>
                </c:pt>
                <c:pt idx="30">
                  <c:v>109.956752253235</c:v>
                </c:pt>
                <c:pt idx="31">
                  <c:v>110.376365728542</c:v>
                </c:pt>
                <c:pt idx="32">
                  <c:v>110.791644626059</c:v>
                </c:pt>
                <c:pt idx="33">
                  <c:v>111.200141313708</c:v>
                </c:pt>
                <c:pt idx="34">
                  <c:v>111.614100928981</c:v>
                </c:pt>
                <c:pt idx="35">
                  <c:v>112.02768526360801</c:v>
                </c:pt>
                <c:pt idx="36">
                  <c:v>112.42803589898401</c:v>
                </c:pt>
                <c:pt idx="37">
                  <c:v>112.785186062981</c:v>
                </c:pt>
                <c:pt idx="38">
                  <c:v>113.084491485399</c:v>
                </c:pt>
                <c:pt idx="39">
                  <c:v>113.338568744304</c:v>
                </c:pt>
                <c:pt idx="40">
                  <c:v>113.549887922472</c:v>
                </c:pt>
                <c:pt idx="41">
                  <c:v>113.729760040928</c:v>
                </c:pt>
                <c:pt idx="42">
                  <c:v>113.892112383455</c:v>
                </c:pt>
                <c:pt idx="43">
                  <c:v>114.031875505626</c:v>
                </c:pt>
                <c:pt idx="44">
                  <c:v>114.136162018664</c:v>
                </c:pt>
                <c:pt idx="45">
                  <c:v>114.236826486982</c:v>
                </c:pt>
                <c:pt idx="46">
                  <c:v>114.355385911307</c:v>
                </c:pt>
                <c:pt idx="47">
                  <c:v>114.52740352412999</c:v>
                </c:pt>
                <c:pt idx="48">
                  <c:v>114.761417502208</c:v>
                </c:pt>
                <c:pt idx="49">
                  <c:v>115.034822961101</c:v>
                </c:pt>
                <c:pt idx="50">
                  <c:v>115.33279572286899</c:v>
                </c:pt>
                <c:pt idx="51">
                  <c:v>115.64416392931599</c:v>
                </c:pt>
                <c:pt idx="52">
                  <c:v>115.950397586984</c:v>
                </c:pt>
                <c:pt idx="53">
                  <c:v>116.23994679344</c:v>
                </c:pt>
                <c:pt idx="54">
                  <c:v>116.475833149472</c:v>
                </c:pt>
                <c:pt idx="55">
                  <c:v>116.645483073047</c:v>
                </c:pt>
                <c:pt idx="56">
                  <c:v>116.770104556455</c:v>
                </c:pt>
                <c:pt idx="57">
                  <c:v>116.859253638894</c:v>
                </c:pt>
                <c:pt idx="58">
                  <c:v>116.911354504819</c:v>
                </c:pt>
                <c:pt idx="59">
                  <c:v>116.925268429471</c:v>
                </c:pt>
                <c:pt idx="60">
                  <c:v>116.90437895484899</c:v>
                </c:pt>
                <c:pt idx="61">
                  <c:v>116.883219170605</c:v>
                </c:pt>
                <c:pt idx="62">
                  <c:v>116.87245762971401</c:v>
                </c:pt>
                <c:pt idx="63">
                  <c:v>116.89441356395901</c:v>
                </c:pt>
                <c:pt idx="64">
                  <c:v>116.970971209089</c:v>
                </c:pt>
                <c:pt idx="65">
                  <c:v>117.108310782442</c:v>
                </c:pt>
              </c:numCache>
            </c:numRef>
          </c:val>
          <c:smooth val="0"/>
          <c:extLst>
            <c:ext xmlns:c16="http://schemas.microsoft.com/office/drawing/2014/chart" uri="{C3380CC4-5D6E-409C-BE32-E72D297353CC}">
              <c16:uniqueId val="{00000001-8CB4-468F-BB54-EFAED35719DD}"/>
            </c:ext>
          </c:extLst>
        </c:ser>
        <c:dLbls>
          <c:showLegendKey val="0"/>
          <c:showVal val="0"/>
          <c:showCatName val="0"/>
          <c:showSerName val="0"/>
          <c:showPercent val="0"/>
          <c:showBubbleSize val="0"/>
        </c:dLbls>
        <c:marker val="1"/>
        <c:smooth val="0"/>
        <c:axId val="129008968"/>
        <c:axId val="129008576"/>
      </c:lineChart>
      <c:catAx>
        <c:axId val="1290089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29008576"/>
        <c:crosses val="autoZero"/>
        <c:auto val="1"/>
        <c:lblAlgn val="ctr"/>
        <c:lblOffset val="100"/>
        <c:tickLblSkip val="1"/>
        <c:tickMarkSkip val="12"/>
        <c:noMultiLvlLbl val="1"/>
      </c:catAx>
      <c:valAx>
        <c:axId val="129008576"/>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290089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'!$C$77:$C$142</c:f>
              <c:numCache>
                <c:formatCode>0.0</c:formatCode>
                <c:ptCount val="66"/>
                <c:pt idx="0">
                  <c:v>100.46553202085801</c:v>
                </c:pt>
                <c:pt idx="1">
                  <c:v>101.020570118154</c:v>
                </c:pt>
                <c:pt idx="2">
                  <c:v>101.119090530715</c:v>
                </c:pt>
                <c:pt idx="3">
                  <c:v>102.584135461781</c:v>
                </c:pt>
                <c:pt idx="4">
                  <c:v>102.842063279108</c:v>
                </c:pt>
                <c:pt idx="5">
                  <c:v>102.838302443084</c:v>
                </c:pt>
                <c:pt idx="6">
                  <c:v>102.78775715464501</c:v>
                </c:pt>
                <c:pt idx="7">
                  <c:v>102.208461830161</c:v>
                </c:pt>
                <c:pt idx="8">
                  <c:v>102.41849524191301</c:v>
                </c:pt>
                <c:pt idx="9">
                  <c:v>103.424359881648</c:v>
                </c:pt>
                <c:pt idx="10">
                  <c:v>103.6268317621</c:v>
                </c:pt>
                <c:pt idx="11">
                  <c:v>102.304831319748</c:v>
                </c:pt>
                <c:pt idx="12">
                  <c:v>103.89943725712099</c:v>
                </c:pt>
                <c:pt idx="13">
                  <c:v>103.510443088863</c:v>
                </c:pt>
                <c:pt idx="14">
                  <c:v>103.88977242291899</c:v>
                </c:pt>
                <c:pt idx="15">
                  <c:v>104.500101735922</c:v>
                </c:pt>
                <c:pt idx="16">
                  <c:v>104.68021416001299</c:v>
                </c:pt>
                <c:pt idx="17">
                  <c:v>105.108137391238</c:v>
                </c:pt>
                <c:pt idx="18">
                  <c:v>104.913514365034</c:v>
                </c:pt>
                <c:pt idx="19">
                  <c:v>106.62299513130201</c:v>
                </c:pt>
                <c:pt idx="20">
                  <c:v>106.81776880547601</c:v>
                </c:pt>
                <c:pt idx="21">
                  <c:v>107.83239379708699</c:v>
                </c:pt>
                <c:pt idx="22">
                  <c:v>107.473213570609</c:v>
                </c:pt>
                <c:pt idx="23">
                  <c:v>107.579596285505</c:v>
                </c:pt>
                <c:pt idx="24">
                  <c:v>108.42701949916599</c:v>
                </c:pt>
                <c:pt idx="25">
                  <c:v>108.740886291043</c:v>
                </c:pt>
                <c:pt idx="26">
                  <c:v>108.610552605534</c:v>
                </c:pt>
                <c:pt idx="27">
                  <c:v>107.652773868601</c:v>
                </c:pt>
                <c:pt idx="28">
                  <c:v>108.816468677532</c:v>
                </c:pt>
                <c:pt idx="29">
                  <c:v>109.735401976028</c:v>
                </c:pt>
                <c:pt idx="30">
                  <c:v>110.052850044141</c:v>
                </c:pt>
                <c:pt idx="31">
                  <c:v>110.373406508785</c:v>
                </c:pt>
                <c:pt idx="32">
                  <c:v>110.941059407437</c:v>
                </c:pt>
                <c:pt idx="33">
                  <c:v>111.189021445503</c:v>
                </c:pt>
                <c:pt idx="34">
                  <c:v>111.237221577871</c:v>
                </c:pt>
                <c:pt idx="35">
                  <c:v>113.980373664373</c:v>
                </c:pt>
                <c:pt idx="36">
                  <c:v>112.64569242924701</c:v>
                </c:pt>
                <c:pt idx="37">
                  <c:v>112.86309791037399</c:v>
                </c:pt>
                <c:pt idx="38">
                  <c:v>111.541045582509</c:v>
                </c:pt>
                <c:pt idx="39">
                  <c:v>113.27073071800299</c:v>
                </c:pt>
                <c:pt idx="40">
                  <c:v>113.42892321543</c:v>
                </c:pt>
                <c:pt idx="41">
                  <c:v>113.842884818062</c:v>
                </c:pt>
                <c:pt idx="42">
                  <c:v>113.92010688619</c:v>
                </c:pt>
                <c:pt idx="43">
                  <c:v>114.01318571905399</c:v>
                </c:pt>
                <c:pt idx="44">
                  <c:v>114.36993946182299</c:v>
                </c:pt>
                <c:pt idx="45">
                  <c:v>113.896260742796</c:v>
                </c:pt>
                <c:pt idx="46">
                  <c:v>114.410460492293</c:v>
                </c:pt>
                <c:pt idx="47">
                  <c:v>116.141710542616</c:v>
                </c:pt>
                <c:pt idx="48">
                  <c:v>114.661503887886</c:v>
                </c:pt>
                <c:pt idx="49">
                  <c:v>114.743255297912</c:v>
                </c:pt>
                <c:pt idx="50">
                  <c:v>116.293648363834</c:v>
                </c:pt>
                <c:pt idx="51">
                  <c:v>115.361831047907</c:v>
                </c:pt>
                <c:pt idx="52">
                  <c:v>116.281714269332</c:v>
                </c:pt>
                <c:pt idx="53">
                  <c:v>115.953656578728</c:v>
                </c:pt>
                <c:pt idx="54">
                  <c:v>116.40271953209</c:v>
                </c:pt>
                <c:pt idx="55">
                  <c:v>116.91066402447601</c:v>
                </c:pt>
                <c:pt idx="56">
                  <c:v>117.597963358081</c:v>
                </c:pt>
                <c:pt idx="57">
                  <c:v>115.61074615137299</c:v>
                </c:pt>
                <c:pt idx="58">
                  <c:v>116.84098494294</c:v>
                </c:pt>
                <c:pt idx="59">
                  <c:v>116.81351886521701</c:v>
                </c:pt>
                <c:pt idx="60">
                  <c:v>117.061175933898</c:v>
                </c:pt>
                <c:pt idx="61">
                  <c:v>117.142557554642</c:v>
                </c:pt>
                <c:pt idx="62">
                  <c:v>115.512758957901</c:v>
                </c:pt>
                <c:pt idx="63">
                  <c:v>116.795175971297</c:v>
                </c:pt>
                <c:pt idx="64">
                  <c:v>116.629963134986</c:v>
                </c:pt>
                <c:pt idx="65">
                  <c:v>117.46989650191399</c:v>
                </c:pt>
              </c:numCache>
            </c:numRef>
          </c:val>
          <c:extLst>
            <c:ext xmlns:c16="http://schemas.microsoft.com/office/drawing/2014/chart" uri="{C3380CC4-5D6E-409C-BE32-E72D297353CC}">
              <c16:uniqueId val="{00000000-E4EF-47D2-913F-FEC227A2DBC8}"/>
            </c:ext>
          </c:extLst>
        </c:ser>
        <c:dLbls>
          <c:showLegendKey val="0"/>
          <c:showVal val="0"/>
          <c:showCatName val="0"/>
          <c:showSerName val="0"/>
          <c:showPercent val="0"/>
          <c:showBubbleSize val="0"/>
        </c:dLbls>
        <c:gapWidth val="50"/>
        <c:axId val="129008968"/>
        <c:axId val="129008576"/>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'!$D$77:$D$142</c:f>
              <c:numCache>
                <c:formatCode>0.0</c:formatCode>
                <c:ptCount val="66"/>
                <c:pt idx="0">
                  <c:v>100.661745341434</c:v>
                </c:pt>
                <c:pt idx="1">
                  <c:v>101.095916150337</c:v>
                </c:pt>
                <c:pt idx="2">
                  <c:v>101.613915859353</c:v>
                </c:pt>
                <c:pt idx="3">
                  <c:v>102.09681429287301</c:v>
                </c:pt>
                <c:pt idx="4">
                  <c:v>102.45168339510499</c:v>
                </c:pt>
                <c:pt idx="5">
                  <c:v>102.64222542197101</c:v>
                </c:pt>
                <c:pt idx="6">
                  <c:v>102.713927488377</c:v>
                </c:pt>
                <c:pt idx="7">
                  <c:v>102.765042285596</c:v>
                </c:pt>
                <c:pt idx="8">
                  <c:v>102.870364711543</c:v>
                </c:pt>
                <c:pt idx="9">
                  <c:v>103.04721164132</c:v>
                </c:pt>
                <c:pt idx="10">
                  <c:v>103.273857116646</c:v>
                </c:pt>
                <c:pt idx="11">
                  <c:v>103.48573002771001</c:v>
                </c:pt>
                <c:pt idx="12">
                  <c:v>103.665979458984</c:v>
                </c:pt>
                <c:pt idx="13">
                  <c:v>103.820510635029</c:v>
                </c:pt>
                <c:pt idx="14">
                  <c:v>104.008941526984</c:v>
                </c:pt>
                <c:pt idx="15">
                  <c:v>104.290111981618</c:v>
                </c:pt>
                <c:pt idx="16">
                  <c:v>104.69524381371799</c:v>
                </c:pt>
                <c:pt idx="17">
                  <c:v>105.205539186563</c:v>
                </c:pt>
                <c:pt idx="18">
                  <c:v>105.769593643888</c:v>
                </c:pt>
                <c:pt idx="19">
                  <c:v>106.331391547105</c:v>
                </c:pt>
                <c:pt idx="20">
                  <c:v>106.847441033782</c:v>
                </c:pt>
                <c:pt idx="21">
                  <c:v>107.30552514093201</c:v>
                </c:pt>
                <c:pt idx="22">
                  <c:v>107.69175950438201</c:v>
                </c:pt>
                <c:pt idx="23">
                  <c:v>107.989781014789</c:v>
                </c:pt>
                <c:pt idx="24">
                  <c:v>108.223461958931</c:v>
                </c:pt>
                <c:pt idx="25">
                  <c:v>108.434382140073</c:v>
                </c:pt>
                <c:pt idx="26">
                  <c:v>108.65589633187101</c:v>
                </c:pt>
                <c:pt idx="27">
                  <c:v>108.90480547096</c:v>
                </c:pt>
                <c:pt idx="28">
                  <c:v>109.21029540839901</c:v>
                </c:pt>
                <c:pt idx="29">
                  <c:v>109.561392337008</c:v>
                </c:pt>
                <c:pt idx="30">
                  <c:v>109.956752253235</c:v>
                </c:pt>
                <c:pt idx="31">
                  <c:v>110.376365728542</c:v>
                </c:pt>
                <c:pt idx="32">
                  <c:v>110.791644626059</c:v>
                </c:pt>
                <c:pt idx="33">
                  <c:v>111.200141313708</c:v>
                </c:pt>
                <c:pt idx="34">
                  <c:v>111.614100928981</c:v>
                </c:pt>
                <c:pt idx="35">
                  <c:v>112.02768526360801</c:v>
                </c:pt>
                <c:pt idx="36">
                  <c:v>112.42803589898401</c:v>
                </c:pt>
                <c:pt idx="37">
                  <c:v>112.785186062981</c:v>
                </c:pt>
                <c:pt idx="38">
                  <c:v>113.084491485399</c:v>
                </c:pt>
                <c:pt idx="39">
                  <c:v>113.338568744304</c:v>
                </c:pt>
                <c:pt idx="40">
                  <c:v>113.549887922472</c:v>
                </c:pt>
                <c:pt idx="41">
                  <c:v>113.729760040928</c:v>
                </c:pt>
                <c:pt idx="42">
                  <c:v>113.892112383455</c:v>
                </c:pt>
                <c:pt idx="43">
                  <c:v>114.031875505626</c:v>
                </c:pt>
                <c:pt idx="44">
                  <c:v>114.136162018664</c:v>
                </c:pt>
                <c:pt idx="45">
                  <c:v>114.236826486982</c:v>
                </c:pt>
                <c:pt idx="46">
                  <c:v>114.355385911307</c:v>
                </c:pt>
                <c:pt idx="47">
                  <c:v>114.52740352412999</c:v>
                </c:pt>
                <c:pt idx="48">
                  <c:v>114.761417502208</c:v>
                </c:pt>
                <c:pt idx="49">
                  <c:v>115.034822961101</c:v>
                </c:pt>
                <c:pt idx="50">
                  <c:v>115.33279572286899</c:v>
                </c:pt>
                <c:pt idx="51">
                  <c:v>115.64416392931599</c:v>
                </c:pt>
                <c:pt idx="52">
                  <c:v>115.950397586984</c:v>
                </c:pt>
                <c:pt idx="53">
                  <c:v>116.23994679344</c:v>
                </c:pt>
                <c:pt idx="54">
                  <c:v>116.475833149472</c:v>
                </c:pt>
                <c:pt idx="55">
                  <c:v>116.645483073047</c:v>
                </c:pt>
                <c:pt idx="56">
                  <c:v>116.770104556455</c:v>
                </c:pt>
                <c:pt idx="57">
                  <c:v>116.859253638894</c:v>
                </c:pt>
                <c:pt idx="58">
                  <c:v>116.911354504819</c:v>
                </c:pt>
                <c:pt idx="59">
                  <c:v>116.925268429471</c:v>
                </c:pt>
                <c:pt idx="60">
                  <c:v>116.90437895484899</c:v>
                </c:pt>
                <c:pt idx="61">
                  <c:v>116.883219170605</c:v>
                </c:pt>
                <c:pt idx="62">
                  <c:v>116.87245762971401</c:v>
                </c:pt>
                <c:pt idx="63">
                  <c:v>116.89441356395901</c:v>
                </c:pt>
                <c:pt idx="64">
                  <c:v>116.970971209089</c:v>
                </c:pt>
                <c:pt idx="65">
                  <c:v>117.108310782442</c:v>
                </c:pt>
              </c:numCache>
            </c:numRef>
          </c:val>
          <c:smooth val="0"/>
          <c:extLst>
            <c:ext xmlns:c16="http://schemas.microsoft.com/office/drawing/2014/chart" uri="{C3380CC4-5D6E-409C-BE32-E72D297353CC}">
              <c16:uniqueId val="{00000001-E4EF-47D2-913F-FEC227A2DBC8}"/>
            </c:ext>
          </c:extLst>
        </c:ser>
        <c:dLbls>
          <c:showLegendKey val="0"/>
          <c:showVal val="0"/>
          <c:showCatName val="0"/>
          <c:showSerName val="0"/>
          <c:showPercent val="0"/>
          <c:showBubbleSize val="0"/>
        </c:dLbls>
        <c:marker val="1"/>
        <c:smooth val="0"/>
        <c:axId val="129008968"/>
        <c:axId val="129008576"/>
      </c:lineChart>
      <c:catAx>
        <c:axId val="1290089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29008576"/>
        <c:crosses val="autoZero"/>
        <c:auto val="1"/>
        <c:lblAlgn val="ctr"/>
        <c:lblOffset val="100"/>
        <c:tickLblSkip val="1"/>
        <c:tickMarkSkip val="12"/>
        <c:noMultiLvlLbl val="1"/>
      </c:catAx>
      <c:valAx>
        <c:axId val="129008576"/>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290089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'!$E$77:$E$142</c:f>
              <c:numCache>
                <c:formatCode>0.0</c:formatCode>
                <c:ptCount val="66"/>
                <c:pt idx="0">
                  <c:v>100.649136612535</c:v>
                </c:pt>
                <c:pt idx="1">
                  <c:v>100.971200074179</c:v>
                </c:pt>
                <c:pt idx="2">
                  <c:v>101.11376586962</c:v>
                </c:pt>
                <c:pt idx="3">
                  <c:v>102.334109277263</c:v>
                </c:pt>
                <c:pt idx="4">
                  <c:v>102.593903537052</c:v>
                </c:pt>
                <c:pt idx="5">
                  <c:v>102.87974816204</c:v>
                </c:pt>
                <c:pt idx="6">
                  <c:v>102.659597576406</c:v>
                </c:pt>
                <c:pt idx="7">
                  <c:v>102.109053359539</c:v>
                </c:pt>
                <c:pt idx="8">
                  <c:v>102.260062502145</c:v>
                </c:pt>
                <c:pt idx="9">
                  <c:v>103.158629551391</c:v>
                </c:pt>
                <c:pt idx="10">
                  <c:v>103.48794829048499</c:v>
                </c:pt>
                <c:pt idx="11">
                  <c:v>101.998197000275</c:v>
                </c:pt>
                <c:pt idx="12">
                  <c:v>103.807155796359</c:v>
                </c:pt>
                <c:pt idx="13">
                  <c:v>103.554194484113</c:v>
                </c:pt>
                <c:pt idx="14">
                  <c:v>103.663298037836</c:v>
                </c:pt>
                <c:pt idx="15">
                  <c:v>104.125108990586</c:v>
                </c:pt>
                <c:pt idx="16">
                  <c:v>104.11130742259699</c:v>
                </c:pt>
                <c:pt idx="17">
                  <c:v>103.905045329362</c:v>
                </c:pt>
                <c:pt idx="18">
                  <c:v>104.362063025602</c:v>
                </c:pt>
                <c:pt idx="19">
                  <c:v>105.84064851240799</c:v>
                </c:pt>
                <c:pt idx="20">
                  <c:v>106.24813570254901</c:v>
                </c:pt>
                <c:pt idx="21">
                  <c:v>106.857769382564</c:v>
                </c:pt>
                <c:pt idx="22">
                  <c:v>106.44718161415101</c:v>
                </c:pt>
                <c:pt idx="23">
                  <c:v>106.769271849723</c:v>
                </c:pt>
                <c:pt idx="24">
                  <c:v>108.39205297829101</c:v>
                </c:pt>
                <c:pt idx="25">
                  <c:v>108.40305577189601</c:v>
                </c:pt>
                <c:pt idx="26">
                  <c:v>108.20066693056</c:v>
                </c:pt>
                <c:pt idx="27">
                  <c:v>107.540117320485</c:v>
                </c:pt>
                <c:pt idx="28">
                  <c:v>108.83569702975601</c:v>
                </c:pt>
                <c:pt idx="29">
                  <c:v>109.86059058795099</c:v>
                </c:pt>
                <c:pt idx="30">
                  <c:v>110.252821035132</c:v>
                </c:pt>
                <c:pt idx="31">
                  <c:v>110.349955218087</c:v>
                </c:pt>
                <c:pt idx="32">
                  <c:v>110.750701355243</c:v>
                </c:pt>
                <c:pt idx="33">
                  <c:v>111.73426295419399</c:v>
                </c:pt>
                <c:pt idx="34">
                  <c:v>111.650043739084</c:v>
                </c:pt>
                <c:pt idx="35">
                  <c:v>113.958651004365</c:v>
                </c:pt>
                <c:pt idx="36">
                  <c:v>112.941074402175</c:v>
                </c:pt>
                <c:pt idx="37">
                  <c:v>112.55354924834199</c:v>
                </c:pt>
                <c:pt idx="38">
                  <c:v>111.025562893508</c:v>
                </c:pt>
                <c:pt idx="39">
                  <c:v>113.24977920242701</c:v>
                </c:pt>
                <c:pt idx="40">
                  <c:v>112.801597665203</c:v>
                </c:pt>
                <c:pt idx="41">
                  <c:v>113.02989334614099</c:v>
                </c:pt>
                <c:pt idx="42">
                  <c:v>113.391313080131</c:v>
                </c:pt>
                <c:pt idx="43">
                  <c:v>113.598613786279</c:v>
                </c:pt>
                <c:pt idx="44">
                  <c:v>113.947637524901</c:v>
                </c:pt>
                <c:pt idx="45">
                  <c:v>113.765159512335</c:v>
                </c:pt>
                <c:pt idx="46">
                  <c:v>114.19361854299299</c:v>
                </c:pt>
                <c:pt idx="47">
                  <c:v>115.065756326873</c:v>
                </c:pt>
                <c:pt idx="48">
                  <c:v>114.218849942399</c:v>
                </c:pt>
                <c:pt idx="49">
                  <c:v>114.43132695491801</c:v>
                </c:pt>
                <c:pt idx="50">
                  <c:v>115.635875805675</c:v>
                </c:pt>
                <c:pt idx="51">
                  <c:v>114.934629323853</c:v>
                </c:pt>
                <c:pt idx="52">
                  <c:v>115.967266939772</c:v>
                </c:pt>
                <c:pt idx="53">
                  <c:v>115.648211203678</c:v>
                </c:pt>
                <c:pt idx="54">
                  <c:v>115.98759796806701</c:v>
                </c:pt>
                <c:pt idx="55">
                  <c:v>116.24637304011399</c:v>
                </c:pt>
                <c:pt idx="56">
                  <c:v>117.143401448269</c:v>
                </c:pt>
                <c:pt idx="57">
                  <c:v>115.220818897423</c:v>
                </c:pt>
                <c:pt idx="58">
                  <c:v>116.217474121607</c:v>
                </c:pt>
                <c:pt idx="59">
                  <c:v>116.073269677577</c:v>
                </c:pt>
                <c:pt idx="60">
                  <c:v>116.13781240562</c:v>
                </c:pt>
                <c:pt idx="61">
                  <c:v>116.562931377073</c:v>
                </c:pt>
                <c:pt idx="62">
                  <c:v>115.646124767788</c:v>
                </c:pt>
                <c:pt idx="63">
                  <c:v>116.196515885587</c:v>
                </c:pt>
                <c:pt idx="64">
                  <c:v>116.42387088503899</c:v>
                </c:pt>
                <c:pt idx="65">
                  <c:v>117.536746101202</c:v>
                </c:pt>
              </c:numCache>
            </c:numRef>
          </c:val>
          <c:extLst>
            <c:ext xmlns:c16="http://schemas.microsoft.com/office/drawing/2014/chart" uri="{C3380CC4-5D6E-409C-BE32-E72D297353CC}">
              <c16:uniqueId val="{00000000-3C24-497A-B21C-7CEB25254AED}"/>
            </c:ext>
          </c:extLst>
        </c:ser>
        <c:dLbls>
          <c:showLegendKey val="0"/>
          <c:showVal val="0"/>
          <c:showCatName val="0"/>
          <c:showSerName val="0"/>
          <c:showPercent val="0"/>
          <c:showBubbleSize val="0"/>
        </c:dLbls>
        <c:gapWidth val="50"/>
        <c:axId val="129007400"/>
        <c:axId val="129008184"/>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'!$F$77:$F$142</c:f>
              <c:numCache>
                <c:formatCode>0.0</c:formatCode>
                <c:ptCount val="66"/>
                <c:pt idx="0">
                  <c:v>100.732153413597</c:v>
                </c:pt>
                <c:pt idx="1">
                  <c:v>101.110629718428</c:v>
                </c:pt>
                <c:pt idx="2">
                  <c:v>101.56294417073499</c:v>
                </c:pt>
                <c:pt idx="3">
                  <c:v>101.990898839295</c:v>
                </c:pt>
                <c:pt idx="4">
                  <c:v>102.31877649078299</c:v>
                </c:pt>
                <c:pt idx="5">
                  <c:v>102.50719622578301</c:v>
                </c:pt>
                <c:pt idx="6">
                  <c:v>102.579012994544</c:v>
                </c:pt>
                <c:pt idx="7">
                  <c:v>102.624181752105</c:v>
                </c:pt>
                <c:pt idx="8">
                  <c:v>102.722123531753</c:v>
                </c:pt>
                <c:pt idx="9">
                  <c:v>102.903458775407</c:v>
                </c:pt>
                <c:pt idx="10">
                  <c:v>103.149937486616</c:v>
                </c:pt>
                <c:pt idx="11">
                  <c:v>103.39985013614999</c:v>
                </c:pt>
                <c:pt idx="12">
                  <c:v>103.598700072393</c:v>
                </c:pt>
                <c:pt idx="13">
                  <c:v>103.699839546918</c:v>
                </c:pt>
                <c:pt idx="14">
                  <c:v>103.745103551982</c:v>
                </c:pt>
                <c:pt idx="15">
                  <c:v>103.825730018328</c:v>
                </c:pt>
                <c:pt idx="16">
                  <c:v>104.032224760511</c:v>
                </c:pt>
                <c:pt idx="17">
                  <c:v>104.391718755835</c:v>
                </c:pt>
                <c:pt idx="18">
                  <c:v>104.86337472073301</c:v>
                </c:pt>
                <c:pt idx="19">
                  <c:v>105.39399701728701</c:v>
                </c:pt>
                <c:pt idx="20">
                  <c:v>105.934892071409</c:v>
                </c:pt>
                <c:pt idx="21">
                  <c:v>106.452990664469</c:v>
                </c:pt>
                <c:pt idx="22">
                  <c:v>106.918642907749</c:v>
                </c:pt>
                <c:pt idx="23">
                  <c:v>107.308366835244</c:v>
                </c:pt>
                <c:pt idx="24">
                  <c:v>107.654316420528</c:v>
                </c:pt>
                <c:pt idx="25">
                  <c:v>108.01348178898201</c:v>
                </c:pt>
                <c:pt idx="26">
                  <c:v>108.400246010675</c:v>
                </c:pt>
                <c:pt idx="27">
                  <c:v>108.780482990259</c:v>
                </c:pt>
                <c:pt idx="28">
                  <c:v>109.167412040971</c:v>
                </c:pt>
                <c:pt idx="29">
                  <c:v>109.578296363479</c:v>
                </c:pt>
                <c:pt idx="30">
                  <c:v>110.030052883259</c:v>
                </c:pt>
                <c:pt idx="31">
                  <c:v>110.515601680871</c:v>
                </c:pt>
                <c:pt idx="32">
                  <c:v>110.993733373721</c:v>
                </c:pt>
                <c:pt idx="33">
                  <c:v>111.44285280444301</c:v>
                </c:pt>
                <c:pt idx="34">
                  <c:v>111.868873494724</c:v>
                </c:pt>
                <c:pt idx="35">
                  <c:v>112.251550367786</c:v>
                </c:pt>
                <c:pt idx="36">
                  <c:v>112.557621885</c:v>
                </c:pt>
                <c:pt idx="37">
                  <c:v>112.758012543486</c:v>
                </c:pt>
                <c:pt idx="38">
                  <c:v>112.87199988358</c:v>
                </c:pt>
                <c:pt idx="39">
                  <c:v>112.95813647614099</c:v>
                </c:pt>
                <c:pt idx="40">
                  <c:v>113.054259144661</c:v>
                </c:pt>
                <c:pt idx="41">
                  <c:v>113.166840602363</c:v>
                </c:pt>
                <c:pt idx="42">
                  <c:v>113.339376579476</c:v>
                </c:pt>
                <c:pt idx="43">
                  <c:v>113.56527927825699</c:v>
                </c:pt>
                <c:pt idx="44">
                  <c:v>113.79308052946899</c:v>
                </c:pt>
                <c:pt idx="45">
                  <c:v>114.023020886306</c:v>
                </c:pt>
                <c:pt idx="46">
                  <c:v>114.22628498338599</c:v>
                </c:pt>
                <c:pt idx="47">
                  <c:v>114.41373109262</c:v>
                </c:pt>
                <c:pt idx="48">
                  <c:v>114.61651647610999</c:v>
                </c:pt>
                <c:pt idx="49">
                  <c:v>114.84025538053299</c:v>
                </c:pt>
                <c:pt idx="50">
                  <c:v>115.08671866280901</c:v>
                </c:pt>
                <c:pt idx="51">
                  <c:v>115.353014455813</c:v>
                </c:pt>
                <c:pt idx="52">
                  <c:v>115.60878553421399</c:v>
                </c:pt>
                <c:pt idx="53">
                  <c:v>115.82789304255201</c:v>
                </c:pt>
                <c:pt idx="54">
                  <c:v>115.975234896636</c:v>
                </c:pt>
                <c:pt idx="55">
                  <c:v>116.03732274628899</c:v>
                </c:pt>
                <c:pt idx="56">
                  <c:v>116.079287228021</c:v>
                </c:pt>
                <c:pt idx="57">
                  <c:v>116.110072670101</c:v>
                </c:pt>
                <c:pt idx="58">
                  <c:v>116.117036779508</c:v>
                </c:pt>
                <c:pt idx="59">
                  <c:v>116.10180633383401</c:v>
                </c:pt>
                <c:pt idx="60">
                  <c:v>116.074018834604</c:v>
                </c:pt>
                <c:pt idx="61">
                  <c:v>116.08857421155901</c:v>
                </c:pt>
                <c:pt idx="62">
                  <c:v>116.174570797203</c:v>
                </c:pt>
                <c:pt idx="63">
                  <c:v>116.382581084726</c:v>
                </c:pt>
                <c:pt idx="64">
                  <c:v>116.708950925865</c:v>
                </c:pt>
                <c:pt idx="65">
                  <c:v>117.09660382099</c:v>
                </c:pt>
              </c:numCache>
            </c:numRef>
          </c:val>
          <c:smooth val="0"/>
          <c:extLst>
            <c:ext xmlns:c16="http://schemas.microsoft.com/office/drawing/2014/chart" uri="{C3380CC4-5D6E-409C-BE32-E72D297353CC}">
              <c16:uniqueId val="{00000001-3C24-497A-B21C-7CEB25254AED}"/>
            </c:ext>
          </c:extLst>
        </c:ser>
        <c:dLbls>
          <c:showLegendKey val="0"/>
          <c:showVal val="0"/>
          <c:showCatName val="0"/>
          <c:showSerName val="0"/>
          <c:showPercent val="0"/>
          <c:showBubbleSize val="0"/>
        </c:dLbls>
        <c:marker val="1"/>
        <c:smooth val="0"/>
        <c:axId val="129007400"/>
        <c:axId val="129008184"/>
      </c:lineChart>
      <c:catAx>
        <c:axId val="129007400"/>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29008184"/>
        <c:crosses val="autoZero"/>
        <c:auto val="1"/>
        <c:lblAlgn val="ctr"/>
        <c:lblOffset val="100"/>
        <c:tickLblSkip val="1"/>
        <c:tickMarkSkip val="12"/>
        <c:noMultiLvlLbl val="1"/>
      </c:catAx>
      <c:valAx>
        <c:axId val="129008184"/>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2900740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'!$G$77:$G$142</c:f>
              <c:numCache>
                <c:formatCode>0.0</c:formatCode>
                <c:ptCount val="66"/>
                <c:pt idx="0">
                  <c:v>99.261788731204604</c:v>
                </c:pt>
                <c:pt idx="1">
                  <c:v>100.96946195564099</c:v>
                </c:pt>
                <c:pt idx="2">
                  <c:v>101.51505001547901</c:v>
                </c:pt>
                <c:pt idx="3">
                  <c:v>104.29104537523401</c:v>
                </c:pt>
                <c:pt idx="4">
                  <c:v>105.059926711095</c:v>
                </c:pt>
                <c:pt idx="5">
                  <c:v>103.747849952986</c:v>
                </c:pt>
                <c:pt idx="6">
                  <c:v>104.36993237488601</c:v>
                </c:pt>
                <c:pt idx="7">
                  <c:v>104.252334096986</c:v>
                </c:pt>
                <c:pt idx="8">
                  <c:v>100.150985667046</c:v>
                </c:pt>
                <c:pt idx="9">
                  <c:v>105.48427133018301</c:v>
                </c:pt>
                <c:pt idx="10">
                  <c:v>106.413774938266</c:v>
                </c:pt>
                <c:pt idx="11">
                  <c:v>104.2493654373</c:v>
                </c:pt>
                <c:pt idx="12">
                  <c:v>105.410746567255</c:v>
                </c:pt>
                <c:pt idx="13">
                  <c:v>102.989615184588</c:v>
                </c:pt>
                <c:pt idx="14">
                  <c:v>104.677414360721</c:v>
                </c:pt>
                <c:pt idx="15">
                  <c:v>108.43589959434701</c:v>
                </c:pt>
                <c:pt idx="16">
                  <c:v>111.492713120288</c:v>
                </c:pt>
                <c:pt idx="17">
                  <c:v>115.402850092555</c:v>
                </c:pt>
                <c:pt idx="18">
                  <c:v>110.903163714386</c:v>
                </c:pt>
                <c:pt idx="19">
                  <c:v>114.758254165799</c:v>
                </c:pt>
                <c:pt idx="20">
                  <c:v>108.960815305045</c:v>
                </c:pt>
                <c:pt idx="21">
                  <c:v>116.34146257256801</c:v>
                </c:pt>
                <c:pt idx="22">
                  <c:v>116.80614636140599</c:v>
                </c:pt>
                <c:pt idx="23">
                  <c:v>112.815963465463</c:v>
                </c:pt>
                <c:pt idx="24">
                  <c:v>111.112260250438</c:v>
                </c:pt>
                <c:pt idx="25">
                  <c:v>111.84745056607601</c:v>
                </c:pt>
                <c:pt idx="26">
                  <c:v>112.451642986831</c:v>
                </c:pt>
                <c:pt idx="27">
                  <c:v>108.036547943492</c:v>
                </c:pt>
                <c:pt idx="28">
                  <c:v>108.09579910423901</c:v>
                </c:pt>
                <c:pt idx="29">
                  <c:v>109.741671464311</c:v>
                </c:pt>
                <c:pt idx="30">
                  <c:v>110.010924627356</c:v>
                </c:pt>
                <c:pt idx="31">
                  <c:v>109.19035480231101</c:v>
                </c:pt>
                <c:pt idx="32">
                  <c:v>110.098186745969</c:v>
                </c:pt>
                <c:pt idx="33">
                  <c:v>109.715360725903</c:v>
                </c:pt>
                <c:pt idx="34">
                  <c:v>106.93523132723099</c:v>
                </c:pt>
                <c:pt idx="35">
                  <c:v>111.26686404034299</c:v>
                </c:pt>
                <c:pt idx="36">
                  <c:v>110.535418351712</c:v>
                </c:pt>
                <c:pt idx="37">
                  <c:v>115.770905736838</c:v>
                </c:pt>
                <c:pt idx="38">
                  <c:v>115.989008883309</c:v>
                </c:pt>
                <c:pt idx="39">
                  <c:v>116.023344068995</c:v>
                </c:pt>
                <c:pt idx="40">
                  <c:v>118.38100889142299</c:v>
                </c:pt>
                <c:pt idx="41">
                  <c:v>120.989258440811</c:v>
                </c:pt>
                <c:pt idx="42">
                  <c:v>119.93115471321499</c:v>
                </c:pt>
                <c:pt idx="43">
                  <c:v>116.135391652363</c:v>
                </c:pt>
                <c:pt idx="44">
                  <c:v>116.79811089169399</c:v>
                </c:pt>
                <c:pt idx="45">
                  <c:v>116.217615760527</c:v>
                </c:pt>
                <c:pt idx="46">
                  <c:v>116.43239527712301</c:v>
                </c:pt>
                <c:pt idx="47">
                  <c:v>124.238092321541</c:v>
                </c:pt>
                <c:pt idx="48">
                  <c:v>120.36723904119501</c:v>
                </c:pt>
                <c:pt idx="49">
                  <c:v>117.514602183918</c:v>
                </c:pt>
                <c:pt idx="50">
                  <c:v>124.074499532434</c:v>
                </c:pt>
                <c:pt idx="51">
                  <c:v>119.65891913053299</c:v>
                </c:pt>
                <c:pt idx="52">
                  <c:v>118.88940308762101</c:v>
                </c:pt>
                <c:pt idx="53">
                  <c:v>119.06483132989401</c:v>
                </c:pt>
                <c:pt idx="54">
                  <c:v>118.539326785017</c:v>
                </c:pt>
                <c:pt idx="55">
                  <c:v>122.08166900078</c:v>
                </c:pt>
                <c:pt idx="56">
                  <c:v>121.938900909257</c:v>
                </c:pt>
                <c:pt idx="57">
                  <c:v>119.783577249511</c:v>
                </c:pt>
                <c:pt idx="58">
                  <c:v>121.38537139190301</c:v>
                </c:pt>
                <c:pt idx="59">
                  <c:v>120.745111953484</c:v>
                </c:pt>
                <c:pt idx="60">
                  <c:v>127.894793669772</c:v>
                </c:pt>
                <c:pt idx="61">
                  <c:v>122.473435051629</c:v>
                </c:pt>
                <c:pt idx="62">
                  <c:v>116.034686218868</c:v>
                </c:pt>
                <c:pt idx="63">
                  <c:v>121.94161274523999</c:v>
                </c:pt>
                <c:pt idx="64">
                  <c:v>119.605123196126</c:v>
                </c:pt>
                <c:pt idx="65">
                  <c:v>117.690360589345</c:v>
                </c:pt>
              </c:numCache>
            </c:numRef>
          </c:val>
          <c:extLst>
            <c:ext xmlns:c16="http://schemas.microsoft.com/office/drawing/2014/chart" uri="{C3380CC4-5D6E-409C-BE32-E72D297353CC}">
              <c16:uniqueId val="{00000000-4EEF-428B-909A-76863CF9B8A2}"/>
            </c:ext>
          </c:extLst>
        </c:ser>
        <c:dLbls>
          <c:showLegendKey val="0"/>
          <c:showVal val="0"/>
          <c:showCatName val="0"/>
          <c:showSerName val="0"/>
          <c:showPercent val="0"/>
          <c:showBubbleSize val="0"/>
        </c:dLbls>
        <c:gapWidth val="50"/>
        <c:axId val="131443368"/>
        <c:axId val="13143866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'!$A$77:$B$142</c:f>
              <c:multiLvlStrCache>
                <c:ptCount val="66"/>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'!$H$77:$H$142</c:f>
              <c:numCache>
                <c:formatCode>0.0</c:formatCode>
                <c:ptCount val="66"/>
                <c:pt idx="0">
                  <c:v>100.159139878836</c:v>
                </c:pt>
                <c:pt idx="1">
                  <c:v>101.05850240111801</c:v>
                </c:pt>
                <c:pt idx="2">
                  <c:v>102.142885753928</c:v>
                </c:pt>
                <c:pt idx="3">
                  <c:v>103.183378481424</c:v>
                </c:pt>
                <c:pt idx="4">
                  <c:v>103.90548157421399</c:v>
                </c:pt>
                <c:pt idx="5">
                  <c:v>104.321245660588</c:v>
                </c:pt>
                <c:pt idx="6">
                  <c:v>104.561678732502</c:v>
                </c:pt>
                <c:pt idx="7">
                  <c:v>104.728339188706</c:v>
                </c:pt>
                <c:pt idx="8">
                  <c:v>104.912684246487</c:v>
                </c:pt>
                <c:pt idx="9">
                  <c:v>105.009433647702</c:v>
                </c:pt>
                <c:pt idx="10">
                  <c:v>104.932434368963</c:v>
                </c:pt>
                <c:pt idx="11">
                  <c:v>104.76670452718299</c:v>
                </c:pt>
                <c:pt idx="12">
                  <c:v>104.816458540857</c:v>
                </c:pt>
                <c:pt idx="13">
                  <c:v>105.298780932677</c:v>
                </c:pt>
                <c:pt idx="14">
                  <c:v>106.31606962538901</c:v>
                </c:pt>
                <c:pt idx="15">
                  <c:v>107.789874257154</c:v>
                </c:pt>
                <c:pt idx="16">
                  <c:v>109.50425221272501</c:v>
                </c:pt>
                <c:pt idx="17">
                  <c:v>111.265888278278</c:v>
                </c:pt>
                <c:pt idx="18">
                  <c:v>112.883290474231</c:v>
                </c:pt>
                <c:pt idx="19">
                  <c:v>114.15040968176299</c:v>
                </c:pt>
                <c:pt idx="20">
                  <c:v>114.860442779287</c:v>
                </c:pt>
                <c:pt idx="21">
                  <c:v>115.083344249237</c:v>
                </c:pt>
                <c:pt idx="22">
                  <c:v>114.81587428907</c:v>
                </c:pt>
                <c:pt idx="23">
                  <c:v>113.994075996714</c:v>
                </c:pt>
                <c:pt idx="24">
                  <c:v>112.749607540524</c:v>
                </c:pt>
                <c:pt idx="25">
                  <c:v>111.445175266299</c:v>
                </c:pt>
                <c:pt idx="26">
                  <c:v>110.374323207215</c:v>
                </c:pt>
                <c:pt idx="27">
                  <c:v>109.648830587909</c:v>
                </c:pt>
                <c:pt idx="28">
                  <c:v>109.341588662869</c:v>
                </c:pt>
                <c:pt idx="29">
                  <c:v>109.242540770014</c:v>
                </c:pt>
                <c:pt idx="30">
                  <c:v>109.24169816572</c:v>
                </c:pt>
                <c:pt idx="31">
                  <c:v>109.247963079676</c:v>
                </c:pt>
                <c:pt idx="32">
                  <c:v>109.25944938594</c:v>
                </c:pt>
                <c:pt idx="33">
                  <c:v>109.386663582162</c:v>
                </c:pt>
                <c:pt idx="34">
                  <c:v>109.808804068485</c:v>
                </c:pt>
                <c:pt idx="35">
                  <c:v>110.707674766713</c:v>
                </c:pt>
                <c:pt idx="36">
                  <c:v>112.091500069443</c:v>
                </c:pt>
                <c:pt idx="37">
                  <c:v>113.878712706973</c:v>
                </c:pt>
                <c:pt idx="38">
                  <c:v>115.78574817988</c:v>
                </c:pt>
                <c:pt idx="39">
                  <c:v>117.438928343706</c:v>
                </c:pt>
                <c:pt idx="40">
                  <c:v>118.494086958143</c:v>
                </c:pt>
                <c:pt idx="41">
                  <c:v>118.807281204397</c:v>
                </c:pt>
                <c:pt idx="42">
                  <c:v>118.481825586862</c:v>
                </c:pt>
                <c:pt idx="43">
                  <c:v>117.849427816711</c:v>
                </c:pt>
                <c:pt idx="44">
                  <c:v>117.285473714996</c:v>
                </c:pt>
                <c:pt idx="45">
                  <c:v>117.014486677498</c:v>
                </c:pt>
                <c:pt idx="46">
                  <c:v>117.2383656204</c:v>
                </c:pt>
                <c:pt idx="47">
                  <c:v>117.88286779354701</c:v>
                </c:pt>
                <c:pt idx="48">
                  <c:v>118.62881274610901</c:v>
                </c:pt>
                <c:pt idx="49">
                  <c:v>119.086497090699</c:v>
                </c:pt>
                <c:pt idx="50">
                  <c:v>119.202313317114</c:v>
                </c:pt>
                <c:pt idx="51">
                  <c:v>119.222198328434</c:v>
                </c:pt>
                <c:pt idx="52">
                  <c:v>119.298617615978</c:v>
                </c:pt>
                <c:pt idx="53">
                  <c:v>119.565742512792</c:v>
                </c:pt>
                <c:pt idx="54">
                  <c:v>119.990687977514</c:v>
                </c:pt>
                <c:pt idx="55">
                  <c:v>120.410399290181</c:v>
                </c:pt>
                <c:pt idx="56">
                  <c:v>120.763216034046</c:v>
                </c:pt>
                <c:pt idx="57">
                  <c:v>121.047670447436</c:v>
                </c:pt>
                <c:pt idx="58">
                  <c:v>121.247739824828</c:v>
                </c:pt>
                <c:pt idx="59">
                  <c:v>121.435799924303</c:v>
                </c:pt>
                <c:pt idx="60">
                  <c:v>121.584565703189</c:v>
                </c:pt>
                <c:pt idx="61">
                  <c:v>121.567906889726</c:v>
                </c:pt>
                <c:pt idx="62">
                  <c:v>121.28266176112</c:v>
                </c:pt>
                <c:pt idx="63">
                  <c:v>120.63015002217</c:v>
                </c:pt>
                <c:pt idx="64">
                  <c:v>119.77769046735</c:v>
                </c:pt>
                <c:pt idx="65">
                  <c:v>119.03186213925601</c:v>
                </c:pt>
              </c:numCache>
            </c:numRef>
          </c:val>
          <c:smooth val="0"/>
          <c:extLst>
            <c:ext xmlns:c16="http://schemas.microsoft.com/office/drawing/2014/chart" uri="{C3380CC4-5D6E-409C-BE32-E72D297353CC}">
              <c16:uniqueId val="{00000001-4EEF-428B-909A-76863CF9B8A2}"/>
            </c:ext>
          </c:extLst>
        </c:ser>
        <c:dLbls>
          <c:showLegendKey val="0"/>
          <c:showVal val="0"/>
          <c:showCatName val="0"/>
          <c:showSerName val="0"/>
          <c:showPercent val="0"/>
          <c:showBubbleSize val="0"/>
        </c:dLbls>
        <c:marker val="1"/>
        <c:smooth val="0"/>
        <c:axId val="131443368"/>
        <c:axId val="131438664"/>
      </c:lineChart>
      <c:catAx>
        <c:axId val="131443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31438664"/>
        <c:crosses val="autoZero"/>
        <c:auto val="1"/>
        <c:lblAlgn val="ctr"/>
        <c:lblOffset val="100"/>
        <c:tickLblSkip val="1"/>
        <c:tickMarkSkip val="12"/>
        <c:noMultiLvlLbl val="1"/>
      </c:catAx>
      <c:valAx>
        <c:axId val="131438664"/>
        <c:scaling>
          <c:orientation val="minMax"/>
          <c:max val="13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31443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819B-915F-4DEB-A0C9-04441DB4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1466</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Comunicado de Prensa. Consumo Privado en el Mercado Interior</vt:lpstr>
    </vt:vector>
  </TitlesOfParts>
  <Company>INEGI</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Consumo Privado en el Mercado Interior</dc:title>
  <dc:subject/>
  <dc:creator>INEGI</dc:creator>
  <cp:keywords/>
  <cp:lastModifiedBy>SALA DE PRENSA</cp:lastModifiedBy>
  <cp:revision>26</cp:revision>
  <cp:lastPrinted>2019-09-03T20:25:00Z</cp:lastPrinted>
  <dcterms:created xsi:type="dcterms:W3CDTF">2019-09-02T20:05:00Z</dcterms:created>
  <dcterms:modified xsi:type="dcterms:W3CDTF">2019-09-05T22:23:00Z</dcterms:modified>
</cp:coreProperties>
</file>