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021772"/>
    <w:bookmarkEnd w:id="0"/>
    <w:p w14:paraId="66A5891B" w14:textId="77777777" w:rsidR="00D336FF" w:rsidRDefault="00D336FF" w:rsidP="00D336FF">
      <w:pPr>
        <w:tabs>
          <w:tab w:val="left" w:pos="8789"/>
        </w:tabs>
        <w:ind w:left="284" w:right="51"/>
        <w:jc w:val="center"/>
        <w:rPr>
          <w:b/>
          <w:sz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350FDA" wp14:editId="5BADDBEF">
                <wp:simplePos x="0" y="0"/>
                <wp:positionH relativeFrom="column">
                  <wp:posOffset>3028950</wp:posOffset>
                </wp:positionH>
                <wp:positionV relativeFrom="paragraph">
                  <wp:posOffset>635</wp:posOffset>
                </wp:positionV>
                <wp:extent cx="311277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864C1" w14:textId="77777777" w:rsidR="00D336FF" w:rsidRPr="00265B8C" w:rsidRDefault="00D336FF" w:rsidP="00D336FF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  23 d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enero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50FDA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5pt;margin-top:.05pt;width:245.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" stroked="f">
                <v:textbox>
                  <w:txbxContent>
                    <w:p w14:paraId="716864C1" w14:textId="77777777" w:rsidR="00D336FF" w:rsidRPr="00265B8C" w:rsidRDefault="00D336FF" w:rsidP="00D336FF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  23 d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enero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89BB0E" w14:textId="77777777" w:rsidR="00D336FF" w:rsidRDefault="00D336FF" w:rsidP="00D336FF">
      <w:pPr>
        <w:pStyle w:val="Profesin"/>
        <w:spacing w:before="240"/>
        <w:contextualSpacing/>
      </w:pPr>
    </w:p>
    <w:p w14:paraId="79D9F7A7" w14:textId="77777777" w:rsidR="00D336FF" w:rsidRPr="002C723B" w:rsidRDefault="00D336FF" w:rsidP="00D336FF">
      <w:pPr>
        <w:pStyle w:val="Profesin"/>
        <w:spacing w:before="240"/>
      </w:pPr>
      <w:r w:rsidRPr="002C723B">
        <w:t>ÍNDICE NACIONAL DE PRECIOS AL CONSUMIDOR</w:t>
      </w:r>
    </w:p>
    <w:p w14:paraId="39FEAD57" w14:textId="0743D671" w:rsidR="00D336FF" w:rsidRPr="002C723B" w:rsidRDefault="00D336FF" w:rsidP="00D336FF">
      <w:pPr>
        <w:pStyle w:val="Profesin"/>
        <w:rPr>
          <w:caps w:val="0"/>
          <w:sz w:val="26"/>
          <w:szCs w:val="26"/>
        </w:rPr>
      </w:pPr>
      <w:r w:rsidRPr="002C723B">
        <w:rPr>
          <w:caps w:val="0"/>
          <w:sz w:val="26"/>
          <w:szCs w:val="26"/>
        </w:rPr>
        <w:t>Primera quincena de diciembre de 2019</w:t>
      </w:r>
      <w:bookmarkStart w:id="1" w:name="_GoBack"/>
      <w:bookmarkEnd w:id="1"/>
    </w:p>
    <w:p w14:paraId="7A4CBD31" w14:textId="77777777" w:rsidR="00D336FF" w:rsidRPr="002C723B" w:rsidRDefault="00D336FF" w:rsidP="00D336FF">
      <w:pPr>
        <w:spacing w:before="360"/>
        <w:ind w:right="397"/>
        <w:rPr>
          <w:spacing w:val="2"/>
        </w:rPr>
      </w:pPr>
      <w:r w:rsidRPr="002C723B">
        <w:t xml:space="preserve">El Instituto Nacional </w:t>
      </w:r>
      <w:r w:rsidRPr="002C723B">
        <w:rPr>
          <w:spacing w:val="2"/>
        </w:rPr>
        <w:t>de Estadística y Geografía (INEGI) informa que en la primera quincena de diciembre de 2019 el Índice Nacional de Precios al Consumidor (INPC) registró un alza de 0.35 por ciento respecto a la quincena inmediata anterior, así como una inflación anual de 2.63 por ciento. Los datos comparables para igual quincena de 2018 fueron incrementos de 0.56 por ciento quincenal y de 5.00 por ciento anual.</w:t>
      </w:r>
    </w:p>
    <w:p w14:paraId="6D02F1CA" w14:textId="77777777" w:rsidR="00D336FF" w:rsidRPr="002C723B" w:rsidRDefault="00D336FF" w:rsidP="00D336FF">
      <w:pPr>
        <w:spacing w:before="360"/>
        <w:ind w:right="397"/>
        <w:rPr>
          <w:spacing w:val="2"/>
        </w:rPr>
      </w:pPr>
      <w:r w:rsidRPr="002C723B">
        <w:rPr>
          <w:spacing w:val="2"/>
        </w:rPr>
        <w:t>El índice de precios subyacente</w:t>
      </w:r>
      <w:r w:rsidRPr="002C723B">
        <w:rPr>
          <w:vertAlign w:val="superscript"/>
        </w:rPr>
        <w:footnoteReference w:id="1"/>
      </w:r>
      <w:r w:rsidRPr="002C723B">
        <w:rPr>
          <w:spacing w:val="2"/>
        </w:rPr>
        <w:t xml:space="preserve"> presentó un crecimiento de 0.36 por ciento quincenal y de 3.59 por ciento anual; al mismo tiempo, el índice de precios no subyacente aumentó 0.31 por ciento quincenal y descendió (-)0.15 por ciento a tasa anual.</w:t>
      </w:r>
    </w:p>
    <w:p w14:paraId="2502CF4A" w14:textId="77777777" w:rsidR="00D336FF" w:rsidRPr="002C723B" w:rsidRDefault="00D336FF" w:rsidP="00D336FF">
      <w:pPr>
        <w:spacing w:before="360"/>
        <w:ind w:right="397"/>
        <w:rPr>
          <w:spacing w:val="2"/>
        </w:rPr>
      </w:pPr>
      <w:r w:rsidRPr="002C723B">
        <w:rPr>
          <w:spacing w:val="2"/>
        </w:rPr>
        <w:t>Al interior del índice de precios subyacente, los precios de las mercancías ascendieron 0.25 por ciento y los de los servicios 0.49 por ciento quincenal.</w:t>
      </w:r>
    </w:p>
    <w:p w14:paraId="77D71BED" w14:textId="77777777" w:rsidR="00D336FF" w:rsidRPr="002C723B" w:rsidRDefault="00D336FF" w:rsidP="00D336FF">
      <w:pPr>
        <w:spacing w:before="360"/>
        <w:ind w:right="397"/>
      </w:pPr>
      <w:r w:rsidRPr="002C723B">
        <w:rPr>
          <w:spacing w:val="2"/>
        </w:rPr>
        <w:t>Por su parte, dentro del índice de precios no subyacente, los precios de los productos agropecuarios</w:t>
      </w:r>
      <w:r w:rsidRPr="002C723B">
        <w:t xml:space="preserve"> subieron 0.30 por ciento y los de los energéticos y tarifas autorizadas por el gobierno 0.31 por ciento quincenal.</w:t>
      </w:r>
    </w:p>
    <w:p w14:paraId="12574F55" w14:textId="77777777" w:rsidR="00D336FF" w:rsidRPr="002C723B" w:rsidRDefault="00D336FF" w:rsidP="00D336FF">
      <w:pPr>
        <w:spacing w:before="720"/>
        <w:rPr>
          <w:sz w:val="22"/>
        </w:rPr>
      </w:pPr>
    </w:p>
    <w:p w14:paraId="3A8B29A6" w14:textId="77777777" w:rsidR="00D336FF" w:rsidRPr="00C97144" w:rsidRDefault="00D336FF" w:rsidP="00D336FF">
      <w:pPr>
        <w:ind w:right="397" w:hanging="1418"/>
        <w:jc w:val="left"/>
        <w:rPr>
          <w:i/>
          <w:color w:val="000000" w:themeColor="text1"/>
        </w:rPr>
      </w:pPr>
      <w:r w:rsidRPr="00C97144">
        <w:rPr>
          <w:i/>
          <w:color w:val="000000" w:themeColor="text1"/>
        </w:rPr>
        <w:br w:type="page"/>
      </w:r>
    </w:p>
    <w:p w14:paraId="07C9A0DF" w14:textId="77777777" w:rsidR="00D336FF" w:rsidRDefault="00D336FF" w:rsidP="00D336FF">
      <w:pPr>
        <w:pStyle w:val="Prrafodelista"/>
        <w:keepNext/>
        <w:keepLines/>
        <w:widowControl w:val="0"/>
        <w:spacing w:before="600"/>
        <w:ind w:left="0"/>
        <w:jc w:val="center"/>
        <w:rPr>
          <w:b/>
          <w:smallCaps/>
          <w:sz w:val="22"/>
        </w:rPr>
      </w:pPr>
    </w:p>
    <w:p w14:paraId="5D2D3D23" w14:textId="77777777" w:rsidR="00D336FF" w:rsidRPr="00414F9A" w:rsidRDefault="00D336FF" w:rsidP="00D336FF">
      <w:pPr>
        <w:pStyle w:val="Prrafodelista"/>
        <w:keepNext/>
        <w:keepLines/>
        <w:widowControl w:val="0"/>
        <w:spacing w:before="360"/>
        <w:ind w:left="0"/>
        <w:jc w:val="center"/>
        <w:rPr>
          <w:b/>
          <w:smallCaps/>
          <w:sz w:val="22"/>
          <w:szCs w:val="22"/>
        </w:rPr>
      </w:pPr>
      <w:r w:rsidRPr="00414F9A">
        <w:rPr>
          <w:b/>
          <w:smallCaps/>
          <w:sz w:val="22"/>
          <w:szCs w:val="22"/>
        </w:rPr>
        <w:t>INPC, Subyacente y No Subyacente</w:t>
      </w:r>
    </w:p>
    <w:p w14:paraId="2B8F5569" w14:textId="77777777" w:rsidR="00D336FF" w:rsidRPr="00414F9A" w:rsidRDefault="00D336FF" w:rsidP="00D336FF">
      <w:pPr>
        <w:keepNext/>
        <w:keepLines/>
        <w:widowControl w:val="0"/>
        <w:jc w:val="center"/>
        <w:rPr>
          <w:sz w:val="18"/>
          <w:szCs w:val="20"/>
        </w:rPr>
      </w:pPr>
      <w:r w:rsidRPr="00414F9A">
        <w:rPr>
          <w:sz w:val="18"/>
          <w:szCs w:val="20"/>
        </w:rPr>
        <w:t xml:space="preserve">Primera quincena de diciembre de los años que se indican </w:t>
      </w:r>
    </w:p>
    <w:p w14:paraId="34CC73FD" w14:textId="77777777" w:rsidR="00D336FF" w:rsidRPr="00A71198" w:rsidRDefault="00D336FF" w:rsidP="00D336FF">
      <w:pPr>
        <w:keepNext/>
        <w:keepLines/>
        <w:widowControl w:val="0"/>
        <w:jc w:val="center"/>
        <w:rPr>
          <w:b/>
        </w:rPr>
      </w:pPr>
      <w:r w:rsidRPr="00946905">
        <w:rPr>
          <w:noProof/>
          <w:lang w:val="es-MX" w:eastAsia="es-MX"/>
        </w:rPr>
        <w:drawing>
          <wp:inline distT="0" distB="0" distL="0" distR="0" wp14:anchorId="37DB5370" wp14:editId="741CD3F0">
            <wp:extent cx="5972810" cy="2521585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A7865" w14:textId="77777777" w:rsidR="00D336FF" w:rsidRPr="00A71198" w:rsidRDefault="00D336FF" w:rsidP="00D336FF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8"/>
          <w:szCs w:val="16"/>
          <w:vertAlign w:val="superscript"/>
        </w:rPr>
        <w:t>1/</w:t>
      </w:r>
      <w:r w:rsidRPr="00A71198">
        <w:rPr>
          <w:color w:val="006600"/>
          <w:sz w:val="16"/>
          <w:szCs w:val="16"/>
        </w:rPr>
        <w:tab/>
        <w:t>La incidencia se refiere a la contribución en puntos porcentuales de cada componente del INPC en la inflación general. Ésta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3539791C" w14:textId="77777777" w:rsidR="00D336FF" w:rsidRPr="00A71198" w:rsidRDefault="00D336FF" w:rsidP="00D336FF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8"/>
          <w:szCs w:val="16"/>
          <w:vertAlign w:val="superscript"/>
        </w:rPr>
        <w:t>2/</w:t>
      </w:r>
      <w:r w:rsidRPr="00A71198">
        <w:rPr>
          <w:color w:val="006600"/>
          <w:sz w:val="16"/>
          <w:szCs w:val="16"/>
        </w:rPr>
        <w:tab/>
        <w:t>Incluye alimentos procesados, bebidas y tabaco, no incluye productos agropecuarios.</w:t>
      </w:r>
    </w:p>
    <w:p w14:paraId="78E7E669" w14:textId="77777777" w:rsidR="00D336FF" w:rsidRPr="00A71198" w:rsidRDefault="00D336FF" w:rsidP="00D336FF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8"/>
          <w:szCs w:val="16"/>
          <w:vertAlign w:val="superscript"/>
        </w:rPr>
        <w:t>3/</w:t>
      </w:r>
      <w:r w:rsidRPr="00A71198">
        <w:rPr>
          <w:color w:val="006600"/>
          <w:sz w:val="16"/>
          <w:szCs w:val="16"/>
        </w:rPr>
        <w:tab/>
        <w:t>Incluye vivienda propia, renta de vivienda, servicio doméstico y otros servicios para el hogar.</w:t>
      </w:r>
    </w:p>
    <w:p w14:paraId="737F2FAB" w14:textId="77777777" w:rsidR="00D336FF" w:rsidRPr="00A71198" w:rsidRDefault="00D336FF" w:rsidP="00D336FF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8"/>
          <w:szCs w:val="16"/>
          <w:vertAlign w:val="superscript"/>
        </w:rPr>
        <w:t>4/</w:t>
      </w:r>
      <w:r w:rsidRPr="00A71198">
        <w:rPr>
          <w:color w:val="006600"/>
          <w:sz w:val="18"/>
          <w:szCs w:val="16"/>
          <w:vertAlign w:val="superscript"/>
        </w:rPr>
        <w:tab/>
      </w:r>
      <w:r w:rsidRPr="00A71198">
        <w:rPr>
          <w:color w:val="006600"/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7154B81E" w14:textId="77777777" w:rsidR="00D336FF" w:rsidRDefault="00D336FF" w:rsidP="00D336FF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</w:p>
    <w:p w14:paraId="5A28409F" w14:textId="77777777" w:rsidR="00D336FF" w:rsidRDefault="00D336FF" w:rsidP="00D336FF">
      <w:pPr>
        <w:pStyle w:val="p01"/>
        <w:keepLines w:val="0"/>
        <w:tabs>
          <w:tab w:val="left" w:pos="3261"/>
        </w:tabs>
        <w:spacing w:before="0"/>
        <w:ind w:left="1418"/>
        <w:jc w:val="right"/>
        <w:outlineLvl w:val="0"/>
        <w:rPr>
          <w:rFonts w:ascii="Arial" w:hAnsi="Arial" w:cs="Arial"/>
          <w:b/>
          <w:color w:val="000000"/>
          <w:szCs w:val="24"/>
        </w:rPr>
      </w:pPr>
      <w:r>
        <w:rPr>
          <w:noProof/>
          <w:szCs w:val="24"/>
          <w:lang w:val="es-MX" w:eastAsia="es-MX"/>
        </w:rPr>
        <w:drawing>
          <wp:inline distT="0" distB="0" distL="0" distR="0" wp14:anchorId="10FB9FBE" wp14:editId="202BF1C0">
            <wp:extent cx="3952771" cy="1427018"/>
            <wp:effectExtent l="0" t="0" r="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596" cy="1445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3F8FD" w14:textId="77777777" w:rsidR="00D336FF" w:rsidRDefault="00D336FF" w:rsidP="00D336FF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  <w:t xml:space="preserve">    </w:t>
      </w:r>
    </w:p>
    <w:p w14:paraId="2BB3EAF6" w14:textId="77777777" w:rsidR="00D336FF" w:rsidRDefault="00D336FF" w:rsidP="00D336FF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3049AC2C" w14:textId="77777777" w:rsidR="00D336FF" w:rsidRDefault="00D336FF" w:rsidP="00D336FF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Cs w:val="24"/>
        </w:rPr>
        <w:tab/>
      </w:r>
      <w:r w:rsidRPr="003B1ACA">
        <w:rPr>
          <w:rFonts w:ascii="Arial" w:hAnsi="Arial" w:cs="Arial"/>
          <w:b/>
          <w:color w:val="000000"/>
          <w:szCs w:val="24"/>
        </w:rPr>
        <w:t>Se anexa Nota Técnica</w:t>
      </w:r>
    </w:p>
    <w:p w14:paraId="155ECE6E" w14:textId="77777777" w:rsidR="00D336FF" w:rsidRDefault="00D336FF" w:rsidP="00D336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1221F82" w14:textId="77777777" w:rsidR="00D336FF" w:rsidRDefault="00D336FF" w:rsidP="00D336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51FBE5B" w14:textId="77777777" w:rsidR="00D336FF" w:rsidRDefault="00D336FF" w:rsidP="00D336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DD673E9" w14:textId="77777777" w:rsidR="00D336FF" w:rsidRDefault="00D336FF" w:rsidP="00D336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7299D17" w14:textId="77777777" w:rsidR="00D336FF" w:rsidRPr="000E0C9F" w:rsidRDefault="00D336FF" w:rsidP="00D336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0E0C9F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0" w:history="1">
        <w:r w:rsidRPr="000E0C9F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0E0C9F">
        <w:rPr>
          <w:rFonts w:ascii="Arial" w:hAnsi="Arial" w:cs="Arial"/>
          <w:sz w:val="22"/>
          <w:szCs w:val="22"/>
        </w:rPr>
        <w:t xml:space="preserve"> </w:t>
      </w:r>
    </w:p>
    <w:p w14:paraId="727C6779" w14:textId="77777777" w:rsidR="00D336FF" w:rsidRPr="000E0C9F" w:rsidRDefault="00D336FF" w:rsidP="00D336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0E0C9F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299A9148" w14:textId="77777777" w:rsidR="00D336FF" w:rsidRPr="000E0C9F" w:rsidRDefault="00D336FF" w:rsidP="00D336FF">
      <w:pPr>
        <w:ind w:left="-426" w:right="-518"/>
        <w:contextualSpacing/>
        <w:jc w:val="center"/>
        <w:rPr>
          <w:sz w:val="22"/>
          <w:szCs w:val="22"/>
        </w:rPr>
      </w:pPr>
    </w:p>
    <w:p w14:paraId="29C4489B" w14:textId="77777777" w:rsidR="00D336FF" w:rsidRPr="000E0C9F" w:rsidRDefault="00D336FF" w:rsidP="00D336FF">
      <w:pPr>
        <w:ind w:left="-426" w:right="-518"/>
        <w:contextualSpacing/>
        <w:jc w:val="center"/>
        <w:rPr>
          <w:sz w:val="22"/>
          <w:szCs w:val="22"/>
        </w:rPr>
      </w:pPr>
      <w:r w:rsidRPr="000E0C9F">
        <w:rPr>
          <w:sz w:val="22"/>
          <w:szCs w:val="22"/>
        </w:rPr>
        <w:t xml:space="preserve">Dirección de Atención a Medios / Dirección General Adjunta de Comunicación </w:t>
      </w:r>
    </w:p>
    <w:p w14:paraId="6A2226CA" w14:textId="77777777" w:rsidR="00D336FF" w:rsidRPr="000E0C9F" w:rsidRDefault="00D336FF" w:rsidP="00D336FF">
      <w:pPr>
        <w:ind w:left="-426" w:right="-518"/>
        <w:contextualSpacing/>
        <w:jc w:val="center"/>
        <w:rPr>
          <w:sz w:val="22"/>
          <w:szCs w:val="22"/>
        </w:rPr>
      </w:pPr>
    </w:p>
    <w:p w14:paraId="3B371456" w14:textId="77777777" w:rsidR="00D336FF" w:rsidRPr="008F0992" w:rsidRDefault="00D336FF" w:rsidP="00D336FF">
      <w:pPr>
        <w:ind w:left="-425" w:right="-516"/>
        <w:contextualSpacing/>
        <w:jc w:val="center"/>
        <w:rPr>
          <w:noProof/>
          <w:sz w:val="20"/>
          <w:lang w:eastAsia="es-MX"/>
        </w:rPr>
      </w:pPr>
      <w:r w:rsidRPr="008F0992">
        <w:rPr>
          <w:noProof/>
          <w:sz w:val="20"/>
          <w:lang w:val="es-MX" w:eastAsia="es-MX"/>
        </w:rPr>
        <w:drawing>
          <wp:inline distT="0" distB="0" distL="0" distR="0" wp14:anchorId="50E60F4B" wp14:editId="24E58118">
            <wp:extent cx="318472" cy="322419"/>
            <wp:effectExtent l="0" t="0" r="5715" b="1905"/>
            <wp:docPr id="5" name="Imagen 5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13964F30" wp14:editId="08689345">
            <wp:extent cx="327704" cy="325467"/>
            <wp:effectExtent l="0" t="0" r="0" b="0"/>
            <wp:docPr id="8" name="Imagen 8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2EE685B3" wp14:editId="5CA3F061">
            <wp:extent cx="321276" cy="324093"/>
            <wp:effectExtent l="0" t="0" r="3175" b="0"/>
            <wp:docPr id="10" name="Imagen 10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1849969A" wp14:editId="5A2351DC">
            <wp:extent cx="321276" cy="326574"/>
            <wp:effectExtent l="0" t="0" r="3175" b="0"/>
            <wp:docPr id="4" name="Imagen 4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s-MX" w:eastAsia="es-MX"/>
        </w:rPr>
        <w:drawing>
          <wp:inline distT="0" distB="0" distL="0" distR="0" wp14:anchorId="18083C71" wp14:editId="0F037486">
            <wp:extent cx="2323070" cy="319707"/>
            <wp:effectExtent l="0" t="0" r="1270" b="4445"/>
            <wp:docPr id="11" name="Imagen 1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3F1DF" w14:textId="77777777" w:rsidR="00D336FF" w:rsidRDefault="00D336FF" w:rsidP="00D336FF">
      <w:pPr>
        <w:pStyle w:val="p01"/>
        <w:keepLines w:val="0"/>
        <w:tabs>
          <w:tab w:val="left" w:pos="3261"/>
        </w:tabs>
        <w:spacing w:before="0"/>
        <w:ind w:left="1418"/>
        <w:outlineLvl w:val="0"/>
      </w:pPr>
      <w:r>
        <w:rPr>
          <w:rFonts w:ascii="Arial" w:hAnsi="Arial" w:cs="Arial"/>
          <w:b/>
          <w:color w:val="000000"/>
          <w:szCs w:val="24"/>
        </w:rPr>
        <w:tab/>
      </w:r>
    </w:p>
    <w:p w14:paraId="5732CE8E" w14:textId="77777777" w:rsidR="00D336FF" w:rsidRPr="00157C43" w:rsidRDefault="00D336FF" w:rsidP="00D336FF">
      <w:pPr>
        <w:pStyle w:val="bullet"/>
        <w:tabs>
          <w:tab w:val="left" w:pos="8789"/>
        </w:tabs>
        <w:spacing w:before="0"/>
        <w:ind w:left="0" w:right="51" w:firstLine="0"/>
        <w:jc w:val="center"/>
        <w:rPr>
          <w:rFonts w:cs="Arial"/>
          <w:szCs w:val="24"/>
        </w:rPr>
        <w:sectPr w:rsidR="00D336FF" w:rsidRPr="00157C43" w:rsidSect="0019434B">
          <w:headerReference w:type="default" r:id="rId21"/>
          <w:footerReference w:type="default" r:id="rId22"/>
          <w:pgSz w:w="12240" w:h="15840" w:code="1"/>
          <w:pgMar w:top="1" w:right="1183" w:bottom="0" w:left="1588" w:header="510" w:footer="510" w:gutter="0"/>
          <w:cols w:space="720"/>
          <w:docGrid w:linePitch="272"/>
        </w:sectPr>
      </w:pPr>
      <w:r>
        <w:rPr>
          <w:rFonts w:cs="Arial"/>
          <w:szCs w:val="24"/>
        </w:rPr>
        <w:tab/>
      </w:r>
    </w:p>
    <w:p w14:paraId="532AEF8F" w14:textId="77777777" w:rsidR="00D336FF" w:rsidRPr="000C089B" w:rsidRDefault="00D336FF" w:rsidP="00D336FF">
      <w:pPr>
        <w:pStyle w:val="Profesin"/>
        <w:tabs>
          <w:tab w:val="left" w:pos="8647"/>
        </w:tabs>
        <w:contextualSpacing/>
      </w:pPr>
      <w:r w:rsidRPr="000C089B">
        <w:lastRenderedPageBreak/>
        <w:t>NOTA TÉCNICA</w:t>
      </w:r>
    </w:p>
    <w:p w14:paraId="38075F8E" w14:textId="77777777" w:rsidR="00EF1ED9" w:rsidRPr="003571E2" w:rsidRDefault="00EF1ED9" w:rsidP="007C009E">
      <w:pPr>
        <w:pStyle w:val="Profesin"/>
        <w:spacing w:before="240"/>
      </w:pPr>
      <w:r w:rsidRPr="003571E2">
        <w:t xml:space="preserve">ÍNDICE NACIONAL DE PRECIOS AL </w:t>
      </w:r>
      <w:r>
        <w:t>CO</w:t>
      </w:r>
      <w:r w:rsidRPr="003571E2">
        <w:t>NSUMIDOR</w:t>
      </w:r>
    </w:p>
    <w:p w14:paraId="0DE99DD6" w14:textId="3BF711E2" w:rsidR="00B940B6" w:rsidRDefault="00B940B6" w:rsidP="00B940B6">
      <w:pPr>
        <w:pStyle w:val="Profesin"/>
        <w:rPr>
          <w:caps w:val="0"/>
          <w:sz w:val="26"/>
          <w:szCs w:val="26"/>
        </w:rPr>
      </w:pPr>
      <w:r w:rsidRPr="00943849">
        <w:rPr>
          <w:caps w:val="0"/>
          <w:sz w:val="26"/>
          <w:szCs w:val="26"/>
        </w:rPr>
        <w:t xml:space="preserve">Primera quincena de </w:t>
      </w:r>
      <w:r w:rsidR="00D811DC">
        <w:rPr>
          <w:caps w:val="0"/>
          <w:sz w:val="26"/>
          <w:szCs w:val="26"/>
        </w:rPr>
        <w:t>dic</w:t>
      </w:r>
      <w:r w:rsidR="00867B12">
        <w:rPr>
          <w:caps w:val="0"/>
          <w:sz w:val="26"/>
          <w:szCs w:val="26"/>
        </w:rPr>
        <w:t>iem</w:t>
      </w:r>
      <w:r w:rsidR="00A94AD0">
        <w:rPr>
          <w:caps w:val="0"/>
          <w:sz w:val="26"/>
          <w:szCs w:val="26"/>
        </w:rPr>
        <w:t xml:space="preserve">bre </w:t>
      </w:r>
      <w:r>
        <w:rPr>
          <w:caps w:val="0"/>
          <w:sz w:val="26"/>
          <w:szCs w:val="26"/>
        </w:rPr>
        <w:t>de 2019</w:t>
      </w:r>
    </w:p>
    <w:p w14:paraId="63EAD404" w14:textId="51C57BC3" w:rsidR="00D811DC" w:rsidRDefault="00D811DC">
      <w:pPr>
        <w:jc w:val="left"/>
        <w:rPr>
          <w:b/>
          <w:i/>
          <w:color w:val="000000" w:themeColor="text1"/>
        </w:rPr>
      </w:pPr>
    </w:p>
    <w:p w14:paraId="75F4DC1C" w14:textId="75DE157A" w:rsidR="005E1990" w:rsidRPr="00B940B6" w:rsidRDefault="005E1990" w:rsidP="00F56297">
      <w:pPr>
        <w:widowControl w:val="0"/>
        <w:spacing w:before="240"/>
        <w:jc w:val="left"/>
        <w:rPr>
          <w:b/>
          <w:i/>
          <w:color w:val="000000" w:themeColor="text1"/>
        </w:rPr>
      </w:pPr>
      <w:r w:rsidRPr="00866182">
        <w:rPr>
          <w:b/>
          <w:i/>
          <w:color w:val="000000" w:themeColor="text1"/>
        </w:rPr>
        <w:t xml:space="preserve">Índice Nacional de Precios al </w:t>
      </w:r>
      <w:r w:rsidRPr="00B940B6">
        <w:rPr>
          <w:b/>
          <w:i/>
          <w:color w:val="000000" w:themeColor="text1"/>
        </w:rPr>
        <w:t xml:space="preserve">Consumidor </w:t>
      </w:r>
    </w:p>
    <w:p w14:paraId="0D6FDC0B" w14:textId="27F43C62" w:rsidR="00D811DC" w:rsidRDefault="00D811DC" w:rsidP="00D811DC">
      <w:pPr>
        <w:autoSpaceDE w:val="0"/>
        <w:autoSpaceDN w:val="0"/>
        <w:adjustRightInd w:val="0"/>
        <w:spacing w:before="240"/>
      </w:pPr>
      <w:r w:rsidRPr="00A71198">
        <w:t xml:space="preserve">En la primera quincena de </w:t>
      </w:r>
      <w:r>
        <w:t>diciembre</w:t>
      </w:r>
      <w:r w:rsidRPr="00A71198">
        <w:t xml:space="preserve"> de 2019 el Índice Nacional de Precios al Consumidor</w:t>
      </w:r>
      <w:r w:rsidR="00C763D3">
        <w:t xml:space="preserve"> (INPC)</w:t>
      </w:r>
      <w:r w:rsidRPr="00A71198">
        <w:t xml:space="preserve"> </w:t>
      </w:r>
      <w:r>
        <w:t xml:space="preserve">registró un incremento de </w:t>
      </w:r>
      <w:r w:rsidRPr="00A71198">
        <w:t>0.</w:t>
      </w:r>
      <w:r>
        <w:t>35</w:t>
      </w:r>
      <w:r w:rsidRPr="00A71198">
        <w:t xml:space="preserve"> por ciento</w:t>
      </w:r>
      <w:r w:rsidR="00C763D3">
        <w:t xml:space="preserve"> respecto a la quincena precedente.</w:t>
      </w:r>
      <w:r>
        <w:t xml:space="preserve"> </w:t>
      </w:r>
      <w:r w:rsidR="00C763D3">
        <w:t xml:space="preserve">Para igual quincena </w:t>
      </w:r>
      <w:r>
        <w:t>de</w:t>
      </w:r>
      <w:r w:rsidR="00C763D3">
        <w:t xml:space="preserve"> un </w:t>
      </w:r>
      <w:r>
        <w:t>año ante</w:t>
      </w:r>
      <w:r w:rsidR="00C763D3">
        <w:t>s</w:t>
      </w:r>
      <w:r>
        <w:t xml:space="preserve"> </w:t>
      </w:r>
      <w:r w:rsidR="00C763D3">
        <w:t xml:space="preserve">reportó un alza </w:t>
      </w:r>
      <w:r>
        <w:t>de 0.56 por ciento</w:t>
      </w:r>
      <w:r w:rsidRPr="00A71198">
        <w:t>.</w:t>
      </w:r>
    </w:p>
    <w:p w14:paraId="583DD3F2" w14:textId="77777777" w:rsidR="00D811DC" w:rsidRPr="00414F9A" w:rsidRDefault="00D811DC" w:rsidP="00C763D3">
      <w:pPr>
        <w:pStyle w:val="n01"/>
        <w:spacing w:before="36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 w:rsidRPr="00414F9A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Índice Nacional de Precios al Consumidor</w:t>
      </w:r>
    </w:p>
    <w:p w14:paraId="56F8C9C6" w14:textId="77777777" w:rsidR="00D811DC" w:rsidRPr="00C763D3" w:rsidRDefault="00D811DC" w:rsidP="00C763D3">
      <w:pPr>
        <w:keepNext/>
        <w:keepLines/>
        <w:autoSpaceDE w:val="0"/>
        <w:autoSpaceDN w:val="0"/>
        <w:adjustRightInd w:val="0"/>
        <w:spacing w:before="3" w:line="225" w:lineRule="exact"/>
        <w:jc w:val="center"/>
        <w:rPr>
          <w:sz w:val="18"/>
          <w:szCs w:val="20"/>
        </w:rPr>
      </w:pPr>
      <w:r w:rsidRPr="00C763D3">
        <w:rPr>
          <w:sz w:val="18"/>
          <w:szCs w:val="20"/>
        </w:rPr>
        <w:t>Variación porcentual quincenal durante la primera quincena de diciembre de los años que se indican</w:t>
      </w:r>
    </w:p>
    <w:p w14:paraId="2161891F" w14:textId="1781D71A" w:rsidR="00D811DC" w:rsidRPr="00A71198" w:rsidRDefault="00946905" w:rsidP="00D811DC">
      <w:pPr>
        <w:pStyle w:val="n01"/>
        <w:keepLines w:val="0"/>
        <w:spacing w:before="0"/>
        <w:ind w:left="0" w:firstLine="0"/>
        <w:jc w:val="center"/>
        <w:rPr>
          <w:rFonts w:ascii="Arial" w:hAnsi="Arial"/>
          <w:color w:val="auto"/>
        </w:rPr>
      </w:pPr>
      <w:r>
        <w:rPr>
          <w:noProof/>
          <w:lang w:val="es-MX" w:eastAsia="es-MX"/>
        </w:rPr>
        <w:drawing>
          <wp:inline distT="0" distB="0" distL="0" distR="0" wp14:anchorId="6B25BB90" wp14:editId="5F4BC119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8440239" w14:textId="3C81E4F1" w:rsidR="00D811DC" w:rsidRPr="00A71198" w:rsidRDefault="00D811DC" w:rsidP="00C763D3">
      <w:pPr>
        <w:autoSpaceDE w:val="0"/>
        <w:autoSpaceDN w:val="0"/>
        <w:adjustRightInd w:val="0"/>
        <w:spacing w:before="480"/>
      </w:pPr>
      <w:r w:rsidRPr="00A71198">
        <w:t xml:space="preserve">En el siguiente cuadro se muestran las variaciones e incidencias de los subíndices que integran al INPC en la primera quincena de </w:t>
      </w:r>
      <w:r>
        <w:t>diciembre</w:t>
      </w:r>
      <w:r w:rsidRPr="00A71198">
        <w:t xml:space="preserve"> de </w:t>
      </w:r>
      <w:r w:rsidR="00414F9A">
        <w:t>este año</w:t>
      </w:r>
      <w:r w:rsidRPr="00A71198">
        <w:t xml:space="preserve">, en donde se observa que los componentes subyacente y no subyacente tuvieron una contribución </w:t>
      </w:r>
      <w:r w:rsidR="00292220">
        <w:t xml:space="preserve">quincenal </w:t>
      </w:r>
      <w:r w:rsidRPr="00A71198">
        <w:t>al índice general de 0.</w:t>
      </w:r>
      <w:r>
        <w:t>274</w:t>
      </w:r>
      <w:r w:rsidRPr="00A71198">
        <w:t xml:space="preserve"> y </w:t>
      </w:r>
      <w:r w:rsidR="00414F9A">
        <w:t xml:space="preserve">de </w:t>
      </w:r>
      <w:r w:rsidRPr="00A71198">
        <w:t>0.</w:t>
      </w:r>
      <w:r>
        <w:t>077</w:t>
      </w:r>
      <w:r w:rsidRPr="00A71198">
        <w:t xml:space="preserve"> puntos porcentuales</w:t>
      </w:r>
      <w:r w:rsidR="00414F9A">
        <w:t>,</w:t>
      </w:r>
      <w:r w:rsidRPr="00A71198">
        <w:t xml:space="preserve"> respectivamente. </w:t>
      </w:r>
    </w:p>
    <w:p w14:paraId="74160ECF" w14:textId="77777777" w:rsidR="00D811DC" w:rsidRPr="00414F9A" w:rsidRDefault="00D811DC" w:rsidP="00D811DC">
      <w:pPr>
        <w:pStyle w:val="Prrafodelista"/>
        <w:keepNext/>
        <w:keepLines/>
        <w:widowControl w:val="0"/>
        <w:spacing w:before="360"/>
        <w:ind w:left="0"/>
        <w:jc w:val="center"/>
        <w:rPr>
          <w:b/>
          <w:smallCaps/>
          <w:sz w:val="22"/>
          <w:szCs w:val="22"/>
        </w:rPr>
      </w:pPr>
      <w:r w:rsidRPr="00414F9A">
        <w:rPr>
          <w:b/>
          <w:smallCaps/>
          <w:sz w:val="22"/>
          <w:szCs w:val="22"/>
        </w:rPr>
        <w:lastRenderedPageBreak/>
        <w:t>INPC, Subyacente y No Subyacente</w:t>
      </w:r>
    </w:p>
    <w:p w14:paraId="0D430DB1" w14:textId="77777777" w:rsidR="00D811DC" w:rsidRPr="00414F9A" w:rsidRDefault="00D811DC" w:rsidP="00D811DC">
      <w:pPr>
        <w:keepNext/>
        <w:keepLines/>
        <w:widowControl w:val="0"/>
        <w:jc w:val="center"/>
        <w:rPr>
          <w:sz w:val="18"/>
          <w:szCs w:val="20"/>
        </w:rPr>
      </w:pPr>
      <w:r w:rsidRPr="00414F9A">
        <w:rPr>
          <w:sz w:val="18"/>
          <w:szCs w:val="20"/>
        </w:rPr>
        <w:t xml:space="preserve">Primera quincena de diciembre de los años que se indican </w:t>
      </w:r>
    </w:p>
    <w:p w14:paraId="607107C1" w14:textId="70770E42" w:rsidR="00D811DC" w:rsidRPr="00A71198" w:rsidRDefault="00946905" w:rsidP="00D811DC">
      <w:pPr>
        <w:keepNext/>
        <w:keepLines/>
        <w:widowControl w:val="0"/>
        <w:jc w:val="center"/>
        <w:rPr>
          <w:b/>
        </w:rPr>
      </w:pPr>
      <w:r w:rsidRPr="00946905">
        <w:rPr>
          <w:noProof/>
          <w:lang w:val="es-MX" w:eastAsia="es-MX"/>
        </w:rPr>
        <w:drawing>
          <wp:inline distT="0" distB="0" distL="0" distR="0" wp14:anchorId="295C92D6" wp14:editId="7730F881">
            <wp:extent cx="5972810" cy="2521585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369C0" w14:textId="77777777" w:rsidR="00D811DC" w:rsidRPr="00A71198" w:rsidRDefault="00D811DC" w:rsidP="00D811DC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8"/>
          <w:szCs w:val="16"/>
          <w:vertAlign w:val="superscript"/>
        </w:rPr>
        <w:t>1/</w:t>
      </w:r>
      <w:r w:rsidRPr="00A71198">
        <w:rPr>
          <w:color w:val="006600"/>
          <w:sz w:val="16"/>
          <w:szCs w:val="16"/>
        </w:rPr>
        <w:tab/>
        <w:t>La incidencia se refiere a la contribución en puntos porcentuales de cada componente del INPC en la inflación general. Ésta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143CE782" w14:textId="77777777" w:rsidR="00D811DC" w:rsidRPr="00A71198" w:rsidRDefault="00D811DC" w:rsidP="00D811DC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8"/>
          <w:szCs w:val="16"/>
          <w:vertAlign w:val="superscript"/>
        </w:rPr>
        <w:t>2/</w:t>
      </w:r>
      <w:r w:rsidRPr="00A71198">
        <w:rPr>
          <w:color w:val="006600"/>
          <w:sz w:val="16"/>
          <w:szCs w:val="16"/>
        </w:rPr>
        <w:tab/>
        <w:t>Incluye alimentos procesados, bebidas y tabaco, no incluye productos agropecuarios.</w:t>
      </w:r>
    </w:p>
    <w:p w14:paraId="7F8A2A55" w14:textId="77777777" w:rsidR="00D811DC" w:rsidRPr="00A71198" w:rsidRDefault="00D811DC" w:rsidP="00D811DC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8"/>
          <w:szCs w:val="16"/>
          <w:vertAlign w:val="superscript"/>
        </w:rPr>
        <w:t>3/</w:t>
      </w:r>
      <w:r w:rsidRPr="00A71198">
        <w:rPr>
          <w:color w:val="006600"/>
          <w:sz w:val="16"/>
          <w:szCs w:val="16"/>
        </w:rPr>
        <w:tab/>
        <w:t>Incluye vivienda propia, renta de vivienda, servicio doméstico y otros servicios para el hogar.</w:t>
      </w:r>
    </w:p>
    <w:p w14:paraId="72870359" w14:textId="77777777" w:rsidR="00D811DC" w:rsidRPr="00A71198" w:rsidRDefault="00D811DC" w:rsidP="00D811DC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8"/>
          <w:szCs w:val="16"/>
          <w:vertAlign w:val="superscript"/>
        </w:rPr>
        <w:t>4/</w:t>
      </w:r>
      <w:r w:rsidRPr="00A71198">
        <w:rPr>
          <w:color w:val="006600"/>
          <w:sz w:val="18"/>
          <w:szCs w:val="16"/>
          <w:vertAlign w:val="superscript"/>
        </w:rPr>
        <w:tab/>
      </w:r>
      <w:r w:rsidRPr="00A71198">
        <w:rPr>
          <w:color w:val="006600"/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3D081772" w14:textId="77777777" w:rsidR="00D811DC" w:rsidRPr="00A71198" w:rsidRDefault="00D811DC" w:rsidP="00414F9A">
      <w:pPr>
        <w:pStyle w:val="n01"/>
        <w:keepLines w:val="0"/>
        <w:spacing w:before="720"/>
        <w:ind w:left="0" w:firstLine="0"/>
        <w:rPr>
          <w:rFonts w:ascii="Arial" w:hAnsi="Arial"/>
          <w:b/>
          <w:i/>
          <w:color w:val="auto"/>
        </w:rPr>
      </w:pPr>
      <w:r w:rsidRPr="00A71198">
        <w:rPr>
          <w:rFonts w:ascii="Arial" w:hAnsi="Arial"/>
          <w:b/>
          <w:i/>
          <w:color w:val="auto"/>
        </w:rPr>
        <w:t>Índices Subyacente y No Subyacente</w:t>
      </w:r>
    </w:p>
    <w:p w14:paraId="7A78460E" w14:textId="26AB60E5" w:rsidR="00D811DC" w:rsidRPr="00A71198" w:rsidRDefault="00D811DC" w:rsidP="00D811DC">
      <w:pPr>
        <w:autoSpaceDE w:val="0"/>
        <w:autoSpaceDN w:val="0"/>
        <w:adjustRightInd w:val="0"/>
        <w:spacing w:before="240"/>
      </w:pPr>
      <w:r w:rsidRPr="00A71198">
        <w:t xml:space="preserve">La variación en la primera quincena de </w:t>
      </w:r>
      <w:r>
        <w:t>diciembre</w:t>
      </w:r>
      <w:r w:rsidRPr="00A71198">
        <w:t xml:space="preserve"> de los índices subyacente y no subyacente fue de 0.</w:t>
      </w:r>
      <w:r>
        <w:t>36</w:t>
      </w:r>
      <w:r w:rsidRPr="00A71198">
        <w:t xml:space="preserve"> y </w:t>
      </w:r>
      <w:r w:rsidR="00414F9A">
        <w:t xml:space="preserve">de </w:t>
      </w:r>
      <w:r>
        <w:t>0.31</w:t>
      </w:r>
      <w:r w:rsidRPr="00A71198">
        <w:t xml:space="preserve"> por ciento</w:t>
      </w:r>
      <w:r w:rsidR="00414F9A">
        <w:t>, en ese orden.</w:t>
      </w:r>
      <w:r w:rsidRPr="00A71198">
        <w:t xml:space="preserve"> </w:t>
      </w:r>
      <w:r w:rsidR="00414F9A">
        <w:t xml:space="preserve">Los </w:t>
      </w:r>
      <w:r w:rsidRPr="00A71198">
        <w:t>datos compara</w:t>
      </w:r>
      <w:r w:rsidR="00414F9A">
        <w:t>bles para</w:t>
      </w:r>
      <w:r w:rsidRPr="00A71198">
        <w:t xml:space="preserve"> </w:t>
      </w:r>
      <w:r w:rsidR="00414F9A">
        <w:t xml:space="preserve">igual quincena </w:t>
      </w:r>
      <w:r w:rsidRPr="00A71198">
        <w:t>de 2018</w:t>
      </w:r>
      <w:r w:rsidR="00414F9A">
        <w:t xml:space="preserve"> muestran crecimientos de </w:t>
      </w:r>
      <w:r w:rsidRPr="00A71198">
        <w:t>0.</w:t>
      </w:r>
      <w:r>
        <w:t>42</w:t>
      </w:r>
      <w:r w:rsidRPr="00A71198">
        <w:t xml:space="preserve"> y </w:t>
      </w:r>
      <w:r w:rsidR="00414F9A">
        <w:t xml:space="preserve">de </w:t>
      </w:r>
      <w:r>
        <w:t>0.97 por ciento.</w:t>
      </w:r>
    </w:p>
    <w:p w14:paraId="5930AD2E" w14:textId="625689C8" w:rsidR="00D811DC" w:rsidRPr="00414F9A" w:rsidRDefault="00D811DC" w:rsidP="00414F9A">
      <w:pPr>
        <w:keepNext/>
        <w:keepLines/>
        <w:spacing w:before="240"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414F9A">
        <w:rPr>
          <w:b/>
          <w:bCs/>
          <w:smallCaps/>
          <w:color w:val="000000" w:themeColor="text1"/>
          <w:sz w:val="22"/>
          <w:szCs w:val="22"/>
        </w:rPr>
        <w:lastRenderedPageBreak/>
        <w:t>Índices de precios Subyacente y No Subyacente</w:t>
      </w:r>
    </w:p>
    <w:p w14:paraId="3B70AB55" w14:textId="77777777" w:rsidR="00D811DC" w:rsidRPr="00414F9A" w:rsidRDefault="00D811DC" w:rsidP="00414F9A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414F9A">
        <w:rPr>
          <w:sz w:val="18"/>
          <w:szCs w:val="20"/>
        </w:rPr>
        <w:t>Variación porcentual quincenal durante la primera quincena de diciembre de los años que se indican</w:t>
      </w:r>
    </w:p>
    <w:p w14:paraId="6C69ABC0" w14:textId="5D00512F" w:rsidR="00D811DC" w:rsidRPr="00A71198" w:rsidRDefault="00946905" w:rsidP="00D811DC">
      <w:pPr>
        <w:pStyle w:val="n01"/>
        <w:keepLines w:val="0"/>
        <w:spacing w:before="0"/>
        <w:ind w:left="0" w:firstLine="0"/>
        <w:jc w:val="center"/>
        <w:rPr>
          <w:rFonts w:ascii="Arial" w:hAnsi="Arial"/>
          <w:color w:val="auto"/>
        </w:rPr>
      </w:pPr>
      <w:r>
        <w:rPr>
          <w:noProof/>
          <w:lang w:val="es-MX" w:eastAsia="es-MX"/>
        </w:rPr>
        <w:drawing>
          <wp:inline distT="0" distB="0" distL="0" distR="0" wp14:anchorId="70375F79" wp14:editId="17569846">
            <wp:extent cx="5040000" cy="2880000"/>
            <wp:effectExtent l="0" t="0" r="27305" b="1587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2325DD6" w14:textId="36113F0D" w:rsidR="00D811DC" w:rsidRPr="00414F9A" w:rsidRDefault="00292220" w:rsidP="00414F9A">
      <w:pPr>
        <w:pStyle w:val="n01"/>
        <w:keepNext/>
        <w:spacing w:before="60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</w:rPr>
        <w:t xml:space="preserve">INPC, </w:t>
      </w:r>
      <w:r w:rsidR="00D811DC" w:rsidRPr="00414F9A">
        <w:rPr>
          <w:rFonts w:ascii="Arial" w:hAnsi="Arial"/>
          <w:b/>
          <w:bCs/>
          <w:smallCaps/>
          <w:color w:val="000000" w:themeColor="text1"/>
          <w:sz w:val="22"/>
        </w:rPr>
        <w:t>Subyacente y No Subyacente</w:t>
      </w:r>
    </w:p>
    <w:p w14:paraId="1146CBAA" w14:textId="7A296F44" w:rsidR="00D811DC" w:rsidRPr="00292220" w:rsidRDefault="00D811DC" w:rsidP="00D811DC">
      <w:pPr>
        <w:widowControl w:val="0"/>
        <w:autoSpaceDE w:val="0"/>
        <w:autoSpaceDN w:val="0"/>
        <w:adjustRightInd w:val="0"/>
        <w:jc w:val="center"/>
        <w:rPr>
          <w:noProof/>
          <w:sz w:val="22"/>
          <w:lang w:val="es-MX" w:eastAsia="es-MX"/>
        </w:rPr>
      </w:pPr>
      <w:r w:rsidRPr="00292220">
        <w:rPr>
          <w:sz w:val="18"/>
          <w:szCs w:val="20"/>
        </w:rPr>
        <w:t>Variación porcentual anual por quincena de los años que se indican</w:t>
      </w:r>
    </w:p>
    <w:p w14:paraId="229E6EA1" w14:textId="1EDC63C8" w:rsidR="00BF7850" w:rsidRPr="00A71198" w:rsidRDefault="00BF7850" w:rsidP="00D811DC">
      <w:pPr>
        <w:widowControl w:val="0"/>
        <w:autoSpaceDE w:val="0"/>
        <w:autoSpaceDN w:val="0"/>
        <w:adjustRightInd w:val="0"/>
        <w:jc w:val="center"/>
      </w:pPr>
      <w:r>
        <w:rPr>
          <w:noProof/>
          <w:lang w:val="es-MX" w:eastAsia="es-MX"/>
        </w:rPr>
        <w:drawing>
          <wp:inline distT="0" distB="0" distL="0" distR="0" wp14:anchorId="07ECA9F4" wp14:editId="1D40B542">
            <wp:extent cx="5040000" cy="2880000"/>
            <wp:effectExtent l="0" t="0" r="27305" b="1587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3FFE20B" w14:textId="39A599A7" w:rsidR="00D811DC" w:rsidRPr="00A71198" w:rsidRDefault="00D811DC" w:rsidP="00BF7850">
      <w:pPr>
        <w:keepNext/>
        <w:keepLines/>
        <w:autoSpaceDE w:val="0"/>
        <w:autoSpaceDN w:val="0"/>
        <w:adjustRightInd w:val="0"/>
        <w:spacing w:before="240"/>
      </w:pPr>
      <w:r w:rsidRPr="00A71198">
        <w:lastRenderedPageBreak/>
        <w:t xml:space="preserve">A continuación se presentan los principales genéricos cuyas variaciones de precios al alza y a la baja destacaron por su incidencia sobre la inflación general. </w:t>
      </w:r>
    </w:p>
    <w:p w14:paraId="6A8F9D0E" w14:textId="77777777" w:rsidR="00D811DC" w:rsidRPr="00414F9A" w:rsidRDefault="00D811DC" w:rsidP="00BF785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spacing w:before="360"/>
        <w:jc w:val="center"/>
        <w:rPr>
          <w:b/>
          <w:bCs/>
          <w:smallCaps/>
          <w:color w:val="000000" w:themeColor="text1"/>
          <w:spacing w:val="1"/>
          <w:sz w:val="22"/>
        </w:rPr>
      </w:pPr>
      <w:r w:rsidRPr="00414F9A">
        <w:rPr>
          <w:b/>
          <w:bCs/>
          <w:smallCaps/>
          <w:color w:val="000000" w:themeColor="text1"/>
          <w:spacing w:val="1"/>
          <w:sz w:val="22"/>
        </w:rPr>
        <w:t>Índice Nacional de Precios al Consumidor</w:t>
      </w:r>
    </w:p>
    <w:p w14:paraId="228912DB" w14:textId="77777777" w:rsidR="00D811DC" w:rsidRPr="00414F9A" w:rsidRDefault="00D811DC" w:rsidP="00414F9A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</w:rPr>
      </w:pPr>
      <w:r w:rsidRPr="00414F9A">
        <w:rPr>
          <w:b/>
          <w:bCs/>
          <w:smallCaps/>
          <w:color w:val="000000" w:themeColor="text1"/>
          <w:spacing w:val="1"/>
          <w:sz w:val="22"/>
        </w:rPr>
        <w:t>Genéricos con mayor y menor incidencia</w:t>
      </w:r>
    </w:p>
    <w:p w14:paraId="7FA51D31" w14:textId="77777777" w:rsidR="00D811DC" w:rsidRPr="00414F9A" w:rsidRDefault="00D811DC" w:rsidP="00414F9A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color w:val="000000"/>
          <w:position w:val="-1"/>
          <w:sz w:val="18"/>
        </w:rPr>
      </w:pPr>
      <w:r w:rsidRPr="00414F9A">
        <w:rPr>
          <w:color w:val="000000"/>
          <w:position w:val="-1"/>
          <w:sz w:val="18"/>
        </w:rPr>
        <w:t>Primera quincena de diciembre de 2019</w:t>
      </w:r>
    </w:p>
    <w:p w14:paraId="7C5DE57F" w14:textId="3F5FC992" w:rsidR="00D811DC" w:rsidRPr="00A71198" w:rsidRDefault="00BF7850" w:rsidP="00D811DC">
      <w:pPr>
        <w:autoSpaceDE w:val="0"/>
        <w:autoSpaceDN w:val="0"/>
        <w:adjustRightInd w:val="0"/>
        <w:jc w:val="center"/>
      </w:pPr>
      <w:r w:rsidRPr="00BF7850">
        <w:rPr>
          <w:noProof/>
          <w:lang w:val="es-MX" w:eastAsia="es-MX"/>
        </w:rPr>
        <w:drawing>
          <wp:inline distT="0" distB="0" distL="0" distR="0" wp14:anchorId="2DD8127F" wp14:editId="305822FA">
            <wp:extent cx="5972810" cy="1788160"/>
            <wp:effectExtent l="0" t="0" r="889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D05E2" w14:textId="77777777" w:rsidR="00414F9A" w:rsidRPr="005A7550" w:rsidRDefault="00414F9A" w:rsidP="00414F9A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6600"/>
          <w:sz w:val="16"/>
          <w:szCs w:val="16"/>
        </w:rPr>
      </w:pPr>
      <w:r w:rsidRPr="005A7550">
        <w:rPr>
          <w:color w:val="006600"/>
          <w:sz w:val="18"/>
          <w:szCs w:val="16"/>
          <w:vertAlign w:val="superscript"/>
        </w:rPr>
        <w:t>1/</w:t>
      </w:r>
      <w:r>
        <w:rPr>
          <w:color w:val="006600"/>
          <w:sz w:val="18"/>
          <w:szCs w:val="16"/>
          <w:vertAlign w:val="superscript"/>
        </w:rPr>
        <w:tab/>
      </w:r>
      <w:r w:rsidRPr="005A7550">
        <w:rPr>
          <w:color w:val="006600"/>
          <w:sz w:val="16"/>
          <w:szCs w:val="16"/>
        </w:rPr>
        <w:t>La incidencia se refiere a la contribución en puntos porcentuales de cada componente del INPC a la inflación general. Ésta se calcula utilizando los ponderadores de cada subíndice, así como los precios relativos y sus respectivas variaciones.</w:t>
      </w:r>
    </w:p>
    <w:p w14:paraId="7137F4E2" w14:textId="40893CCC" w:rsidR="00D811DC" w:rsidRPr="00A71198" w:rsidRDefault="00414F9A" w:rsidP="00414F9A">
      <w:pPr>
        <w:widowControl w:val="0"/>
        <w:autoSpaceDE w:val="0"/>
        <w:autoSpaceDN w:val="0"/>
        <w:adjustRightInd w:val="0"/>
        <w:spacing w:before="360"/>
      </w:pPr>
      <w:r>
        <w:t>P</w:t>
      </w:r>
      <w:r w:rsidR="00D811DC" w:rsidRPr="00A71198">
        <w:t>rincipales ciudades que registraron la mayor y menor variaci</w:t>
      </w:r>
      <w:r>
        <w:t>ón del INPC</w:t>
      </w:r>
      <w:r w:rsidR="00D811DC" w:rsidRPr="00A71198">
        <w:t xml:space="preserve"> en la quincena que se reporta.</w:t>
      </w:r>
    </w:p>
    <w:p w14:paraId="2F316727" w14:textId="77777777" w:rsidR="00D811DC" w:rsidRPr="00414F9A" w:rsidRDefault="00D811DC" w:rsidP="00E47134">
      <w:pPr>
        <w:widowControl w:val="0"/>
        <w:autoSpaceDE w:val="0"/>
        <w:autoSpaceDN w:val="0"/>
        <w:adjustRightInd w:val="0"/>
        <w:spacing w:before="240"/>
        <w:jc w:val="center"/>
        <w:rPr>
          <w:b/>
          <w:bCs/>
          <w:smallCaps/>
          <w:color w:val="000000" w:themeColor="text1"/>
          <w:spacing w:val="1"/>
          <w:sz w:val="22"/>
        </w:rPr>
      </w:pPr>
      <w:r w:rsidRPr="00414F9A">
        <w:rPr>
          <w:b/>
          <w:bCs/>
          <w:smallCaps/>
          <w:color w:val="000000" w:themeColor="text1"/>
          <w:spacing w:val="1"/>
          <w:sz w:val="22"/>
        </w:rPr>
        <w:t>Índice Nacional de Precios al Consumidor</w:t>
      </w:r>
    </w:p>
    <w:p w14:paraId="154F0927" w14:textId="518F5419" w:rsidR="00D811DC" w:rsidRPr="00414F9A" w:rsidRDefault="00414F9A" w:rsidP="00E47134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</w:rPr>
      </w:pPr>
      <w:r>
        <w:rPr>
          <w:b/>
          <w:bCs/>
          <w:smallCaps/>
          <w:color w:val="000000" w:themeColor="text1"/>
          <w:spacing w:val="1"/>
          <w:sz w:val="22"/>
        </w:rPr>
        <w:t>C</w:t>
      </w:r>
      <w:r w:rsidR="00D811DC" w:rsidRPr="00414F9A">
        <w:rPr>
          <w:b/>
          <w:bCs/>
          <w:smallCaps/>
          <w:color w:val="000000" w:themeColor="text1"/>
          <w:spacing w:val="1"/>
          <w:sz w:val="22"/>
        </w:rPr>
        <w:t>iudades con mayor y menor variación *</w:t>
      </w:r>
    </w:p>
    <w:p w14:paraId="141EE9AC" w14:textId="2AF412A0" w:rsidR="00D811DC" w:rsidRPr="00414F9A" w:rsidRDefault="00414F9A" w:rsidP="00E47134">
      <w:pPr>
        <w:widowControl w:val="0"/>
        <w:autoSpaceDE w:val="0"/>
        <w:autoSpaceDN w:val="0"/>
        <w:adjustRightInd w:val="0"/>
        <w:jc w:val="center"/>
        <w:rPr>
          <w:color w:val="000000"/>
          <w:position w:val="-1"/>
          <w:sz w:val="18"/>
          <w:szCs w:val="18"/>
        </w:rPr>
      </w:pPr>
      <w:r>
        <w:rPr>
          <w:color w:val="000000"/>
          <w:position w:val="-1"/>
          <w:sz w:val="18"/>
          <w:szCs w:val="18"/>
        </w:rPr>
        <w:t>P</w:t>
      </w:r>
      <w:r w:rsidR="00D811DC" w:rsidRPr="00414F9A">
        <w:rPr>
          <w:color w:val="000000"/>
          <w:position w:val="-1"/>
          <w:sz w:val="18"/>
          <w:szCs w:val="18"/>
        </w:rPr>
        <w:t>rimera quincena de diciembre de 2019</w:t>
      </w:r>
    </w:p>
    <w:p w14:paraId="00F7306C" w14:textId="09D51582" w:rsidR="00D811DC" w:rsidRPr="00A71198" w:rsidRDefault="00BF7850" w:rsidP="00D811DC">
      <w:pPr>
        <w:autoSpaceDE w:val="0"/>
        <w:autoSpaceDN w:val="0"/>
        <w:adjustRightInd w:val="0"/>
        <w:rPr>
          <w:color w:val="006600"/>
        </w:rPr>
      </w:pPr>
      <w:r w:rsidRPr="00BF7850">
        <w:rPr>
          <w:noProof/>
          <w:lang w:val="es-MX" w:eastAsia="es-MX"/>
        </w:rPr>
        <w:drawing>
          <wp:inline distT="0" distB="0" distL="0" distR="0" wp14:anchorId="0D75C04B" wp14:editId="1787E5BB">
            <wp:extent cx="5972810" cy="1907540"/>
            <wp:effectExtent l="0" t="0" r="889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07AA" w14:textId="77777777" w:rsidR="00414F9A" w:rsidRPr="0093518A" w:rsidRDefault="00414F9A" w:rsidP="00414F9A">
      <w:pPr>
        <w:autoSpaceDE w:val="0"/>
        <w:autoSpaceDN w:val="0"/>
        <w:adjustRightInd w:val="0"/>
        <w:ind w:left="283" w:right="113" w:hanging="170"/>
        <w:rPr>
          <w:rStyle w:val="Hipervnculo"/>
          <w:color w:val="006600"/>
          <w:sz w:val="16"/>
          <w:szCs w:val="28"/>
          <w:u w:val="none"/>
        </w:rPr>
      </w:pPr>
      <w:r w:rsidRPr="0093518A">
        <w:rPr>
          <w:rStyle w:val="Hipervnculo"/>
          <w:color w:val="006600"/>
          <w:sz w:val="18"/>
          <w:szCs w:val="28"/>
          <w:u w:val="none"/>
        </w:rPr>
        <w:t>*</w:t>
      </w:r>
      <w:r>
        <w:rPr>
          <w:rStyle w:val="Hipervnculo"/>
          <w:color w:val="006600"/>
          <w:sz w:val="18"/>
          <w:szCs w:val="28"/>
          <w:u w:val="none"/>
        </w:rPr>
        <w:tab/>
      </w:r>
      <w:r w:rsidRPr="00071F0D">
        <w:rPr>
          <w:rStyle w:val="Hipervnculo"/>
          <w:color w:val="006600"/>
          <w:sz w:val="16"/>
          <w:szCs w:val="28"/>
          <w:u w:val="none"/>
        </w:rPr>
        <w:t>Las desagregaciones del INPC sólo tienen valor informativo.</w:t>
      </w:r>
    </w:p>
    <w:p w14:paraId="4B66D0B2" w14:textId="2EAB3098" w:rsidR="00D811DC" w:rsidRPr="00A71198" w:rsidRDefault="00414F9A" w:rsidP="00414F9A">
      <w:pPr>
        <w:keepNext/>
        <w:keepLines/>
        <w:autoSpaceDE w:val="0"/>
        <w:autoSpaceDN w:val="0"/>
        <w:adjustRightInd w:val="0"/>
        <w:spacing w:before="360"/>
      </w:pPr>
      <w:r>
        <w:rPr>
          <w:color w:val="000000" w:themeColor="text1"/>
        </w:rPr>
        <w:lastRenderedPageBreak/>
        <w:t>En el siguiente cuadro</w:t>
      </w:r>
      <w:r w:rsidRPr="00A71198">
        <w:rPr>
          <w:color w:val="000000" w:themeColor="text1"/>
        </w:rPr>
        <w:t xml:space="preserve"> </w:t>
      </w:r>
      <w:r w:rsidRPr="00A71198">
        <w:t xml:space="preserve">se </w:t>
      </w:r>
      <w:r w:rsidRPr="00414F9A">
        <w:rPr>
          <w:color w:val="000000" w:themeColor="text1"/>
        </w:rPr>
        <w:t>muestran</w:t>
      </w:r>
      <w:r>
        <w:t xml:space="preserve"> </w:t>
      </w:r>
      <w:r w:rsidR="00D811DC" w:rsidRPr="00A71198">
        <w:t xml:space="preserve">las principales entidades </w:t>
      </w:r>
      <w:r w:rsidR="00292220">
        <w:t xml:space="preserve">con la </w:t>
      </w:r>
      <w:r w:rsidR="00D811DC" w:rsidRPr="00A71198">
        <w:t>mayor y menor variaci</w:t>
      </w:r>
      <w:r w:rsidR="00292220">
        <w:t>ón</w:t>
      </w:r>
      <w:r w:rsidR="00D811DC" w:rsidRPr="00A71198">
        <w:t xml:space="preserve"> en la quincena </w:t>
      </w:r>
      <w:r w:rsidR="00292220">
        <w:t>en cuestión</w:t>
      </w:r>
      <w:r w:rsidR="00D811DC" w:rsidRPr="00A71198">
        <w:t xml:space="preserve">. </w:t>
      </w:r>
    </w:p>
    <w:p w14:paraId="22331E54" w14:textId="787415C6" w:rsidR="00D811DC" w:rsidRPr="00414F9A" w:rsidRDefault="00D811DC" w:rsidP="00414F9A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spacing w:before="240"/>
        <w:jc w:val="center"/>
        <w:rPr>
          <w:b/>
          <w:bCs/>
          <w:smallCaps/>
          <w:color w:val="000000" w:themeColor="text1"/>
          <w:spacing w:val="1"/>
          <w:sz w:val="22"/>
        </w:rPr>
      </w:pPr>
      <w:r w:rsidRPr="00414F9A">
        <w:rPr>
          <w:b/>
          <w:bCs/>
          <w:smallCaps/>
          <w:color w:val="000000" w:themeColor="text1"/>
          <w:spacing w:val="1"/>
          <w:sz w:val="22"/>
        </w:rPr>
        <w:t>Índice Nacional de Precios al Consumidor</w:t>
      </w:r>
    </w:p>
    <w:p w14:paraId="1E1F4FEA" w14:textId="542A016B" w:rsidR="00D811DC" w:rsidRPr="00414F9A" w:rsidRDefault="00414F9A" w:rsidP="00414F9A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</w:rPr>
      </w:pPr>
      <w:r>
        <w:rPr>
          <w:b/>
          <w:bCs/>
          <w:smallCaps/>
          <w:color w:val="000000" w:themeColor="text1"/>
          <w:spacing w:val="1"/>
          <w:sz w:val="22"/>
        </w:rPr>
        <w:t>E</w:t>
      </w:r>
      <w:r w:rsidR="00D811DC" w:rsidRPr="00414F9A">
        <w:rPr>
          <w:b/>
          <w:bCs/>
          <w:smallCaps/>
          <w:color w:val="000000" w:themeColor="text1"/>
          <w:spacing w:val="1"/>
          <w:sz w:val="22"/>
        </w:rPr>
        <w:t>ntidades federativas con mayor y menor variación *</w:t>
      </w:r>
    </w:p>
    <w:p w14:paraId="32497DDB" w14:textId="7A85591F" w:rsidR="00D811DC" w:rsidRPr="00414F9A" w:rsidRDefault="00414F9A" w:rsidP="00414F9A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>P</w:t>
      </w:r>
      <w:r w:rsidR="00D811DC" w:rsidRPr="00414F9A">
        <w:rPr>
          <w:bCs/>
          <w:color w:val="000000" w:themeColor="text1"/>
          <w:spacing w:val="1"/>
          <w:sz w:val="18"/>
          <w:szCs w:val="20"/>
        </w:rPr>
        <w:t>rimera quincena de diciembre de 2019</w:t>
      </w:r>
    </w:p>
    <w:p w14:paraId="486DF6BA" w14:textId="7761D3F7" w:rsidR="00D811DC" w:rsidRPr="00A71198" w:rsidRDefault="00E47134" w:rsidP="00D811DC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</w:rPr>
      </w:pPr>
      <w:r w:rsidRPr="00E47134">
        <w:rPr>
          <w:noProof/>
          <w:lang w:val="es-MX" w:eastAsia="es-MX"/>
        </w:rPr>
        <w:drawing>
          <wp:inline distT="0" distB="0" distL="0" distR="0" wp14:anchorId="120C7F93" wp14:editId="77FACB07">
            <wp:extent cx="5972810" cy="1129665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BF3EB" w14:textId="77777777" w:rsidR="00414F9A" w:rsidRPr="0093518A" w:rsidRDefault="00414F9A" w:rsidP="00414F9A">
      <w:pPr>
        <w:autoSpaceDE w:val="0"/>
        <w:autoSpaceDN w:val="0"/>
        <w:adjustRightInd w:val="0"/>
        <w:ind w:left="283" w:right="113" w:hanging="170"/>
        <w:rPr>
          <w:rStyle w:val="Hipervnculo"/>
          <w:color w:val="006600"/>
          <w:sz w:val="16"/>
          <w:szCs w:val="28"/>
          <w:u w:val="none"/>
        </w:rPr>
      </w:pPr>
      <w:r w:rsidRPr="0093518A">
        <w:rPr>
          <w:rStyle w:val="Hipervnculo"/>
          <w:color w:val="006600"/>
          <w:sz w:val="18"/>
          <w:szCs w:val="28"/>
          <w:u w:val="none"/>
        </w:rPr>
        <w:t>*</w:t>
      </w:r>
      <w:r>
        <w:rPr>
          <w:rStyle w:val="Hipervnculo"/>
          <w:color w:val="006600"/>
          <w:sz w:val="18"/>
          <w:szCs w:val="28"/>
          <w:u w:val="none"/>
        </w:rPr>
        <w:tab/>
      </w:r>
      <w:r w:rsidRPr="00071F0D">
        <w:rPr>
          <w:rStyle w:val="Hipervnculo"/>
          <w:color w:val="006600"/>
          <w:sz w:val="16"/>
          <w:szCs w:val="28"/>
          <w:u w:val="none"/>
        </w:rPr>
        <w:t>Las desagregaciones del INPC sólo tienen valor informativo.</w:t>
      </w:r>
    </w:p>
    <w:p w14:paraId="0764407D" w14:textId="3067EAD4" w:rsidR="00D811DC" w:rsidRPr="00A71198" w:rsidRDefault="00414F9A" w:rsidP="00414F9A">
      <w:pPr>
        <w:widowControl w:val="0"/>
        <w:autoSpaceDE w:val="0"/>
        <w:autoSpaceDN w:val="0"/>
        <w:adjustRightInd w:val="0"/>
        <w:spacing w:before="360"/>
      </w:pPr>
      <w:r>
        <w:t xml:space="preserve">El comportamiento </w:t>
      </w:r>
      <w:r w:rsidR="00D811DC" w:rsidRPr="00A71198">
        <w:t xml:space="preserve">en la primera quincena de </w:t>
      </w:r>
      <w:r w:rsidR="00D811DC">
        <w:t>diciembre</w:t>
      </w:r>
      <w:r w:rsidR="00D811DC" w:rsidRPr="00A71198">
        <w:t xml:space="preserve"> de 2019 de los subíndices que integran al INPC según la </w:t>
      </w:r>
      <w:r>
        <w:t>C</w:t>
      </w:r>
      <w:r w:rsidR="00D811DC" w:rsidRPr="00A71198">
        <w:t xml:space="preserve">lasificación del </w:t>
      </w:r>
      <w:r>
        <w:t>C</w:t>
      </w:r>
      <w:r w:rsidR="00D811DC" w:rsidRPr="00A71198">
        <w:t xml:space="preserve">onsumo </w:t>
      </w:r>
      <w:r>
        <w:t>I</w:t>
      </w:r>
      <w:r w:rsidR="00D811DC" w:rsidRPr="00A71198">
        <w:t xml:space="preserve">ndividual por </w:t>
      </w:r>
      <w:r>
        <w:t>F</w:t>
      </w:r>
      <w:r w:rsidR="00D811DC" w:rsidRPr="00A71198">
        <w:t>inalidades (CCIF), utilizada internacionalmente para los índices de precios al consumidor</w:t>
      </w:r>
      <w:r w:rsidR="00D811DC" w:rsidRPr="00A71198">
        <w:rPr>
          <w:vertAlign w:val="superscript"/>
        </w:rPr>
        <w:footnoteReference w:id="2"/>
      </w:r>
      <w:r w:rsidR="00D811DC" w:rsidRPr="00A71198">
        <w:t>, se presenta a continuación:</w:t>
      </w:r>
    </w:p>
    <w:p w14:paraId="2C0AA90B" w14:textId="187455FA" w:rsidR="00D811DC" w:rsidRPr="00A92954" w:rsidRDefault="00D811DC" w:rsidP="00A92954">
      <w:pPr>
        <w:widowControl w:val="0"/>
        <w:tabs>
          <w:tab w:val="left" w:pos="1220"/>
        </w:tabs>
        <w:autoSpaceDE w:val="0"/>
        <w:autoSpaceDN w:val="0"/>
        <w:adjustRightInd w:val="0"/>
        <w:spacing w:before="240"/>
        <w:jc w:val="center"/>
        <w:rPr>
          <w:b/>
          <w:bCs/>
          <w:smallCaps/>
          <w:color w:val="000000"/>
          <w:spacing w:val="1"/>
          <w:sz w:val="22"/>
        </w:rPr>
      </w:pPr>
      <w:r w:rsidRPr="00A92954">
        <w:rPr>
          <w:b/>
          <w:bCs/>
          <w:smallCaps/>
          <w:color w:val="000000"/>
          <w:spacing w:val="1"/>
          <w:sz w:val="22"/>
        </w:rPr>
        <w:t>Índice Nacional de Precios al Consumidor</w:t>
      </w:r>
    </w:p>
    <w:p w14:paraId="3003D63A" w14:textId="77777777" w:rsidR="00D811DC" w:rsidRPr="00A92954" w:rsidRDefault="00D811DC" w:rsidP="00A92954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</w:rPr>
      </w:pPr>
      <w:r w:rsidRPr="00A92954">
        <w:rPr>
          <w:b/>
          <w:bCs/>
          <w:smallCaps/>
          <w:color w:val="000000"/>
          <w:spacing w:val="1"/>
          <w:sz w:val="22"/>
        </w:rPr>
        <w:t>Clasificación del consumo individual por finalidades</w:t>
      </w:r>
    </w:p>
    <w:p w14:paraId="1E3E30A3" w14:textId="77777777" w:rsidR="00D811DC" w:rsidRPr="00A92954" w:rsidRDefault="00D811DC" w:rsidP="00A92954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</w:rPr>
      </w:pPr>
      <w:r w:rsidRPr="00A92954">
        <w:rPr>
          <w:bCs/>
          <w:color w:val="000000"/>
          <w:spacing w:val="1"/>
          <w:sz w:val="18"/>
        </w:rPr>
        <w:t>Variación porcentual</w:t>
      </w:r>
    </w:p>
    <w:p w14:paraId="52DC8E38" w14:textId="4F5E6512" w:rsidR="00D811DC" w:rsidRPr="00A71198" w:rsidRDefault="00E47134" w:rsidP="00E47134">
      <w:pPr>
        <w:pStyle w:val="Prrafodelista"/>
        <w:autoSpaceDE w:val="0"/>
        <w:autoSpaceDN w:val="0"/>
        <w:adjustRightInd w:val="0"/>
        <w:ind w:left="709" w:hanging="709"/>
        <w:jc w:val="center"/>
      </w:pPr>
      <w:r w:rsidRPr="00E47134">
        <w:rPr>
          <w:noProof/>
          <w:lang w:val="es-MX" w:eastAsia="es-MX"/>
        </w:rPr>
        <w:drawing>
          <wp:inline distT="0" distB="0" distL="0" distR="0" wp14:anchorId="28CAD1DC" wp14:editId="6164A5AE">
            <wp:extent cx="5972810" cy="2548255"/>
            <wp:effectExtent l="0" t="0" r="8890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8CC3D" w14:textId="77777777" w:rsidR="00D811DC" w:rsidRPr="00A71198" w:rsidRDefault="00D811DC" w:rsidP="00D811DC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A71198">
        <w:rPr>
          <w:color w:val="006600"/>
          <w:sz w:val="16"/>
          <w:szCs w:val="16"/>
          <w:vertAlign w:val="superscript"/>
        </w:rPr>
        <w:t>1/</w:t>
      </w:r>
      <w:r w:rsidRPr="00A71198">
        <w:rPr>
          <w:color w:val="006600"/>
          <w:sz w:val="16"/>
          <w:szCs w:val="16"/>
          <w:vertAlign w:val="superscript"/>
        </w:rPr>
        <w:tab/>
      </w:r>
      <w:r w:rsidRPr="00A71198">
        <w:rPr>
          <w:color w:val="006600"/>
          <w:sz w:val="16"/>
          <w:szCs w:val="16"/>
        </w:rPr>
        <w:t>Incluye productos y servicios de cuidado personal, relojes, maletas, seguro de automóvil, servicios funerarios y profesionales, entre otros.</w:t>
      </w:r>
    </w:p>
    <w:p w14:paraId="6693005D" w14:textId="555656AE" w:rsidR="00D811DC" w:rsidRPr="00A71198" w:rsidRDefault="00A92954" w:rsidP="00A92954">
      <w:pPr>
        <w:keepNext/>
        <w:keepLines/>
        <w:widowControl w:val="0"/>
        <w:autoSpaceDE w:val="0"/>
        <w:autoSpaceDN w:val="0"/>
        <w:adjustRightInd w:val="0"/>
        <w:spacing w:before="240"/>
      </w:pPr>
      <w:r>
        <w:lastRenderedPageBreak/>
        <w:t>E</w:t>
      </w:r>
      <w:r w:rsidR="00D811DC">
        <w:t xml:space="preserve">l INPC registró un </w:t>
      </w:r>
      <w:r>
        <w:t xml:space="preserve">aumento </w:t>
      </w:r>
      <w:r w:rsidR="00D811DC">
        <w:t>de 0.35 por ciento como resultado de</w:t>
      </w:r>
      <w:r>
        <w:t xml:space="preserve"> </w:t>
      </w:r>
      <w:r w:rsidR="00D811DC">
        <w:t>l</w:t>
      </w:r>
      <w:r>
        <w:t>os</w:t>
      </w:r>
      <w:r w:rsidR="00D811DC">
        <w:t xml:space="preserve"> índice</w:t>
      </w:r>
      <w:r>
        <w:t>s</w:t>
      </w:r>
      <w:r w:rsidR="00D811DC">
        <w:t xml:space="preserve"> </w:t>
      </w:r>
      <w:r>
        <w:t>de 105.763 </w:t>
      </w:r>
      <w:r w:rsidR="00D811DC">
        <w:t xml:space="preserve">en la primera quincena de diciembre de 2019 y de 105.393 en la quincena </w:t>
      </w:r>
      <w:r>
        <w:t xml:space="preserve">inmediata </w:t>
      </w:r>
      <w:r w:rsidR="00D811DC">
        <w:t>anterior</w:t>
      </w:r>
      <w:r w:rsidR="00D811DC" w:rsidRPr="00A71198">
        <w:t>.</w:t>
      </w:r>
    </w:p>
    <w:p w14:paraId="421167FD" w14:textId="34199D48" w:rsidR="00176B20" w:rsidRDefault="00D811DC" w:rsidP="00D811DC">
      <w:pPr>
        <w:keepNext/>
        <w:keepLines/>
        <w:widowControl w:val="0"/>
        <w:autoSpaceDE w:val="0"/>
        <w:autoSpaceDN w:val="0"/>
        <w:adjustRightInd w:val="0"/>
        <w:spacing w:before="240"/>
      </w:pPr>
      <w:r w:rsidRPr="00A71198">
        <w:t>El índice de precios de la canasta básic</w:t>
      </w:r>
      <w:r w:rsidRPr="00055C5D">
        <w:t>a</w:t>
      </w:r>
      <w:r w:rsidRPr="00055C5D">
        <w:rPr>
          <w:rStyle w:val="Refdenotaalpie"/>
        </w:rPr>
        <w:footnoteReference w:id="3"/>
      </w:r>
      <w:r>
        <w:t xml:space="preserve"> </w:t>
      </w:r>
      <w:r w:rsidR="00A92954">
        <w:t xml:space="preserve">en la primera quincena de diciembre de este año </w:t>
      </w:r>
      <w:r>
        <w:t>tuvo</w:t>
      </w:r>
      <w:r w:rsidRPr="00A71198">
        <w:t xml:space="preserve"> una variación de </w:t>
      </w:r>
      <w:r>
        <w:t>0.22</w:t>
      </w:r>
      <w:r w:rsidRPr="00A71198">
        <w:t xml:space="preserve"> por ciento</w:t>
      </w:r>
      <w:r w:rsidR="00A92954">
        <w:t xml:space="preserve"> quincenal</w:t>
      </w:r>
      <w:r w:rsidRPr="00A71198">
        <w:t>, así como un</w:t>
      </w:r>
      <w:r w:rsidR="00A92954">
        <w:t xml:space="preserve"> </w:t>
      </w:r>
      <w:r w:rsidRPr="00A71198">
        <w:t>a</w:t>
      </w:r>
      <w:r w:rsidR="00A92954">
        <w:t>lza a</w:t>
      </w:r>
      <w:r w:rsidRPr="00A71198">
        <w:t xml:space="preserve"> tasa anual de </w:t>
      </w:r>
      <w:r>
        <w:t>2</w:t>
      </w:r>
      <w:r w:rsidRPr="00A71198">
        <w:t>.</w:t>
      </w:r>
      <w:r>
        <w:t>58</w:t>
      </w:r>
      <w:r w:rsidRPr="00A71198">
        <w:t xml:space="preserve"> por ciento. En </w:t>
      </w:r>
      <w:r w:rsidR="00A92954">
        <w:t xml:space="preserve">el </w:t>
      </w:r>
      <w:r w:rsidRPr="00A71198">
        <w:t>mism</w:t>
      </w:r>
      <w:r w:rsidR="00A92954">
        <w:t>o</w:t>
      </w:r>
      <w:r w:rsidRPr="00A71198">
        <w:t xml:space="preserve"> </w:t>
      </w:r>
      <w:r w:rsidR="00A92954">
        <w:t xml:space="preserve">periodo </w:t>
      </w:r>
      <w:r w:rsidRPr="00A71198">
        <w:t xml:space="preserve">de 2018 las </w:t>
      </w:r>
      <w:r w:rsidR="00A92954">
        <w:t xml:space="preserve">cifras </w:t>
      </w:r>
      <w:r w:rsidRPr="00A71198">
        <w:t xml:space="preserve">fueron de </w:t>
      </w:r>
      <w:r>
        <w:t>0.17</w:t>
      </w:r>
      <w:r w:rsidRPr="00A71198">
        <w:t xml:space="preserve"> </w:t>
      </w:r>
      <w:r w:rsidR="00A92954">
        <w:t xml:space="preserve">por ciento quincenal </w:t>
      </w:r>
      <w:r w:rsidRPr="00A71198">
        <w:t xml:space="preserve">y </w:t>
      </w:r>
      <w:r w:rsidR="00A92954">
        <w:t xml:space="preserve">de </w:t>
      </w:r>
      <w:r>
        <w:t>5.78</w:t>
      </w:r>
      <w:r w:rsidRPr="00A71198">
        <w:t xml:space="preserve"> por ciento </w:t>
      </w:r>
      <w:r w:rsidR="00A92954">
        <w:t>anual</w:t>
      </w:r>
      <w:r w:rsidRPr="00A71198">
        <w:t>.</w:t>
      </w:r>
    </w:p>
    <w:p w14:paraId="30CF3F89" w14:textId="77777777" w:rsidR="005E1990" w:rsidRPr="00B456A5" w:rsidRDefault="005E1990" w:rsidP="00176B20">
      <w:pPr>
        <w:widowControl w:val="0"/>
        <w:autoSpaceDE w:val="0"/>
        <w:autoSpaceDN w:val="0"/>
        <w:adjustRightInd w:val="0"/>
        <w:spacing w:before="240"/>
        <w:rPr>
          <w:b/>
          <w:i/>
        </w:rPr>
      </w:pPr>
      <w:r w:rsidRPr="0004061B">
        <w:rPr>
          <w:b/>
          <w:i/>
        </w:rPr>
        <w:t xml:space="preserve">Nota metodológica </w:t>
      </w:r>
    </w:p>
    <w:p w14:paraId="19C53075" w14:textId="77777777" w:rsidR="005E1990" w:rsidRPr="0004061B" w:rsidRDefault="005E1990" w:rsidP="001E5F4A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ES_tradnl"/>
        </w:rPr>
      </w:pPr>
      <w:r w:rsidRPr="00866182">
        <w:rPr>
          <w:color w:val="000000" w:themeColor="text1"/>
          <w:sz w:val="24"/>
          <w:szCs w:val="24"/>
          <w:lang w:val="es-ES_tradnl"/>
        </w:rPr>
        <w:t xml:space="preserve">El año base de referencia del cálculo del INPC es la segunda quincena de julio de 2018=100. Para </w:t>
      </w:r>
      <w:r w:rsidRPr="00866182">
        <w:rPr>
          <w:sz w:val="24"/>
          <w:szCs w:val="24"/>
          <w:lang w:val="es-ES_tradnl"/>
        </w:rPr>
        <w:t xml:space="preserve">dicho </w:t>
      </w:r>
      <w:r w:rsidRPr="0004061B">
        <w:rPr>
          <w:sz w:val="24"/>
          <w:szCs w:val="24"/>
          <w:lang w:val="es-ES_tradnl"/>
        </w:rPr>
        <w:t xml:space="preserve">cálculo se cotizaron los precios en 55 ciudades, las cuales están ubicadas en las 32 entidades federativas. </w:t>
      </w:r>
    </w:p>
    <w:p w14:paraId="3CE0A922" w14:textId="77777777" w:rsidR="005E1990" w:rsidRPr="0004061B" w:rsidRDefault="005E1990" w:rsidP="001E5F4A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ES_tradnl"/>
        </w:rPr>
      </w:pPr>
      <w:r w:rsidRPr="0004061B">
        <w:rPr>
          <w:sz w:val="24"/>
          <w:szCs w:val="24"/>
          <w:lang w:val="es-ES_tradnl"/>
        </w:rPr>
        <w:t>Se recaban en promedio 159 mil 500 precios quincenalmente agrupados en 299 conceptos de consumo genéricos, los cuales abarcan 91 ramas de actividad económica.</w:t>
      </w:r>
    </w:p>
    <w:p w14:paraId="11C552C6" w14:textId="77777777" w:rsidR="005E1990" w:rsidRPr="0004061B" w:rsidRDefault="005E1990" w:rsidP="001E5F4A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ES_tradnl"/>
        </w:rPr>
      </w:pPr>
      <w:r w:rsidRPr="0004061B">
        <w:rPr>
          <w:sz w:val="24"/>
          <w:szCs w:val="24"/>
          <w:lang w:val="es-ES_tradnl"/>
        </w:rPr>
        <w:t xml:space="preserve">La recolección de precios de los alimentos se realiza por lo menos dos veces durante la quincena que se reporta; para el resto de los productos se obtienen por lo menos una vez en dicho periodo. Estas cotizaciones </w:t>
      </w:r>
      <w:r w:rsidR="00C6105E">
        <w:rPr>
          <w:sz w:val="24"/>
          <w:szCs w:val="24"/>
          <w:lang w:val="es-ES_tradnl"/>
        </w:rPr>
        <w:t>ya</w:t>
      </w:r>
      <w:r>
        <w:rPr>
          <w:sz w:val="24"/>
          <w:szCs w:val="24"/>
          <w:lang w:val="es-ES_tradnl"/>
        </w:rPr>
        <w:t xml:space="preserve"> procesadas </w:t>
      </w:r>
      <w:r w:rsidRPr="0004061B">
        <w:rPr>
          <w:sz w:val="24"/>
          <w:szCs w:val="24"/>
          <w:lang w:val="es-ES_tradnl"/>
        </w:rPr>
        <w:t xml:space="preserve">dan lugar a índices de precios, </w:t>
      </w:r>
      <w:r>
        <w:rPr>
          <w:sz w:val="24"/>
          <w:szCs w:val="24"/>
          <w:lang w:val="es-ES_tradnl"/>
        </w:rPr>
        <w:t xml:space="preserve">con </w:t>
      </w:r>
      <w:r w:rsidR="0038369B">
        <w:rPr>
          <w:sz w:val="24"/>
          <w:szCs w:val="24"/>
          <w:lang w:val="es-ES_tradnl"/>
        </w:rPr>
        <w:t xml:space="preserve">los que </w:t>
      </w:r>
      <w:r>
        <w:rPr>
          <w:sz w:val="24"/>
          <w:szCs w:val="24"/>
          <w:lang w:val="es-ES_tradnl"/>
        </w:rPr>
        <w:t xml:space="preserve">se </w:t>
      </w:r>
      <w:r w:rsidRPr="0004061B">
        <w:rPr>
          <w:sz w:val="24"/>
          <w:szCs w:val="24"/>
          <w:lang w:val="es-ES_tradnl"/>
        </w:rPr>
        <w:t>generan los índices nacionales correspondientes a los distintos conceptos de consumo familiar.</w:t>
      </w:r>
    </w:p>
    <w:p w14:paraId="5A052C1A" w14:textId="77777777" w:rsidR="005E1990" w:rsidRPr="0004061B" w:rsidRDefault="005E1990" w:rsidP="001E5F4A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ES_tradnl"/>
        </w:rPr>
      </w:pPr>
      <w:r w:rsidRPr="0004061B">
        <w:rPr>
          <w:sz w:val="24"/>
          <w:szCs w:val="24"/>
          <w:lang w:val="es-ES_tradnl"/>
        </w:rPr>
        <w:t>La canasta de bienes y servicios considera el total del gasto en consumo de los hogares en el territorio nacional y la estructura de ponderación se obtuvo de los gastos reportados en la</w:t>
      </w:r>
      <w:r w:rsidR="00162C49">
        <w:rPr>
          <w:sz w:val="24"/>
          <w:szCs w:val="24"/>
          <w:lang w:val="es-ES_tradnl"/>
        </w:rPr>
        <w:t>s</w:t>
      </w:r>
      <w:r w:rsidRPr="0004061B">
        <w:rPr>
          <w:sz w:val="24"/>
          <w:szCs w:val="24"/>
          <w:lang w:val="es-ES_tradnl"/>
        </w:rPr>
        <w:t xml:space="preserve"> Encuesta</w:t>
      </w:r>
      <w:r w:rsidR="00162C49">
        <w:rPr>
          <w:sz w:val="24"/>
          <w:szCs w:val="24"/>
          <w:lang w:val="es-ES_tradnl"/>
        </w:rPr>
        <w:t>s</w:t>
      </w:r>
      <w:r w:rsidRPr="0004061B">
        <w:rPr>
          <w:sz w:val="24"/>
          <w:szCs w:val="24"/>
          <w:lang w:val="es-ES_tradnl"/>
        </w:rPr>
        <w:t xml:space="preserve"> Nacional</w:t>
      </w:r>
      <w:r w:rsidR="00162C49">
        <w:rPr>
          <w:sz w:val="24"/>
          <w:szCs w:val="24"/>
          <w:lang w:val="es-ES_tradnl"/>
        </w:rPr>
        <w:t>es</w:t>
      </w:r>
      <w:r w:rsidRPr="0004061B">
        <w:rPr>
          <w:sz w:val="24"/>
          <w:szCs w:val="24"/>
          <w:lang w:val="es-ES_tradnl"/>
        </w:rPr>
        <w:t xml:space="preserve"> de Gastos de los Hogares 2012 y 2013 en combinación con la Encuesta Nacional de Ingreso y Gasto de los Hogares 2014. </w:t>
      </w:r>
    </w:p>
    <w:p w14:paraId="1379C7CD" w14:textId="77777777" w:rsidR="005E1990" w:rsidRPr="0004061B" w:rsidRDefault="005E1990" w:rsidP="00071F0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i/>
          <w:sz w:val="24"/>
          <w:szCs w:val="24"/>
        </w:rPr>
      </w:pPr>
      <w:r w:rsidRPr="0004061B">
        <w:rPr>
          <w:b/>
          <w:i/>
          <w:sz w:val="24"/>
          <w:szCs w:val="24"/>
        </w:rPr>
        <w:t>Herramientas de análisis de los Índices Nacionales de Precios</w:t>
      </w:r>
    </w:p>
    <w:p w14:paraId="41F2BB98" w14:textId="77777777" w:rsidR="005E1990" w:rsidRPr="005E1058" w:rsidRDefault="005E1990" w:rsidP="005E1058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</w:rPr>
      </w:pPr>
      <w:r w:rsidRPr="0004061B">
        <w:rPr>
          <w:sz w:val="24"/>
          <w:szCs w:val="24"/>
        </w:rPr>
        <w:t xml:space="preserve">El INEGI lo invita a conocer y hacer uso de las herramientas para el análisis y entendimiento de los índices nacionales de precios, disponibles en el apartado </w:t>
      </w:r>
      <w:r w:rsidRPr="0004061B">
        <w:rPr>
          <w:i/>
          <w:sz w:val="24"/>
          <w:szCs w:val="24"/>
        </w:rPr>
        <w:t>Herramientas</w:t>
      </w:r>
      <w:r w:rsidRPr="0004061B">
        <w:rPr>
          <w:sz w:val="24"/>
          <w:szCs w:val="24"/>
        </w:rPr>
        <w:t xml:space="preserve"> dentro del apartado </w:t>
      </w:r>
      <w:r w:rsidRPr="0004061B">
        <w:rPr>
          <w:i/>
          <w:sz w:val="24"/>
          <w:szCs w:val="24"/>
        </w:rPr>
        <w:t>Índice Nacional de Precios al Consumidor</w:t>
      </w:r>
      <w:r w:rsidRPr="0004061B">
        <w:rPr>
          <w:sz w:val="24"/>
          <w:szCs w:val="24"/>
        </w:rPr>
        <w:t xml:space="preserve"> de su página </w:t>
      </w:r>
      <w:r w:rsidR="00724CFE">
        <w:rPr>
          <w:sz w:val="24"/>
          <w:szCs w:val="24"/>
        </w:rPr>
        <w:t>en Internet</w:t>
      </w:r>
      <w:r w:rsidR="00E36E11">
        <w:rPr>
          <w:sz w:val="24"/>
          <w:szCs w:val="24"/>
        </w:rPr>
        <w:t>:</w:t>
      </w:r>
      <w:r w:rsidRPr="0004061B">
        <w:rPr>
          <w:sz w:val="24"/>
          <w:szCs w:val="24"/>
        </w:rPr>
        <w:t xml:space="preserve"> </w:t>
      </w:r>
      <w:hyperlink r:id="rId30" w:history="1">
        <w:r w:rsidR="00F66F76" w:rsidRPr="00545CA9">
          <w:rPr>
            <w:rStyle w:val="Hipervnculo"/>
            <w:sz w:val="24"/>
          </w:rPr>
          <w:t>http://www.inegi.org.mx/programas/inpc/2018/</w:t>
        </w:r>
      </w:hyperlink>
    </w:p>
    <w:p w14:paraId="181391EF" w14:textId="77777777" w:rsidR="005E1990" w:rsidRPr="0004061B" w:rsidRDefault="005E1990" w:rsidP="00A60146">
      <w:pPr>
        <w:pStyle w:val="Text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64" w:hanging="357"/>
        <w:rPr>
          <w:sz w:val="24"/>
          <w:szCs w:val="24"/>
        </w:rPr>
      </w:pPr>
      <w:r w:rsidRPr="0004061B">
        <w:rPr>
          <w:b/>
          <w:sz w:val="24"/>
          <w:szCs w:val="24"/>
        </w:rPr>
        <w:t>Calculadora de inflación</w:t>
      </w:r>
      <w:r w:rsidRPr="0004061B">
        <w:rPr>
          <w:sz w:val="24"/>
          <w:szCs w:val="24"/>
        </w:rPr>
        <w:t>. Permite calcular la Tasa de Inflación de un Índice de Precios, en un intervalo de tiempo. Calcula dos tipos de tasas de inflación porcentuales: la implícita entre cualquiera de dos fechas, y la tasa de inflación porcentual promedio en un período.</w:t>
      </w:r>
    </w:p>
    <w:p w14:paraId="41D23DE3" w14:textId="77777777" w:rsidR="005E1990" w:rsidRPr="0004061B" w:rsidRDefault="005E1990" w:rsidP="00A60146">
      <w:pPr>
        <w:pStyle w:val="Text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64" w:hanging="357"/>
        <w:rPr>
          <w:sz w:val="24"/>
          <w:szCs w:val="24"/>
        </w:rPr>
      </w:pPr>
      <w:r w:rsidRPr="0004061B">
        <w:rPr>
          <w:b/>
          <w:sz w:val="24"/>
          <w:szCs w:val="24"/>
        </w:rPr>
        <w:lastRenderedPageBreak/>
        <w:t>Caleidoscopio</w:t>
      </w:r>
      <w:r w:rsidRPr="0004061B">
        <w:rPr>
          <w:sz w:val="24"/>
          <w:szCs w:val="24"/>
        </w:rPr>
        <w:t>. Muestra la forma en que los consumidores, en promedio, distribuyen su gasto en 8 grupos y 36 subgrupos, así como las variaciones en los precios de los mismos.</w:t>
      </w:r>
    </w:p>
    <w:p w14:paraId="399D12EB" w14:textId="77777777" w:rsidR="005E1990" w:rsidRPr="0004061B" w:rsidRDefault="005E1990" w:rsidP="00A60146">
      <w:pPr>
        <w:pStyle w:val="Text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64" w:hanging="357"/>
        <w:rPr>
          <w:sz w:val="24"/>
          <w:szCs w:val="24"/>
        </w:rPr>
      </w:pPr>
      <w:r w:rsidRPr="0004061B">
        <w:rPr>
          <w:b/>
          <w:sz w:val="24"/>
          <w:szCs w:val="24"/>
        </w:rPr>
        <w:t>Mapa de precios</w:t>
      </w:r>
      <w:r w:rsidRPr="0004061B">
        <w:rPr>
          <w:sz w:val="24"/>
          <w:szCs w:val="24"/>
        </w:rPr>
        <w:t>. Presenta en forma dinámica las variaciones anualizadas de los precios por ciudad</w:t>
      </w:r>
      <w:r>
        <w:rPr>
          <w:sz w:val="24"/>
          <w:szCs w:val="24"/>
        </w:rPr>
        <w:t>, entidad</w:t>
      </w:r>
      <w:r w:rsidR="00652D51">
        <w:rPr>
          <w:sz w:val="24"/>
          <w:szCs w:val="24"/>
        </w:rPr>
        <w:t xml:space="preserve"> y región, </w:t>
      </w:r>
      <w:r w:rsidR="00C573C7">
        <w:rPr>
          <w:sz w:val="24"/>
          <w:szCs w:val="24"/>
        </w:rPr>
        <w:t xml:space="preserve">y </w:t>
      </w:r>
      <w:r w:rsidRPr="0004061B">
        <w:rPr>
          <w:sz w:val="24"/>
          <w:szCs w:val="24"/>
        </w:rPr>
        <w:t>la participación o peso que tienen estos en el INPC.</w:t>
      </w:r>
    </w:p>
    <w:p w14:paraId="59EB98F6" w14:textId="77777777" w:rsidR="001B109A" w:rsidRDefault="005E1990" w:rsidP="00A60146">
      <w:pPr>
        <w:pStyle w:val="Text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64" w:hanging="357"/>
        <w:rPr>
          <w:sz w:val="24"/>
          <w:szCs w:val="24"/>
        </w:rPr>
      </w:pPr>
      <w:r w:rsidRPr="005E1990">
        <w:rPr>
          <w:b/>
          <w:sz w:val="24"/>
          <w:szCs w:val="24"/>
        </w:rPr>
        <w:t>Consulta de precios promedio</w:t>
      </w:r>
      <w:r w:rsidRPr="0004061B">
        <w:rPr>
          <w:sz w:val="24"/>
          <w:szCs w:val="24"/>
        </w:rPr>
        <w:t>. Permite consultar y exportar el precio promedio mensual de cada uno de los productos específicos utilizados para el cálculo del INPC.</w:t>
      </w:r>
    </w:p>
    <w:p w14:paraId="3E57FC2B" w14:textId="77777777" w:rsidR="005E1058" w:rsidRPr="009C5908" w:rsidRDefault="005E1058" w:rsidP="005E1058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rPr>
          <w:sz w:val="24"/>
          <w:szCs w:val="24"/>
        </w:rPr>
      </w:pPr>
      <w:r w:rsidRPr="009C5908">
        <w:rPr>
          <w:sz w:val="24"/>
          <w:szCs w:val="24"/>
        </w:rPr>
        <w:t xml:space="preserve">La información contenida en este documento es generada por el INEGI con base en los Índices de Precios y se da a conocer en la fecha establecida en el Calendario de </w:t>
      </w:r>
      <w:r w:rsidRPr="009C5908">
        <w:rPr>
          <w:snapToGrid w:val="0"/>
          <w:sz w:val="24"/>
          <w:szCs w:val="24"/>
        </w:rPr>
        <w:t>difusión de información estadística y geográfica y de Interés Nacional</w:t>
      </w:r>
      <w:r w:rsidRPr="009C5908">
        <w:rPr>
          <w:sz w:val="24"/>
          <w:szCs w:val="24"/>
        </w:rPr>
        <w:t>.</w:t>
      </w:r>
    </w:p>
    <w:p w14:paraId="5071DF8D" w14:textId="77777777" w:rsidR="005E1058" w:rsidRDefault="005E1058" w:rsidP="005E1058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rStyle w:val="Hipervnculo"/>
          <w:sz w:val="24"/>
          <w:szCs w:val="24"/>
          <w:lang w:val="es-ES_tradnl"/>
        </w:rPr>
      </w:pPr>
      <w:r w:rsidRPr="009C5908">
        <w:rPr>
          <w:sz w:val="24"/>
          <w:szCs w:val="24"/>
          <w:lang w:val="es-ES_tradnl"/>
        </w:rPr>
        <w:t xml:space="preserve">Las cifras aquí </w:t>
      </w:r>
      <w:r w:rsidR="00D240A6" w:rsidRPr="009C5908">
        <w:rPr>
          <w:sz w:val="24"/>
          <w:szCs w:val="24"/>
          <w:lang w:val="es-ES_tradnl"/>
        </w:rPr>
        <w:t>mencionadas</w:t>
      </w:r>
      <w:r w:rsidRPr="009C5908">
        <w:rPr>
          <w:sz w:val="24"/>
          <w:szCs w:val="24"/>
          <w:lang w:val="es-ES_tradnl"/>
        </w:rPr>
        <w:t xml:space="preserve"> </w:t>
      </w:r>
      <w:r w:rsidR="00C573C7">
        <w:rPr>
          <w:sz w:val="24"/>
          <w:szCs w:val="24"/>
          <w:lang w:val="es-ES_tradnl"/>
        </w:rPr>
        <w:t xml:space="preserve">y </w:t>
      </w:r>
      <w:r w:rsidRPr="009C5908">
        <w:rPr>
          <w:sz w:val="24"/>
          <w:szCs w:val="24"/>
          <w:lang w:val="es-ES_tradnl"/>
        </w:rPr>
        <w:t>el documento metodológico podrán ser consultados en la página del INEGI</w:t>
      </w:r>
      <w:r w:rsidRPr="009C5908">
        <w:rPr>
          <w:sz w:val="24"/>
          <w:szCs w:val="24"/>
        </w:rPr>
        <w:t xml:space="preserve"> en Internet: </w:t>
      </w:r>
      <w:hyperlink r:id="rId31" w:history="1">
        <w:r w:rsidRPr="009C5908">
          <w:rPr>
            <w:rStyle w:val="Hipervnculo"/>
            <w:sz w:val="24"/>
            <w:szCs w:val="24"/>
            <w:lang w:val="es-ES_tradnl"/>
          </w:rPr>
          <w:t>www.inegi.org.mx</w:t>
        </w:r>
      </w:hyperlink>
    </w:p>
    <w:p w14:paraId="3B9A0D93" w14:textId="77777777" w:rsidR="005328BC" w:rsidRPr="005E1058" w:rsidRDefault="00A94AD0" w:rsidP="005328BC">
      <w:pPr>
        <w:pStyle w:val="Texto"/>
        <w:autoSpaceDE w:val="0"/>
        <w:autoSpaceDN w:val="0"/>
        <w:adjustRightInd w:val="0"/>
        <w:spacing w:before="600" w:after="0" w:line="240" w:lineRule="auto"/>
        <w:ind w:firstLine="0"/>
        <w:jc w:val="right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MX" w:eastAsia="es-MX"/>
        </w:rPr>
        <w:drawing>
          <wp:inline distT="0" distB="0" distL="0" distR="0" wp14:anchorId="7D7E50FA" wp14:editId="240FFB1B">
            <wp:extent cx="4694555" cy="1694815"/>
            <wp:effectExtent l="0" t="0" r="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28BC" w:rsidRPr="005E1058" w:rsidSect="00B940B6">
      <w:headerReference w:type="default" r:id="rId32"/>
      <w:footerReference w:type="default" r:id="rId33"/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BD2C6" w14:textId="77777777" w:rsidR="008E1D75" w:rsidRDefault="008E1D75">
      <w:r>
        <w:separator/>
      </w:r>
    </w:p>
  </w:endnote>
  <w:endnote w:type="continuationSeparator" w:id="0">
    <w:p w14:paraId="3B43579E" w14:textId="77777777" w:rsidR="008E1D75" w:rsidRDefault="008E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BFF28" w14:textId="77777777" w:rsidR="00D336FF" w:rsidRPr="00BB245B" w:rsidRDefault="00D336FF" w:rsidP="00614EF2">
    <w:pPr>
      <w:pStyle w:val="Piedepgina"/>
      <w:contextualSpacing/>
      <w:jc w:val="center"/>
      <w:rPr>
        <w:color w:val="002060"/>
        <w:sz w:val="18"/>
        <w:szCs w:val="18"/>
      </w:rPr>
    </w:pPr>
    <w:r w:rsidRPr="00BB245B">
      <w:rPr>
        <w:b/>
        <w:color w:val="002060"/>
        <w:sz w:val="18"/>
        <w:szCs w:val="18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717A" w14:textId="77777777" w:rsidR="003B5757" w:rsidRDefault="003B5757" w:rsidP="003076C4">
    <w:pPr>
      <w:pStyle w:val="Piedepgina"/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705FA" w14:textId="77777777" w:rsidR="008E1D75" w:rsidRDefault="008E1D75">
      <w:r>
        <w:separator/>
      </w:r>
    </w:p>
  </w:footnote>
  <w:footnote w:type="continuationSeparator" w:id="0">
    <w:p w14:paraId="456FC7E3" w14:textId="77777777" w:rsidR="008E1D75" w:rsidRDefault="008E1D75">
      <w:r>
        <w:continuationSeparator/>
      </w:r>
    </w:p>
  </w:footnote>
  <w:footnote w:id="1">
    <w:p w14:paraId="1299F85F" w14:textId="77777777" w:rsidR="00D336FF" w:rsidRDefault="00D336FF" w:rsidP="00D336FF">
      <w:pPr>
        <w:pStyle w:val="Textonotapie"/>
        <w:ind w:left="170" w:hanging="170"/>
        <w:rPr>
          <w:sz w:val="18"/>
        </w:rPr>
      </w:pPr>
      <w:r w:rsidRPr="00866182">
        <w:rPr>
          <w:rStyle w:val="Refdenotaalpie"/>
          <w:color w:val="000000" w:themeColor="text1"/>
          <w:sz w:val="18"/>
          <w:szCs w:val="16"/>
        </w:rPr>
        <w:footnoteRef/>
      </w:r>
      <w:r w:rsidRPr="00866182">
        <w:rPr>
          <w:color w:val="000000" w:themeColor="text1"/>
          <w:sz w:val="16"/>
          <w:szCs w:val="16"/>
        </w:rPr>
        <w:tab/>
        <w:t xml:space="preserve">La inflación subyacente se obtiene eliminando del cálculo del INPC los bienes </w:t>
      </w:r>
      <w:r w:rsidRPr="00CA39BA">
        <w:rPr>
          <w:sz w:val="16"/>
          <w:szCs w:val="16"/>
        </w:rPr>
        <w:t>y servicios cuyos precios son más volátiles, o bien que su proceso de determinación no responde a condiciones de mercado. Así, los grupos que se excluyen en el indicador subyacente son los siguientes: agropecuarios</w:t>
      </w:r>
      <w:r>
        <w:rPr>
          <w:sz w:val="16"/>
          <w:szCs w:val="16"/>
        </w:rPr>
        <w:t xml:space="preserve"> y</w:t>
      </w:r>
      <w:r w:rsidRPr="00CA39BA">
        <w:rPr>
          <w:sz w:val="16"/>
          <w:szCs w:val="16"/>
        </w:rPr>
        <w:t xml:space="preserve">, 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</w:t>
      </w:r>
      <w:r w:rsidRPr="00292220">
        <w:rPr>
          <w:sz w:val="16"/>
          <w:szCs w:val="16"/>
        </w:rPr>
        <w:t>.</w:t>
      </w:r>
      <w:r w:rsidRPr="00292220">
        <w:rPr>
          <w:rStyle w:val="Refdenotaalpie"/>
          <w:sz w:val="18"/>
        </w:rPr>
        <w:t xml:space="preserve"> </w:t>
      </w:r>
    </w:p>
    <w:p w14:paraId="37DA1720" w14:textId="77777777" w:rsidR="00D336FF" w:rsidRPr="00292220" w:rsidRDefault="00D336FF" w:rsidP="00D336FF">
      <w:pPr>
        <w:pStyle w:val="Textonotapie"/>
        <w:ind w:left="170" w:hanging="170"/>
        <w:rPr>
          <w:rStyle w:val="Refdenotaalpie"/>
          <w:sz w:val="18"/>
        </w:rPr>
      </w:pPr>
    </w:p>
  </w:footnote>
  <w:footnote w:id="2">
    <w:p w14:paraId="113B015B" w14:textId="77777777" w:rsidR="00D811DC" w:rsidRPr="00CA39BA" w:rsidRDefault="00D811DC" w:rsidP="00D811DC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>
        <w:rPr>
          <w:sz w:val="16"/>
          <w:szCs w:val="16"/>
        </w:rPr>
        <w:t>Manual del Índice de Precios al Consumidor: Teoría y Práctica, pagina 26. OIT, FMI, OCDE, Eurostat, UNECE, Banco Mundial.</w:t>
      </w:r>
    </w:p>
  </w:footnote>
  <w:footnote w:id="3">
    <w:p w14:paraId="34E5E528" w14:textId="1DCDEF4F" w:rsidR="00D811DC" w:rsidRPr="00866182" w:rsidRDefault="00D811DC" w:rsidP="00A92954">
      <w:pPr>
        <w:pStyle w:val="Textonotapie"/>
        <w:ind w:left="170" w:hanging="170"/>
        <w:jc w:val="left"/>
        <w:rPr>
          <w:color w:val="000000" w:themeColor="text1"/>
          <w:sz w:val="16"/>
          <w:szCs w:val="16"/>
          <w:lang w:val="es-MX"/>
        </w:rPr>
      </w:pPr>
      <w:r w:rsidRPr="00166951">
        <w:rPr>
          <w:rStyle w:val="Refdenotaalpie"/>
          <w:sz w:val="18"/>
          <w:szCs w:val="16"/>
        </w:rPr>
        <w:footnoteRef/>
      </w:r>
      <w:r w:rsidR="00A92954">
        <w:rPr>
          <w:color w:val="000000" w:themeColor="text1"/>
          <w:sz w:val="16"/>
          <w:szCs w:val="16"/>
        </w:rPr>
        <w:tab/>
      </w:r>
      <w:r>
        <w:rPr>
          <w:sz w:val="16"/>
          <w:szCs w:val="16"/>
        </w:rPr>
        <w:t>Los componentes de la canasta básica se detallan en el documento metodológico</w:t>
      </w:r>
      <w:r w:rsidR="00A92954">
        <w:rPr>
          <w:sz w:val="16"/>
          <w:szCs w:val="16"/>
        </w:rPr>
        <w:t xml:space="preserve"> </w:t>
      </w:r>
      <w:r w:rsidR="00A92954" w:rsidRPr="006242E1">
        <w:rPr>
          <w:sz w:val="16"/>
          <w:szCs w:val="16"/>
        </w:rPr>
        <w:t>ubicado en la siguiente liga</w:t>
      </w:r>
      <w:r w:rsidR="00A92954">
        <w:rPr>
          <w:sz w:val="16"/>
          <w:szCs w:val="16"/>
        </w:rPr>
        <w:t>:</w:t>
      </w:r>
      <w:r w:rsidRPr="0059303F">
        <w:rPr>
          <w:sz w:val="16"/>
          <w:szCs w:val="16"/>
        </w:rPr>
        <w:t xml:space="preserve"> </w:t>
      </w:r>
      <w:hyperlink r:id="rId1" w:history="1">
        <w:r w:rsidR="00A92954" w:rsidRPr="00B131F4">
          <w:rPr>
            <w:rStyle w:val="Hipervnculo"/>
            <w:sz w:val="16"/>
            <w:szCs w:val="16"/>
          </w:rPr>
          <w:t>http://www.inegi.org.mx/programas/inpc/2018/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EC75" w14:textId="66ECB97C" w:rsidR="00D336FF" w:rsidRPr="00265B8C" w:rsidRDefault="00D336FF" w:rsidP="00590444">
    <w:pPr>
      <w:pStyle w:val="Encabezado"/>
      <w:framePr w:w="5269" w:hSpace="141" w:wrap="auto" w:vAnchor="text" w:hAnchor="page" w:x="5824" w:y="39"/>
      <w:ind w:left="567" w:hanging="11"/>
      <w:jc w:val="right"/>
      <w:rPr>
        <w:b/>
        <w:color w:val="002060"/>
      </w:rPr>
    </w:pPr>
    <w:r w:rsidRPr="00265B8C">
      <w:rPr>
        <w:b/>
        <w:color w:val="002060"/>
      </w:rPr>
      <w:t xml:space="preserve">COMUNICADO DE PRENSA NÚM. </w:t>
    </w:r>
    <w:r w:rsidR="00590444">
      <w:rPr>
        <w:b/>
        <w:color w:val="002060"/>
      </w:rPr>
      <w:t>708</w:t>
    </w:r>
    <w:r w:rsidRPr="00265B8C">
      <w:rPr>
        <w:b/>
        <w:color w:val="002060"/>
      </w:rPr>
      <w:t>/1</w:t>
    </w:r>
    <w:r>
      <w:rPr>
        <w:b/>
        <w:color w:val="002060"/>
      </w:rPr>
      <w:t>9</w:t>
    </w:r>
  </w:p>
  <w:p w14:paraId="123D296F" w14:textId="77777777" w:rsidR="00D336FF" w:rsidRPr="00265B8C" w:rsidRDefault="00D336FF" w:rsidP="00590444">
    <w:pPr>
      <w:pStyle w:val="Encabezado"/>
      <w:framePr w:w="5269" w:hSpace="141" w:wrap="auto" w:vAnchor="text" w:hAnchor="page" w:x="5824" w:y="39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23 </w:t>
    </w:r>
    <w:r w:rsidRPr="00265B8C">
      <w:rPr>
        <w:b/>
        <w:color w:val="002060"/>
        <w:lang w:val="pt-BR"/>
      </w:rPr>
      <w:t>DE</w:t>
    </w:r>
    <w:r>
      <w:rPr>
        <w:b/>
        <w:color w:val="002060"/>
        <w:lang w:val="pt-BR"/>
      </w:rPr>
      <w:t xml:space="preserve"> DICIEMBRE D</w:t>
    </w:r>
    <w:r w:rsidRPr="00265B8C">
      <w:rPr>
        <w:b/>
        <w:color w:val="002060"/>
        <w:lang w:val="pt-BR"/>
      </w:rPr>
      <w:t>E 201</w:t>
    </w:r>
    <w:r>
      <w:rPr>
        <w:b/>
        <w:color w:val="002060"/>
        <w:lang w:val="pt-BR"/>
      </w:rPr>
      <w:t>9</w:t>
    </w:r>
  </w:p>
  <w:p w14:paraId="4F6B5480" w14:textId="77777777" w:rsidR="00D336FF" w:rsidRPr="00265B8C" w:rsidRDefault="00D336FF" w:rsidP="00590444">
    <w:pPr>
      <w:pStyle w:val="Encabezado"/>
      <w:framePr w:w="5269" w:hSpace="141" w:wrap="auto" w:vAnchor="text" w:hAnchor="page" w:x="5824" w:y="39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2</w:t>
    </w:r>
  </w:p>
  <w:p w14:paraId="63958FC9" w14:textId="77777777" w:rsidR="00D336FF" w:rsidRDefault="00D336FF" w:rsidP="00614EF2">
    <w:pPr>
      <w:pStyle w:val="Encabezado"/>
      <w:ind w:left="-993"/>
    </w:pPr>
    <w:r>
      <w:rPr>
        <w:noProof/>
      </w:rPr>
      <w:drawing>
        <wp:inline distT="0" distB="0" distL="0" distR="0" wp14:anchorId="282C7592" wp14:editId="4CA73549">
          <wp:extent cx="927615" cy="963545"/>
          <wp:effectExtent l="0" t="0" r="6350" b="825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847" cy="99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5010" w14:textId="5569AEF8" w:rsidR="003B5757" w:rsidRDefault="00B940B6" w:rsidP="00D336FF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5A6F9BE6" wp14:editId="06BC9E73">
          <wp:extent cx="928799" cy="964800"/>
          <wp:effectExtent l="0" t="0" r="5080" b="6985"/>
          <wp:docPr id="2" name="Imagen 2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99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2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3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2"/>
  </w:num>
  <w:num w:numId="12">
    <w:abstractNumId w:val="24"/>
  </w:num>
  <w:num w:numId="13">
    <w:abstractNumId w:val="25"/>
  </w:num>
  <w:num w:numId="14">
    <w:abstractNumId w:val="16"/>
  </w:num>
  <w:num w:numId="15">
    <w:abstractNumId w:val="13"/>
  </w:num>
  <w:num w:numId="16">
    <w:abstractNumId w:val="20"/>
  </w:num>
  <w:num w:numId="17">
    <w:abstractNumId w:val="15"/>
  </w:num>
  <w:num w:numId="18">
    <w:abstractNumId w:val="19"/>
  </w:num>
  <w:num w:numId="19">
    <w:abstractNumId w:val="8"/>
  </w:num>
  <w:num w:numId="20">
    <w:abstractNumId w:val="0"/>
  </w:num>
  <w:num w:numId="21">
    <w:abstractNumId w:val="14"/>
  </w:num>
  <w:num w:numId="22">
    <w:abstractNumId w:val="3"/>
  </w:num>
  <w:num w:numId="23">
    <w:abstractNumId w:val="18"/>
  </w:num>
  <w:num w:numId="24">
    <w:abstractNumId w:val="17"/>
  </w:num>
  <w:num w:numId="25">
    <w:abstractNumId w:val="21"/>
  </w:num>
  <w:num w:numId="26">
    <w:abstractNumId w:val="23"/>
  </w:num>
  <w:num w:numId="27">
    <w:abstractNumId w:val="11"/>
  </w:num>
  <w:num w:numId="28">
    <w:abstractNumId w:val="10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43F"/>
    <w:rsid w:val="00000BEA"/>
    <w:rsid w:val="0000180F"/>
    <w:rsid w:val="00002466"/>
    <w:rsid w:val="00002605"/>
    <w:rsid w:val="00002665"/>
    <w:rsid w:val="000027BD"/>
    <w:rsid w:val="00002B26"/>
    <w:rsid w:val="00003C25"/>
    <w:rsid w:val="00003C68"/>
    <w:rsid w:val="00004291"/>
    <w:rsid w:val="000042CB"/>
    <w:rsid w:val="0000458A"/>
    <w:rsid w:val="000050C6"/>
    <w:rsid w:val="00005940"/>
    <w:rsid w:val="00006B5A"/>
    <w:rsid w:val="00006DE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FBD"/>
    <w:rsid w:val="00015137"/>
    <w:rsid w:val="00015302"/>
    <w:rsid w:val="00016590"/>
    <w:rsid w:val="00016B4E"/>
    <w:rsid w:val="00016D3A"/>
    <w:rsid w:val="0001718D"/>
    <w:rsid w:val="000176AC"/>
    <w:rsid w:val="00021432"/>
    <w:rsid w:val="00021492"/>
    <w:rsid w:val="000216A3"/>
    <w:rsid w:val="000228C4"/>
    <w:rsid w:val="00022C2F"/>
    <w:rsid w:val="00022CA3"/>
    <w:rsid w:val="000260EE"/>
    <w:rsid w:val="00026B3C"/>
    <w:rsid w:val="00026B52"/>
    <w:rsid w:val="00026F8D"/>
    <w:rsid w:val="00027D1F"/>
    <w:rsid w:val="00030480"/>
    <w:rsid w:val="0003065F"/>
    <w:rsid w:val="000308BA"/>
    <w:rsid w:val="00030D10"/>
    <w:rsid w:val="00031231"/>
    <w:rsid w:val="000314D3"/>
    <w:rsid w:val="00031BCF"/>
    <w:rsid w:val="00031CEA"/>
    <w:rsid w:val="00032B16"/>
    <w:rsid w:val="00033603"/>
    <w:rsid w:val="00033A14"/>
    <w:rsid w:val="0003447A"/>
    <w:rsid w:val="00034BC3"/>
    <w:rsid w:val="000353F3"/>
    <w:rsid w:val="00035600"/>
    <w:rsid w:val="00035B2D"/>
    <w:rsid w:val="00035DA7"/>
    <w:rsid w:val="00036196"/>
    <w:rsid w:val="00036D72"/>
    <w:rsid w:val="00037089"/>
    <w:rsid w:val="00037177"/>
    <w:rsid w:val="00037CC4"/>
    <w:rsid w:val="0004066E"/>
    <w:rsid w:val="00040F75"/>
    <w:rsid w:val="00041FF7"/>
    <w:rsid w:val="0004225C"/>
    <w:rsid w:val="00043535"/>
    <w:rsid w:val="00043B32"/>
    <w:rsid w:val="00043E2B"/>
    <w:rsid w:val="00044296"/>
    <w:rsid w:val="00044699"/>
    <w:rsid w:val="00044700"/>
    <w:rsid w:val="00044C5E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934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A4F"/>
    <w:rsid w:val="00055047"/>
    <w:rsid w:val="00055B54"/>
    <w:rsid w:val="00056182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431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234"/>
    <w:rsid w:val="000767F7"/>
    <w:rsid w:val="00076EE9"/>
    <w:rsid w:val="00077763"/>
    <w:rsid w:val="00077C46"/>
    <w:rsid w:val="0008027F"/>
    <w:rsid w:val="0008084D"/>
    <w:rsid w:val="00080D54"/>
    <w:rsid w:val="000814ED"/>
    <w:rsid w:val="0008175A"/>
    <w:rsid w:val="0008195B"/>
    <w:rsid w:val="000826F7"/>
    <w:rsid w:val="00082F11"/>
    <w:rsid w:val="0008325D"/>
    <w:rsid w:val="000834DD"/>
    <w:rsid w:val="000834F9"/>
    <w:rsid w:val="00083FB5"/>
    <w:rsid w:val="00084687"/>
    <w:rsid w:val="00084A57"/>
    <w:rsid w:val="00084BED"/>
    <w:rsid w:val="00084EDB"/>
    <w:rsid w:val="00084FF2"/>
    <w:rsid w:val="000850FA"/>
    <w:rsid w:val="0008524D"/>
    <w:rsid w:val="000856E9"/>
    <w:rsid w:val="00086295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F4C"/>
    <w:rsid w:val="00094496"/>
    <w:rsid w:val="000950E7"/>
    <w:rsid w:val="00095360"/>
    <w:rsid w:val="000955AA"/>
    <w:rsid w:val="000957BC"/>
    <w:rsid w:val="00095A6A"/>
    <w:rsid w:val="00096737"/>
    <w:rsid w:val="00097C0A"/>
    <w:rsid w:val="000A0344"/>
    <w:rsid w:val="000A0823"/>
    <w:rsid w:val="000A1F9D"/>
    <w:rsid w:val="000A21D6"/>
    <w:rsid w:val="000A260D"/>
    <w:rsid w:val="000A2F4F"/>
    <w:rsid w:val="000A31EF"/>
    <w:rsid w:val="000A3354"/>
    <w:rsid w:val="000A3733"/>
    <w:rsid w:val="000A43B0"/>
    <w:rsid w:val="000A4FEA"/>
    <w:rsid w:val="000A53E6"/>
    <w:rsid w:val="000A5727"/>
    <w:rsid w:val="000A574B"/>
    <w:rsid w:val="000A5B04"/>
    <w:rsid w:val="000A5E2A"/>
    <w:rsid w:val="000A643B"/>
    <w:rsid w:val="000A707A"/>
    <w:rsid w:val="000A78BA"/>
    <w:rsid w:val="000B0710"/>
    <w:rsid w:val="000B0E46"/>
    <w:rsid w:val="000B1C11"/>
    <w:rsid w:val="000B1D13"/>
    <w:rsid w:val="000B29B8"/>
    <w:rsid w:val="000B2A27"/>
    <w:rsid w:val="000B4A6A"/>
    <w:rsid w:val="000B50FB"/>
    <w:rsid w:val="000B515D"/>
    <w:rsid w:val="000B5A74"/>
    <w:rsid w:val="000B5FA3"/>
    <w:rsid w:val="000B6AF6"/>
    <w:rsid w:val="000C1051"/>
    <w:rsid w:val="000C1F04"/>
    <w:rsid w:val="000C2892"/>
    <w:rsid w:val="000C2B3C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081"/>
    <w:rsid w:val="000C6A4A"/>
    <w:rsid w:val="000C6AFD"/>
    <w:rsid w:val="000D06FA"/>
    <w:rsid w:val="000D0DDA"/>
    <w:rsid w:val="000D0ED5"/>
    <w:rsid w:val="000D113E"/>
    <w:rsid w:val="000D1169"/>
    <w:rsid w:val="000D15C5"/>
    <w:rsid w:val="000D28A5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9B3"/>
    <w:rsid w:val="000E28E2"/>
    <w:rsid w:val="000E2970"/>
    <w:rsid w:val="000E369A"/>
    <w:rsid w:val="000E3CC1"/>
    <w:rsid w:val="000E5331"/>
    <w:rsid w:val="000E535E"/>
    <w:rsid w:val="000E5526"/>
    <w:rsid w:val="000E5D6B"/>
    <w:rsid w:val="000E5FE0"/>
    <w:rsid w:val="000E62DF"/>
    <w:rsid w:val="000E6D5D"/>
    <w:rsid w:val="000F04CC"/>
    <w:rsid w:val="000F05D5"/>
    <w:rsid w:val="000F1DEB"/>
    <w:rsid w:val="000F1F7A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7577"/>
    <w:rsid w:val="000F7974"/>
    <w:rsid w:val="000F7ECD"/>
    <w:rsid w:val="000F7F0E"/>
    <w:rsid w:val="000F7FB5"/>
    <w:rsid w:val="00100317"/>
    <w:rsid w:val="001004C1"/>
    <w:rsid w:val="001011EC"/>
    <w:rsid w:val="001017C1"/>
    <w:rsid w:val="00101A86"/>
    <w:rsid w:val="00101E92"/>
    <w:rsid w:val="00101F40"/>
    <w:rsid w:val="00102C79"/>
    <w:rsid w:val="00103847"/>
    <w:rsid w:val="00103913"/>
    <w:rsid w:val="00105234"/>
    <w:rsid w:val="001057E1"/>
    <w:rsid w:val="00105E2B"/>
    <w:rsid w:val="0010619C"/>
    <w:rsid w:val="0010664D"/>
    <w:rsid w:val="00110510"/>
    <w:rsid w:val="0011076D"/>
    <w:rsid w:val="00110DB1"/>
    <w:rsid w:val="00110DF0"/>
    <w:rsid w:val="001114D0"/>
    <w:rsid w:val="00111703"/>
    <w:rsid w:val="001119D9"/>
    <w:rsid w:val="00111AA3"/>
    <w:rsid w:val="00111F29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F84"/>
    <w:rsid w:val="00117D7A"/>
    <w:rsid w:val="00120112"/>
    <w:rsid w:val="001201B0"/>
    <w:rsid w:val="00120EA1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222E"/>
    <w:rsid w:val="00134904"/>
    <w:rsid w:val="001349AB"/>
    <w:rsid w:val="00134F4E"/>
    <w:rsid w:val="00134FB0"/>
    <w:rsid w:val="001350AC"/>
    <w:rsid w:val="001352EC"/>
    <w:rsid w:val="0013543B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30"/>
    <w:rsid w:val="001411DE"/>
    <w:rsid w:val="00141399"/>
    <w:rsid w:val="00141A0B"/>
    <w:rsid w:val="00141AF4"/>
    <w:rsid w:val="00141F00"/>
    <w:rsid w:val="00142E09"/>
    <w:rsid w:val="0014377B"/>
    <w:rsid w:val="00143D3A"/>
    <w:rsid w:val="00144D09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CBE"/>
    <w:rsid w:val="00182EBE"/>
    <w:rsid w:val="001831B3"/>
    <w:rsid w:val="001845FA"/>
    <w:rsid w:val="0018521A"/>
    <w:rsid w:val="0018522B"/>
    <w:rsid w:val="001854A8"/>
    <w:rsid w:val="00185D40"/>
    <w:rsid w:val="00186C17"/>
    <w:rsid w:val="00187284"/>
    <w:rsid w:val="0018787A"/>
    <w:rsid w:val="00190180"/>
    <w:rsid w:val="001908C1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FC1"/>
    <w:rsid w:val="001A27EE"/>
    <w:rsid w:val="001A35A6"/>
    <w:rsid w:val="001A368A"/>
    <w:rsid w:val="001A3963"/>
    <w:rsid w:val="001A3BD3"/>
    <w:rsid w:val="001A41DF"/>
    <w:rsid w:val="001A43F5"/>
    <w:rsid w:val="001A4E0E"/>
    <w:rsid w:val="001A4E8C"/>
    <w:rsid w:val="001A4EF7"/>
    <w:rsid w:val="001A4F6E"/>
    <w:rsid w:val="001A5A62"/>
    <w:rsid w:val="001A5ABD"/>
    <w:rsid w:val="001A5CE0"/>
    <w:rsid w:val="001A60E2"/>
    <w:rsid w:val="001A69F0"/>
    <w:rsid w:val="001A75E7"/>
    <w:rsid w:val="001A79AA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450E"/>
    <w:rsid w:val="001B46DB"/>
    <w:rsid w:val="001B4F75"/>
    <w:rsid w:val="001B5DDB"/>
    <w:rsid w:val="001B62D3"/>
    <w:rsid w:val="001B6640"/>
    <w:rsid w:val="001B74F4"/>
    <w:rsid w:val="001B75DC"/>
    <w:rsid w:val="001C0136"/>
    <w:rsid w:val="001C0A10"/>
    <w:rsid w:val="001C0A6E"/>
    <w:rsid w:val="001C0AD1"/>
    <w:rsid w:val="001C0BCC"/>
    <w:rsid w:val="001C117D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031"/>
    <w:rsid w:val="001D3AD1"/>
    <w:rsid w:val="001D478B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7104"/>
    <w:rsid w:val="001E00CD"/>
    <w:rsid w:val="001E075F"/>
    <w:rsid w:val="001E093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42FF"/>
    <w:rsid w:val="001F44B4"/>
    <w:rsid w:val="001F44D3"/>
    <w:rsid w:val="001F4510"/>
    <w:rsid w:val="001F58D3"/>
    <w:rsid w:val="001F65A4"/>
    <w:rsid w:val="001F65E0"/>
    <w:rsid w:val="001F6EE3"/>
    <w:rsid w:val="001F7362"/>
    <w:rsid w:val="001F7AE9"/>
    <w:rsid w:val="001F7CFD"/>
    <w:rsid w:val="002011D5"/>
    <w:rsid w:val="00201C2D"/>
    <w:rsid w:val="00203367"/>
    <w:rsid w:val="00204438"/>
    <w:rsid w:val="00204A44"/>
    <w:rsid w:val="00204F6E"/>
    <w:rsid w:val="00206147"/>
    <w:rsid w:val="002064F3"/>
    <w:rsid w:val="002069A8"/>
    <w:rsid w:val="00206EE7"/>
    <w:rsid w:val="0020789A"/>
    <w:rsid w:val="00207C83"/>
    <w:rsid w:val="00210869"/>
    <w:rsid w:val="002116AD"/>
    <w:rsid w:val="00211999"/>
    <w:rsid w:val="002120A6"/>
    <w:rsid w:val="002122B8"/>
    <w:rsid w:val="002123A4"/>
    <w:rsid w:val="002126CD"/>
    <w:rsid w:val="00213773"/>
    <w:rsid w:val="00213B0E"/>
    <w:rsid w:val="00213CBC"/>
    <w:rsid w:val="002141FB"/>
    <w:rsid w:val="002146CA"/>
    <w:rsid w:val="002147D6"/>
    <w:rsid w:val="002154C2"/>
    <w:rsid w:val="0021575B"/>
    <w:rsid w:val="00215783"/>
    <w:rsid w:val="0021669B"/>
    <w:rsid w:val="002166C7"/>
    <w:rsid w:val="00216876"/>
    <w:rsid w:val="00217451"/>
    <w:rsid w:val="0022018A"/>
    <w:rsid w:val="00220ADA"/>
    <w:rsid w:val="00220B7B"/>
    <w:rsid w:val="0022180E"/>
    <w:rsid w:val="002220BA"/>
    <w:rsid w:val="00222796"/>
    <w:rsid w:val="002227B3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A7D"/>
    <w:rsid w:val="0023476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7E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B9"/>
    <w:rsid w:val="00252DD3"/>
    <w:rsid w:val="0025394F"/>
    <w:rsid w:val="00253B97"/>
    <w:rsid w:val="002544CB"/>
    <w:rsid w:val="00254724"/>
    <w:rsid w:val="00255BAA"/>
    <w:rsid w:val="00255D8E"/>
    <w:rsid w:val="00256584"/>
    <w:rsid w:val="00256C48"/>
    <w:rsid w:val="00256ED6"/>
    <w:rsid w:val="00256EF8"/>
    <w:rsid w:val="002570D5"/>
    <w:rsid w:val="00257177"/>
    <w:rsid w:val="00257730"/>
    <w:rsid w:val="00257803"/>
    <w:rsid w:val="00257B74"/>
    <w:rsid w:val="00257CD8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38C"/>
    <w:rsid w:val="00266F00"/>
    <w:rsid w:val="002670EF"/>
    <w:rsid w:val="002671A2"/>
    <w:rsid w:val="00267A38"/>
    <w:rsid w:val="00267F5F"/>
    <w:rsid w:val="002702F4"/>
    <w:rsid w:val="00270965"/>
    <w:rsid w:val="00270A01"/>
    <w:rsid w:val="00271E5D"/>
    <w:rsid w:val="00272082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60C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220"/>
    <w:rsid w:val="00293271"/>
    <w:rsid w:val="00293587"/>
    <w:rsid w:val="00293896"/>
    <w:rsid w:val="00293C63"/>
    <w:rsid w:val="00293ED1"/>
    <w:rsid w:val="00294214"/>
    <w:rsid w:val="00294A06"/>
    <w:rsid w:val="00294FFB"/>
    <w:rsid w:val="002954FD"/>
    <w:rsid w:val="00296242"/>
    <w:rsid w:val="00296CE6"/>
    <w:rsid w:val="002973DF"/>
    <w:rsid w:val="00297D6A"/>
    <w:rsid w:val="002A0190"/>
    <w:rsid w:val="002A0983"/>
    <w:rsid w:val="002A0B8E"/>
    <w:rsid w:val="002A0BF5"/>
    <w:rsid w:val="002A1128"/>
    <w:rsid w:val="002A158C"/>
    <w:rsid w:val="002A24EB"/>
    <w:rsid w:val="002A2C5E"/>
    <w:rsid w:val="002A2D66"/>
    <w:rsid w:val="002A428E"/>
    <w:rsid w:val="002A46FA"/>
    <w:rsid w:val="002A5227"/>
    <w:rsid w:val="002A57BC"/>
    <w:rsid w:val="002A581C"/>
    <w:rsid w:val="002B00FE"/>
    <w:rsid w:val="002B0E27"/>
    <w:rsid w:val="002B10B6"/>
    <w:rsid w:val="002B10D3"/>
    <w:rsid w:val="002B1113"/>
    <w:rsid w:val="002B1867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D3"/>
    <w:rsid w:val="002B6815"/>
    <w:rsid w:val="002B6AB1"/>
    <w:rsid w:val="002B71D1"/>
    <w:rsid w:val="002C0144"/>
    <w:rsid w:val="002C0CAC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40A5"/>
    <w:rsid w:val="002D48E1"/>
    <w:rsid w:val="002D4DF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CA7"/>
    <w:rsid w:val="002E668B"/>
    <w:rsid w:val="002E7113"/>
    <w:rsid w:val="002E7235"/>
    <w:rsid w:val="002E7C80"/>
    <w:rsid w:val="002E7DEA"/>
    <w:rsid w:val="002F01B0"/>
    <w:rsid w:val="002F024B"/>
    <w:rsid w:val="002F0276"/>
    <w:rsid w:val="002F10E7"/>
    <w:rsid w:val="002F11F9"/>
    <w:rsid w:val="002F1274"/>
    <w:rsid w:val="002F13E0"/>
    <w:rsid w:val="002F16CB"/>
    <w:rsid w:val="002F1742"/>
    <w:rsid w:val="002F1AB0"/>
    <w:rsid w:val="002F2799"/>
    <w:rsid w:val="002F3C64"/>
    <w:rsid w:val="002F4431"/>
    <w:rsid w:val="002F47E7"/>
    <w:rsid w:val="002F510D"/>
    <w:rsid w:val="002F5F61"/>
    <w:rsid w:val="00300081"/>
    <w:rsid w:val="0030023E"/>
    <w:rsid w:val="0030059B"/>
    <w:rsid w:val="00300812"/>
    <w:rsid w:val="0030094D"/>
    <w:rsid w:val="00300FC5"/>
    <w:rsid w:val="00301277"/>
    <w:rsid w:val="00301837"/>
    <w:rsid w:val="003019CD"/>
    <w:rsid w:val="0030341B"/>
    <w:rsid w:val="003034D2"/>
    <w:rsid w:val="0030373E"/>
    <w:rsid w:val="00303A1B"/>
    <w:rsid w:val="003045BE"/>
    <w:rsid w:val="00304E8C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6198"/>
    <w:rsid w:val="00316779"/>
    <w:rsid w:val="00317DA5"/>
    <w:rsid w:val="003201D0"/>
    <w:rsid w:val="003205E0"/>
    <w:rsid w:val="00321386"/>
    <w:rsid w:val="00321788"/>
    <w:rsid w:val="00321848"/>
    <w:rsid w:val="00321CB3"/>
    <w:rsid w:val="00322341"/>
    <w:rsid w:val="0032345B"/>
    <w:rsid w:val="003235FE"/>
    <w:rsid w:val="00324FF5"/>
    <w:rsid w:val="003256A0"/>
    <w:rsid w:val="003265DE"/>
    <w:rsid w:val="00326A08"/>
    <w:rsid w:val="003273D2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38EB"/>
    <w:rsid w:val="00333D21"/>
    <w:rsid w:val="00334446"/>
    <w:rsid w:val="0033444C"/>
    <w:rsid w:val="00334725"/>
    <w:rsid w:val="00334A38"/>
    <w:rsid w:val="00334AF1"/>
    <w:rsid w:val="003353D5"/>
    <w:rsid w:val="00335A53"/>
    <w:rsid w:val="003379A4"/>
    <w:rsid w:val="00337BB0"/>
    <w:rsid w:val="00337CB6"/>
    <w:rsid w:val="003403AE"/>
    <w:rsid w:val="003405B9"/>
    <w:rsid w:val="003409BD"/>
    <w:rsid w:val="00341008"/>
    <w:rsid w:val="0034111B"/>
    <w:rsid w:val="00342559"/>
    <w:rsid w:val="00342D1A"/>
    <w:rsid w:val="0034339B"/>
    <w:rsid w:val="00343860"/>
    <w:rsid w:val="00343AB5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F13"/>
    <w:rsid w:val="0035546F"/>
    <w:rsid w:val="003554BD"/>
    <w:rsid w:val="003554CE"/>
    <w:rsid w:val="00356586"/>
    <w:rsid w:val="00356792"/>
    <w:rsid w:val="00356C59"/>
    <w:rsid w:val="003571E2"/>
    <w:rsid w:val="00360545"/>
    <w:rsid w:val="00360A82"/>
    <w:rsid w:val="00361062"/>
    <w:rsid w:val="003610F5"/>
    <w:rsid w:val="003616F4"/>
    <w:rsid w:val="00361DE0"/>
    <w:rsid w:val="00362B5E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334A"/>
    <w:rsid w:val="003734B3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80027"/>
    <w:rsid w:val="0038054C"/>
    <w:rsid w:val="0038061C"/>
    <w:rsid w:val="00381168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433B"/>
    <w:rsid w:val="003946B9"/>
    <w:rsid w:val="00394917"/>
    <w:rsid w:val="00394FE8"/>
    <w:rsid w:val="00395069"/>
    <w:rsid w:val="003955AD"/>
    <w:rsid w:val="00395A0A"/>
    <w:rsid w:val="00396943"/>
    <w:rsid w:val="00396C46"/>
    <w:rsid w:val="00397BF1"/>
    <w:rsid w:val="003A0756"/>
    <w:rsid w:val="003A0A67"/>
    <w:rsid w:val="003A1273"/>
    <w:rsid w:val="003A1596"/>
    <w:rsid w:val="003A1FEA"/>
    <w:rsid w:val="003A2E86"/>
    <w:rsid w:val="003A344A"/>
    <w:rsid w:val="003A3622"/>
    <w:rsid w:val="003A36D4"/>
    <w:rsid w:val="003A4139"/>
    <w:rsid w:val="003A4409"/>
    <w:rsid w:val="003A495B"/>
    <w:rsid w:val="003A4B2F"/>
    <w:rsid w:val="003A4C4A"/>
    <w:rsid w:val="003A4F9E"/>
    <w:rsid w:val="003A5033"/>
    <w:rsid w:val="003A53AA"/>
    <w:rsid w:val="003A5EEB"/>
    <w:rsid w:val="003A5F81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312"/>
    <w:rsid w:val="003B4644"/>
    <w:rsid w:val="003B4B26"/>
    <w:rsid w:val="003B4E29"/>
    <w:rsid w:val="003B5306"/>
    <w:rsid w:val="003B5757"/>
    <w:rsid w:val="003B5E92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3F73"/>
    <w:rsid w:val="003C40A2"/>
    <w:rsid w:val="003C5519"/>
    <w:rsid w:val="003C5A97"/>
    <w:rsid w:val="003C616B"/>
    <w:rsid w:val="003C681D"/>
    <w:rsid w:val="003C6BED"/>
    <w:rsid w:val="003C7965"/>
    <w:rsid w:val="003C7B7E"/>
    <w:rsid w:val="003C7D06"/>
    <w:rsid w:val="003C7EF7"/>
    <w:rsid w:val="003D0E1F"/>
    <w:rsid w:val="003D1182"/>
    <w:rsid w:val="003D1AE0"/>
    <w:rsid w:val="003D22DA"/>
    <w:rsid w:val="003D2A32"/>
    <w:rsid w:val="003D358C"/>
    <w:rsid w:val="003D3779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20CB"/>
    <w:rsid w:val="003E4979"/>
    <w:rsid w:val="003E4B79"/>
    <w:rsid w:val="003E4B85"/>
    <w:rsid w:val="003E581F"/>
    <w:rsid w:val="003E5F16"/>
    <w:rsid w:val="003E634D"/>
    <w:rsid w:val="003E64BB"/>
    <w:rsid w:val="003E6AC1"/>
    <w:rsid w:val="003E7EEA"/>
    <w:rsid w:val="003F01E7"/>
    <w:rsid w:val="003F18CF"/>
    <w:rsid w:val="003F2BFE"/>
    <w:rsid w:val="003F3A44"/>
    <w:rsid w:val="003F5732"/>
    <w:rsid w:val="003F5F0A"/>
    <w:rsid w:val="003F6DF4"/>
    <w:rsid w:val="003F7022"/>
    <w:rsid w:val="003F7263"/>
    <w:rsid w:val="003F7D77"/>
    <w:rsid w:val="00400A5E"/>
    <w:rsid w:val="00401089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3CD"/>
    <w:rsid w:val="00413549"/>
    <w:rsid w:val="00413FCD"/>
    <w:rsid w:val="00414538"/>
    <w:rsid w:val="00414647"/>
    <w:rsid w:val="0041479C"/>
    <w:rsid w:val="00414F9A"/>
    <w:rsid w:val="00415EF5"/>
    <w:rsid w:val="00416787"/>
    <w:rsid w:val="00417F13"/>
    <w:rsid w:val="004203CA"/>
    <w:rsid w:val="004208D7"/>
    <w:rsid w:val="00420CA2"/>
    <w:rsid w:val="00421878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76"/>
    <w:rsid w:val="00425554"/>
    <w:rsid w:val="0042556A"/>
    <w:rsid w:val="00425B68"/>
    <w:rsid w:val="00425C9F"/>
    <w:rsid w:val="004268A5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28E4"/>
    <w:rsid w:val="00432937"/>
    <w:rsid w:val="00433460"/>
    <w:rsid w:val="00433D87"/>
    <w:rsid w:val="00433E32"/>
    <w:rsid w:val="00433ECE"/>
    <w:rsid w:val="004347A7"/>
    <w:rsid w:val="00434800"/>
    <w:rsid w:val="00434F9C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870"/>
    <w:rsid w:val="004529D7"/>
    <w:rsid w:val="00452A11"/>
    <w:rsid w:val="00453BF4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72F"/>
    <w:rsid w:val="00457958"/>
    <w:rsid w:val="004605F4"/>
    <w:rsid w:val="0046115F"/>
    <w:rsid w:val="0046148D"/>
    <w:rsid w:val="00461535"/>
    <w:rsid w:val="00462496"/>
    <w:rsid w:val="004627CF"/>
    <w:rsid w:val="004628E6"/>
    <w:rsid w:val="00462977"/>
    <w:rsid w:val="00462DBA"/>
    <w:rsid w:val="004631FA"/>
    <w:rsid w:val="004635B7"/>
    <w:rsid w:val="00463750"/>
    <w:rsid w:val="00464027"/>
    <w:rsid w:val="004641CB"/>
    <w:rsid w:val="0046443B"/>
    <w:rsid w:val="00464BC7"/>
    <w:rsid w:val="004651B8"/>
    <w:rsid w:val="00465580"/>
    <w:rsid w:val="00465972"/>
    <w:rsid w:val="00465E7E"/>
    <w:rsid w:val="00466BB5"/>
    <w:rsid w:val="004672E8"/>
    <w:rsid w:val="004677E9"/>
    <w:rsid w:val="00470535"/>
    <w:rsid w:val="00471183"/>
    <w:rsid w:val="0047123C"/>
    <w:rsid w:val="004714F6"/>
    <w:rsid w:val="0047289C"/>
    <w:rsid w:val="00472E22"/>
    <w:rsid w:val="00472F67"/>
    <w:rsid w:val="004739A1"/>
    <w:rsid w:val="00474254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B0E"/>
    <w:rsid w:val="00481688"/>
    <w:rsid w:val="004820E0"/>
    <w:rsid w:val="004822CA"/>
    <w:rsid w:val="0048385A"/>
    <w:rsid w:val="00483F95"/>
    <w:rsid w:val="00484D20"/>
    <w:rsid w:val="004850C1"/>
    <w:rsid w:val="00486F54"/>
    <w:rsid w:val="004871B4"/>
    <w:rsid w:val="004876DD"/>
    <w:rsid w:val="004915E6"/>
    <w:rsid w:val="0049178A"/>
    <w:rsid w:val="004917FC"/>
    <w:rsid w:val="00491C1D"/>
    <w:rsid w:val="00491DF1"/>
    <w:rsid w:val="00492535"/>
    <w:rsid w:val="00492EBB"/>
    <w:rsid w:val="00493435"/>
    <w:rsid w:val="004937CB"/>
    <w:rsid w:val="00494B28"/>
    <w:rsid w:val="00495CF9"/>
    <w:rsid w:val="00495FFF"/>
    <w:rsid w:val="00496A9F"/>
    <w:rsid w:val="00497270"/>
    <w:rsid w:val="00497358"/>
    <w:rsid w:val="00497FA5"/>
    <w:rsid w:val="004A03B3"/>
    <w:rsid w:val="004A04D5"/>
    <w:rsid w:val="004A1B07"/>
    <w:rsid w:val="004A21D8"/>
    <w:rsid w:val="004A2E04"/>
    <w:rsid w:val="004A3226"/>
    <w:rsid w:val="004A399F"/>
    <w:rsid w:val="004A4096"/>
    <w:rsid w:val="004A469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1574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447"/>
    <w:rsid w:val="004B55F0"/>
    <w:rsid w:val="004B56C3"/>
    <w:rsid w:val="004B6377"/>
    <w:rsid w:val="004B6928"/>
    <w:rsid w:val="004B79FA"/>
    <w:rsid w:val="004B7D94"/>
    <w:rsid w:val="004C0FB7"/>
    <w:rsid w:val="004C104B"/>
    <w:rsid w:val="004C164A"/>
    <w:rsid w:val="004C2E14"/>
    <w:rsid w:val="004C2FE3"/>
    <w:rsid w:val="004C305A"/>
    <w:rsid w:val="004C31B4"/>
    <w:rsid w:val="004C333D"/>
    <w:rsid w:val="004C35EF"/>
    <w:rsid w:val="004C3BCF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B1A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8EA"/>
    <w:rsid w:val="004E5F65"/>
    <w:rsid w:val="004E6C7A"/>
    <w:rsid w:val="004E74D3"/>
    <w:rsid w:val="004E7615"/>
    <w:rsid w:val="004E7CDF"/>
    <w:rsid w:val="004F078C"/>
    <w:rsid w:val="004F1324"/>
    <w:rsid w:val="004F1A03"/>
    <w:rsid w:val="004F1A8F"/>
    <w:rsid w:val="004F1C0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0CB"/>
    <w:rsid w:val="005012FC"/>
    <w:rsid w:val="00501EBE"/>
    <w:rsid w:val="00503551"/>
    <w:rsid w:val="00503F38"/>
    <w:rsid w:val="005043FC"/>
    <w:rsid w:val="00504A55"/>
    <w:rsid w:val="00505A1E"/>
    <w:rsid w:val="00505F08"/>
    <w:rsid w:val="0050671D"/>
    <w:rsid w:val="0050672C"/>
    <w:rsid w:val="00506C4C"/>
    <w:rsid w:val="0050700E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A3A"/>
    <w:rsid w:val="005232E0"/>
    <w:rsid w:val="0052373B"/>
    <w:rsid w:val="00523E00"/>
    <w:rsid w:val="0052439F"/>
    <w:rsid w:val="005243EB"/>
    <w:rsid w:val="00525789"/>
    <w:rsid w:val="00525890"/>
    <w:rsid w:val="00526452"/>
    <w:rsid w:val="00526816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5585"/>
    <w:rsid w:val="00536A58"/>
    <w:rsid w:val="00536AB4"/>
    <w:rsid w:val="00537127"/>
    <w:rsid w:val="0053764B"/>
    <w:rsid w:val="0054069F"/>
    <w:rsid w:val="00541307"/>
    <w:rsid w:val="00541B0B"/>
    <w:rsid w:val="00541B60"/>
    <w:rsid w:val="00541DB8"/>
    <w:rsid w:val="00541F9A"/>
    <w:rsid w:val="00542599"/>
    <w:rsid w:val="00542EB4"/>
    <w:rsid w:val="0054351C"/>
    <w:rsid w:val="005448B9"/>
    <w:rsid w:val="00545136"/>
    <w:rsid w:val="005452C1"/>
    <w:rsid w:val="00545B42"/>
    <w:rsid w:val="0054612B"/>
    <w:rsid w:val="00546773"/>
    <w:rsid w:val="00547753"/>
    <w:rsid w:val="005479F5"/>
    <w:rsid w:val="00547D90"/>
    <w:rsid w:val="005506E4"/>
    <w:rsid w:val="005508EF"/>
    <w:rsid w:val="005510E3"/>
    <w:rsid w:val="0055173F"/>
    <w:rsid w:val="005517FD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73"/>
    <w:rsid w:val="0056218D"/>
    <w:rsid w:val="00562E4D"/>
    <w:rsid w:val="00562EAD"/>
    <w:rsid w:val="00563222"/>
    <w:rsid w:val="0056367C"/>
    <w:rsid w:val="00563AEB"/>
    <w:rsid w:val="00564321"/>
    <w:rsid w:val="00564775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9F4"/>
    <w:rsid w:val="00573A7F"/>
    <w:rsid w:val="00573EE1"/>
    <w:rsid w:val="0057406C"/>
    <w:rsid w:val="00575051"/>
    <w:rsid w:val="005758E3"/>
    <w:rsid w:val="00576069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4CD"/>
    <w:rsid w:val="00587515"/>
    <w:rsid w:val="00587597"/>
    <w:rsid w:val="00587AAF"/>
    <w:rsid w:val="00590444"/>
    <w:rsid w:val="00590753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5106"/>
    <w:rsid w:val="00595692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2074"/>
    <w:rsid w:val="005A24AE"/>
    <w:rsid w:val="005A3394"/>
    <w:rsid w:val="005A403A"/>
    <w:rsid w:val="005A43BE"/>
    <w:rsid w:val="005A4624"/>
    <w:rsid w:val="005A5011"/>
    <w:rsid w:val="005A508D"/>
    <w:rsid w:val="005A60BA"/>
    <w:rsid w:val="005A7550"/>
    <w:rsid w:val="005A761B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43D"/>
    <w:rsid w:val="005C12AC"/>
    <w:rsid w:val="005C1C90"/>
    <w:rsid w:val="005C1CEF"/>
    <w:rsid w:val="005C25B4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1058"/>
    <w:rsid w:val="005E1667"/>
    <w:rsid w:val="005E17B3"/>
    <w:rsid w:val="005E1990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4A"/>
    <w:rsid w:val="0060008E"/>
    <w:rsid w:val="006005C1"/>
    <w:rsid w:val="006011A0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3B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8EE"/>
    <w:rsid w:val="0062091D"/>
    <w:rsid w:val="00620C44"/>
    <w:rsid w:val="0062100E"/>
    <w:rsid w:val="006211A5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415"/>
    <w:rsid w:val="0062768B"/>
    <w:rsid w:val="00627A49"/>
    <w:rsid w:val="00627D60"/>
    <w:rsid w:val="00627E30"/>
    <w:rsid w:val="00630169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F8"/>
    <w:rsid w:val="00636FEF"/>
    <w:rsid w:val="0063715F"/>
    <w:rsid w:val="006371D4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2C54"/>
    <w:rsid w:val="006443B2"/>
    <w:rsid w:val="00645210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60C"/>
    <w:rsid w:val="00654642"/>
    <w:rsid w:val="00654AF4"/>
    <w:rsid w:val="00654CB8"/>
    <w:rsid w:val="0065561D"/>
    <w:rsid w:val="006559AA"/>
    <w:rsid w:val="00655F61"/>
    <w:rsid w:val="006562F3"/>
    <w:rsid w:val="006565D3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2A70"/>
    <w:rsid w:val="00662AF9"/>
    <w:rsid w:val="00662C14"/>
    <w:rsid w:val="00662C97"/>
    <w:rsid w:val="00662CBB"/>
    <w:rsid w:val="00662F3E"/>
    <w:rsid w:val="0066398B"/>
    <w:rsid w:val="00663F53"/>
    <w:rsid w:val="0066486A"/>
    <w:rsid w:val="00664D5F"/>
    <w:rsid w:val="0066527F"/>
    <w:rsid w:val="00666754"/>
    <w:rsid w:val="00666AEA"/>
    <w:rsid w:val="00666D37"/>
    <w:rsid w:val="0066706E"/>
    <w:rsid w:val="00667D71"/>
    <w:rsid w:val="00667FB2"/>
    <w:rsid w:val="00670D2E"/>
    <w:rsid w:val="006715AD"/>
    <w:rsid w:val="0067269F"/>
    <w:rsid w:val="006726CB"/>
    <w:rsid w:val="0067272F"/>
    <w:rsid w:val="00673BA4"/>
    <w:rsid w:val="00674C5D"/>
    <w:rsid w:val="00674ED8"/>
    <w:rsid w:val="00675793"/>
    <w:rsid w:val="00675C5E"/>
    <w:rsid w:val="00676F0B"/>
    <w:rsid w:val="006773D1"/>
    <w:rsid w:val="006801BB"/>
    <w:rsid w:val="006802E3"/>
    <w:rsid w:val="00680CC6"/>
    <w:rsid w:val="0068122E"/>
    <w:rsid w:val="0068241B"/>
    <w:rsid w:val="00683889"/>
    <w:rsid w:val="006842A2"/>
    <w:rsid w:val="006848BB"/>
    <w:rsid w:val="00684A44"/>
    <w:rsid w:val="00685075"/>
    <w:rsid w:val="00685339"/>
    <w:rsid w:val="00685597"/>
    <w:rsid w:val="006859F4"/>
    <w:rsid w:val="00686338"/>
    <w:rsid w:val="0068731C"/>
    <w:rsid w:val="006904AD"/>
    <w:rsid w:val="006905F1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43EA"/>
    <w:rsid w:val="006A471A"/>
    <w:rsid w:val="006A5290"/>
    <w:rsid w:val="006A6C28"/>
    <w:rsid w:val="006A777A"/>
    <w:rsid w:val="006A7AE9"/>
    <w:rsid w:val="006A7C9D"/>
    <w:rsid w:val="006B0264"/>
    <w:rsid w:val="006B1E59"/>
    <w:rsid w:val="006B2995"/>
    <w:rsid w:val="006B2F13"/>
    <w:rsid w:val="006B3EFD"/>
    <w:rsid w:val="006B40C8"/>
    <w:rsid w:val="006B472A"/>
    <w:rsid w:val="006B549F"/>
    <w:rsid w:val="006B65CB"/>
    <w:rsid w:val="006B765D"/>
    <w:rsid w:val="006C0867"/>
    <w:rsid w:val="006C12F3"/>
    <w:rsid w:val="006C215A"/>
    <w:rsid w:val="006C24C7"/>
    <w:rsid w:val="006C273C"/>
    <w:rsid w:val="006C2FF1"/>
    <w:rsid w:val="006C374A"/>
    <w:rsid w:val="006C3A0F"/>
    <w:rsid w:val="006C479E"/>
    <w:rsid w:val="006C54EE"/>
    <w:rsid w:val="006C57FE"/>
    <w:rsid w:val="006C5AB5"/>
    <w:rsid w:val="006C6E36"/>
    <w:rsid w:val="006C705E"/>
    <w:rsid w:val="006C7216"/>
    <w:rsid w:val="006C7266"/>
    <w:rsid w:val="006D045E"/>
    <w:rsid w:val="006D05F4"/>
    <w:rsid w:val="006D0B6D"/>
    <w:rsid w:val="006D1549"/>
    <w:rsid w:val="006D1A5F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45E"/>
    <w:rsid w:val="006E04C4"/>
    <w:rsid w:val="006E09E9"/>
    <w:rsid w:val="006E0B21"/>
    <w:rsid w:val="006E171B"/>
    <w:rsid w:val="006E24C1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117D"/>
    <w:rsid w:val="006F1195"/>
    <w:rsid w:val="006F13F3"/>
    <w:rsid w:val="006F1DBD"/>
    <w:rsid w:val="006F1E00"/>
    <w:rsid w:val="006F301F"/>
    <w:rsid w:val="006F5847"/>
    <w:rsid w:val="006F5B1A"/>
    <w:rsid w:val="006F5F76"/>
    <w:rsid w:val="006F6790"/>
    <w:rsid w:val="00700821"/>
    <w:rsid w:val="00700FEB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E26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EF9"/>
    <w:rsid w:val="007232F1"/>
    <w:rsid w:val="00723F60"/>
    <w:rsid w:val="0072454A"/>
    <w:rsid w:val="007245B1"/>
    <w:rsid w:val="00724952"/>
    <w:rsid w:val="00724CD4"/>
    <w:rsid w:val="00724CFE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97C"/>
    <w:rsid w:val="00734051"/>
    <w:rsid w:val="007341BF"/>
    <w:rsid w:val="00734519"/>
    <w:rsid w:val="0073458B"/>
    <w:rsid w:val="00734B84"/>
    <w:rsid w:val="00735D2A"/>
    <w:rsid w:val="00735EBF"/>
    <w:rsid w:val="007365ED"/>
    <w:rsid w:val="00736927"/>
    <w:rsid w:val="0073779C"/>
    <w:rsid w:val="00737A4B"/>
    <w:rsid w:val="00740008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7BC"/>
    <w:rsid w:val="00745A05"/>
    <w:rsid w:val="00745F8E"/>
    <w:rsid w:val="00746452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D42"/>
    <w:rsid w:val="00761C5E"/>
    <w:rsid w:val="00761E24"/>
    <w:rsid w:val="007623B0"/>
    <w:rsid w:val="00762A7D"/>
    <w:rsid w:val="00763020"/>
    <w:rsid w:val="00763B9E"/>
    <w:rsid w:val="00764588"/>
    <w:rsid w:val="007648FE"/>
    <w:rsid w:val="00764B39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41B0"/>
    <w:rsid w:val="007745D3"/>
    <w:rsid w:val="007746DC"/>
    <w:rsid w:val="00774A6A"/>
    <w:rsid w:val="0077558B"/>
    <w:rsid w:val="007756E4"/>
    <w:rsid w:val="00776874"/>
    <w:rsid w:val="0077726C"/>
    <w:rsid w:val="00777AAB"/>
    <w:rsid w:val="00780FF9"/>
    <w:rsid w:val="0078285C"/>
    <w:rsid w:val="00782B30"/>
    <w:rsid w:val="00783A36"/>
    <w:rsid w:val="00783A44"/>
    <w:rsid w:val="007845D4"/>
    <w:rsid w:val="00784DF0"/>
    <w:rsid w:val="00785A38"/>
    <w:rsid w:val="00785C2A"/>
    <w:rsid w:val="007862A9"/>
    <w:rsid w:val="0078668F"/>
    <w:rsid w:val="00786815"/>
    <w:rsid w:val="0078700E"/>
    <w:rsid w:val="00787339"/>
    <w:rsid w:val="00787B59"/>
    <w:rsid w:val="00787F86"/>
    <w:rsid w:val="007900A9"/>
    <w:rsid w:val="007910C3"/>
    <w:rsid w:val="00791110"/>
    <w:rsid w:val="00791250"/>
    <w:rsid w:val="0079150D"/>
    <w:rsid w:val="00791DE1"/>
    <w:rsid w:val="00792A1D"/>
    <w:rsid w:val="00793181"/>
    <w:rsid w:val="0079319C"/>
    <w:rsid w:val="007936BD"/>
    <w:rsid w:val="007936C1"/>
    <w:rsid w:val="00793D45"/>
    <w:rsid w:val="00795E20"/>
    <w:rsid w:val="00796787"/>
    <w:rsid w:val="007975BD"/>
    <w:rsid w:val="007979AB"/>
    <w:rsid w:val="00797B7E"/>
    <w:rsid w:val="007A05A2"/>
    <w:rsid w:val="007A10D6"/>
    <w:rsid w:val="007A12EE"/>
    <w:rsid w:val="007A138C"/>
    <w:rsid w:val="007A1834"/>
    <w:rsid w:val="007A1856"/>
    <w:rsid w:val="007A1E52"/>
    <w:rsid w:val="007A2A4D"/>
    <w:rsid w:val="007A2A5A"/>
    <w:rsid w:val="007A31B2"/>
    <w:rsid w:val="007A3629"/>
    <w:rsid w:val="007A385C"/>
    <w:rsid w:val="007A38F5"/>
    <w:rsid w:val="007A3D24"/>
    <w:rsid w:val="007A4860"/>
    <w:rsid w:val="007A4CAF"/>
    <w:rsid w:val="007A4F7B"/>
    <w:rsid w:val="007A61E4"/>
    <w:rsid w:val="007A704A"/>
    <w:rsid w:val="007A7242"/>
    <w:rsid w:val="007B0222"/>
    <w:rsid w:val="007B0851"/>
    <w:rsid w:val="007B12B0"/>
    <w:rsid w:val="007B1392"/>
    <w:rsid w:val="007B1785"/>
    <w:rsid w:val="007B215A"/>
    <w:rsid w:val="007B22DC"/>
    <w:rsid w:val="007B230A"/>
    <w:rsid w:val="007B24F0"/>
    <w:rsid w:val="007B2A73"/>
    <w:rsid w:val="007B34DC"/>
    <w:rsid w:val="007B3A98"/>
    <w:rsid w:val="007B4008"/>
    <w:rsid w:val="007B49C4"/>
    <w:rsid w:val="007B4D74"/>
    <w:rsid w:val="007B4DC6"/>
    <w:rsid w:val="007B5132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91B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55F"/>
    <w:rsid w:val="007D25B9"/>
    <w:rsid w:val="007D29AD"/>
    <w:rsid w:val="007D2BD3"/>
    <w:rsid w:val="007D2BE8"/>
    <w:rsid w:val="007D306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21D9"/>
    <w:rsid w:val="007E2BDD"/>
    <w:rsid w:val="007E3313"/>
    <w:rsid w:val="007E4206"/>
    <w:rsid w:val="007E45CA"/>
    <w:rsid w:val="007E48C0"/>
    <w:rsid w:val="007E4967"/>
    <w:rsid w:val="007E4DA9"/>
    <w:rsid w:val="007E5885"/>
    <w:rsid w:val="007E61B7"/>
    <w:rsid w:val="007E64FF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DE9"/>
    <w:rsid w:val="007F2E07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4D1"/>
    <w:rsid w:val="0080585D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7A"/>
    <w:rsid w:val="00812DC8"/>
    <w:rsid w:val="0081362B"/>
    <w:rsid w:val="0081450B"/>
    <w:rsid w:val="0081467F"/>
    <w:rsid w:val="00815339"/>
    <w:rsid w:val="0081591F"/>
    <w:rsid w:val="00815A99"/>
    <w:rsid w:val="00815E5B"/>
    <w:rsid w:val="008160D1"/>
    <w:rsid w:val="008162B3"/>
    <w:rsid w:val="0081640D"/>
    <w:rsid w:val="0081687A"/>
    <w:rsid w:val="008169A1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B33"/>
    <w:rsid w:val="0083118A"/>
    <w:rsid w:val="00831784"/>
    <w:rsid w:val="00832727"/>
    <w:rsid w:val="008337C1"/>
    <w:rsid w:val="00834F23"/>
    <w:rsid w:val="00835303"/>
    <w:rsid w:val="008353B6"/>
    <w:rsid w:val="00836A67"/>
    <w:rsid w:val="00836CEB"/>
    <w:rsid w:val="00840EAF"/>
    <w:rsid w:val="008416BF"/>
    <w:rsid w:val="008416FD"/>
    <w:rsid w:val="0084188F"/>
    <w:rsid w:val="00841946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2A3A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B12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F4F"/>
    <w:rsid w:val="008762D8"/>
    <w:rsid w:val="008772D9"/>
    <w:rsid w:val="00877B29"/>
    <w:rsid w:val="008808B9"/>
    <w:rsid w:val="00880B30"/>
    <w:rsid w:val="00880B6E"/>
    <w:rsid w:val="00880F1D"/>
    <w:rsid w:val="0088172A"/>
    <w:rsid w:val="00881F90"/>
    <w:rsid w:val="008851C4"/>
    <w:rsid w:val="00885696"/>
    <w:rsid w:val="0088570A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90139"/>
    <w:rsid w:val="0089160E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B46"/>
    <w:rsid w:val="00896474"/>
    <w:rsid w:val="00896DBC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3D3"/>
    <w:rsid w:val="008A2545"/>
    <w:rsid w:val="008A2636"/>
    <w:rsid w:val="008A2B22"/>
    <w:rsid w:val="008A35DB"/>
    <w:rsid w:val="008A3AF9"/>
    <w:rsid w:val="008A3FBE"/>
    <w:rsid w:val="008A4013"/>
    <w:rsid w:val="008A493B"/>
    <w:rsid w:val="008A4C9C"/>
    <w:rsid w:val="008A6041"/>
    <w:rsid w:val="008A60F8"/>
    <w:rsid w:val="008A69FE"/>
    <w:rsid w:val="008A6EC7"/>
    <w:rsid w:val="008A6F36"/>
    <w:rsid w:val="008A7286"/>
    <w:rsid w:val="008A7346"/>
    <w:rsid w:val="008A7B50"/>
    <w:rsid w:val="008B0641"/>
    <w:rsid w:val="008B0EB7"/>
    <w:rsid w:val="008B138E"/>
    <w:rsid w:val="008B1390"/>
    <w:rsid w:val="008B1C78"/>
    <w:rsid w:val="008B1F87"/>
    <w:rsid w:val="008B28BD"/>
    <w:rsid w:val="008B2990"/>
    <w:rsid w:val="008B2E96"/>
    <w:rsid w:val="008B2F53"/>
    <w:rsid w:val="008B3006"/>
    <w:rsid w:val="008B3139"/>
    <w:rsid w:val="008B3B50"/>
    <w:rsid w:val="008B3D47"/>
    <w:rsid w:val="008B44CB"/>
    <w:rsid w:val="008B46D2"/>
    <w:rsid w:val="008B4BCF"/>
    <w:rsid w:val="008B5253"/>
    <w:rsid w:val="008B53B8"/>
    <w:rsid w:val="008B53D8"/>
    <w:rsid w:val="008B63BE"/>
    <w:rsid w:val="008B640E"/>
    <w:rsid w:val="008B6505"/>
    <w:rsid w:val="008B688D"/>
    <w:rsid w:val="008B6C72"/>
    <w:rsid w:val="008B70EE"/>
    <w:rsid w:val="008B715C"/>
    <w:rsid w:val="008B75B8"/>
    <w:rsid w:val="008B79A9"/>
    <w:rsid w:val="008C07A1"/>
    <w:rsid w:val="008C088F"/>
    <w:rsid w:val="008C0EAD"/>
    <w:rsid w:val="008C1442"/>
    <w:rsid w:val="008C1693"/>
    <w:rsid w:val="008C19D9"/>
    <w:rsid w:val="008C1A5E"/>
    <w:rsid w:val="008C1A81"/>
    <w:rsid w:val="008C29FE"/>
    <w:rsid w:val="008C32CA"/>
    <w:rsid w:val="008C3967"/>
    <w:rsid w:val="008C431E"/>
    <w:rsid w:val="008C54BD"/>
    <w:rsid w:val="008C54C4"/>
    <w:rsid w:val="008C6056"/>
    <w:rsid w:val="008C6628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53E2"/>
    <w:rsid w:val="008D5908"/>
    <w:rsid w:val="008D5AF1"/>
    <w:rsid w:val="008D6A6E"/>
    <w:rsid w:val="008D781F"/>
    <w:rsid w:val="008D7DBE"/>
    <w:rsid w:val="008E02B7"/>
    <w:rsid w:val="008E1D75"/>
    <w:rsid w:val="008E20BE"/>
    <w:rsid w:val="008E241B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9A3"/>
    <w:rsid w:val="008E7CC9"/>
    <w:rsid w:val="008F02A1"/>
    <w:rsid w:val="008F0E69"/>
    <w:rsid w:val="008F1212"/>
    <w:rsid w:val="008F12FF"/>
    <w:rsid w:val="008F1E55"/>
    <w:rsid w:val="008F2B5F"/>
    <w:rsid w:val="008F3D3E"/>
    <w:rsid w:val="008F3F31"/>
    <w:rsid w:val="008F41B4"/>
    <w:rsid w:val="008F4655"/>
    <w:rsid w:val="008F4779"/>
    <w:rsid w:val="008F542B"/>
    <w:rsid w:val="008F5670"/>
    <w:rsid w:val="008F599F"/>
    <w:rsid w:val="008F63DF"/>
    <w:rsid w:val="008F64E5"/>
    <w:rsid w:val="008F677E"/>
    <w:rsid w:val="008F74F7"/>
    <w:rsid w:val="008F7C28"/>
    <w:rsid w:val="0090034D"/>
    <w:rsid w:val="00900D91"/>
    <w:rsid w:val="00900EC7"/>
    <w:rsid w:val="00900FFC"/>
    <w:rsid w:val="009011F9"/>
    <w:rsid w:val="00901244"/>
    <w:rsid w:val="0090197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2347"/>
    <w:rsid w:val="0091268D"/>
    <w:rsid w:val="009129C1"/>
    <w:rsid w:val="009137B3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D81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9E3"/>
    <w:rsid w:val="00924A6C"/>
    <w:rsid w:val="00924AED"/>
    <w:rsid w:val="00924ED4"/>
    <w:rsid w:val="00924F63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D04"/>
    <w:rsid w:val="00932E9E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9C5"/>
    <w:rsid w:val="00935CFA"/>
    <w:rsid w:val="00936157"/>
    <w:rsid w:val="009361E8"/>
    <w:rsid w:val="00936247"/>
    <w:rsid w:val="00936501"/>
    <w:rsid w:val="009366AD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B61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267E"/>
    <w:rsid w:val="00952EBB"/>
    <w:rsid w:val="00952F24"/>
    <w:rsid w:val="00952FD9"/>
    <w:rsid w:val="0095370E"/>
    <w:rsid w:val="00953B5D"/>
    <w:rsid w:val="00953D3D"/>
    <w:rsid w:val="00953F68"/>
    <w:rsid w:val="009543D8"/>
    <w:rsid w:val="009545D6"/>
    <w:rsid w:val="00954608"/>
    <w:rsid w:val="00954F67"/>
    <w:rsid w:val="0095581C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5D7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9CC"/>
    <w:rsid w:val="00967517"/>
    <w:rsid w:val="009675EB"/>
    <w:rsid w:val="00967655"/>
    <w:rsid w:val="009706DC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546"/>
    <w:rsid w:val="009765F1"/>
    <w:rsid w:val="00976FCF"/>
    <w:rsid w:val="00980BAC"/>
    <w:rsid w:val="00980DF0"/>
    <w:rsid w:val="00980F3F"/>
    <w:rsid w:val="00981D1C"/>
    <w:rsid w:val="00982214"/>
    <w:rsid w:val="009823D4"/>
    <w:rsid w:val="00982474"/>
    <w:rsid w:val="00982E9C"/>
    <w:rsid w:val="00983285"/>
    <w:rsid w:val="00983F25"/>
    <w:rsid w:val="00984672"/>
    <w:rsid w:val="00984F97"/>
    <w:rsid w:val="0098569D"/>
    <w:rsid w:val="00985A09"/>
    <w:rsid w:val="00986277"/>
    <w:rsid w:val="009866A3"/>
    <w:rsid w:val="0098693D"/>
    <w:rsid w:val="00986D0D"/>
    <w:rsid w:val="00990343"/>
    <w:rsid w:val="009905E1"/>
    <w:rsid w:val="0099064C"/>
    <w:rsid w:val="0099078A"/>
    <w:rsid w:val="0099097F"/>
    <w:rsid w:val="00990C73"/>
    <w:rsid w:val="009916FA"/>
    <w:rsid w:val="00991974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5A"/>
    <w:rsid w:val="0099635A"/>
    <w:rsid w:val="009965BC"/>
    <w:rsid w:val="0099662E"/>
    <w:rsid w:val="00997258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54D4"/>
    <w:rsid w:val="009A5501"/>
    <w:rsid w:val="009A5AE0"/>
    <w:rsid w:val="009A6621"/>
    <w:rsid w:val="009A6AEA"/>
    <w:rsid w:val="009A6CC5"/>
    <w:rsid w:val="009B1F3A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C0448"/>
    <w:rsid w:val="009C0615"/>
    <w:rsid w:val="009C0CF8"/>
    <w:rsid w:val="009C0ED7"/>
    <w:rsid w:val="009C125A"/>
    <w:rsid w:val="009C1EB2"/>
    <w:rsid w:val="009C2675"/>
    <w:rsid w:val="009C2839"/>
    <w:rsid w:val="009C2DC4"/>
    <w:rsid w:val="009C3042"/>
    <w:rsid w:val="009C386A"/>
    <w:rsid w:val="009C3E76"/>
    <w:rsid w:val="009C3E9C"/>
    <w:rsid w:val="009C3EF2"/>
    <w:rsid w:val="009C4A32"/>
    <w:rsid w:val="009C5908"/>
    <w:rsid w:val="009C599C"/>
    <w:rsid w:val="009C63AB"/>
    <w:rsid w:val="009C69D0"/>
    <w:rsid w:val="009C69F4"/>
    <w:rsid w:val="009C6AAC"/>
    <w:rsid w:val="009C7163"/>
    <w:rsid w:val="009C77A3"/>
    <w:rsid w:val="009D1082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66B9"/>
    <w:rsid w:val="009D6B77"/>
    <w:rsid w:val="009D6CE1"/>
    <w:rsid w:val="009E0AB5"/>
    <w:rsid w:val="009E12E3"/>
    <w:rsid w:val="009E14B2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5013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31C"/>
    <w:rsid w:val="009F2512"/>
    <w:rsid w:val="009F2C7D"/>
    <w:rsid w:val="009F40CE"/>
    <w:rsid w:val="009F4CDA"/>
    <w:rsid w:val="009F59BF"/>
    <w:rsid w:val="009F5F68"/>
    <w:rsid w:val="009F70CE"/>
    <w:rsid w:val="009F776E"/>
    <w:rsid w:val="009F7FAE"/>
    <w:rsid w:val="00A00F42"/>
    <w:rsid w:val="00A01519"/>
    <w:rsid w:val="00A0195A"/>
    <w:rsid w:val="00A02D3C"/>
    <w:rsid w:val="00A032EA"/>
    <w:rsid w:val="00A0408F"/>
    <w:rsid w:val="00A04E68"/>
    <w:rsid w:val="00A05975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2CCC"/>
    <w:rsid w:val="00A12D1A"/>
    <w:rsid w:val="00A12E07"/>
    <w:rsid w:val="00A12F3D"/>
    <w:rsid w:val="00A13A4E"/>
    <w:rsid w:val="00A15566"/>
    <w:rsid w:val="00A15B2D"/>
    <w:rsid w:val="00A163CD"/>
    <w:rsid w:val="00A16778"/>
    <w:rsid w:val="00A16910"/>
    <w:rsid w:val="00A16B57"/>
    <w:rsid w:val="00A20207"/>
    <w:rsid w:val="00A20224"/>
    <w:rsid w:val="00A21424"/>
    <w:rsid w:val="00A21997"/>
    <w:rsid w:val="00A22EE6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D00"/>
    <w:rsid w:val="00A32051"/>
    <w:rsid w:val="00A32AE0"/>
    <w:rsid w:val="00A32B77"/>
    <w:rsid w:val="00A32BB4"/>
    <w:rsid w:val="00A33CCF"/>
    <w:rsid w:val="00A35D65"/>
    <w:rsid w:val="00A36CF6"/>
    <w:rsid w:val="00A36EC5"/>
    <w:rsid w:val="00A37DDD"/>
    <w:rsid w:val="00A37EDA"/>
    <w:rsid w:val="00A4035D"/>
    <w:rsid w:val="00A413A3"/>
    <w:rsid w:val="00A43270"/>
    <w:rsid w:val="00A4539E"/>
    <w:rsid w:val="00A46080"/>
    <w:rsid w:val="00A461CB"/>
    <w:rsid w:val="00A46252"/>
    <w:rsid w:val="00A46C6C"/>
    <w:rsid w:val="00A46EB1"/>
    <w:rsid w:val="00A47961"/>
    <w:rsid w:val="00A47A54"/>
    <w:rsid w:val="00A47C59"/>
    <w:rsid w:val="00A50FEC"/>
    <w:rsid w:val="00A5183F"/>
    <w:rsid w:val="00A51FC3"/>
    <w:rsid w:val="00A532FC"/>
    <w:rsid w:val="00A53624"/>
    <w:rsid w:val="00A54F72"/>
    <w:rsid w:val="00A565B6"/>
    <w:rsid w:val="00A567E2"/>
    <w:rsid w:val="00A56806"/>
    <w:rsid w:val="00A57F15"/>
    <w:rsid w:val="00A60066"/>
    <w:rsid w:val="00A60146"/>
    <w:rsid w:val="00A60179"/>
    <w:rsid w:val="00A61782"/>
    <w:rsid w:val="00A61FDA"/>
    <w:rsid w:val="00A63850"/>
    <w:rsid w:val="00A64787"/>
    <w:rsid w:val="00A648E9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D3F"/>
    <w:rsid w:val="00A768C8"/>
    <w:rsid w:val="00A76C21"/>
    <w:rsid w:val="00A77727"/>
    <w:rsid w:val="00A80DB3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954"/>
    <w:rsid w:val="00A92C54"/>
    <w:rsid w:val="00A92DB9"/>
    <w:rsid w:val="00A93738"/>
    <w:rsid w:val="00A94084"/>
    <w:rsid w:val="00A9446E"/>
    <w:rsid w:val="00A94AD0"/>
    <w:rsid w:val="00A953A8"/>
    <w:rsid w:val="00A96852"/>
    <w:rsid w:val="00A96C21"/>
    <w:rsid w:val="00A9791D"/>
    <w:rsid w:val="00A97B20"/>
    <w:rsid w:val="00A97D4A"/>
    <w:rsid w:val="00A97DB8"/>
    <w:rsid w:val="00AA0209"/>
    <w:rsid w:val="00AA03A6"/>
    <w:rsid w:val="00AA1128"/>
    <w:rsid w:val="00AA1A7C"/>
    <w:rsid w:val="00AA1ADA"/>
    <w:rsid w:val="00AA20B3"/>
    <w:rsid w:val="00AA2A7D"/>
    <w:rsid w:val="00AA2A95"/>
    <w:rsid w:val="00AA2ECC"/>
    <w:rsid w:val="00AA3495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32C1"/>
    <w:rsid w:val="00AB3552"/>
    <w:rsid w:val="00AB49C3"/>
    <w:rsid w:val="00AB55F8"/>
    <w:rsid w:val="00AB5DF2"/>
    <w:rsid w:val="00AB6C4D"/>
    <w:rsid w:val="00AB7866"/>
    <w:rsid w:val="00AC1D3B"/>
    <w:rsid w:val="00AC226A"/>
    <w:rsid w:val="00AC246C"/>
    <w:rsid w:val="00AC26BF"/>
    <w:rsid w:val="00AC2FB2"/>
    <w:rsid w:val="00AC32FB"/>
    <w:rsid w:val="00AC34C0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E49"/>
    <w:rsid w:val="00AD099F"/>
    <w:rsid w:val="00AD1C10"/>
    <w:rsid w:val="00AD2E7B"/>
    <w:rsid w:val="00AD2F8F"/>
    <w:rsid w:val="00AD3685"/>
    <w:rsid w:val="00AD3798"/>
    <w:rsid w:val="00AD3D9D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D8D"/>
    <w:rsid w:val="00AE1EC6"/>
    <w:rsid w:val="00AE23C8"/>
    <w:rsid w:val="00AE265A"/>
    <w:rsid w:val="00AE308D"/>
    <w:rsid w:val="00AE36D1"/>
    <w:rsid w:val="00AE3DDB"/>
    <w:rsid w:val="00AE4A64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23D9"/>
    <w:rsid w:val="00AF290E"/>
    <w:rsid w:val="00AF29FA"/>
    <w:rsid w:val="00AF2CA1"/>
    <w:rsid w:val="00AF37D5"/>
    <w:rsid w:val="00AF381B"/>
    <w:rsid w:val="00AF3F63"/>
    <w:rsid w:val="00AF4345"/>
    <w:rsid w:val="00AF463B"/>
    <w:rsid w:val="00AF4CC5"/>
    <w:rsid w:val="00AF4D6D"/>
    <w:rsid w:val="00AF5319"/>
    <w:rsid w:val="00AF608B"/>
    <w:rsid w:val="00AF6A59"/>
    <w:rsid w:val="00AF75A9"/>
    <w:rsid w:val="00AF7BDD"/>
    <w:rsid w:val="00B00F8C"/>
    <w:rsid w:val="00B00FEC"/>
    <w:rsid w:val="00B01693"/>
    <w:rsid w:val="00B0205C"/>
    <w:rsid w:val="00B02145"/>
    <w:rsid w:val="00B02F0C"/>
    <w:rsid w:val="00B03776"/>
    <w:rsid w:val="00B03ED8"/>
    <w:rsid w:val="00B0401D"/>
    <w:rsid w:val="00B042D2"/>
    <w:rsid w:val="00B04E8D"/>
    <w:rsid w:val="00B04F50"/>
    <w:rsid w:val="00B0542F"/>
    <w:rsid w:val="00B05A05"/>
    <w:rsid w:val="00B06495"/>
    <w:rsid w:val="00B064F1"/>
    <w:rsid w:val="00B06DA3"/>
    <w:rsid w:val="00B109DF"/>
    <w:rsid w:val="00B10E7D"/>
    <w:rsid w:val="00B10EE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1F4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200D3"/>
    <w:rsid w:val="00B2060E"/>
    <w:rsid w:val="00B20DCF"/>
    <w:rsid w:val="00B20F8A"/>
    <w:rsid w:val="00B215EB"/>
    <w:rsid w:val="00B22023"/>
    <w:rsid w:val="00B22522"/>
    <w:rsid w:val="00B2288A"/>
    <w:rsid w:val="00B23BF0"/>
    <w:rsid w:val="00B24D66"/>
    <w:rsid w:val="00B258AF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D7"/>
    <w:rsid w:val="00B3091E"/>
    <w:rsid w:val="00B31602"/>
    <w:rsid w:val="00B319FE"/>
    <w:rsid w:val="00B3232C"/>
    <w:rsid w:val="00B331B8"/>
    <w:rsid w:val="00B33786"/>
    <w:rsid w:val="00B337A4"/>
    <w:rsid w:val="00B34725"/>
    <w:rsid w:val="00B355F0"/>
    <w:rsid w:val="00B3578C"/>
    <w:rsid w:val="00B36D9E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1604"/>
    <w:rsid w:val="00B5197B"/>
    <w:rsid w:val="00B51F64"/>
    <w:rsid w:val="00B5248D"/>
    <w:rsid w:val="00B53B4E"/>
    <w:rsid w:val="00B53C5F"/>
    <w:rsid w:val="00B53CFF"/>
    <w:rsid w:val="00B53F86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210A"/>
    <w:rsid w:val="00B6220A"/>
    <w:rsid w:val="00B629F3"/>
    <w:rsid w:val="00B6358B"/>
    <w:rsid w:val="00B63C08"/>
    <w:rsid w:val="00B64041"/>
    <w:rsid w:val="00B640CF"/>
    <w:rsid w:val="00B65828"/>
    <w:rsid w:val="00B65E01"/>
    <w:rsid w:val="00B665BB"/>
    <w:rsid w:val="00B66800"/>
    <w:rsid w:val="00B668CA"/>
    <w:rsid w:val="00B66AB0"/>
    <w:rsid w:val="00B66E77"/>
    <w:rsid w:val="00B677D7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344D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D97"/>
    <w:rsid w:val="00B940B6"/>
    <w:rsid w:val="00B94392"/>
    <w:rsid w:val="00B955F5"/>
    <w:rsid w:val="00B95663"/>
    <w:rsid w:val="00B95A36"/>
    <w:rsid w:val="00B95CCC"/>
    <w:rsid w:val="00B95F44"/>
    <w:rsid w:val="00B9611F"/>
    <w:rsid w:val="00B961EA"/>
    <w:rsid w:val="00B96D3C"/>
    <w:rsid w:val="00B97577"/>
    <w:rsid w:val="00BA0FE9"/>
    <w:rsid w:val="00BA103F"/>
    <w:rsid w:val="00BA139F"/>
    <w:rsid w:val="00BA1A0B"/>
    <w:rsid w:val="00BA1E85"/>
    <w:rsid w:val="00BA359B"/>
    <w:rsid w:val="00BA3A93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25BB"/>
    <w:rsid w:val="00BB287A"/>
    <w:rsid w:val="00BB4A6F"/>
    <w:rsid w:val="00BB56B1"/>
    <w:rsid w:val="00BB5759"/>
    <w:rsid w:val="00BB5A30"/>
    <w:rsid w:val="00BB5B98"/>
    <w:rsid w:val="00BB7BAC"/>
    <w:rsid w:val="00BC009A"/>
    <w:rsid w:val="00BC057A"/>
    <w:rsid w:val="00BC08D8"/>
    <w:rsid w:val="00BC08FC"/>
    <w:rsid w:val="00BC13CC"/>
    <w:rsid w:val="00BC202D"/>
    <w:rsid w:val="00BC213B"/>
    <w:rsid w:val="00BC2964"/>
    <w:rsid w:val="00BC3112"/>
    <w:rsid w:val="00BC3776"/>
    <w:rsid w:val="00BC39C4"/>
    <w:rsid w:val="00BC3D8E"/>
    <w:rsid w:val="00BC3E7F"/>
    <w:rsid w:val="00BC41B5"/>
    <w:rsid w:val="00BC4C63"/>
    <w:rsid w:val="00BC54D1"/>
    <w:rsid w:val="00BC6308"/>
    <w:rsid w:val="00BC63FE"/>
    <w:rsid w:val="00BC666D"/>
    <w:rsid w:val="00BC67A4"/>
    <w:rsid w:val="00BC6B4D"/>
    <w:rsid w:val="00BC6C4F"/>
    <w:rsid w:val="00BC76AA"/>
    <w:rsid w:val="00BD1290"/>
    <w:rsid w:val="00BD1CFB"/>
    <w:rsid w:val="00BD2B8F"/>
    <w:rsid w:val="00BD2F3F"/>
    <w:rsid w:val="00BD35B9"/>
    <w:rsid w:val="00BD369D"/>
    <w:rsid w:val="00BD36EC"/>
    <w:rsid w:val="00BD4A52"/>
    <w:rsid w:val="00BD51CA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770F"/>
    <w:rsid w:val="00BE778C"/>
    <w:rsid w:val="00BF01D4"/>
    <w:rsid w:val="00BF1B9B"/>
    <w:rsid w:val="00BF20FB"/>
    <w:rsid w:val="00BF2355"/>
    <w:rsid w:val="00BF2997"/>
    <w:rsid w:val="00BF2B84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3041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6495"/>
    <w:rsid w:val="00C26B77"/>
    <w:rsid w:val="00C273ED"/>
    <w:rsid w:val="00C27447"/>
    <w:rsid w:val="00C27891"/>
    <w:rsid w:val="00C27D45"/>
    <w:rsid w:val="00C300F5"/>
    <w:rsid w:val="00C30AED"/>
    <w:rsid w:val="00C31073"/>
    <w:rsid w:val="00C314B5"/>
    <w:rsid w:val="00C32532"/>
    <w:rsid w:val="00C32570"/>
    <w:rsid w:val="00C32C1E"/>
    <w:rsid w:val="00C32D53"/>
    <w:rsid w:val="00C32F69"/>
    <w:rsid w:val="00C3312E"/>
    <w:rsid w:val="00C337CD"/>
    <w:rsid w:val="00C33CD5"/>
    <w:rsid w:val="00C340CF"/>
    <w:rsid w:val="00C34101"/>
    <w:rsid w:val="00C348FE"/>
    <w:rsid w:val="00C34FBC"/>
    <w:rsid w:val="00C35087"/>
    <w:rsid w:val="00C3523B"/>
    <w:rsid w:val="00C35947"/>
    <w:rsid w:val="00C36FFE"/>
    <w:rsid w:val="00C40A83"/>
    <w:rsid w:val="00C40D37"/>
    <w:rsid w:val="00C412E1"/>
    <w:rsid w:val="00C413EC"/>
    <w:rsid w:val="00C416FD"/>
    <w:rsid w:val="00C41E73"/>
    <w:rsid w:val="00C41F28"/>
    <w:rsid w:val="00C41FA0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87"/>
    <w:rsid w:val="00C47CD2"/>
    <w:rsid w:val="00C47D56"/>
    <w:rsid w:val="00C510DE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73C7"/>
    <w:rsid w:val="00C575E8"/>
    <w:rsid w:val="00C5777E"/>
    <w:rsid w:val="00C57EB0"/>
    <w:rsid w:val="00C60984"/>
    <w:rsid w:val="00C60E33"/>
    <w:rsid w:val="00C6105E"/>
    <w:rsid w:val="00C6111A"/>
    <w:rsid w:val="00C615DC"/>
    <w:rsid w:val="00C61801"/>
    <w:rsid w:val="00C618DF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E74"/>
    <w:rsid w:val="00C67029"/>
    <w:rsid w:val="00C6717B"/>
    <w:rsid w:val="00C70B38"/>
    <w:rsid w:val="00C70B43"/>
    <w:rsid w:val="00C714F2"/>
    <w:rsid w:val="00C71A56"/>
    <w:rsid w:val="00C72FA0"/>
    <w:rsid w:val="00C730CC"/>
    <w:rsid w:val="00C740DE"/>
    <w:rsid w:val="00C7532A"/>
    <w:rsid w:val="00C75721"/>
    <w:rsid w:val="00C760A6"/>
    <w:rsid w:val="00C762B7"/>
    <w:rsid w:val="00C763D3"/>
    <w:rsid w:val="00C76825"/>
    <w:rsid w:val="00C77C4B"/>
    <w:rsid w:val="00C77D50"/>
    <w:rsid w:val="00C77F77"/>
    <w:rsid w:val="00C80DC6"/>
    <w:rsid w:val="00C815E4"/>
    <w:rsid w:val="00C8290C"/>
    <w:rsid w:val="00C8512B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4A1B"/>
    <w:rsid w:val="00C94EF3"/>
    <w:rsid w:val="00C952A9"/>
    <w:rsid w:val="00C9534F"/>
    <w:rsid w:val="00C95E98"/>
    <w:rsid w:val="00C95F67"/>
    <w:rsid w:val="00C961C0"/>
    <w:rsid w:val="00C965E4"/>
    <w:rsid w:val="00C9739A"/>
    <w:rsid w:val="00CA13BF"/>
    <w:rsid w:val="00CA13F7"/>
    <w:rsid w:val="00CA1463"/>
    <w:rsid w:val="00CA14DE"/>
    <w:rsid w:val="00CA2595"/>
    <w:rsid w:val="00CA2A57"/>
    <w:rsid w:val="00CA2C4B"/>
    <w:rsid w:val="00CA30A9"/>
    <w:rsid w:val="00CA35EC"/>
    <w:rsid w:val="00CA3D36"/>
    <w:rsid w:val="00CA3EC4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557A"/>
    <w:rsid w:val="00CB6108"/>
    <w:rsid w:val="00CB644A"/>
    <w:rsid w:val="00CB65A6"/>
    <w:rsid w:val="00CB7071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2B9C"/>
    <w:rsid w:val="00CC30D6"/>
    <w:rsid w:val="00CC326E"/>
    <w:rsid w:val="00CC378A"/>
    <w:rsid w:val="00CC38EE"/>
    <w:rsid w:val="00CC566D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F49"/>
    <w:rsid w:val="00CE4946"/>
    <w:rsid w:val="00CE49B0"/>
    <w:rsid w:val="00CE4EA8"/>
    <w:rsid w:val="00CE5261"/>
    <w:rsid w:val="00CE584B"/>
    <w:rsid w:val="00CE5A0A"/>
    <w:rsid w:val="00CE6C5C"/>
    <w:rsid w:val="00CE72F6"/>
    <w:rsid w:val="00CE7FF2"/>
    <w:rsid w:val="00CF063B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85D"/>
    <w:rsid w:val="00CF5CA8"/>
    <w:rsid w:val="00CF6EA9"/>
    <w:rsid w:val="00CF72BD"/>
    <w:rsid w:val="00CF767E"/>
    <w:rsid w:val="00CF78C0"/>
    <w:rsid w:val="00D015A8"/>
    <w:rsid w:val="00D024F9"/>
    <w:rsid w:val="00D027F9"/>
    <w:rsid w:val="00D032AA"/>
    <w:rsid w:val="00D03A3E"/>
    <w:rsid w:val="00D03B1A"/>
    <w:rsid w:val="00D03E97"/>
    <w:rsid w:val="00D040BB"/>
    <w:rsid w:val="00D056E9"/>
    <w:rsid w:val="00D05CB6"/>
    <w:rsid w:val="00D06325"/>
    <w:rsid w:val="00D07684"/>
    <w:rsid w:val="00D076A6"/>
    <w:rsid w:val="00D07F59"/>
    <w:rsid w:val="00D1026B"/>
    <w:rsid w:val="00D104B2"/>
    <w:rsid w:val="00D10986"/>
    <w:rsid w:val="00D11BB2"/>
    <w:rsid w:val="00D123F2"/>
    <w:rsid w:val="00D12F1F"/>
    <w:rsid w:val="00D13207"/>
    <w:rsid w:val="00D13358"/>
    <w:rsid w:val="00D1342C"/>
    <w:rsid w:val="00D142DE"/>
    <w:rsid w:val="00D142FA"/>
    <w:rsid w:val="00D14873"/>
    <w:rsid w:val="00D14C06"/>
    <w:rsid w:val="00D14DAF"/>
    <w:rsid w:val="00D1564A"/>
    <w:rsid w:val="00D156E5"/>
    <w:rsid w:val="00D15AF0"/>
    <w:rsid w:val="00D15D3B"/>
    <w:rsid w:val="00D16747"/>
    <w:rsid w:val="00D175C7"/>
    <w:rsid w:val="00D17E09"/>
    <w:rsid w:val="00D20886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6FF"/>
    <w:rsid w:val="00D33977"/>
    <w:rsid w:val="00D34097"/>
    <w:rsid w:val="00D34174"/>
    <w:rsid w:val="00D3544C"/>
    <w:rsid w:val="00D361A1"/>
    <w:rsid w:val="00D3719F"/>
    <w:rsid w:val="00D371C8"/>
    <w:rsid w:val="00D4061B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DBF"/>
    <w:rsid w:val="00D46F26"/>
    <w:rsid w:val="00D47591"/>
    <w:rsid w:val="00D50F4A"/>
    <w:rsid w:val="00D51089"/>
    <w:rsid w:val="00D5228C"/>
    <w:rsid w:val="00D52E06"/>
    <w:rsid w:val="00D53650"/>
    <w:rsid w:val="00D54129"/>
    <w:rsid w:val="00D553C7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59F8"/>
    <w:rsid w:val="00D65D96"/>
    <w:rsid w:val="00D6616F"/>
    <w:rsid w:val="00D6699B"/>
    <w:rsid w:val="00D7009E"/>
    <w:rsid w:val="00D7068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AC2"/>
    <w:rsid w:val="00D72CAE"/>
    <w:rsid w:val="00D73F28"/>
    <w:rsid w:val="00D74660"/>
    <w:rsid w:val="00D74797"/>
    <w:rsid w:val="00D74968"/>
    <w:rsid w:val="00D749D2"/>
    <w:rsid w:val="00D74D9B"/>
    <w:rsid w:val="00D750A2"/>
    <w:rsid w:val="00D75650"/>
    <w:rsid w:val="00D756E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B9A"/>
    <w:rsid w:val="00D822C6"/>
    <w:rsid w:val="00D82522"/>
    <w:rsid w:val="00D82890"/>
    <w:rsid w:val="00D83CCC"/>
    <w:rsid w:val="00D843D6"/>
    <w:rsid w:val="00D85237"/>
    <w:rsid w:val="00D85475"/>
    <w:rsid w:val="00D85566"/>
    <w:rsid w:val="00D85A2F"/>
    <w:rsid w:val="00D85A69"/>
    <w:rsid w:val="00D86605"/>
    <w:rsid w:val="00D87BDC"/>
    <w:rsid w:val="00D87CC9"/>
    <w:rsid w:val="00D9096B"/>
    <w:rsid w:val="00D90B9F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B0E"/>
    <w:rsid w:val="00DA50E4"/>
    <w:rsid w:val="00DA5BEB"/>
    <w:rsid w:val="00DA6BFD"/>
    <w:rsid w:val="00DA7261"/>
    <w:rsid w:val="00DA7645"/>
    <w:rsid w:val="00DA7E15"/>
    <w:rsid w:val="00DA7EE0"/>
    <w:rsid w:val="00DA7FC8"/>
    <w:rsid w:val="00DB02FF"/>
    <w:rsid w:val="00DB10BD"/>
    <w:rsid w:val="00DB1433"/>
    <w:rsid w:val="00DB197C"/>
    <w:rsid w:val="00DB1AAF"/>
    <w:rsid w:val="00DB26B5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6F55"/>
    <w:rsid w:val="00DB7F10"/>
    <w:rsid w:val="00DC1524"/>
    <w:rsid w:val="00DC1889"/>
    <w:rsid w:val="00DC1CA3"/>
    <w:rsid w:val="00DC2A33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E"/>
    <w:rsid w:val="00DC75BB"/>
    <w:rsid w:val="00DC7EBE"/>
    <w:rsid w:val="00DD0DA2"/>
    <w:rsid w:val="00DD12EF"/>
    <w:rsid w:val="00DD158F"/>
    <w:rsid w:val="00DD16FB"/>
    <w:rsid w:val="00DD232B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E7CAB"/>
    <w:rsid w:val="00DF0A8D"/>
    <w:rsid w:val="00DF0E97"/>
    <w:rsid w:val="00DF11F0"/>
    <w:rsid w:val="00DF1956"/>
    <w:rsid w:val="00DF1AD2"/>
    <w:rsid w:val="00DF1D62"/>
    <w:rsid w:val="00DF2170"/>
    <w:rsid w:val="00DF2912"/>
    <w:rsid w:val="00DF2FC2"/>
    <w:rsid w:val="00DF3D62"/>
    <w:rsid w:val="00DF572E"/>
    <w:rsid w:val="00DF596A"/>
    <w:rsid w:val="00DF6DA6"/>
    <w:rsid w:val="00DF708D"/>
    <w:rsid w:val="00DF751C"/>
    <w:rsid w:val="00DF7EB8"/>
    <w:rsid w:val="00E0029F"/>
    <w:rsid w:val="00E0031E"/>
    <w:rsid w:val="00E006E6"/>
    <w:rsid w:val="00E00FD5"/>
    <w:rsid w:val="00E01956"/>
    <w:rsid w:val="00E01ED2"/>
    <w:rsid w:val="00E02047"/>
    <w:rsid w:val="00E023E5"/>
    <w:rsid w:val="00E02837"/>
    <w:rsid w:val="00E0443C"/>
    <w:rsid w:val="00E04B4F"/>
    <w:rsid w:val="00E06BCE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D4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336E"/>
    <w:rsid w:val="00E23655"/>
    <w:rsid w:val="00E23AB9"/>
    <w:rsid w:val="00E23AC4"/>
    <w:rsid w:val="00E23ED2"/>
    <w:rsid w:val="00E2427B"/>
    <w:rsid w:val="00E256F7"/>
    <w:rsid w:val="00E25995"/>
    <w:rsid w:val="00E25D57"/>
    <w:rsid w:val="00E26257"/>
    <w:rsid w:val="00E264AD"/>
    <w:rsid w:val="00E27074"/>
    <w:rsid w:val="00E2777E"/>
    <w:rsid w:val="00E27E1C"/>
    <w:rsid w:val="00E300F2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ED4"/>
    <w:rsid w:val="00E35580"/>
    <w:rsid w:val="00E3626F"/>
    <w:rsid w:val="00E36DD5"/>
    <w:rsid w:val="00E36E11"/>
    <w:rsid w:val="00E3751A"/>
    <w:rsid w:val="00E377A6"/>
    <w:rsid w:val="00E4005E"/>
    <w:rsid w:val="00E40A1E"/>
    <w:rsid w:val="00E41CF2"/>
    <w:rsid w:val="00E41D23"/>
    <w:rsid w:val="00E4297F"/>
    <w:rsid w:val="00E438F7"/>
    <w:rsid w:val="00E43E29"/>
    <w:rsid w:val="00E43EE5"/>
    <w:rsid w:val="00E44ACD"/>
    <w:rsid w:val="00E44CB9"/>
    <w:rsid w:val="00E45343"/>
    <w:rsid w:val="00E45B97"/>
    <w:rsid w:val="00E46852"/>
    <w:rsid w:val="00E46AB1"/>
    <w:rsid w:val="00E47134"/>
    <w:rsid w:val="00E479FF"/>
    <w:rsid w:val="00E511DA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48F2"/>
    <w:rsid w:val="00E55558"/>
    <w:rsid w:val="00E55BB8"/>
    <w:rsid w:val="00E56344"/>
    <w:rsid w:val="00E57E87"/>
    <w:rsid w:val="00E60DE1"/>
    <w:rsid w:val="00E61076"/>
    <w:rsid w:val="00E61812"/>
    <w:rsid w:val="00E61C1E"/>
    <w:rsid w:val="00E62CF0"/>
    <w:rsid w:val="00E62E5D"/>
    <w:rsid w:val="00E63096"/>
    <w:rsid w:val="00E6446D"/>
    <w:rsid w:val="00E65073"/>
    <w:rsid w:val="00E65E8C"/>
    <w:rsid w:val="00E66800"/>
    <w:rsid w:val="00E66D78"/>
    <w:rsid w:val="00E673C1"/>
    <w:rsid w:val="00E67C5C"/>
    <w:rsid w:val="00E67E55"/>
    <w:rsid w:val="00E70504"/>
    <w:rsid w:val="00E71198"/>
    <w:rsid w:val="00E71E4F"/>
    <w:rsid w:val="00E72486"/>
    <w:rsid w:val="00E724EF"/>
    <w:rsid w:val="00E7250A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2135"/>
    <w:rsid w:val="00E82862"/>
    <w:rsid w:val="00E82CA0"/>
    <w:rsid w:val="00E82E17"/>
    <w:rsid w:val="00E84324"/>
    <w:rsid w:val="00E84AD4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A19"/>
    <w:rsid w:val="00E91460"/>
    <w:rsid w:val="00E915F1"/>
    <w:rsid w:val="00E9182A"/>
    <w:rsid w:val="00E91C42"/>
    <w:rsid w:val="00E92341"/>
    <w:rsid w:val="00E92BD2"/>
    <w:rsid w:val="00E93635"/>
    <w:rsid w:val="00E93E2E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1514"/>
    <w:rsid w:val="00EA16E1"/>
    <w:rsid w:val="00EA1767"/>
    <w:rsid w:val="00EA1F8E"/>
    <w:rsid w:val="00EA2360"/>
    <w:rsid w:val="00EA272B"/>
    <w:rsid w:val="00EA27C6"/>
    <w:rsid w:val="00EA2F5D"/>
    <w:rsid w:val="00EA301E"/>
    <w:rsid w:val="00EA34AC"/>
    <w:rsid w:val="00EA3BA1"/>
    <w:rsid w:val="00EA449C"/>
    <w:rsid w:val="00EA4F1E"/>
    <w:rsid w:val="00EA4F7D"/>
    <w:rsid w:val="00EA5F9C"/>
    <w:rsid w:val="00EA633B"/>
    <w:rsid w:val="00EA659C"/>
    <w:rsid w:val="00EA7206"/>
    <w:rsid w:val="00EB08A1"/>
    <w:rsid w:val="00EB0A68"/>
    <w:rsid w:val="00EB0E6A"/>
    <w:rsid w:val="00EB0FE6"/>
    <w:rsid w:val="00EB16EB"/>
    <w:rsid w:val="00EB182C"/>
    <w:rsid w:val="00EB19D9"/>
    <w:rsid w:val="00EB1A00"/>
    <w:rsid w:val="00EB2287"/>
    <w:rsid w:val="00EB269D"/>
    <w:rsid w:val="00EB30E8"/>
    <w:rsid w:val="00EB344E"/>
    <w:rsid w:val="00EB397E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B"/>
    <w:rsid w:val="00EB7605"/>
    <w:rsid w:val="00EB76CB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44B6"/>
    <w:rsid w:val="00EC552D"/>
    <w:rsid w:val="00EC5B93"/>
    <w:rsid w:val="00EC64A1"/>
    <w:rsid w:val="00EC6506"/>
    <w:rsid w:val="00EC774B"/>
    <w:rsid w:val="00ED13EB"/>
    <w:rsid w:val="00ED1462"/>
    <w:rsid w:val="00ED14A1"/>
    <w:rsid w:val="00ED17FA"/>
    <w:rsid w:val="00ED1856"/>
    <w:rsid w:val="00ED24B6"/>
    <w:rsid w:val="00ED25D2"/>
    <w:rsid w:val="00ED35A5"/>
    <w:rsid w:val="00ED35C0"/>
    <w:rsid w:val="00ED3F38"/>
    <w:rsid w:val="00ED4124"/>
    <w:rsid w:val="00ED462A"/>
    <w:rsid w:val="00ED5030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45"/>
    <w:rsid w:val="00EE4436"/>
    <w:rsid w:val="00EE4BBE"/>
    <w:rsid w:val="00EE546C"/>
    <w:rsid w:val="00EE563D"/>
    <w:rsid w:val="00EE58CA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7B3"/>
    <w:rsid w:val="00F003AA"/>
    <w:rsid w:val="00F00922"/>
    <w:rsid w:val="00F0102C"/>
    <w:rsid w:val="00F0106B"/>
    <w:rsid w:val="00F0134D"/>
    <w:rsid w:val="00F0137B"/>
    <w:rsid w:val="00F0139C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6293"/>
    <w:rsid w:val="00F06454"/>
    <w:rsid w:val="00F06AA4"/>
    <w:rsid w:val="00F06CB2"/>
    <w:rsid w:val="00F06E72"/>
    <w:rsid w:val="00F07C8A"/>
    <w:rsid w:val="00F07D8B"/>
    <w:rsid w:val="00F104D0"/>
    <w:rsid w:val="00F10840"/>
    <w:rsid w:val="00F10F23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A1F"/>
    <w:rsid w:val="00F14C11"/>
    <w:rsid w:val="00F14D95"/>
    <w:rsid w:val="00F15A01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BAD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C4"/>
    <w:rsid w:val="00F3031B"/>
    <w:rsid w:val="00F30616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F16"/>
    <w:rsid w:val="00F37507"/>
    <w:rsid w:val="00F40042"/>
    <w:rsid w:val="00F415F2"/>
    <w:rsid w:val="00F42037"/>
    <w:rsid w:val="00F423F6"/>
    <w:rsid w:val="00F42415"/>
    <w:rsid w:val="00F424D3"/>
    <w:rsid w:val="00F4284C"/>
    <w:rsid w:val="00F443B0"/>
    <w:rsid w:val="00F444E7"/>
    <w:rsid w:val="00F447EA"/>
    <w:rsid w:val="00F44943"/>
    <w:rsid w:val="00F453DF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297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F9"/>
    <w:rsid w:val="00F713E2"/>
    <w:rsid w:val="00F7187B"/>
    <w:rsid w:val="00F718A4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AD"/>
    <w:rsid w:val="00F76924"/>
    <w:rsid w:val="00F76C8F"/>
    <w:rsid w:val="00F76FD6"/>
    <w:rsid w:val="00F77293"/>
    <w:rsid w:val="00F77C33"/>
    <w:rsid w:val="00F77D71"/>
    <w:rsid w:val="00F808F0"/>
    <w:rsid w:val="00F80927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769"/>
    <w:rsid w:val="00F8676D"/>
    <w:rsid w:val="00F86C16"/>
    <w:rsid w:val="00F8798B"/>
    <w:rsid w:val="00F9034D"/>
    <w:rsid w:val="00F90624"/>
    <w:rsid w:val="00F907AF"/>
    <w:rsid w:val="00F90E09"/>
    <w:rsid w:val="00F91CBC"/>
    <w:rsid w:val="00F91E36"/>
    <w:rsid w:val="00F922ED"/>
    <w:rsid w:val="00F93A0A"/>
    <w:rsid w:val="00F94A71"/>
    <w:rsid w:val="00F94CCA"/>
    <w:rsid w:val="00F9535C"/>
    <w:rsid w:val="00F95780"/>
    <w:rsid w:val="00F95D44"/>
    <w:rsid w:val="00F95EFB"/>
    <w:rsid w:val="00F9624E"/>
    <w:rsid w:val="00F9687F"/>
    <w:rsid w:val="00F96923"/>
    <w:rsid w:val="00F96E26"/>
    <w:rsid w:val="00F96E43"/>
    <w:rsid w:val="00F970DB"/>
    <w:rsid w:val="00F9766C"/>
    <w:rsid w:val="00F97774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181"/>
    <w:rsid w:val="00FA4A3B"/>
    <w:rsid w:val="00FA62C1"/>
    <w:rsid w:val="00FA63DE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31D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F55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3EF"/>
    <w:rsid w:val="00FD6D64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FC"/>
    <w:rsid w:val="00FE235B"/>
    <w:rsid w:val="00FE27FE"/>
    <w:rsid w:val="00FE2852"/>
    <w:rsid w:val="00FE2F5F"/>
    <w:rsid w:val="00FE393B"/>
    <w:rsid w:val="00FE4608"/>
    <w:rsid w:val="00FE4826"/>
    <w:rsid w:val="00FE5DD2"/>
    <w:rsid w:val="00FE66DF"/>
    <w:rsid w:val="00FE6845"/>
    <w:rsid w:val="00FE6AD1"/>
    <w:rsid w:val="00FE6C84"/>
    <w:rsid w:val="00FE78FD"/>
    <w:rsid w:val="00FE7BA2"/>
    <w:rsid w:val="00FF0586"/>
    <w:rsid w:val="00FF0724"/>
    <w:rsid w:val="00FF09BD"/>
    <w:rsid w:val="00FF1744"/>
    <w:rsid w:val="00FF2265"/>
    <w:rsid w:val="00FF3496"/>
    <w:rsid w:val="00FF3CA1"/>
    <w:rsid w:val="00FF4177"/>
    <w:rsid w:val="00FF4553"/>
    <w:rsid w:val="00FF4675"/>
    <w:rsid w:val="00FF48C8"/>
    <w:rsid w:val="00FF49EF"/>
    <w:rsid w:val="00FF5142"/>
    <w:rsid w:val="00FF74C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27A55"/>
  <w15:docId w15:val="{D1780DCA-4419-47D7-99DB-C145A59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36FF"/>
    <w:rPr>
      <w:rFonts w:ascii="Arial" w:hAnsi="Arial" w:cs="Arial"/>
      <w:sz w:val="24"/>
      <w:szCs w:val="24"/>
      <w:lang w:val="es-ES_tradnl" w:eastAsia="es-ES"/>
    </w:rPr>
  </w:style>
  <w:style w:type="paragraph" w:customStyle="1" w:styleId="p01">
    <w:name w:val="p01"/>
    <w:basedOn w:val="Normal"/>
    <w:next w:val="p0"/>
    <w:rsid w:val="00D336FF"/>
    <w:pPr>
      <w:keepLines/>
      <w:spacing w:before="240"/>
    </w:pPr>
    <w:rPr>
      <w:rFonts w:ascii="Univers" w:hAnsi="Univers" w:cs="Times New Roman"/>
      <w:color w:val="0000F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2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11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://www.inegi.org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image" Target="media/image10.emf"/><Relationship Id="rId30" Type="http://schemas.openxmlformats.org/officeDocument/2006/relationships/hyperlink" Target="http://www.inegi.org.mx/programas/inpc/2018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gi.org.mx/programas/inpc/20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2018'!$M$345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1"/>
              <c:layout>
                <c:manualLayout>
                  <c:x val="-2.5129913739097903E-3"/>
                  <c:y val="8.84510771628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B1-4075-8D84-937070D67DC6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B1-4075-8D84-937070D67DC6}"/>
                </c:ext>
              </c:extLst>
            </c:dLbl>
            <c:dLbl>
              <c:idx val="8"/>
              <c:layout>
                <c:manualLayout>
                  <c:x val="-9.2098561625574725E-17"/>
                  <c:y val="4.30459008269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B1-4075-8D84-937070D67DC6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B1-4075-8D84-937070D67D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2018'!$O$346:$X$346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'Datos base 2q jul 2018'!$O$358:$X$358</c:f>
              <c:numCache>
                <c:formatCode>0.00</c:formatCode>
                <c:ptCount val="10"/>
                <c:pt idx="0">
                  <c:v>0.19307298575531687</c:v>
                </c:pt>
                <c:pt idx="1">
                  <c:v>0.50587594365320454</c:v>
                </c:pt>
                <c:pt idx="2">
                  <c:v>0.27408536870561789</c:v>
                </c:pt>
                <c:pt idx="3">
                  <c:v>0.40312034991206325</c:v>
                </c:pt>
                <c:pt idx="4">
                  <c:v>0.4146504038297017</c:v>
                </c:pt>
                <c:pt idx="5">
                  <c:v>0.25759000821916228</c:v>
                </c:pt>
                <c:pt idx="6">
                  <c:v>0.41581235134912781</c:v>
                </c:pt>
                <c:pt idx="7">
                  <c:v>0.43516034043991564</c:v>
                </c:pt>
                <c:pt idx="8">
                  <c:v>0.56209928468963299</c:v>
                </c:pt>
                <c:pt idx="9">
                  <c:v>0.35106695890619349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B1-4075-8D84-937070D67D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3564784"/>
        <c:axId val="103563216"/>
      </c:barChart>
      <c:catAx>
        <c:axId val="10356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103563216"/>
        <c:crosses val="autoZero"/>
        <c:auto val="1"/>
        <c:lblAlgn val="ctr"/>
        <c:lblOffset val="100"/>
        <c:noMultiLvlLbl val="0"/>
      </c:catAx>
      <c:valAx>
        <c:axId val="103563216"/>
        <c:scaling>
          <c:orientation val="minMax"/>
          <c:max val="0.70000000000000007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03564784"/>
        <c:crosses val="autoZero"/>
        <c:crossBetween val="between"/>
        <c:majorUnit val="0.1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2018'!$M$360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  <a:ln w="6350">
              <a:solidFill>
                <a:srgbClr val="77933C"/>
              </a:solidFill>
            </a:ln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E4-4A75-A843-CB75385A85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2018'!$O$346:$X$346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'Datos base 2q jul 2018'!$O$373:$X$373</c:f>
              <c:numCache>
                <c:formatCode>0.00</c:formatCode>
                <c:ptCount val="10"/>
                <c:pt idx="0">
                  <c:v>0.31</c:v>
                </c:pt>
                <c:pt idx="1">
                  <c:v>0.34658694436128007</c:v>
                </c:pt>
                <c:pt idx="2">
                  <c:v>0.26</c:v>
                </c:pt>
                <c:pt idx="3">
                  <c:v>0.30478343642977213</c:v>
                </c:pt>
                <c:pt idx="4">
                  <c:v>0.21</c:v>
                </c:pt>
                <c:pt idx="5">
                  <c:v>0.27172048738663762</c:v>
                </c:pt>
                <c:pt idx="6">
                  <c:v>0.46746586562876785</c:v>
                </c:pt>
                <c:pt idx="7">
                  <c:v>0.42505021238123203</c:v>
                </c:pt>
                <c:pt idx="8">
                  <c:v>0.42227474559677874</c:v>
                </c:pt>
                <c:pt idx="9">
                  <c:v>0.36447251667319125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E4-4A75-A843-CB75385A8520}"/>
            </c:ext>
          </c:extLst>
        </c:ser>
        <c:ser>
          <c:idx val="2"/>
          <c:order val="1"/>
          <c:tx>
            <c:strRef>
              <c:f>'Datos base 2q jul 2018'!$M$375</c:f>
              <c:strCache>
                <c:ptCount val="1"/>
                <c:pt idx="0">
                  <c:v>No Subyacente</c:v>
                </c:pt>
              </c:strCache>
            </c:strRef>
          </c:tx>
          <c:spPr>
            <a:pattFill prst="dkUpDiag">
              <a:fgClr>
                <a:srgbClr val="9BBB59"/>
              </a:fgClr>
              <a:bgClr>
                <a:srgbClr val="ABC674"/>
              </a:bgClr>
            </a:pattFill>
            <a:ln w="6350">
              <a:solidFill>
                <a:srgbClr val="77933C"/>
              </a:solidFill>
            </a:ln>
          </c:spPr>
          <c:invertIfNegative val="0"/>
          <c:dLbls>
            <c:dLbl>
              <c:idx val="1"/>
              <c:layout>
                <c:manualLayout>
                  <c:x val="-4.6373687203616358E-17"/>
                  <c:y val="4.5371207931601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E4-4A75-A843-CB75385A8520}"/>
                </c:ext>
              </c:extLst>
            </c:dLbl>
            <c:dLbl>
              <c:idx val="2"/>
              <c:layout>
                <c:manualLayout>
                  <c:x val="0"/>
                  <c:y val="1.595997395561748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E4-4A75-A843-CB75385A8520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0E4-4A75-A843-CB75385A8520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E4-4A75-A843-CB75385A8520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0E4-4A75-A843-CB75385A8520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E4-4A75-A843-CB75385A85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2018'!$O$346:$X$346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'Datos base 2q jul 2018'!$O$388:$X$388</c:f>
              <c:numCache>
                <c:formatCode>0.00</c:formatCode>
                <c:ptCount val="10"/>
                <c:pt idx="0">
                  <c:v>-0.15884583433511457</c:v>
                </c:pt>
                <c:pt idx="1">
                  <c:v>1.030780526553273</c:v>
                </c:pt>
                <c:pt idx="2">
                  <c:v>0.32355399828775316</c:v>
                </c:pt>
                <c:pt idx="3">
                  <c:v>0.7124797334994345</c:v>
                </c:pt>
                <c:pt idx="4">
                  <c:v>1.0415280598130925</c:v>
                </c:pt>
                <c:pt idx="5">
                  <c:v>0.21</c:v>
                </c:pt>
                <c:pt idx="6">
                  <c:v>0.26</c:v>
                </c:pt>
                <c:pt idx="7">
                  <c:v>0.46384174012049101</c:v>
                </c:pt>
                <c:pt idx="8">
                  <c:v>0.97133802750874432</c:v>
                </c:pt>
                <c:pt idx="9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E4-4A75-A843-CB75385A85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-10"/>
        <c:axId val="103565176"/>
        <c:axId val="103562824"/>
      </c:barChart>
      <c:catAx>
        <c:axId val="103565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103562824"/>
        <c:crosses val="autoZero"/>
        <c:auto val="1"/>
        <c:lblAlgn val="ctr"/>
        <c:lblOffset val="100"/>
        <c:noMultiLvlLbl val="0"/>
      </c:catAx>
      <c:valAx>
        <c:axId val="103562824"/>
        <c:scaling>
          <c:orientation val="minMax"/>
          <c:max val="1.2"/>
          <c:min val="-0.30000000000000004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03565176"/>
        <c:crosses val="autoZero"/>
        <c:crossBetween val="between"/>
        <c:majorUnit val="0.30000000000000004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7012357521235E-4"/>
                  <c:y val="8.97624371237093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5C-43F0-98AD-5C9AB6050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2018'!$A$123:$B$339</c:f>
              <c:multiLvlStrCache>
                <c:ptCount val="217"/>
                <c:lvl>
                  <c:pt idx="0">
                    <c:v>1qDic</c:v>
                  </c:pt>
                  <c:pt idx="1">
                    <c:v>2qDic</c:v>
                  </c:pt>
                  <c:pt idx="2">
                    <c:v>1qEne</c:v>
                  </c:pt>
                  <c:pt idx="3">
                    <c:v>2qEne</c:v>
                  </c:pt>
                  <c:pt idx="4">
                    <c:v>1qFeb</c:v>
                  </c:pt>
                  <c:pt idx="5">
                    <c:v>2qFeb</c:v>
                  </c:pt>
                  <c:pt idx="6">
                    <c:v>1qMar</c:v>
                  </c:pt>
                  <c:pt idx="7">
                    <c:v>2qMar</c:v>
                  </c:pt>
                  <c:pt idx="8">
                    <c:v>1qAbr</c:v>
                  </c:pt>
                  <c:pt idx="9">
                    <c:v>2qAbr</c:v>
                  </c:pt>
                  <c:pt idx="10">
                    <c:v>1qMay</c:v>
                  </c:pt>
                  <c:pt idx="11">
                    <c:v>2qMay</c:v>
                  </c:pt>
                  <c:pt idx="12">
                    <c:v>1qJun</c:v>
                  </c:pt>
                  <c:pt idx="13">
                    <c:v>2qJun</c:v>
                  </c:pt>
                  <c:pt idx="14">
                    <c:v>1qJul</c:v>
                  </c:pt>
                  <c:pt idx="15">
                    <c:v>2qJul</c:v>
                  </c:pt>
                  <c:pt idx="16">
                    <c:v>1qAgo</c:v>
                  </c:pt>
                  <c:pt idx="17">
                    <c:v>2qAgo</c:v>
                  </c:pt>
                  <c:pt idx="18">
                    <c:v>1qSep</c:v>
                  </c:pt>
                  <c:pt idx="19">
                    <c:v>2qSep</c:v>
                  </c:pt>
                  <c:pt idx="20">
                    <c:v>1qOct</c:v>
                  </c:pt>
                  <c:pt idx="21">
                    <c:v>2qOct</c:v>
                  </c:pt>
                  <c:pt idx="22">
                    <c:v>1qNov</c:v>
                  </c:pt>
                  <c:pt idx="23">
                    <c:v>2qNov</c:v>
                  </c:pt>
                  <c:pt idx="24">
                    <c:v>1qDic</c:v>
                  </c:pt>
                  <c:pt idx="25">
                    <c:v>2qDic</c:v>
                  </c:pt>
                  <c:pt idx="26">
                    <c:v>1qEne</c:v>
                  </c:pt>
                  <c:pt idx="27">
                    <c:v>2qEne</c:v>
                  </c:pt>
                  <c:pt idx="28">
                    <c:v>1qFeb</c:v>
                  </c:pt>
                  <c:pt idx="29">
                    <c:v>2qFeb</c:v>
                  </c:pt>
                  <c:pt idx="30">
                    <c:v>1qMar</c:v>
                  </c:pt>
                  <c:pt idx="31">
                    <c:v>2qMar</c:v>
                  </c:pt>
                  <c:pt idx="32">
                    <c:v>1qAbr</c:v>
                  </c:pt>
                  <c:pt idx="33">
                    <c:v>2qAbr</c:v>
                  </c:pt>
                  <c:pt idx="34">
                    <c:v>1qMay</c:v>
                  </c:pt>
                  <c:pt idx="35">
                    <c:v>2qMay</c:v>
                  </c:pt>
                  <c:pt idx="36">
                    <c:v>1qJun</c:v>
                  </c:pt>
                  <c:pt idx="37">
                    <c:v>2qJun</c:v>
                  </c:pt>
                  <c:pt idx="38">
                    <c:v>1qJul</c:v>
                  </c:pt>
                  <c:pt idx="39">
                    <c:v>2qJul</c:v>
                  </c:pt>
                  <c:pt idx="40">
                    <c:v>1qAgo</c:v>
                  </c:pt>
                  <c:pt idx="41">
                    <c:v>2qAgo</c:v>
                  </c:pt>
                  <c:pt idx="42">
                    <c:v>1qSep</c:v>
                  </c:pt>
                  <c:pt idx="43">
                    <c:v>2qSep</c:v>
                  </c:pt>
                  <c:pt idx="44">
                    <c:v>1qOct</c:v>
                  </c:pt>
                  <c:pt idx="45">
                    <c:v>2qOct</c:v>
                  </c:pt>
                  <c:pt idx="46">
                    <c:v>1qNov</c:v>
                  </c:pt>
                  <c:pt idx="47">
                    <c:v>2qNov</c:v>
                  </c:pt>
                  <c:pt idx="48">
                    <c:v>1qDic</c:v>
                  </c:pt>
                  <c:pt idx="49">
                    <c:v>2qDic</c:v>
                  </c:pt>
                  <c:pt idx="50">
                    <c:v>1qEne</c:v>
                  </c:pt>
                  <c:pt idx="51">
                    <c:v>2qEne</c:v>
                  </c:pt>
                  <c:pt idx="52">
                    <c:v>1qFeb</c:v>
                  </c:pt>
                  <c:pt idx="53">
                    <c:v>2qFeb</c:v>
                  </c:pt>
                  <c:pt idx="54">
                    <c:v>1qMar</c:v>
                  </c:pt>
                  <c:pt idx="55">
                    <c:v>2qMar</c:v>
                  </c:pt>
                  <c:pt idx="56">
                    <c:v>1qAbr</c:v>
                  </c:pt>
                  <c:pt idx="57">
                    <c:v>2qAbr</c:v>
                  </c:pt>
                  <c:pt idx="58">
                    <c:v>1qMay</c:v>
                  </c:pt>
                  <c:pt idx="59">
                    <c:v>2qMay</c:v>
                  </c:pt>
                  <c:pt idx="60">
                    <c:v>1qJun</c:v>
                  </c:pt>
                  <c:pt idx="61">
                    <c:v>2qJun</c:v>
                  </c:pt>
                  <c:pt idx="62">
                    <c:v>1qJul</c:v>
                  </c:pt>
                  <c:pt idx="63">
                    <c:v>2qJul</c:v>
                  </c:pt>
                  <c:pt idx="64">
                    <c:v>1qAgo</c:v>
                  </c:pt>
                  <c:pt idx="65">
                    <c:v>2qAgo</c:v>
                  </c:pt>
                  <c:pt idx="66">
                    <c:v>1qSep</c:v>
                  </c:pt>
                  <c:pt idx="67">
                    <c:v>2qSep</c:v>
                  </c:pt>
                  <c:pt idx="68">
                    <c:v>1qOct</c:v>
                  </c:pt>
                  <c:pt idx="69">
                    <c:v>2qOct</c:v>
                  </c:pt>
                  <c:pt idx="70">
                    <c:v>1qNov</c:v>
                  </c:pt>
                  <c:pt idx="71">
                    <c:v>2qNov</c:v>
                  </c:pt>
                  <c:pt idx="72">
                    <c:v>1qDic</c:v>
                  </c:pt>
                  <c:pt idx="73">
                    <c:v>2qDic</c:v>
                  </c:pt>
                  <c:pt idx="74">
                    <c:v>1qEne</c:v>
                  </c:pt>
                  <c:pt idx="75">
                    <c:v>2qEne</c:v>
                  </c:pt>
                  <c:pt idx="76">
                    <c:v>1qFeb</c:v>
                  </c:pt>
                  <c:pt idx="77">
                    <c:v>2qFeb</c:v>
                  </c:pt>
                  <c:pt idx="78">
                    <c:v>1qMar</c:v>
                  </c:pt>
                  <c:pt idx="79">
                    <c:v>2qMar</c:v>
                  </c:pt>
                  <c:pt idx="80">
                    <c:v>1qAbr</c:v>
                  </c:pt>
                  <c:pt idx="81">
                    <c:v>2qAbr</c:v>
                  </c:pt>
                  <c:pt idx="82">
                    <c:v>1qMay</c:v>
                  </c:pt>
                  <c:pt idx="83">
                    <c:v>2qMay</c:v>
                  </c:pt>
                  <c:pt idx="84">
                    <c:v>1qJun</c:v>
                  </c:pt>
                  <c:pt idx="85">
                    <c:v>2qJun</c:v>
                  </c:pt>
                  <c:pt idx="86">
                    <c:v>1qJul</c:v>
                  </c:pt>
                  <c:pt idx="87">
                    <c:v>2qJul</c:v>
                  </c:pt>
                  <c:pt idx="88">
                    <c:v>1qAgo</c:v>
                  </c:pt>
                  <c:pt idx="89">
                    <c:v>2qAgo</c:v>
                  </c:pt>
                  <c:pt idx="90">
                    <c:v>1qSep</c:v>
                  </c:pt>
                  <c:pt idx="91">
                    <c:v>2qSep</c:v>
                  </c:pt>
                  <c:pt idx="92">
                    <c:v>1qOct</c:v>
                  </c:pt>
                  <c:pt idx="93">
                    <c:v>2qOct</c:v>
                  </c:pt>
                  <c:pt idx="94">
                    <c:v>1qNov</c:v>
                  </c:pt>
                  <c:pt idx="95">
                    <c:v>2qNov</c:v>
                  </c:pt>
                  <c:pt idx="96">
                    <c:v>1qDic</c:v>
                  </c:pt>
                  <c:pt idx="97">
                    <c:v>2qDic</c:v>
                  </c:pt>
                  <c:pt idx="98">
                    <c:v>1qEne</c:v>
                  </c:pt>
                  <c:pt idx="99">
                    <c:v>2qEne</c:v>
                  </c:pt>
                  <c:pt idx="100">
                    <c:v>1qFeb</c:v>
                  </c:pt>
                  <c:pt idx="101">
                    <c:v>2qFeb</c:v>
                  </c:pt>
                  <c:pt idx="102">
                    <c:v>1qMar</c:v>
                  </c:pt>
                  <c:pt idx="103">
                    <c:v>2qMar</c:v>
                  </c:pt>
                  <c:pt idx="104">
                    <c:v>1qAbr</c:v>
                  </c:pt>
                  <c:pt idx="105">
                    <c:v>2qAbr</c:v>
                  </c:pt>
                  <c:pt idx="106">
                    <c:v>1qMay</c:v>
                  </c:pt>
                  <c:pt idx="107">
                    <c:v>2qMay</c:v>
                  </c:pt>
                  <c:pt idx="108">
                    <c:v>1qJun</c:v>
                  </c:pt>
                  <c:pt idx="109">
                    <c:v>2qJun</c:v>
                  </c:pt>
                  <c:pt idx="110">
                    <c:v>1qJul</c:v>
                  </c:pt>
                  <c:pt idx="111">
                    <c:v>2qJul</c:v>
                  </c:pt>
                  <c:pt idx="112">
                    <c:v>1qAgo</c:v>
                  </c:pt>
                  <c:pt idx="113">
                    <c:v>2qAgo</c:v>
                  </c:pt>
                  <c:pt idx="114">
                    <c:v>1qSep</c:v>
                  </c:pt>
                  <c:pt idx="115">
                    <c:v>2qSep</c:v>
                  </c:pt>
                  <c:pt idx="116">
                    <c:v>1qOct</c:v>
                  </c:pt>
                  <c:pt idx="117">
                    <c:v>2qOct</c:v>
                  </c:pt>
                  <c:pt idx="118">
                    <c:v>1qNov</c:v>
                  </c:pt>
                  <c:pt idx="119">
                    <c:v>2qNov</c:v>
                  </c:pt>
                  <c:pt idx="120">
                    <c:v>1qDic</c:v>
                  </c:pt>
                  <c:pt idx="121">
                    <c:v>2qDic</c:v>
                  </c:pt>
                  <c:pt idx="122">
                    <c:v>1qEne</c:v>
                  </c:pt>
                  <c:pt idx="123">
                    <c:v>2qEne</c:v>
                  </c:pt>
                  <c:pt idx="124">
                    <c:v>1qFeb</c:v>
                  </c:pt>
                  <c:pt idx="125">
                    <c:v>2qFeb</c:v>
                  </c:pt>
                  <c:pt idx="126">
                    <c:v>1qMar</c:v>
                  </c:pt>
                  <c:pt idx="127">
                    <c:v>2qMar</c:v>
                  </c:pt>
                  <c:pt idx="128">
                    <c:v>1qAbr</c:v>
                  </c:pt>
                  <c:pt idx="129">
                    <c:v>2qAbr</c:v>
                  </c:pt>
                  <c:pt idx="130">
                    <c:v>1qMay</c:v>
                  </c:pt>
                  <c:pt idx="131">
                    <c:v>2qMay</c:v>
                  </c:pt>
                  <c:pt idx="132">
                    <c:v>1qJun</c:v>
                  </c:pt>
                  <c:pt idx="133">
                    <c:v>2qJun</c:v>
                  </c:pt>
                  <c:pt idx="134">
                    <c:v>1qJul</c:v>
                  </c:pt>
                  <c:pt idx="135">
                    <c:v>2qJul</c:v>
                  </c:pt>
                  <c:pt idx="136">
                    <c:v>1qAgo</c:v>
                  </c:pt>
                  <c:pt idx="137">
                    <c:v>2qAgo</c:v>
                  </c:pt>
                  <c:pt idx="138">
                    <c:v>1qSep</c:v>
                  </c:pt>
                  <c:pt idx="139">
                    <c:v>2qSep</c:v>
                  </c:pt>
                  <c:pt idx="140">
                    <c:v>1qOct</c:v>
                  </c:pt>
                  <c:pt idx="141">
                    <c:v>2qOct</c:v>
                  </c:pt>
                  <c:pt idx="142">
                    <c:v>1qNov</c:v>
                  </c:pt>
                  <c:pt idx="143">
                    <c:v>2qNov</c:v>
                  </c:pt>
                  <c:pt idx="144">
                    <c:v>1qDic</c:v>
                  </c:pt>
                  <c:pt idx="145">
                    <c:v>2qDic</c:v>
                  </c:pt>
                  <c:pt idx="146">
                    <c:v>1qEne</c:v>
                  </c:pt>
                  <c:pt idx="147">
                    <c:v>2qEne</c:v>
                  </c:pt>
                  <c:pt idx="148">
                    <c:v>1qFeb</c:v>
                  </c:pt>
                  <c:pt idx="149">
                    <c:v>2qFeb</c:v>
                  </c:pt>
                  <c:pt idx="150">
                    <c:v>1qMar</c:v>
                  </c:pt>
                  <c:pt idx="151">
                    <c:v>2qMar</c:v>
                  </c:pt>
                  <c:pt idx="152">
                    <c:v>1qAbr</c:v>
                  </c:pt>
                  <c:pt idx="153">
                    <c:v>2qAbr</c:v>
                  </c:pt>
                  <c:pt idx="154">
                    <c:v>1qMay</c:v>
                  </c:pt>
                  <c:pt idx="155">
                    <c:v>2qMay</c:v>
                  </c:pt>
                  <c:pt idx="156">
                    <c:v>1qJun</c:v>
                  </c:pt>
                  <c:pt idx="157">
                    <c:v>2qJun</c:v>
                  </c:pt>
                  <c:pt idx="158">
                    <c:v>1qJul</c:v>
                  </c:pt>
                  <c:pt idx="159">
                    <c:v>2qJul</c:v>
                  </c:pt>
                  <c:pt idx="160">
                    <c:v>1qAgo</c:v>
                  </c:pt>
                  <c:pt idx="161">
                    <c:v>2qAgo</c:v>
                  </c:pt>
                  <c:pt idx="162">
                    <c:v>1qSep</c:v>
                  </c:pt>
                  <c:pt idx="163">
                    <c:v>2qSep</c:v>
                  </c:pt>
                  <c:pt idx="164">
                    <c:v>1qOct</c:v>
                  </c:pt>
                  <c:pt idx="165">
                    <c:v>2qOct</c:v>
                  </c:pt>
                  <c:pt idx="166">
                    <c:v>1qNov</c:v>
                  </c:pt>
                  <c:pt idx="167">
                    <c:v>2qNov</c:v>
                  </c:pt>
                  <c:pt idx="168">
                    <c:v>1qDic</c:v>
                  </c:pt>
                  <c:pt idx="169">
                    <c:v>2qDic</c:v>
                  </c:pt>
                  <c:pt idx="170">
                    <c:v>1qEne</c:v>
                  </c:pt>
                  <c:pt idx="171">
                    <c:v>2qEne</c:v>
                  </c:pt>
                  <c:pt idx="172">
                    <c:v>1qFeb</c:v>
                  </c:pt>
                  <c:pt idx="173">
                    <c:v>2qFeb</c:v>
                  </c:pt>
                  <c:pt idx="174">
                    <c:v>1qMar</c:v>
                  </c:pt>
                  <c:pt idx="175">
                    <c:v>2qMar</c:v>
                  </c:pt>
                  <c:pt idx="176">
                    <c:v>1qAbr</c:v>
                  </c:pt>
                  <c:pt idx="177">
                    <c:v>2qAbr</c:v>
                  </c:pt>
                  <c:pt idx="178">
                    <c:v>1qMay</c:v>
                  </c:pt>
                  <c:pt idx="179">
                    <c:v>2qMay</c:v>
                  </c:pt>
                  <c:pt idx="180">
                    <c:v>1qJun</c:v>
                  </c:pt>
                  <c:pt idx="181">
                    <c:v>2qJun</c:v>
                  </c:pt>
                  <c:pt idx="182">
                    <c:v>1qJul</c:v>
                  </c:pt>
                  <c:pt idx="183">
                    <c:v>2qJul</c:v>
                  </c:pt>
                  <c:pt idx="184">
                    <c:v>1qAgo</c:v>
                  </c:pt>
                  <c:pt idx="185">
                    <c:v>2qAgo</c:v>
                  </c:pt>
                  <c:pt idx="186">
                    <c:v>1qSep</c:v>
                  </c:pt>
                  <c:pt idx="187">
                    <c:v>2qSep</c:v>
                  </c:pt>
                  <c:pt idx="188">
                    <c:v>1qOct</c:v>
                  </c:pt>
                  <c:pt idx="189">
                    <c:v>2qOct</c:v>
                  </c:pt>
                  <c:pt idx="190">
                    <c:v>1qNov</c:v>
                  </c:pt>
                  <c:pt idx="191">
                    <c:v>2qNov</c:v>
                  </c:pt>
                  <c:pt idx="192">
                    <c:v>1qDic</c:v>
                  </c:pt>
                  <c:pt idx="193">
                    <c:v>2qDic</c:v>
                  </c:pt>
                  <c:pt idx="194">
                    <c:v>1qEne</c:v>
                  </c:pt>
                  <c:pt idx="195">
                    <c:v>2qEne</c:v>
                  </c:pt>
                  <c:pt idx="196">
                    <c:v>1qFeb</c:v>
                  </c:pt>
                  <c:pt idx="197">
                    <c:v>2qFeb</c:v>
                  </c:pt>
                  <c:pt idx="198">
                    <c:v>1qMar</c:v>
                  </c:pt>
                  <c:pt idx="199">
                    <c:v>2qMar</c:v>
                  </c:pt>
                  <c:pt idx="200">
                    <c:v>1qAbr</c:v>
                  </c:pt>
                  <c:pt idx="201">
                    <c:v>2qAbr</c:v>
                  </c:pt>
                  <c:pt idx="202">
                    <c:v>1qMay</c:v>
                  </c:pt>
                  <c:pt idx="203">
                    <c:v>2qMay</c:v>
                  </c:pt>
                  <c:pt idx="204">
                    <c:v>1qJun</c:v>
                  </c:pt>
                  <c:pt idx="205">
                    <c:v>2qJun</c:v>
                  </c:pt>
                  <c:pt idx="206">
                    <c:v>1qJul</c:v>
                  </c:pt>
                  <c:pt idx="207">
                    <c:v>2qJul</c:v>
                  </c:pt>
                  <c:pt idx="208">
                    <c:v>1qAgo</c:v>
                  </c:pt>
                  <c:pt idx="209">
                    <c:v>2qAgo</c:v>
                  </c:pt>
                  <c:pt idx="210">
                    <c:v>1qSep</c:v>
                  </c:pt>
                  <c:pt idx="211">
                    <c:v>2qSep</c:v>
                  </c:pt>
                  <c:pt idx="212">
                    <c:v>1qOct</c:v>
                  </c:pt>
                  <c:pt idx="213">
                    <c:v>2qOct</c:v>
                  </c:pt>
                  <c:pt idx="214">
                    <c:v>1qNov</c:v>
                  </c:pt>
                  <c:pt idx="215">
                    <c:v>2qNov</c:v>
                  </c:pt>
                  <c:pt idx="216">
                    <c:v>1qDic</c:v>
                  </c:pt>
                </c:lvl>
                <c:lvl>
                  <c:pt idx="0">
                    <c:v>2010</c:v>
                  </c:pt>
                  <c:pt idx="1">
                    <c:v>2010</c:v>
                  </c:pt>
                  <c:pt idx="2">
                    <c:v>2011</c:v>
                  </c:pt>
                  <c:pt idx="3">
                    <c:v>2011</c:v>
                  </c:pt>
                  <c:pt idx="4">
                    <c:v>2011</c:v>
                  </c:pt>
                  <c:pt idx="5">
                    <c:v>2011</c:v>
                  </c:pt>
                  <c:pt idx="6">
                    <c:v>2011</c:v>
                  </c:pt>
                  <c:pt idx="7">
                    <c:v>2011</c:v>
                  </c:pt>
                  <c:pt idx="8">
                    <c:v>2011</c:v>
                  </c:pt>
                  <c:pt idx="9">
                    <c:v>2011</c:v>
                  </c:pt>
                  <c:pt idx="10">
                    <c:v>2011</c:v>
                  </c:pt>
                  <c:pt idx="11">
                    <c:v>2011</c:v>
                  </c:pt>
                  <c:pt idx="12">
                    <c:v>2011</c:v>
                  </c:pt>
                  <c:pt idx="13">
                    <c:v>2011</c:v>
                  </c:pt>
                  <c:pt idx="14">
                    <c:v>2011</c:v>
                  </c:pt>
                  <c:pt idx="15">
                    <c:v>2011</c:v>
                  </c:pt>
                  <c:pt idx="16">
                    <c:v>2011</c:v>
                  </c:pt>
                  <c:pt idx="17">
                    <c:v>2011</c:v>
                  </c:pt>
                  <c:pt idx="18">
                    <c:v>2011</c:v>
                  </c:pt>
                  <c:pt idx="19">
                    <c:v>2011</c:v>
                  </c:pt>
                  <c:pt idx="20">
                    <c:v>2011</c:v>
                  </c:pt>
                  <c:pt idx="21">
                    <c:v>2011</c:v>
                  </c:pt>
                  <c:pt idx="22">
                    <c:v>2011</c:v>
                  </c:pt>
                  <c:pt idx="23">
                    <c:v>2011</c:v>
                  </c:pt>
                  <c:pt idx="24">
                    <c:v>2011</c:v>
                  </c:pt>
                  <c:pt idx="25">
                    <c:v>2011</c:v>
                  </c:pt>
                  <c:pt idx="26">
                    <c:v>2012</c:v>
                  </c:pt>
                  <c:pt idx="27">
                    <c:v>2012</c:v>
                  </c:pt>
                  <c:pt idx="28">
                    <c:v>2012</c:v>
                  </c:pt>
                  <c:pt idx="29">
                    <c:v>2012</c:v>
                  </c:pt>
                  <c:pt idx="30">
                    <c:v>2012</c:v>
                  </c:pt>
                  <c:pt idx="31">
                    <c:v>2012</c:v>
                  </c:pt>
                  <c:pt idx="32">
                    <c:v>2012</c:v>
                  </c:pt>
                  <c:pt idx="33">
                    <c:v>2012</c:v>
                  </c:pt>
                  <c:pt idx="34">
                    <c:v>2012</c:v>
                  </c:pt>
                  <c:pt idx="35">
                    <c:v>2012</c:v>
                  </c:pt>
                  <c:pt idx="36">
                    <c:v>2012</c:v>
                  </c:pt>
                  <c:pt idx="37">
                    <c:v>2012</c:v>
                  </c:pt>
                  <c:pt idx="38">
                    <c:v>2012</c:v>
                  </c:pt>
                  <c:pt idx="39">
                    <c:v>2012</c:v>
                  </c:pt>
                  <c:pt idx="40">
                    <c:v>2012</c:v>
                  </c:pt>
                  <c:pt idx="41">
                    <c:v>2012</c:v>
                  </c:pt>
                  <c:pt idx="42">
                    <c:v>2012</c:v>
                  </c:pt>
                  <c:pt idx="43">
                    <c:v>2012</c:v>
                  </c:pt>
                  <c:pt idx="44">
                    <c:v>2012</c:v>
                  </c:pt>
                  <c:pt idx="45">
                    <c:v>2012</c:v>
                  </c:pt>
                  <c:pt idx="46">
                    <c:v>2012</c:v>
                  </c:pt>
                  <c:pt idx="47">
                    <c:v>2012</c:v>
                  </c:pt>
                  <c:pt idx="48">
                    <c:v>2012</c:v>
                  </c:pt>
                  <c:pt idx="49">
                    <c:v>2012</c:v>
                  </c:pt>
                  <c:pt idx="50">
                    <c:v>2013</c:v>
                  </c:pt>
                  <c:pt idx="51">
                    <c:v>2013</c:v>
                  </c:pt>
                  <c:pt idx="52">
                    <c:v>2013</c:v>
                  </c:pt>
                  <c:pt idx="53">
                    <c:v>2013</c:v>
                  </c:pt>
                  <c:pt idx="54">
                    <c:v>2013</c:v>
                  </c:pt>
                  <c:pt idx="55">
                    <c:v>2013</c:v>
                  </c:pt>
                  <c:pt idx="56">
                    <c:v>2013</c:v>
                  </c:pt>
                  <c:pt idx="57">
                    <c:v>2013</c:v>
                  </c:pt>
                  <c:pt idx="58">
                    <c:v>2013</c:v>
                  </c:pt>
                  <c:pt idx="59">
                    <c:v>2013</c:v>
                  </c:pt>
                  <c:pt idx="60">
                    <c:v>2013</c:v>
                  </c:pt>
                  <c:pt idx="61">
                    <c:v>2013</c:v>
                  </c:pt>
                  <c:pt idx="62">
                    <c:v>2013</c:v>
                  </c:pt>
                  <c:pt idx="63">
                    <c:v>2013</c:v>
                  </c:pt>
                  <c:pt idx="64">
                    <c:v>2013</c:v>
                  </c:pt>
                  <c:pt idx="65">
                    <c:v>2013</c:v>
                  </c:pt>
                  <c:pt idx="66">
                    <c:v>2013</c:v>
                  </c:pt>
                  <c:pt idx="67">
                    <c:v>2013</c:v>
                  </c:pt>
                  <c:pt idx="68">
                    <c:v>2013</c:v>
                  </c:pt>
                  <c:pt idx="69">
                    <c:v>2013</c:v>
                  </c:pt>
                  <c:pt idx="70">
                    <c:v>2013</c:v>
                  </c:pt>
                  <c:pt idx="71">
                    <c:v>2013</c:v>
                  </c:pt>
                  <c:pt idx="72">
                    <c:v>2013</c:v>
                  </c:pt>
                  <c:pt idx="73">
                    <c:v>2013</c:v>
                  </c:pt>
                  <c:pt idx="74">
                    <c:v>2014</c:v>
                  </c:pt>
                  <c:pt idx="75">
                    <c:v>2014</c:v>
                  </c:pt>
                  <c:pt idx="76">
                    <c:v>2014</c:v>
                  </c:pt>
                  <c:pt idx="77">
                    <c:v>2014</c:v>
                  </c:pt>
                  <c:pt idx="78">
                    <c:v>2014</c:v>
                  </c:pt>
                  <c:pt idx="79">
                    <c:v>2014</c:v>
                  </c:pt>
                  <c:pt idx="80">
                    <c:v>2014</c:v>
                  </c:pt>
                  <c:pt idx="81">
                    <c:v>2014</c:v>
                  </c:pt>
                  <c:pt idx="82">
                    <c:v>2014</c:v>
                  </c:pt>
                  <c:pt idx="83">
                    <c:v>2014</c:v>
                  </c:pt>
                  <c:pt idx="84">
                    <c:v>2014</c:v>
                  </c:pt>
                  <c:pt idx="85">
                    <c:v>2014</c:v>
                  </c:pt>
                  <c:pt idx="86">
                    <c:v>2014</c:v>
                  </c:pt>
                  <c:pt idx="87">
                    <c:v>2014</c:v>
                  </c:pt>
                  <c:pt idx="88">
                    <c:v>2014</c:v>
                  </c:pt>
                  <c:pt idx="89">
                    <c:v>2014</c:v>
                  </c:pt>
                  <c:pt idx="90">
                    <c:v>2014</c:v>
                  </c:pt>
                  <c:pt idx="91">
                    <c:v>2014</c:v>
                  </c:pt>
                  <c:pt idx="92">
                    <c:v>2014</c:v>
                  </c:pt>
                  <c:pt idx="93">
                    <c:v>2014</c:v>
                  </c:pt>
                  <c:pt idx="94">
                    <c:v>2014</c:v>
                  </c:pt>
                  <c:pt idx="95">
                    <c:v>2014</c:v>
                  </c:pt>
                  <c:pt idx="96">
                    <c:v>2014</c:v>
                  </c:pt>
                  <c:pt idx="97">
                    <c:v>2014</c:v>
                  </c:pt>
                  <c:pt idx="98">
                    <c:v>2015</c:v>
                  </c:pt>
                  <c:pt idx="99">
                    <c:v>2015</c:v>
                  </c:pt>
                  <c:pt idx="100">
                    <c:v>2015</c:v>
                  </c:pt>
                  <c:pt idx="101">
                    <c:v>2015</c:v>
                  </c:pt>
                  <c:pt idx="102">
                    <c:v>2015</c:v>
                  </c:pt>
                  <c:pt idx="103">
                    <c:v>2015</c:v>
                  </c:pt>
                  <c:pt idx="104">
                    <c:v>2015</c:v>
                  </c:pt>
                  <c:pt idx="105">
                    <c:v>2015</c:v>
                  </c:pt>
                  <c:pt idx="106">
                    <c:v>2015</c:v>
                  </c:pt>
                  <c:pt idx="107">
                    <c:v>2015</c:v>
                  </c:pt>
                  <c:pt idx="108">
                    <c:v>2015</c:v>
                  </c:pt>
                  <c:pt idx="109">
                    <c:v>2015</c:v>
                  </c:pt>
                  <c:pt idx="110">
                    <c:v>2015</c:v>
                  </c:pt>
                  <c:pt idx="111">
                    <c:v>2015</c:v>
                  </c:pt>
                  <c:pt idx="112">
                    <c:v>2015</c:v>
                  </c:pt>
                  <c:pt idx="113">
                    <c:v>2015</c:v>
                  </c:pt>
                  <c:pt idx="114">
                    <c:v>2015</c:v>
                  </c:pt>
                  <c:pt idx="115">
                    <c:v>2015</c:v>
                  </c:pt>
                  <c:pt idx="116">
                    <c:v>2015</c:v>
                  </c:pt>
                  <c:pt idx="117">
                    <c:v>2015</c:v>
                  </c:pt>
                  <c:pt idx="118">
                    <c:v>2015</c:v>
                  </c:pt>
                  <c:pt idx="119">
                    <c:v>2015</c:v>
                  </c:pt>
                  <c:pt idx="120">
                    <c:v>2015</c:v>
                  </c:pt>
                  <c:pt idx="121">
                    <c:v>2015</c:v>
                  </c:pt>
                  <c:pt idx="122">
                    <c:v>2016</c:v>
                  </c:pt>
                  <c:pt idx="123">
                    <c:v>2016</c:v>
                  </c:pt>
                  <c:pt idx="124">
                    <c:v>2016</c:v>
                  </c:pt>
                  <c:pt idx="125">
                    <c:v>2016</c:v>
                  </c:pt>
                  <c:pt idx="126">
                    <c:v>2016</c:v>
                  </c:pt>
                  <c:pt idx="127">
                    <c:v>2016</c:v>
                  </c:pt>
                  <c:pt idx="128">
                    <c:v>2016</c:v>
                  </c:pt>
                  <c:pt idx="129">
                    <c:v>2016</c:v>
                  </c:pt>
                  <c:pt idx="130">
                    <c:v>2016</c:v>
                  </c:pt>
                  <c:pt idx="131">
                    <c:v>2016</c:v>
                  </c:pt>
                  <c:pt idx="132">
                    <c:v>2016</c:v>
                  </c:pt>
                  <c:pt idx="133">
                    <c:v>2016</c:v>
                  </c:pt>
                  <c:pt idx="134">
                    <c:v>2016</c:v>
                  </c:pt>
                  <c:pt idx="135">
                    <c:v>2016</c:v>
                  </c:pt>
                  <c:pt idx="136">
                    <c:v>2016</c:v>
                  </c:pt>
                  <c:pt idx="137">
                    <c:v>2016</c:v>
                  </c:pt>
                  <c:pt idx="138">
                    <c:v>2016</c:v>
                  </c:pt>
                  <c:pt idx="139">
                    <c:v>2016</c:v>
                  </c:pt>
                  <c:pt idx="140">
                    <c:v>2016</c:v>
                  </c:pt>
                  <c:pt idx="141">
                    <c:v>2016</c:v>
                  </c:pt>
                  <c:pt idx="142">
                    <c:v>2016</c:v>
                  </c:pt>
                  <c:pt idx="143">
                    <c:v>2016</c:v>
                  </c:pt>
                  <c:pt idx="144">
                    <c:v>2016</c:v>
                  </c:pt>
                  <c:pt idx="145">
                    <c:v>2016</c:v>
                  </c:pt>
                  <c:pt idx="146">
                    <c:v>2017</c:v>
                  </c:pt>
                  <c:pt idx="147">
                    <c:v>2017</c:v>
                  </c:pt>
                  <c:pt idx="148">
                    <c:v>2017</c:v>
                  </c:pt>
                  <c:pt idx="149">
                    <c:v>2017</c:v>
                  </c:pt>
                  <c:pt idx="150">
                    <c:v>2017</c:v>
                  </c:pt>
                  <c:pt idx="151">
                    <c:v>2017</c:v>
                  </c:pt>
                  <c:pt idx="152">
                    <c:v>2017</c:v>
                  </c:pt>
                  <c:pt idx="153">
                    <c:v>2017</c:v>
                  </c:pt>
                  <c:pt idx="154">
                    <c:v>2017</c:v>
                  </c:pt>
                  <c:pt idx="155">
                    <c:v>2017</c:v>
                  </c:pt>
                  <c:pt idx="156">
                    <c:v>2017</c:v>
                  </c:pt>
                  <c:pt idx="157">
                    <c:v>2017</c:v>
                  </c:pt>
                  <c:pt idx="158">
                    <c:v>2017</c:v>
                  </c:pt>
                  <c:pt idx="159">
                    <c:v>2017</c:v>
                  </c:pt>
                  <c:pt idx="160">
                    <c:v>2017</c:v>
                  </c:pt>
                  <c:pt idx="161">
                    <c:v>2017</c:v>
                  </c:pt>
                  <c:pt idx="162">
                    <c:v>2017</c:v>
                  </c:pt>
                  <c:pt idx="163">
                    <c:v>2017</c:v>
                  </c:pt>
                  <c:pt idx="164">
                    <c:v>2017</c:v>
                  </c:pt>
                  <c:pt idx="165">
                    <c:v>2017</c:v>
                  </c:pt>
                  <c:pt idx="166">
                    <c:v>2017</c:v>
                  </c:pt>
                  <c:pt idx="167">
                    <c:v>2017</c:v>
                  </c:pt>
                  <c:pt idx="168">
                    <c:v>2017</c:v>
                  </c:pt>
                  <c:pt idx="169">
                    <c:v>2017</c:v>
                  </c:pt>
                  <c:pt idx="170">
                    <c:v>2018</c:v>
                  </c:pt>
                  <c:pt idx="171">
                    <c:v>2018</c:v>
                  </c:pt>
                  <c:pt idx="172">
                    <c:v>2018</c:v>
                  </c:pt>
                  <c:pt idx="173">
                    <c:v>2018</c:v>
                  </c:pt>
                  <c:pt idx="174">
                    <c:v>2018</c:v>
                  </c:pt>
                  <c:pt idx="175">
                    <c:v>2018</c:v>
                  </c:pt>
                  <c:pt idx="176">
                    <c:v>2018</c:v>
                  </c:pt>
                  <c:pt idx="177">
                    <c:v>2018</c:v>
                  </c:pt>
                  <c:pt idx="178">
                    <c:v>2018</c:v>
                  </c:pt>
                  <c:pt idx="179">
                    <c:v>2018</c:v>
                  </c:pt>
                  <c:pt idx="180">
                    <c:v>2018</c:v>
                  </c:pt>
                  <c:pt idx="181">
                    <c:v>2018</c:v>
                  </c:pt>
                  <c:pt idx="182">
                    <c:v>2018</c:v>
                  </c:pt>
                  <c:pt idx="183">
                    <c:v>2018</c:v>
                  </c:pt>
                  <c:pt idx="184">
                    <c:v>2018</c:v>
                  </c:pt>
                  <c:pt idx="185">
                    <c:v>2018</c:v>
                  </c:pt>
                  <c:pt idx="186">
                    <c:v>2018</c:v>
                  </c:pt>
                  <c:pt idx="187">
                    <c:v>2018</c:v>
                  </c:pt>
                  <c:pt idx="188">
                    <c:v>2018</c:v>
                  </c:pt>
                  <c:pt idx="189">
                    <c:v>2018</c:v>
                  </c:pt>
                  <c:pt idx="190">
                    <c:v>2018</c:v>
                  </c:pt>
                  <c:pt idx="191">
                    <c:v>2018</c:v>
                  </c:pt>
                  <c:pt idx="192">
                    <c:v>2018</c:v>
                  </c:pt>
                  <c:pt idx="193">
                    <c:v>2018</c:v>
                  </c:pt>
                  <c:pt idx="194">
                    <c:v>2019</c:v>
                  </c:pt>
                  <c:pt idx="195">
                    <c:v>2019</c:v>
                  </c:pt>
                  <c:pt idx="196">
                    <c:v>2019</c:v>
                  </c:pt>
                  <c:pt idx="197">
                    <c:v>2019</c:v>
                  </c:pt>
                  <c:pt idx="198">
                    <c:v>2019</c:v>
                  </c:pt>
                  <c:pt idx="199">
                    <c:v>2019</c:v>
                  </c:pt>
                  <c:pt idx="200">
                    <c:v>2019</c:v>
                  </c:pt>
                  <c:pt idx="201">
                    <c:v>2019</c:v>
                  </c:pt>
                  <c:pt idx="202">
                    <c:v>2019</c:v>
                  </c:pt>
                  <c:pt idx="203">
                    <c:v>2019</c:v>
                  </c:pt>
                  <c:pt idx="204">
                    <c:v>2019</c:v>
                  </c:pt>
                  <c:pt idx="205">
                    <c:v>2019</c:v>
                  </c:pt>
                  <c:pt idx="206">
                    <c:v>2019</c:v>
                  </c:pt>
                  <c:pt idx="207">
                    <c:v>2019</c:v>
                  </c:pt>
                  <c:pt idx="208">
                    <c:v>2019</c:v>
                  </c:pt>
                  <c:pt idx="209">
                    <c:v>2019</c:v>
                  </c:pt>
                  <c:pt idx="210">
                    <c:v>2019</c:v>
                  </c:pt>
                  <c:pt idx="211">
                    <c:v>2019</c:v>
                  </c:pt>
                  <c:pt idx="212">
                    <c:v>2019</c:v>
                  </c:pt>
                  <c:pt idx="213">
                    <c:v>2019</c:v>
                  </c:pt>
                  <c:pt idx="214">
                    <c:v>2019</c:v>
                  </c:pt>
                  <c:pt idx="215">
                    <c:v>2019</c:v>
                  </c:pt>
                  <c:pt idx="216">
                    <c:v>2019</c:v>
                  </c:pt>
                </c:lvl>
              </c:multiLvlStrCache>
            </c:multiLvlStrRef>
          </c:cat>
          <c:val>
            <c:numRef>
              <c:f>'Datos base 2q jul 2018'!$D$123:$D$339</c:f>
              <c:numCache>
                <c:formatCode>0.00</c:formatCode>
                <c:ptCount val="217"/>
                <c:pt idx="0">
                  <c:v>4.249015427972763</c:v>
                </c:pt>
                <c:pt idx="1">
                  <c:v>4.5545653804003026</c:v>
                </c:pt>
                <c:pt idx="2">
                  <c:v>3.9584658136172006</c:v>
                </c:pt>
                <c:pt idx="3">
                  <c:v>3.6063954545452712</c:v>
                </c:pt>
                <c:pt idx="4">
                  <c:v>3.6302152244404797</c:v>
                </c:pt>
                <c:pt idx="5">
                  <c:v>3.5146448567659192</c:v>
                </c:pt>
                <c:pt idx="6">
                  <c:v>3.0937330026878893</c:v>
                </c:pt>
                <c:pt idx="7">
                  <c:v>2.9843468877447852</c:v>
                </c:pt>
                <c:pt idx="8">
                  <c:v>3.2090842412423868</c:v>
                </c:pt>
                <c:pt idx="9">
                  <c:v>3.5135550128823168</c:v>
                </c:pt>
                <c:pt idx="10">
                  <c:v>3.2932276039741049</c:v>
                </c:pt>
                <c:pt idx="11">
                  <c:v>3.2050516543190244</c:v>
                </c:pt>
                <c:pt idx="12">
                  <c:v>3.1930886294055965</c:v>
                </c:pt>
                <c:pt idx="13">
                  <c:v>3.3587924763331376</c:v>
                </c:pt>
                <c:pt idx="14">
                  <c:v>3.5316839116409047</c:v>
                </c:pt>
                <c:pt idx="15">
                  <c:v>3.5629180493136987</c:v>
                </c:pt>
                <c:pt idx="16">
                  <c:v>3.4883488499027955</c:v>
                </c:pt>
                <c:pt idx="17">
                  <c:v>3.359849252420779</c:v>
                </c:pt>
                <c:pt idx="18">
                  <c:v>3.1629588224922878</c:v>
                </c:pt>
                <c:pt idx="19">
                  <c:v>3.1095977378210056</c:v>
                </c:pt>
                <c:pt idx="20">
                  <c:v>3.243702345239686</c:v>
                </c:pt>
                <c:pt idx="21">
                  <c:v>3.1486809618453258</c:v>
                </c:pt>
                <c:pt idx="22">
                  <c:v>3.4401740925578399</c:v>
                </c:pt>
                <c:pt idx="23">
                  <c:v>3.5244591247818238</c:v>
                </c:pt>
                <c:pt idx="24">
                  <c:v>3.8476626763248998</c:v>
                </c:pt>
                <c:pt idx="25">
                  <c:v>3.7899999999999849</c:v>
                </c:pt>
                <c:pt idx="26">
                  <c:v>3.9391458861580833</c:v>
                </c:pt>
                <c:pt idx="27">
                  <c:v>4.154284916535369</c:v>
                </c:pt>
                <c:pt idx="28">
                  <c:v>4.0124193933604211</c:v>
                </c:pt>
                <c:pt idx="29">
                  <c:v>3.7241858617950871</c:v>
                </c:pt>
                <c:pt idx="30">
                  <c:v>3.7233673054212901</c:v>
                </c:pt>
                <c:pt idx="31">
                  <c:v>3.7352217725938246</c:v>
                </c:pt>
                <c:pt idx="32">
                  <c:v>3.396106539068628</c:v>
                </c:pt>
                <c:pt idx="33">
                  <c:v>3.4260159054399768</c:v>
                </c:pt>
                <c:pt idx="34">
                  <c:v>3.7096613048256435</c:v>
                </c:pt>
                <c:pt idx="35">
                  <c:v>3.9939600603993903</c:v>
                </c:pt>
                <c:pt idx="36">
                  <c:v>4.302323254557459</c:v>
                </c:pt>
                <c:pt idx="37">
                  <c:v>4.3691017126878737</c:v>
                </c:pt>
                <c:pt idx="38">
                  <c:v>4.4459487710426178</c:v>
                </c:pt>
                <c:pt idx="39">
                  <c:v>4.3929934786066402</c:v>
                </c:pt>
                <c:pt idx="40">
                  <c:v>4.445857088937017</c:v>
                </c:pt>
                <c:pt idx="41">
                  <c:v>4.690014103811996</c:v>
                </c:pt>
                <c:pt idx="42">
                  <c:v>4.7296694583477903</c:v>
                </c:pt>
                <c:pt idx="43">
                  <c:v>4.8148735117573711</c:v>
                </c:pt>
                <c:pt idx="44">
                  <c:v>4.6447522569085571</c:v>
                </c:pt>
                <c:pt idx="45">
                  <c:v>4.5454545454545627</c:v>
                </c:pt>
                <c:pt idx="46">
                  <c:v>4.361637855430601</c:v>
                </c:pt>
                <c:pt idx="47">
                  <c:v>3.9973927932134794</c:v>
                </c:pt>
                <c:pt idx="48">
                  <c:v>3.7575499457952515</c:v>
                </c:pt>
                <c:pt idx="49">
                  <c:v>3.3799017246362757</c:v>
                </c:pt>
                <c:pt idx="50">
                  <c:v>3.2107184018440211</c:v>
                </c:pt>
                <c:pt idx="51">
                  <c:v>3.2973345588235308</c:v>
                </c:pt>
                <c:pt idx="52">
                  <c:v>3.4720627631075369</c:v>
                </c:pt>
                <c:pt idx="53">
                  <c:v>3.634501440591146</c:v>
                </c:pt>
                <c:pt idx="54">
                  <c:v>4.1245299987562261</c:v>
                </c:pt>
                <c:pt idx="55">
                  <c:v>4.3809159575485159</c:v>
                </c:pt>
                <c:pt idx="56">
                  <c:v>4.7199339439675789</c:v>
                </c:pt>
                <c:pt idx="57">
                  <c:v>4.5800136144428123</c:v>
                </c:pt>
                <c:pt idx="58">
                  <c:v>4.7185534136778191</c:v>
                </c:pt>
                <c:pt idx="59">
                  <c:v>4.5444492523679036</c:v>
                </c:pt>
                <c:pt idx="60">
                  <c:v>4.2438079158912814</c:v>
                </c:pt>
                <c:pt idx="61">
                  <c:v>3.9316811788345425</c:v>
                </c:pt>
                <c:pt idx="62">
                  <c:v>3.528503483706158</c:v>
                </c:pt>
                <c:pt idx="63">
                  <c:v>3.4158326270581392</c:v>
                </c:pt>
                <c:pt idx="64">
                  <c:v>3.5443254655077352</c:v>
                </c:pt>
                <c:pt idx="65">
                  <c:v>3.3689423551288482</c:v>
                </c:pt>
                <c:pt idx="66">
                  <c:v>3.4599259939242977</c:v>
                </c:pt>
                <c:pt idx="67">
                  <c:v>3.3217097118664887</c:v>
                </c:pt>
                <c:pt idx="68">
                  <c:v>3.2720259654734472</c:v>
                </c:pt>
                <c:pt idx="69">
                  <c:v>3.4472049689440953</c:v>
                </c:pt>
                <c:pt idx="70">
                  <c:v>3.5108031896020431</c:v>
                </c:pt>
                <c:pt idx="71">
                  <c:v>3.7268126584409909</c:v>
                </c:pt>
                <c:pt idx="72">
                  <c:v>3.8602906879116397</c:v>
                </c:pt>
                <c:pt idx="73">
                  <c:v>4.0886130216779497</c:v>
                </c:pt>
                <c:pt idx="74">
                  <c:v>4.6313614918623145</c:v>
                </c:pt>
                <c:pt idx="75">
                  <c:v>4.335817298780249</c:v>
                </c:pt>
                <c:pt idx="76">
                  <c:v>4.2117818934987694</c:v>
                </c:pt>
                <c:pt idx="77">
                  <c:v>4.2551815864336904</c:v>
                </c:pt>
                <c:pt idx="78">
                  <c:v>3.8940752719788327</c:v>
                </c:pt>
                <c:pt idx="79">
                  <c:v>3.6227237753270081</c:v>
                </c:pt>
                <c:pt idx="80">
                  <c:v>3.5270926927661179</c:v>
                </c:pt>
                <c:pt idx="81">
                  <c:v>3.4672436238288107</c:v>
                </c:pt>
                <c:pt idx="82">
                  <c:v>3.4433905851832236</c:v>
                </c:pt>
                <c:pt idx="83">
                  <c:v>3.5779656184177719</c:v>
                </c:pt>
                <c:pt idx="84">
                  <c:v>3.7103156344897048</c:v>
                </c:pt>
                <c:pt idx="85">
                  <c:v>3.7958368241283909</c:v>
                </c:pt>
                <c:pt idx="86">
                  <c:v>4.001141605059888</c:v>
                </c:pt>
                <c:pt idx="87">
                  <c:v>4.144643547763315</c:v>
                </c:pt>
                <c:pt idx="88">
                  <c:v>4.0704989851305564</c:v>
                </c:pt>
                <c:pt idx="89">
                  <c:v>4.2283511541462131</c:v>
                </c:pt>
                <c:pt idx="90">
                  <c:v>4.2141177977187114</c:v>
                </c:pt>
                <c:pt idx="91">
                  <c:v>4.2200962189254909</c:v>
                </c:pt>
                <c:pt idx="92">
                  <c:v>4.319823636048949</c:v>
                </c:pt>
                <c:pt idx="93">
                  <c:v>4.275720276921116</c:v>
                </c:pt>
                <c:pt idx="94">
                  <c:v>4.1584730014974358</c:v>
                </c:pt>
                <c:pt idx="95">
                  <c:v>4.1791044776119204</c:v>
                </c:pt>
                <c:pt idx="96">
                  <c:v>4.191068156504886</c:v>
                </c:pt>
                <c:pt idx="97">
                  <c:v>3.9718852128754896</c:v>
                </c:pt>
                <c:pt idx="98">
                  <c:v>3.0807541800071165</c:v>
                </c:pt>
                <c:pt idx="99">
                  <c:v>3.0496579905836412</c:v>
                </c:pt>
                <c:pt idx="100">
                  <c:v>3.0353847245883201</c:v>
                </c:pt>
                <c:pt idx="101">
                  <c:v>2.9652270210409597</c:v>
                </c:pt>
                <c:pt idx="102">
                  <c:v>2.9724949146546393</c:v>
                </c:pt>
                <c:pt idx="103">
                  <c:v>3.3015990877509354</c:v>
                </c:pt>
                <c:pt idx="104">
                  <c:v>3.0270021343110427</c:v>
                </c:pt>
                <c:pt idx="105">
                  <c:v>3.0976430976431031</c:v>
                </c:pt>
                <c:pt idx="106">
                  <c:v>2.9303475507808314</c:v>
                </c:pt>
                <c:pt idx="107">
                  <c:v>2.8212163998188555</c:v>
                </c:pt>
                <c:pt idx="108">
                  <c:v>2.8739507728345943</c:v>
                </c:pt>
                <c:pt idx="109">
                  <c:v>2.8667222508027153</c:v>
                </c:pt>
                <c:pt idx="110">
                  <c:v>2.760146948169786</c:v>
                </c:pt>
                <c:pt idx="111">
                  <c:v>2.7188569306536725</c:v>
                </c:pt>
                <c:pt idx="112">
                  <c:v>2.6431212658741687</c:v>
                </c:pt>
                <c:pt idx="113">
                  <c:v>2.5325372924041352</c:v>
                </c:pt>
                <c:pt idx="114">
                  <c:v>2.5287457210567879</c:v>
                </c:pt>
                <c:pt idx="115">
                  <c:v>2.509039210868119</c:v>
                </c:pt>
                <c:pt idx="116">
                  <c:v>2.4730384665763943</c:v>
                </c:pt>
                <c:pt idx="117">
                  <c:v>2.4872844019088571</c:v>
                </c:pt>
                <c:pt idx="118">
                  <c:v>2.2672948349326192</c:v>
                </c:pt>
                <c:pt idx="119">
                  <c:v>2.1624148408487054</c:v>
                </c:pt>
                <c:pt idx="120">
                  <c:v>2.0026207348402476</c:v>
                </c:pt>
                <c:pt idx="121">
                  <c:v>2.2571283402657554</c:v>
                </c:pt>
                <c:pt idx="122">
                  <c:v>2.4761871893981242</c:v>
                </c:pt>
                <c:pt idx="123">
                  <c:v>2.7507909278208404</c:v>
                </c:pt>
                <c:pt idx="124">
                  <c:v>2.9356297093649055</c:v>
                </c:pt>
                <c:pt idx="125">
                  <c:v>2.7989537264889646</c:v>
                </c:pt>
                <c:pt idx="126">
                  <c:v>2.7131949394920647</c:v>
                </c:pt>
                <c:pt idx="127">
                  <c:v>2.4892608375691108</c:v>
                </c:pt>
                <c:pt idx="128">
                  <c:v>2.5985301070185352</c:v>
                </c:pt>
                <c:pt idx="129">
                  <c:v>2.4846161779366516</c:v>
                </c:pt>
                <c:pt idx="130">
                  <c:v>2.5324220876282051</c:v>
                </c:pt>
                <c:pt idx="131">
                  <c:v>2.6608975023318471</c:v>
                </c:pt>
                <c:pt idx="132">
                  <c:v>2.5487101198022941</c:v>
                </c:pt>
                <c:pt idx="133">
                  <c:v>2.528152861848342</c:v>
                </c:pt>
                <c:pt idx="134">
                  <c:v>2.7161599889734105</c:v>
                </c:pt>
                <c:pt idx="135">
                  <c:v>2.5935235078416721</c:v>
                </c:pt>
                <c:pt idx="136">
                  <c:v>2.7968841352271587</c:v>
                </c:pt>
                <c:pt idx="137">
                  <c:v>2.6580669540871518</c:v>
                </c:pt>
                <c:pt idx="138">
                  <c:v>2.8807218498257776</c:v>
                </c:pt>
                <c:pt idx="139">
                  <c:v>3.057179792306961</c:v>
                </c:pt>
                <c:pt idx="140">
                  <c:v>3.0891288230632474</c:v>
                </c:pt>
                <c:pt idx="141">
                  <c:v>3.0372678209646473</c:v>
                </c:pt>
                <c:pt idx="142">
                  <c:v>3.2942093050827412</c:v>
                </c:pt>
                <c:pt idx="143">
                  <c:v>3.3156240202682721</c:v>
                </c:pt>
                <c:pt idx="144">
                  <c:v>3.4786724250133023</c:v>
                </c:pt>
                <c:pt idx="145">
                  <c:v>3.2440080173822237</c:v>
                </c:pt>
                <c:pt idx="146">
                  <c:v>4.777981713169539</c:v>
                </c:pt>
                <c:pt idx="147">
                  <c:v>4.6587915499102257</c:v>
                </c:pt>
                <c:pt idx="148">
                  <c:v>4.7091204176217527</c:v>
                </c:pt>
                <c:pt idx="149">
                  <c:v>5.0202971332914927</c:v>
                </c:pt>
                <c:pt idx="150">
                  <c:v>5.2872313738607115</c:v>
                </c:pt>
                <c:pt idx="151">
                  <c:v>5.417839042840094</c:v>
                </c:pt>
                <c:pt idx="152">
                  <c:v>5.6234186229661951</c:v>
                </c:pt>
                <c:pt idx="153">
                  <c:v>6.0102140934363444</c:v>
                </c:pt>
                <c:pt idx="154">
                  <c:v>6.165838038257343</c:v>
                </c:pt>
                <c:pt idx="155">
                  <c:v>6.163087095878649</c:v>
                </c:pt>
                <c:pt idx="156">
                  <c:v>6.299623200107658</c:v>
                </c:pt>
                <c:pt idx="157">
                  <c:v>6.3268464164970579</c:v>
                </c:pt>
                <c:pt idx="158">
                  <c:v>6.2824985742561026</c:v>
                </c:pt>
                <c:pt idx="159">
                  <c:v>6.5938399322073762</c:v>
                </c:pt>
                <c:pt idx="160">
                  <c:v>6.5882687498431682</c:v>
                </c:pt>
                <c:pt idx="161">
                  <c:v>6.7378882818970585</c:v>
                </c:pt>
                <c:pt idx="162">
                  <c:v>6.5287578218612659</c:v>
                </c:pt>
                <c:pt idx="163">
                  <c:v>6.1664091445280791</c:v>
                </c:pt>
                <c:pt idx="164">
                  <c:v>6.2989782759646946</c:v>
                </c:pt>
                <c:pt idx="165">
                  <c:v>6.44321805654236</c:v>
                </c:pt>
                <c:pt idx="166">
                  <c:v>6.5947399488423954</c:v>
                </c:pt>
                <c:pt idx="167">
                  <c:v>6.67350118920693</c:v>
                </c:pt>
                <c:pt idx="168">
                  <c:v>6.694054901704555</c:v>
                </c:pt>
                <c:pt idx="169">
                  <c:v>6.8510693834934884</c:v>
                </c:pt>
                <c:pt idx="170">
                  <c:v>5.5090840424591905</c:v>
                </c:pt>
                <c:pt idx="171">
                  <c:v>5.5824989779313308</c:v>
                </c:pt>
                <c:pt idx="172">
                  <c:v>5.4472967250705189</c:v>
                </c:pt>
                <c:pt idx="173">
                  <c:v>5.2322013500912563</c:v>
                </c:pt>
                <c:pt idx="174">
                  <c:v>5.1734133886095535</c:v>
                </c:pt>
                <c:pt idx="175">
                  <c:v>4.8978298748613769</c:v>
                </c:pt>
                <c:pt idx="176">
                  <c:v>4.6926310779725515</c:v>
                </c:pt>
                <c:pt idx="177">
                  <c:v>4.4101128039615771</c:v>
                </c:pt>
                <c:pt idx="178">
                  <c:v>4.4591902339130147</c:v>
                </c:pt>
                <c:pt idx="179">
                  <c:v>4.5540631562264844</c:v>
                </c:pt>
                <c:pt idx="180">
                  <c:v>4.5361036823698937</c:v>
                </c:pt>
                <c:pt idx="181">
                  <c:v>4.7584019489199445</c:v>
                </c:pt>
                <c:pt idx="182">
                  <c:v>4.848217033465648</c:v>
                </c:pt>
                <c:pt idx="183">
                  <c:v>4.7746485524927875</c:v>
                </c:pt>
                <c:pt idx="184">
                  <c:v>4.8106327469043819</c:v>
                </c:pt>
                <c:pt idx="185">
                  <c:v>4.9991362129370582</c:v>
                </c:pt>
                <c:pt idx="186">
                  <c:v>4.875270500382749</c:v>
                </c:pt>
                <c:pt idx="187">
                  <c:v>5.1659896244943289</c:v>
                </c:pt>
                <c:pt idx="188">
                  <c:v>4.9352188627597346</c:v>
                </c:pt>
                <c:pt idx="189">
                  <c:v>4.8739609906784294</c:v>
                </c:pt>
                <c:pt idx="190">
                  <c:v>4.5607966774342428</c:v>
                </c:pt>
                <c:pt idx="191">
                  <c:v>4.8719965556213225</c:v>
                </c:pt>
                <c:pt idx="192">
                  <c:v>5.0045431705618117</c:v>
                </c:pt>
                <c:pt idx="193">
                  <c:v>4.6580435901155077</c:v>
                </c:pt>
                <c:pt idx="194">
                  <c:v>4.5239157686302747</c:v>
                </c:pt>
                <c:pt idx="195">
                  <c:v>4.2087945881513358</c:v>
                </c:pt>
                <c:pt idx="196">
                  <c:v>3.8917269000841048</c:v>
                </c:pt>
                <c:pt idx="197">
                  <c:v>3.9890243717717704</c:v>
                </c:pt>
                <c:pt idx="198">
                  <c:v>3.9499307543024047</c:v>
                </c:pt>
                <c:pt idx="199">
                  <c:v>4.0592034671257489</c:v>
                </c:pt>
                <c:pt idx="200">
                  <c:v>4.3839885442395508</c:v>
                </c:pt>
                <c:pt idx="201">
                  <c:v>4.4431349885217726</c:v>
                </c:pt>
                <c:pt idx="202">
                  <c:v>4.4323088028570456</c:v>
                </c:pt>
                <c:pt idx="203">
                  <c:v>4.1312712555516722</c:v>
                </c:pt>
                <c:pt idx="204">
                  <c:v>4.0008340965341755</c:v>
                </c:pt>
                <c:pt idx="205">
                  <c:v>3.8935918758730175</c:v>
                </c:pt>
                <c:pt idx="206">
                  <c:v>3.8420065175997649</c:v>
                </c:pt>
                <c:pt idx="207">
                  <c:v>3.7200000000000135</c:v>
                </c:pt>
                <c:pt idx="208">
                  <c:v>3.2877231097336064</c:v>
                </c:pt>
                <c:pt idx="209">
                  <c:v>3.0365358054868268</c:v>
                </c:pt>
                <c:pt idx="210">
                  <c:v>2.9861696326773419</c:v>
                </c:pt>
                <c:pt idx="211">
                  <c:v>3.0078241061701556</c:v>
                </c:pt>
                <c:pt idx="212">
                  <c:v>3.0067474253245492</c:v>
                </c:pt>
                <c:pt idx="213">
                  <c:v>3.032243446393919</c:v>
                </c:pt>
                <c:pt idx="214">
                  <c:v>3.1008890455488989</c:v>
                </c:pt>
                <c:pt idx="215">
                  <c:v>2.8495310959960203</c:v>
                </c:pt>
                <c:pt idx="216">
                  <c:v>2.6336985317664396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5C-43F0-98AD-5C9AB6050F8D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7012357521235E-4"/>
                  <c:y val="-1.1344214236022639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5C-43F0-98AD-5C9AB6050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2018'!$A$123:$B$339</c:f>
              <c:multiLvlStrCache>
                <c:ptCount val="217"/>
                <c:lvl>
                  <c:pt idx="0">
                    <c:v>1qDic</c:v>
                  </c:pt>
                  <c:pt idx="1">
                    <c:v>2qDic</c:v>
                  </c:pt>
                  <c:pt idx="2">
                    <c:v>1qEne</c:v>
                  </c:pt>
                  <c:pt idx="3">
                    <c:v>2qEne</c:v>
                  </c:pt>
                  <c:pt idx="4">
                    <c:v>1qFeb</c:v>
                  </c:pt>
                  <c:pt idx="5">
                    <c:v>2qFeb</c:v>
                  </c:pt>
                  <c:pt idx="6">
                    <c:v>1qMar</c:v>
                  </c:pt>
                  <c:pt idx="7">
                    <c:v>2qMar</c:v>
                  </c:pt>
                  <c:pt idx="8">
                    <c:v>1qAbr</c:v>
                  </c:pt>
                  <c:pt idx="9">
                    <c:v>2qAbr</c:v>
                  </c:pt>
                  <c:pt idx="10">
                    <c:v>1qMay</c:v>
                  </c:pt>
                  <c:pt idx="11">
                    <c:v>2qMay</c:v>
                  </c:pt>
                  <c:pt idx="12">
                    <c:v>1qJun</c:v>
                  </c:pt>
                  <c:pt idx="13">
                    <c:v>2qJun</c:v>
                  </c:pt>
                  <c:pt idx="14">
                    <c:v>1qJul</c:v>
                  </c:pt>
                  <c:pt idx="15">
                    <c:v>2qJul</c:v>
                  </c:pt>
                  <c:pt idx="16">
                    <c:v>1qAgo</c:v>
                  </c:pt>
                  <c:pt idx="17">
                    <c:v>2qAgo</c:v>
                  </c:pt>
                  <c:pt idx="18">
                    <c:v>1qSep</c:v>
                  </c:pt>
                  <c:pt idx="19">
                    <c:v>2qSep</c:v>
                  </c:pt>
                  <c:pt idx="20">
                    <c:v>1qOct</c:v>
                  </c:pt>
                  <c:pt idx="21">
                    <c:v>2qOct</c:v>
                  </c:pt>
                  <c:pt idx="22">
                    <c:v>1qNov</c:v>
                  </c:pt>
                  <c:pt idx="23">
                    <c:v>2qNov</c:v>
                  </c:pt>
                  <c:pt idx="24">
                    <c:v>1qDic</c:v>
                  </c:pt>
                  <c:pt idx="25">
                    <c:v>2qDic</c:v>
                  </c:pt>
                  <c:pt idx="26">
                    <c:v>1qEne</c:v>
                  </c:pt>
                  <c:pt idx="27">
                    <c:v>2qEne</c:v>
                  </c:pt>
                  <c:pt idx="28">
                    <c:v>1qFeb</c:v>
                  </c:pt>
                  <c:pt idx="29">
                    <c:v>2qFeb</c:v>
                  </c:pt>
                  <c:pt idx="30">
                    <c:v>1qMar</c:v>
                  </c:pt>
                  <c:pt idx="31">
                    <c:v>2qMar</c:v>
                  </c:pt>
                  <c:pt idx="32">
                    <c:v>1qAbr</c:v>
                  </c:pt>
                  <c:pt idx="33">
                    <c:v>2qAbr</c:v>
                  </c:pt>
                  <c:pt idx="34">
                    <c:v>1qMay</c:v>
                  </c:pt>
                  <c:pt idx="35">
                    <c:v>2qMay</c:v>
                  </c:pt>
                  <c:pt idx="36">
                    <c:v>1qJun</c:v>
                  </c:pt>
                  <c:pt idx="37">
                    <c:v>2qJun</c:v>
                  </c:pt>
                  <c:pt idx="38">
                    <c:v>1qJul</c:v>
                  </c:pt>
                  <c:pt idx="39">
                    <c:v>2qJul</c:v>
                  </c:pt>
                  <c:pt idx="40">
                    <c:v>1qAgo</c:v>
                  </c:pt>
                  <c:pt idx="41">
                    <c:v>2qAgo</c:v>
                  </c:pt>
                  <c:pt idx="42">
                    <c:v>1qSep</c:v>
                  </c:pt>
                  <c:pt idx="43">
                    <c:v>2qSep</c:v>
                  </c:pt>
                  <c:pt idx="44">
                    <c:v>1qOct</c:v>
                  </c:pt>
                  <c:pt idx="45">
                    <c:v>2qOct</c:v>
                  </c:pt>
                  <c:pt idx="46">
                    <c:v>1qNov</c:v>
                  </c:pt>
                  <c:pt idx="47">
                    <c:v>2qNov</c:v>
                  </c:pt>
                  <c:pt idx="48">
                    <c:v>1qDic</c:v>
                  </c:pt>
                  <c:pt idx="49">
                    <c:v>2qDic</c:v>
                  </c:pt>
                  <c:pt idx="50">
                    <c:v>1qEne</c:v>
                  </c:pt>
                  <c:pt idx="51">
                    <c:v>2qEne</c:v>
                  </c:pt>
                  <c:pt idx="52">
                    <c:v>1qFeb</c:v>
                  </c:pt>
                  <c:pt idx="53">
                    <c:v>2qFeb</c:v>
                  </c:pt>
                  <c:pt idx="54">
                    <c:v>1qMar</c:v>
                  </c:pt>
                  <c:pt idx="55">
                    <c:v>2qMar</c:v>
                  </c:pt>
                  <c:pt idx="56">
                    <c:v>1qAbr</c:v>
                  </c:pt>
                  <c:pt idx="57">
                    <c:v>2qAbr</c:v>
                  </c:pt>
                  <c:pt idx="58">
                    <c:v>1qMay</c:v>
                  </c:pt>
                  <c:pt idx="59">
                    <c:v>2qMay</c:v>
                  </c:pt>
                  <c:pt idx="60">
                    <c:v>1qJun</c:v>
                  </c:pt>
                  <c:pt idx="61">
                    <c:v>2qJun</c:v>
                  </c:pt>
                  <c:pt idx="62">
                    <c:v>1qJul</c:v>
                  </c:pt>
                  <c:pt idx="63">
                    <c:v>2qJul</c:v>
                  </c:pt>
                  <c:pt idx="64">
                    <c:v>1qAgo</c:v>
                  </c:pt>
                  <c:pt idx="65">
                    <c:v>2qAgo</c:v>
                  </c:pt>
                  <c:pt idx="66">
                    <c:v>1qSep</c:v>
                  </c:pt>
                  <c:pt idx="67">
                    <c:v>2qSep</c:v>
                  </c:pt>
                  <c:pt idx="68">
                    <c:v>1qOct</c:v>
                  </c:pt>
                  <c:pt idx="69">
                    <c:v>2qOct</c:v>
                  </c:pt>
                  <c:pt idx="70">
                    <c:v>1qNov</c:v>
                  </c:pt>
                  <c:pt idx="71">
                    <c:v>2qNov</c:v>
                  </c:pt>
                  <c:pt idx="72">
                    <c:v>1qDic</c:v>
                  </c:pt>
                  <c:pt idx="73">
                    <c:v>2qDic</c:v>
                  </c:pt>
                  <c:pt idx="74">
                    <c:v>1qEne</c:v>
                  </c:pt>
                  <c:pt idx="75">
                    <c:v>2qEne</c:v>
                  </c:pt>
                  <c:pt idx="76">
                    <c:v>1qFeb</c:v>
                  </c:pt>
                  <c:pt idx="77">
                    <c:v>2qFeb</c:v>
                  </c:pt>
                  <c:pt idx="78">
                    <c:v>1qMar</c:v>
                  </c:pt>
                  <c:pt idx="79">
                    <c:v>2qMar</c:v>
                  </c:pt>
                  <c:pt idx="80">
                    <c:v>1qAbr</c:v>
                  </c:pt>
                  <c:pt idx="81">
                    <c:v>2qAbr</c:v>
                  </c:pt>
                  <c:pt idx="82">
                    <c:v>1qMay</c:v>
                  </c:pt>
                  <c:pt idx="83">
                    <c:v>2qMay</c:v>
                  </c:pt>
                  <c:pt idx="84">
                    <c:v>1qJun</c:v>
                  </c:pt>
                  <c:pt idx="85">
                    <c:v>2qJun</c:v>
                  </c:pt>
                  <c:pt idx="86">
                    <c:v>1qJul</c:v>
                  </c:pt>
                  <c:pt idx="87">
                    <c:v>2qJul</c:v>
                  </c:pt>
                  <c:pt idx="88">
                    <c:v>1qAgo</c:v>
                  </c:pt>
                  <c:pt idx="89">
                    <c:v>2qAgo</c:v>
                  </c:pt>
                  <c:pt idx="90">
                    <c:v>1qSep</c:v>
                  </c:pt>
                  <c:pt idx="91">
                    <c:v>2qSep</c:v>
                  </c:pt>
                  <c:pt idx="92">
                    <c:v>1qOct</c:v>
                  </c:pt>
                  <c:pt idx="93">
                    <c:v>2qOct</c:v>
                  </c:pt>
                  <c:pt idx="94">
                    <c:v>1qNov</c:v>
                  </c:pt>
                  <c:pt idx="95">
                    <c:v>2qNov</c:v>
                  </c:pt>
                  <c:pt idx="96">
                    <c:v>1qDic</c:v>
                  </c:pt>
                  <c:pt idx="97">
                    <c:v>2qDic</c:v>
                  </c:pt>
                  <c:pt idx="98">
                    <c:v>1qEne</c:v>
                  </c:pt>
                  <c:pt idx="99">
                    <c:v>2qEne</c:v>
                  </c:pt>
                  <c:pt idx="100">
                    <c:v>1qFeb</c:v>
                  </c:pt>
                  <c:pt idx="101">
                    <c:v>2qFeb</c:v>
                  </c:pt>
                  <c:pt idx="102">
                    <c:v>1qMar</c:v>
                  </c:pt>
                  <c:pt idx="103">
                    <c:v>2qMar</c:v>
                  </c:pt>
                  <c:pt idx="104">
                    <c:v>1qAbr</c:v>
                  </c:pt>
                  <c:pt idx="105">
                    <c:v>2qAbr</c:v>
                  </c:pt>
                  <c:pt idx="106">
                    <c:v>1qMay</c:v>
                  </c:pt>
                  <c:pt idx="107">
                    <c:v>2qMay</c:v>
                  </c:pt>
                  <c:pt idx="108">
                    <c:v>1qJun</c:v>
                  </c:pt>
                  <c:pt idx="109">
                    <c:v>2qJun</c:v>
                  </c:pt>
                  <c:pt idx="110">
                    <c:v>1qJul</c:v>
                  </c:pt>
                  <c:pt idx="111">
                    <c:v>2qJul</c:v>
                  </c:pt>
                  <c:pt idx="112">
                    <c:v>1qAgo</c:v>
                  </c:pt>
                  <c:pt idx="113">
                    <c:v>2qAgo</c:v>
                  </c:pt>
                  <c:pt idx="114">
                    <c:v>1qSep</c:v>
                  </c:pt>
                  <c:pt idx="115">
                    <c:v>2qSep</c:v>
                  </c:pt>
                  <c:pt idx="116">
                    <c:v>1qOct</c:v>
                  </c:pt>
                  <c:pt idx="117">
                    <c:v>2qOct</c:v>
                  </c:pt>
                  <c:pt idx="118">
                    <c:v>1qNov</c:v>
                  </c:pt>
                  <c:pt idx="119">
                    <c:v>2qNov</c:v>
                  </c:pt>
                  <c:pt idx="120">
                    <c:v>1qDic</c:v>
                  </c:pt>
                  <c:pt idx="121">
                    <c:v>2qDic</c:v>
                  </c:pt>
                  <c:pt idx="122">
                    <c:v>1qEne</c:v>
                  </c:pt>
                  <c:pt idx="123">
                    <c:v>2qEne</c:v>
                  </c:pt>
                  <c:pt idx="124">
                    <c:v>1qFeb</c:v>
                  </c:pt>
                  <c:pt idx="125">
                    <c:v>2qFeb</c:v>
                  </c:pt>
                  <c:pt idx="126">
                    <c:v>1qMar</c:v>
                  </c:pt>
                  <c:pt idx="127">
                    <c:v>2qMar</c:v>
                  </c:pt>
                  <c:pt idx="128">
                    <c:v>1qAbr</c:v>
                  </c:pt>
                  <c:pt idx="129">
                    <c:v>2qAbr</c:v>
                  </c:pt>
                  <c:pt idx="130">
                    <c:v>1qMay</c:v>
                  </c:pt>
                  <c:pt idx="131">
                    <c:v>2qMay</c:v>
                  </c:pt>
                  <c:pt idx="132">
                    <c:v>1qJun</c:v>
                  </c:pt>
                  <c:pt idx="133">
                    <c:v>2qJun</c:v>
                  </c:pt>
                  <c:pt idx="134">
                    <c:v>1qJul</c:v>
                  </c:pt>
                  <c:pt idx="135">
                    <c:v>2qJul</c:v>
                  </c:pt>
                  <c:pt idx="136">
                    <c:v>1qAgo</c:v>
                  </c:pt>
                  <c:pt idx="137">
                    <c:v>2qAgo</c:v>
                  </c:pt>
                  <c:pt idx="138">
                    <c:v>1qSep</c:v>
                  </c:pt>
                  <c:pt idx="139">
                    <c:v>2qSep</c:v>
                  </c:pt>
                  <c:pt idx="140">
                    <c:v>1qOct</c:v>
                  </c:pt>
                  <c:pt idx="141">
                    <c:v>2qOct</c:v>
                  </c:pt>
                  <c:pt idx="142">
                    <c:v>1qNov</c:v>
                  </c:pt>
                  <c:pt idx="143">
                    <c:v>2qNov</c:v>
                  </c:pt>
                  <c:pt idx="144">
                    <c:v>1qDic</c:v>
                  </c:pt>
                  <c:pt idx="145">
                    <c:v>2qDic</c:v>
                  </c:pt>
                  <c:pt idx="146">
                    <c:v>1qEne</c:v>
                  </c:pt>
                  <c:pt idx="147">
                    <c:v>2qEne</c:v>
                  </c:pt>
                  <c:pt idx="148">
                    <c:v>1qFeb</c:v>
                  </c:pt>
                  <c:pt idx="149">
                    <c:v>2qFeb</c:v>
                  </c:pt>
                  <c:pt idx="150">
                    <c:v>1qMar</c:v>
                  </c:pt>
                  <c:pt idx="151">
                    <c:v>2qMar</c:v>
                  </c:pt>
                  <c:pt idx="152">
                    <c:v>1qAbr</c:v>
                  </c:pt>
                  <c:pt idx="153">
                    <c:v>2qAbr</c:v>
                  </c:pt>
                  <c:pt idx="154">
                    <c:v>1qMay</c:v>
                  </c:pt>
                  <c:pt idx="155">
                    <c:v>2qMay</c:v>
                  </c:pt>
                  <c:pt idx="156">
                    <c:v>1qJun</c:v>
                  </c:pt>
                  <c:pt idx="157">
                    <c:v>2qJun</c:v>
                  </c:pt>
                  <c:pt idx="158">
                    <c:v>1qJul</c:v>
                  </c:pt>
                  <c:pt idx="159">
                    <c:v>2qJul</c:v>
                  </c:pt>
                  <c:pt idx="160">
                    <c:v>1qAgo</c:v>
                  </c:pt>
                  <c:pt idx="161">
                    <c:v>2qAgo</c:v>
                  </c:pt>
                  <c:pt idx="162">
                    <c:v>1qSep</c:v>
                  </c:pt>
                  <c:pt idx="163">
                    <c:v>2qSep</c:v>
                  </c:pt>
                  <c:pt idx="164">
                    <c:v>1qOct</c:v>
                  </c:pt>
                  <c:pt idx="165">
                    <c:v>2qOct</c:v>
                  </c:pt>
                  <c:pt idx="166">
                    <c:v>1qNov</c:v>
                  </c:pt>
                  <c:pt idx="167">
                    <c:v>2qNov</c:v>
                  </c:pt>
                  <c:pt idx="168">
                    <c:v>1qDic</c:v>
                  </c:pt>
                  <c:pt idx="169">
                    <c:v>2qDic</c:v>
                  </c:pt>
                  <c:pt idx="170">
                    <c:v>1qEne</c:v>
                  </c:pt>
                  <c:pt idx="171">
                    <c:v>2qEne</c:v>
                  </c:pt>
                  <c:pt idx="172">
                    <c:v>1qFeb</c:v>
                  </c:pt>
                  <c:pt idx="173">
                    <c:v>2qFeb</c:v>
                  </c:pt>
                  <c:pt idx="174">
                    <c:v>1qMar</c:v>
                  </c:pt>
                  <c:pt idx="175">
                    <c:v>2qMar</c:v>
                  </c:pt>
                  <c:pt idx="176">
                    <c:v>1qAbr</c:v>
                  </c:pt>
                  <c:pt idx="177">
                    <c:v>2qAbr</c:v>
                  </c:pt>
                  <c:pt idx="178">
                    <c:v>1qMay</c:v>
                  </c:pt>
                  <c:pt idx="179">
                    <c:v>2qMay</c:v>
                  </c:pt>
                  <c:pt idx="180">
                    <c:v>1qJun</c:v>
                  </c:pt>
                  <c:pt idx="181">
                    <c:v>2qJun</c:v>
                  </c:pt>
                  <c:pt idx="182">
                    <c:v>1qJul</c:v>
                  </c:pt>
                  <c:pt idx="183">
                    <c:v>2qJul</c:v>
                  </c:pt>
                  <c:pt idx="184">
                    <c:v>1qAgo</c:v>
                  </c:pt>
                  <c:pt idx="185">
                    <c:v>2qAgo</c:v>
                  </c:pt>
                  <c:pt idx="186">
                    <c:v>1qSep</c:v>
                  </c:pt>
                  <c:pt idx="187">
                    <c:v>2qSep</c:v>
                  </c:pt>
                  <c:pt idx="188">
                    <c:v>1qOct</c:v>
                  </c:pt>
                  <c:pt idx="189">
                    <c:v>2qOct</c:v>
                  </c:pt>
                  <c:pt idx="190">
                    <c:v>1qNov</c:v>
                  </c:pt>
                  <c:pt idx="191">
                    <c:v>2qNov</c:v>
                  </c:pt>
                  <c:pt idx="192">
                    <c:v>1qDic</c:v>
                  </c:pt>
                  <c:pt idx="193">
                    <c:v>2qDic</c:v>
                  </c:pt>
                  <c:pt idx="194">
                    <c:v>1qEne</c:v>
                  </c:pt>
                  <c:pt idx="195">
                    <c:v>2qEne</c:v>
                  </c:pt>
                  <c:pt idx="196">
                    <c:v>1qFeb</c:v>
                  </c:pt>
                  <c:pt idx="197">
                    <c:v>2qFeb</c:v>
                  </c:pt>
                  <c:pt idx="198">
                    <c:v>1qMar</c:v>
                  </c:pt>
                  <c:pt idx="199">
                    <c:v>2qMar</c:v>
                  </c:pt>
                  <c:pt idx="200">
                    <c:v>1qAbr</c:v>
                  </c:pt>
                  <c:pt idx="201">
                    <c:v>2qAbr</c:v>
                  </c:pt>
                  <c:pt idx="202">
                    <c:v>1qMay</c:v>
                  </c:pt>
                  <c:pt idx="203">
                    <c:v>2qMay</c:v>
                  </c:pt>
                  <c:pt idx="204">
                    <c:v>1qJun</c:v>
                  </c:pt>
                  <c:pt idx="205">
                    <c:v>2qJun</c:v>
                  </c:pt>
                  <c:pt idx="206">
                    <c:v>1qJul</c:v>
                  </c:pt>
                  <c:pt idx="207">
                    <c:v>2qJul</c:v>
                  </c:pt>
                  <c:pt idx="208">
                    <c:v>1qAgo</c:v>
                  </c:pt>
                  <c:pt idx="209">
                    <c:v>2qAgo</c:v>
                  </c:pt>
                  <c:pt idx="210">
                    <c:v>1qSep</c:v>
                  </c:pt>
                  <c:pt idx="211">
                    <c:v>2qSep</c:v>
                  </c:pt>
                  <c:pt idx="212">
                    <c:v>1qOct</c:v>
                  </c:pt>
                  <c:pt idx="213">
                    <c:v>2qOct</c:v>
                  </c:pt>
                  <c:pt idx="214">
                    <c:v>1qNov</c:v>
                  </c:pt>
                  <c:pt idx="215">
                    <c:v>2qNov</c:v>
                  </c:pt>
                  <c:pt idx="216">
                    <c:v>1qDic</c:v>
                  </c:pt>
                </c:lvl>
                <c:lvl>
                  <c:pt idx="0">
                    <c:v>2010</c:v>
                  </c:pt>
                  <c:pt idx="1">
                    <c:v>2010</c:v>
                  </c:pt>
                  <c:pt idx="2">
                    <c:v>2011</c:v>
                  </c:pt>
                  <c:pt idx="3">
                    <c:v>2011</c:v>
                  </c:pt>
                  <c:pt idx="4">
                    <c:v>2011</c:v>
                  </c:pt>
                  <c:pt idx="5">
                    <c:v>2011</c:v>
                  </c:pt>
                  <c:pt idx="6">
                    <c:v>2011</c:v>
                  </c:pt>
                  <c:pt idx="7">
                    <c:v>2011</c:v>
                  </c:pt>
                  <c:pt idx="8">
                    <c:v>2011</c:v>
                  </c:pt>
                  <c:pt idx="9">
                    <c:v>2011</c:v>
                  </c:pt>
                  <c:pt idx="10">
                    <c:v>2011</c:v>
                  </c:pt>
                  <c:pt idx="11">
                    <c:v>2011</c:v>
                  </c:pt>
                  <c:pt idx="12">
                    <c:v>2011</c:v>
                  </c:pt>
                  <c:pt idx="13">
                    <c:v>2011</c:v>
                  </c:pt>
                  <c:pt idx="14">
                    <c:v>2011</c:v>
                  </c:pt>
                  <c:pt idx="15">
                    <c:v>2011</c:v>
                  </c:pt>
                  <c:pt idx="16">
                    <c:v>2011</c:v>
                  </c:pt>
                  <c:pt idx="17">
                    <c:v>2011</c:v>
                  </c:pt>
                  <c:pt idx="18">
                    <c:v>2011</c:v>
                  </c:pt>
                  <c:pt idx="19">
                    <c:v>2011</c:v>
                  </c:pt>
                  <c:pt idx="20">
                    <c:v>2011</c:v>
                  </c:pt>
                  <c:pt idx="21">
                    <c:v>2011</c:v>
                  </c:pt>
                  <c:pt idx="22">
                    <c:v>2011</c:v>
                  </c:pt>
                  <c:pt idx="23">
                    <c:v>2011</c:v>
                  </c:pt>
                  <c:pt idx="24">
                    <c:v>2011</c:v>
                  </c:pt>
                  <c:pt idx="25">
                    <c:v>2011</c:v>
                  </c:pt>
                  <c:pt idx="26">
                    <c:v>2012</c:v>
                  </c:pt>
                  <c:pt idx="27">
                    <c:v>2012</c:v>
                  </c:pt>
                  <c:pt idx="28">
                    <c:v>2012</c:v>
                  </c:pt>
                  <c:pt idx="29">
                    <c:v>2012</c:v>
                  </c:pt>
                  <c:pt idx="30">
                    <c:v>2012</c:v>
                  </c:pt>
                  <c:pt idx="31">
                    <c:v>2012</c:v>
                  </c:pt>
                  <c:pt idx="32">
                    <c:v>2012</c:v>
                  </c:pt>
                  <c:pt idx="33">
                    <c:v>2012</c:v>
                  </c:pt>
                  <c:pt idx="34">
                    <c:v>2012</c:v>
                  </c:pt>
                  <c:pt idx="35">
                    <c:v>2012</c:v>
                  </c:pt>
                  <c:pt idx="36">
                    <c:v>2012</c:v>
                  </c:pt>
                  <c:pt idx="37">
                    <c:v>2012</c:v>
                  </c:pt>
                  <c:pt idx="38">
                    <c:v>2012</c:v>
                  </c:pt>
                  <c:pt idx="39">
                    <c:v>2012</c:v>
                  </c:pt>
                  <c:pt idx="40">
                    <c:v>2012</c:v>
                  </c:pt>
                  <c:pt idx="41">
                    <c:v>2012</c:v>
                  </c:pt>
                  <c:pt idx="42">
                    <c:v>2012</c:v>
                  </c:pt>
                  <c:pt idx="43">
                    <c:v>2012</c:v>
                  </c:pt>
                  <c:pt idx="44">
                    <c:v>2012</c:v>
                  </c:pt>
                  <c:pt idx="45">
                    <c:v>2012</c:v>
                  </c:pt>
                  <c:pt idx="46">
                    <c:v>2012</c:v>
                  </c:pt>
                  <c:pt idx="47">
                    <c:v>2012</c:v>
                  </c:pt>
                  <c:pt idx="48">
                    <c:v>2012</c:v>
                  </c:pt>
                  <c:pt idx="49">
                    <c:v>2012</c:v>
                  </c:pt>
                  <c:pt idx="50">
                    <c:v>2013</c:v>
                  </c:pt>
                  <c:pt idx="51">
                    <c:v>2013</c:v>
                  </c:pt>
                  <c:pt idx="52">
                    <c:v>2013</c:v>
                  </c:pt>
                  <c:pt idx="53">
                    <c:v>2013</c:v>
                  </c:pt>
                  <c:pt idx="54">
                    <c:v>2013</c:v>
                  </c:pt>
                  <c:pt idx="55">
                    <c:v>2013</c:v>
                  </c:pt>
                  <c:pt idx="56">
                    <c:v>2013</c:v>
                  </c:pt>
                  <c:pt idx="57">
                    <c:v>2013</c:v>
                  </c:pt>
                  <c:pt idx="58">
                    <c:v>2013</c:v>
                  </c:pt>
                  <c:pt idx="59">
                    <c:v>2013</c:v>
                  </c:pt>
                  <c:pt idx="60">
                    <c:v>2013</c:v>
                  </c:pt>
                  <c:pt idx="61">
                    <c:v>2013</c:v>
                  </c:pt>
                  <c:pt idx="62">
                    <c:v>2013</c:v>
                  </c:pt>
                  <c:pt idx="63">
                    <c:v>2013</c:v>
                  </c:pt>
                  <c:pt idx="64">
                    <c:v>2013</c:v>
                  </c:pt>
                  <c:pt idx="65">
                    <c:v>2013</c:v>
                  </c:pt>
                  <c:pt idx="66">
                    <c:v>2013</c:v>
                  </c:pt>
                  <c:pt idx="67">
                    <c:v>2013</c:v>
                  </c:pt>
                  <c:pt idx="68">
                    <c:v>2013</c:v>
                  </c:pt>
                  <c:pt idx="69">
                    <c:v>2013</c:v>
                  </c:pt>
                  <c:pt idx="70">
                    <c:v>2013</c:v>
                  </c:pt>
                  <c:pt idx="71">
                    <c:v>2013</c:v>
                  </c:pt>
                  <c:pt idx="72">
                    <c:v>2013</c:v>
                  </c:pt>
                  <c:pt idx="73">
                    <c:v>2013</c:v>
                  </c:pt>
                  <c:pt idx="74">
                    <c:v>2014</c:v>
                  </c:pt>
                  <c:pt idx="75">
                    <c:v>2014</c:v>
                  </c:pt>
                  <c:pt idx="76">
                    <c:v>2014</c:v>
                  </c:pt>
                  <c:pt idx="77">
                    <c:v>2014</c:v>
                  </c:pt>
                  <c:pt idx="78">
                    <c:v>2014</c:v>
                  </c:pt>
                  <c:pt idx="79">
                    <c:v>2014</c:v>
                  </c:pt>
                  <c:pt idx="80">
                    <c:v>2014</c:v>
                  </c:pt>
                  <c:pt idx="81">
                    <c:v>2014</c:v>
                  </c:pt>
                  <c:pt idx="82">
                    <c:v>2014</c:v>
                  </c:pt>
                  <c:pt idx="83">
                    <c:v>2014</c:v>
                  </c:pt>
                  <c:pt idx="84">
                    <c:v>2014</c:v>
                  </c:pt>
                  <c:pt idx="85">
                    <c:v>2014</c:v>
                  </c:pt>
                  <c:pt idx="86">
                    <c:v>2014</c:v>
                  </c:pt>
                  <c:pt idx="87">
                    <c:v>2014</c:v>
                  </c:pt>
                  <c:pt idx="88">
                    <c:v>2014</c:v>
                  </c:pt>
                  <c:pt idx="89">
                    <c:v>2014</c:v>
                  </c:pt>
                  <c:pt idx="90">
                    <c:v>2014</c:v>
                  </c:pt>
                  <c:pt idx="91">
                    <c:v>2014</c:v>
                  </c:pt>
                  <c:pt idx="92">
                    <c:v>2014</c:v>
                  </c:pt>
                  <c:pt idx="93">
                    <c:v>2014</c:v>
                  </c:pt>
                  <c:pt idx="94">
                    <c:v>2014</c:v>
                  </c:pt>
                  <c:pt idx="95">
                    <c:v>2014</c:v>
                  </c:pt>
                  <c:pt idx="96">
                    <c:v>2014</c:v>
                  </c:pt>
                  <c:pt idx="97">
                    <c:v>2014</c:v>
                  </c:pt>
                  <c:pt idx="98">
                    <c:v>2015</c:v>
                  </c:pt>
                  <c:pt idx="99">
                    <c:v>2015</c:v>
                  </c:pt>
                  <c:pt idx="100">
                    <c:v>2015</c:v>
                  </c:pt>
                  <c:pt idx="101">
                    <c:v>2015</c:v>
                  </c:pt>
                  <c:pt idx="102">
                    <c:v>2015</c:v>
                  </c:pt>
                  <c:pt idx="103">
                    <c:v>2015</c:v>
                  </c:pt>
                  <c:pt idx="104">
                    <c:v>2015</c:v>
                  </c:pt>
                  <c:pt idx="105">
                    <c:v>2015</c:v>
                  </c:pt>
                  <c:pt idx="106">
                    <c:v>2015</c:v>
                  </c:pt>
                  <c:pt idx="107">
                    <c:v>2015</c:v>
                  </c:pt>
                  <c:pt idx="108">
                    <c:v>2015</c:v>
                  </c:pt>
                  <c:pt idx="109">
                    <c:v>2015</c:v>
                  </c:pt>
                  <c:pt idx="110">
                    <c:v>2015</c:v>
                  </c:pt>
                  <c:pt idx="111">
                    <c:v>2015</c:v>
                  </c:pt>
                  <c:pt idx="112">
                    <c:v>2015</c:v>
                  </c:pt>
                  <c:pt idx="113">
                    <c:v>2015</c:v>
                  </c:pt>
                  <c:pt idx="114">
                    <c:v>2015</c:v>
                  </c:pt>
                  <c:pt idx="115">
                    <c:v>2015</c:v>
                  </c:pt>
                  <c:pt idx="116">
                    <c:v>2015</c:v>
                  </c:pt>
                  <c:pt idx="117">
                    <c:v>2015</c:v>
                  </c:pt>
                  <c:pt idx="118">
                    <c:v>2015</c:v>
                  </c:pt>
                  <c:pt idx="119">
                    <c:v>2015</c:v>
                  </c:pt>
                  <c:pt idx="120">
                    <c:v>2015</c:v>
                  </c:pt>
                  <c:pt idx="121">
                    <c:v>2015</c:v>
                  </c:pt>
                  <c:pt idx="122">
                    <c:v>2016</c:v>
                  </c:pt>
                  <c:pt idx="123">
                    <c:v>2016</c:v>
                  </c:pt>
                  <c:pt idx="124">
                    <c:v>2016</c:v>
                  </c:pt>
                  <c:pt idx="125">
                    <c:v>2016</c:v>
                  </c:pt>
                  <c:pt idx="126">
                    <c:v>2016</c:v>
                  </c:pt>
                  <c:pt idx="127">
                    <c:v>2016</c:v>
                  </c:pt>
                  <c:pt idx="128">
                    <c:v>2016</c:v>
                  </c:pt>
                  <c:pt idx="129">
                    <c:v>2016</c:v>
                  </c:pt>
                  <c:pt idx="130">
                    <c:v>2016</c:v>
                  </c:pt>
                  <c:pt idx="131">
                    <c:v>2016</c:v>
                  </c:pt>
                  <c:pt idx="132">
                    <c:v>2016</c:v>
                  </c:pt>
                  <c:pt idx="133">
                    <c:v>2016</c:v>
                  </c:pt>
                  <c:pt idx="134">
                    <c:v>2016</c:v>
                  </c:pt>
                  <c:pt idx="135">
                    <c:v>2016</c:v>
                  </c:pt>
                  <c:pt idx="136">
                    <c:v>2016</c:v>
                  </c:pt>
                  <c:pt idx="137">
                    <c:v>2016</c:v>
                  </c:pt>
                  <c:pt idx="138">
                    <c:v>2016</c:v>
                  </c:pt>
                  <c:pt idx="139">
                    <c:v>2016</c:v>
                  </c:pt>
                  <c:pt idx="140">
                    <c:v>2016</c:v>
                  </c:pt>
                  <c:pt idx="141">
                    <c:v>2016</c:v>
                  </c:pt>
                  <c:pt idx="142">
                    <c:v>2016</c:v>
                  </c:pt>
                  <c:pt idx="143">
                    <c:v>2016</c:v>
                  </c:pt>
                  <c:pt idx="144">
                    <c:v>2016</c:v>
                  </c:pt>
                  <c:pt idx="145">
                    <c:v>2016</c:v>
                  </c:pt>
                  <c:pt idx="146">
                    <c:v>2017</c:v>
                  </c:pt>
                  <c:pt idx="147">
                    <c:v>2017</c:v>
                  </c:pt>
                  <c:pt idx="148">
                    <c:v>2017</c:v>
                  </c:pt>
                  <c:pt idx="149">
                    <c:v>2017</c:v>
                  </c:pt>
                  <c:pt idx="150">
                    <c:v>2017</c:v>
                  </c:pt>
                  <c:pt idx="151">
                    <c:v>2017</c:v>
                  </c:pt>
                  <c:pt idx="152">
                    <c:v>2017</c:v>
                  </c:pt>
                  <c:pt idx="153">
                    <c:v>2017</c:v>
                  </c:pt>
                  <c:pt idx="154">
                    <c:v>2017</c:v>
                  </c:pt>
                  <c:pt idx="155">
                    <c:v>2017</c:v>
                  </c:pt>
                  <c:pt idx="156">
                    <c:v>2017</c:v>
                  </c:pt>
                  <c:pt idx="157">
                    <c:v>2017</c:v>
                  </c:pt>
                  <c:pt idx="158">
                    <c:v>2017</c:v>
                  </c:pt>
                  <c:pt idx="159">
                    <c:v>2017</c:v>
                  </c:pt>
                  <c:pt idx="160">
                    <c:v>2017</c:v>
                  </c:pt>
                  <c:pt idx="161">
                    <c:v>2017</c:v>
                  </c:pt>
                  <c:pt idx="162">
                    <c:v>2017</c:v>
                  </c:pt>
                  <c:pt idx="163">
                    <c:v>2017</c:v>
                  </c:pt>
                  <c:pt idx="164">
                    <c:v>2017</c:v>
                  </c:pt>
                  <c:pt idx="165">
                    <c:v>2017</c:v>
                  </c:pt>
                  <c:pt idx="166">
                    <c:v>2017</c:v>
                  </c:pt>
                  <c:pt idx="167">
                    <c:v>2017</c:v>
                  </c:pt>
                  <c:pt idx="168">
                    <c:v>2017</c:v>
                  </c:pt>
                  <c:pt idx="169">
                    <c:v>2017</c:v>
                  </c:pt>
                  <c:pt idx="170">
                    <c:v>2018</c:v>
                  </c:pt>
                  <c:pt idx="171">
                    <c:v>2018</c:v>
                  </c:pt>
                  <c:pt idx="172">
                    <c:v>2018</c:v>
                  </c:pt>
                  <c:pt idx="173">
                    <c:v>2018</c:v>
                  </c:pt>
                  <c:pt idx="174">
                    <c:v>2018</c:v>
                  </c:pt>
                  <c:pt idx="175">
                    <c:v>2018</c:v>
                  </c:pt>
                  <c:pt idx="176">
                    <c:v>2018</c:v>
                  </c:pt>
                  <c:pt idx="177">
                    <c:v>2018</c:v>
                  </c:pt>
                  <c:pt idx="178">
                    <c:v>2018</c:v>
                  </c:pt>
                  <c:pt idx="179">
                    <c:v>2018</c:v>
                  </c:pt>
                  <c:pt idx="180">
                    <c:v>2018</c:v>
                  </c:pt>
                  <c:pt idx="181">
                    <c:v>2018</c:v>
                  </c:pt>
                  <c:pt idx="182">
                    <c:v>2018</c:v>
                  </c:pt>
                  <c:pt idx="183">
                    <c:v>2018</c:v>
                  </c:pt>
                  <c:pt idx="184">
                    <c:v>2018</c:v>
                  </c:pt>
                  <c:pt idx="185">
                    <c:v>2018</c:v>
                  </c:pt>
                  <c:pt idx="186">
                    <c:v>2018</c:v>
                  </c:pt>
                  <c:pt idx="187">
                    <c:v>2018</c:v>
                  </c:pt>
                  <c:pt idx="188">
                    <c:v>2018</c:v>
                  </c:pt>
                  <c:pt idx="189">
                    <c:v>2018</c:v>
                  </c:pt>
                  <c:pt idx="190">
                    <c:v>2018</c:v>
                  </c:pt>
                  <c:pt idx="191">
                    <c:v>2018</c:v>
                  </c:pt>
                  <c:pt idx="192">
                    <c:v>2018</c:v>
                  </c:pt>
                  <c:pt idx="193">
                    <c:v>2018</c:v>
                  </c:pt>
                  <c:pt idx="194">
                    <c:v>2019</c:v>
                  </c:pt>
                  <c:pt idx="195">
                    <c:v>2019</c:v>
                  </c:pt>
                  <c:pt idx="196">
                    <c:v>2019</c:v>
                  </c:pt>
                  <c:pt idx="197">
                    <c:v>2019</c:v>
                  </c:pt>
                  <c:pt idx="198">
                    <c:v>2019</c:v>
                  </c:pt>
                  <c:pt idx="199">
                    <c:v>2019</c:v>
                  </c:pt>
                  <c:pt idx="200">
                    <c:v>2019</c:v>
                  </c:pt>
                  <c:pt idx="201">
                    <c:v>2019</c:v>
                  </c:pt>
                  <c:pt idx="202">
                    <c:v>2019</c:v>
                  </c:pt>
                  <c:pt idx="203">
                    <c:v>2019</c:v>
                  </c:pt>
                  <c:pt idx="204">
                    <c:v>2019</c:v>
                  </c:pt>
                  <c:pt idx="205">
                    <c:v>2019</c:v>
                  </c:pt>
                  <c:pt idx="206">
                    <c:v>2019</c:v>
                  </c:pt>
                  <c:pt idx="207">
                    <c:v>2019</c:v>
                  </c:pt>
                  <c:pt idx="208">
                    <c:v>2019</c:v>
                  </c:pt>
                  <c:pt idx="209">
                    <c:v>2019</c:v>
                  </c:pt>
                  <c:pt idx="210">
                    <c:v>2019</c:v>
                  </c:pt>
                  <c:pt idx="211">
                    <c:v>2019</c:v>
                  </c:pt>
                  <c:pt idx="212">
                    <c:v>2019</c:v>
                  </c:pt>
                  <c:pt idx="213">
                    <c:v>2019</c:v>
                  </c:pt>
                  <c:pt idx="214">
                    <c:v>2019</c:v>
                  </c:pt>
                  <c:pt idx="215">
                    <c:v>2019</c:v>
                  </c:pt>
                  <c:pt idx="216">
                    <c:v>2019</c:v>
                  </c:pt>
                </c:lvl>
              </c:multiLvlStrCache>
            </c:multiLvlStrRef>
          </c:cat>
          <c:val>
            <c:numRef>
              <c:f>'Datos base 2q jul 2018'!$G$123:$G$339</c:f>
              <c:numCache>
                <c:formatCode>0.00</c:formatCode>
                <c:ptCount val="217"/>
                <c:pt idx="0">
                  <c:v>3.5384889941576785</c:v>
                </c:pt>
                <c:pt idx="1">
                  <c:v>3.6145026188202802</c:v>
                </c:pt>
                <c:pt idx="2">
                  <c:v>3.3226892594635284</c:v>
                </c:pt>
                <c:pt idx="3">
                  <c:v>3.2255243248914072</c:v>
                </c:pt>
                <c:pt idx="4">
                  <c:v>3.284093532605644</c:v>
                </c:pt>
                <c:pt idx="5">
                  <c:v>3.2420763587380481</c:v>
                </c:pt>
                <c:pt idx="6">
                  <c:v>3.3126273858346695</c:v>
                </c:pt>
                <c:pt idx="7">
                  <c:v>3.1058183665068499</c:v>
                </c:pt>
                <c:pt idx="8">
                  <c:v>3.1887899782855382</c:v>
                </c:pt>
                <c:pt idx="9">
                  <c:v>3.1627609115809538</c:v>
                </c:pt>
                <c:pt idx="10">
                  <c:v>3.0704387444350338</c:v>
                </c:pt>
                <c:pt idx="11">
                  <c:v>3.1675679803258583</c:v>
                </c:pt>
                <c:pt idx="12">
                  <c:v>3.1784688551868125</c:v>
                </c:pt>
                <c:pt idx="13">
                  <c:v>3.174532134833743</c:v>
                </c:pt>
                <c:pt idx="14">
                  <c:v>3.1775447147550926</c:v>
                </c:pt>
                <c:pt idx="15">
                  <c:v>3.2090061151539437</c:v>
                </c:pt>
                <c:pt idx="16">
                  <c:v>3.2099044914525385</c:v>
                </c:pt>
                <c:pt idx="17">
                  <c:v>3.2240468095810368</c:v>
                </c:pt>
                <c:pt idx="18">
                  <c:v>3.1070341731067495</c:v>
                </c:pt>
                <c:pt idx="19">
                  <c:v>3.1295735122399129</c:v>
                </c:pt>
                <c:pt idx="20">
                  <c:v>3.2170403952651889</c:v>
                </c:pt>
                <c:pt idx="21">
                  <c:v>3.1596477110608459</c:v>
                </c:pt>
                <c:pt idx="22">
                  <c:v>3.2263695510988706</c:v>
                </c:pt>
                <c:pt idx="23">
                  <c:v>3.326719597207064</c:v>
                </c:pt>
                <c:pt idx="24">
                  <c:v>3.3693342773077397</c:v>
                </c:pt>
                <c:pt idx="25">
                  <c:v>3.3368327183000202</c:v>
                </c:pt>
                <c:pt idx="26">
                  <c:v>3.3246329749717649</c:v>
                </c:pt>
                <c:pt idx="27">
                  <c:v>3.3627086437094307</c:v>
                </c:pt>
                <c:pt idx="28">
                  <c:v>3.4015148755654097</c:v>
                </c:pt>
                <c:pt idx="29">
                  <c:v>3.3327371604365053</c:v>
                </c:pt>
                <c:pt idx="30">
                  <c:v>3.2553184019739207</c:v>
                </c:pt>
                <c:pt idx="31">
                  <c:v>3.3673839150544809</c:v>
                </c:pt>
                <c:pt idx="32">
                  <c:v>3.3434372427197387</c:v>
                </c:pt>
                <c:pt idx="33">
                  <c:v>3.4345064040493498</c:v>
                </c:pt>
                <c:pt idx="34">
                  <c:v>3.5090861090997398</c:v>
                </c:pt>
                <c:pt idx="35">
                  <c:v>3.4496459587907644</c:v>
                </c:pt>
                <c:pt idx="36">
                  <c:v>3.5138071411092509</c:v>
                </c:pt>
                <c:pt idx="37">
                  <c:v>3.4911275160914821</c:v>
                </c:pt>
                <c:pt idx="38">
                  <c:v>3.5552667198767716</c:v>
                </c:pt>
                <c:pt idx="39">
                  <c:v>3.628890973374955</c:v>
                </c:pt>
                <c:pt idx="40">
                  <c:v>3.699449234809765</c:v>
                </c:pt>
                <c:pt idx="41">
                  <c:v>3.7010392130833916</c:v>
                </c:pt>
                <c:pt idx="42">
                  <c:v>3.5989553948191961</c:v>
                </c:pt>
                <c:pt idx="43">
                  <c:v>3.6175749418751248</c:v>
                </c:pt>
                <c:pt idx="44">
                  <c:v>3.5804788237867169</c:v>
                </c:pt>
                <c:pt idx="45">
                  <c:v>3.5710434435480733</c:v>
                </c:pt>
                <c:pt idx="46">
                  <c:v>3.497724814484096</c:v>
                </c:pt>
                <c:pt idx="47">
                  <c:v>3.0944012280048958</c:v>
                </c:pt>
                <c:pt idx="48">
                  <c:v>3.0040571360508883</c:v>
                </c:pt>
                <c:pt idx="49">
                  <c:v>2.7964321989406584</c:v>
                </c:pt>
                <c:pt idx="50">
                  <c:v>2.7763497027195498</c:v>
                </c:pt>
                <c:pt idx="51">
                  <c:v>2.9751754935712431</c:v>
                </c:pt>
                <c:pt idx="52">
                  <c:v>2.9575503875276712</c:v>
                </c:pt>
                <c:pt idx="53">
                  <c:v>2.9657092040579758</c:v>
                </c:pt>
                <c:pt idx="54">
                  <c:v>3.0602036721268644</c:v>
                </c:pt>
                <c:pt idx="55">
                  <c:v>2.9791164494705962</c:v>
                </c:pt>
                <c:pt idx="56">
                  <c:v>3.0026041070565621</c:v>
                </c:pt>
                <c:pt idx="57">
                  <c:v>2.8915458173883479</c:v>
                </c:pt>
                <c:pt idx="58">
                  <c:v>2.8909365438263444</c:v>
                </c:pt>
                <c:pt idx="59">
                  <c:v>2.8631679529443979</c:v>
                </c:pt>
                <c:pt idx="60">
                  <c:v>2.8307350923769405</c:v>
                </c:pt>
                <c:pt idx="61">
                  <c:v>2.7437282572557016</c:v>
                </c:pt>
                <c:pt idx="62">
                  <c:v>2.5697096747123833</c:v>
                </c:pt>
                <c:pt idx="63">
                  <c:v>2.4360903054217125</c:v>
                </c:pt>
                <c:pt idx="64">
                  <c:v>2.3835805910849777</c:v>
                </c:pt>
                <c:pt idx="65">
                  <c:v>2.3480634242683229</c:v>
                </c:pt>
                <c:pt idx="66">
                  <c:v>2.535276339954553</c:v>
                </c:pt>
                <c:pt idx="67">
                  <c:v>2.4965785009156081</c:v>
                </c:pt>
                <c:pt idx="68">
                  <c:v>2.4640712164855678</c:v>
                </c:pt>
                <c:pt idx="69">
                  <c:v>2.4948139964390839</c:v>
                </c:pt>
                <c:pt idx="70">
                  <c:v>2.4265245867401597</c:v>
                </c:pt>
                <c:pt idx="71">
                  <c:v>2.7038703266946786</c:v>
                </c:pt>
                <c:pt idx="72">
                  <c:v>2.751128068649233</c:v>
                </c:pt>
                <c:pt idx="73">
                  <c:v>2.8026579468947426</c:v>
                </c:pt>
                <c:pt idx="74">
                  <c:v>3.3301766974286218</c:v>
                </c:pt>
                <c:pt idx="75">
                  <c:v>3.1002666825252425</c:v>
                </c:pt>
                <c:pt idx="76">
                  <c:v>2.9720512722063508</c:v>
                </c:pt>
                <c:pt idx="77">
                  <c:v>2.9911409949387719</c:v>
                </c:pt>
                <c:pt idx="78">
                  <c:v>2.8393403954390637</c:v>
                </c:pt>
                <c:pt idx="79">
                  <c:v>2.9470966063651716</c:v>
                </c:pt>
                <c:pt idx="80">
                  <c:v>3.1650623331299617</c:v>
                </c:pt>
                <c:pt idx="81">
                  <c:v>3.0552508730965879</c:v>
                </c:pt>
                <c:pt idx="82">
                  <c:v>2.965790301060844</c:v>
                </c:pt>
                <c:pt idx="83">
                  <c:v>3.0412359691456019</c:v>
                </c:pt>
                <c:pt idx="84">
                  <c:v>3.0875416706861825</c:v>
                </c:pt>
                <c:pt idx="85">
                  <c:v>3.0926368076054618</c:v>
                </c:pt>
                <c:pt idx="86">
                  <c:v>3.2008508707259615</c:v>
                </c:pt>
                <c:pt idx="87">
                  <c:v>3.296727917181848</c:v>
                </c:pt>
                <c:pt idx="88">
                  <c:v>3.3403363995215916</c:v>
                </c:pt>
                <c:pt idx="89">
                  <c:v>3.4088159517772554</c:v>
                </c:pt>
                <c:pt idx="90">
                  <c:v>3.3443317105628387</c:v>
                </c:pt>
                <c:pt idx="91">
                  <c:v>3.3410517831071793</c:v>
                </c:pt>
                <c:pt idx="92">
                  <c:v>3.320114326066006</c:v>
                </c:pt>
                <c:pt idx="93">
                  <c:v>3.3125587217442973</c:v>
                </c:pt>
                <c:pt idx="94">
                  <c:v>3.3269143797989815</c:v>
                </c:pt>
                <c:pt idx="95">
                  <c:v>3.3597016646049473</c:v>
                </c:pt>
                <c:pt idx="96">
                  <c:v>3.2613173618448141</c:v>
                </c:pt>
                <c:pt idx="97">
                  <c:v>3.2283311008381563</c:v>
                </c:pt>
                <c:pt idx="98">
                  <c:v>2.4257619293549975</c:v>
                </c:pt>
                <c:pt idx="99">
                  <c:v>2.2512483178846994</c:v>
                </c:pt>
                <c:pt idx="100">
                  <c:v>2.4154760560769155</c:v>
                </c:pt>
                <c:pt idx="101">
                  <c:v>2.3803601042870661</c:v>
                </c:pt>
                <c:pt idx="102">
                  <c:v>2.4210809690652884</c:v>
                </c:pt>
                <c:pt idx="103">
                  <c:v>2.4716727562373664</c:v>
                </c:pt>
                <c:pt idx="104">
                  <c:v>2.22959038644635</c:v>
                </c:pt>
                <c:pt idx="105">
                  <c:v>2.3867779230047406</c:v>
                </c:pt>
                <c:pt idx="106">
                  <c:v>2.3645039102051868</c:v>
                </c:pt>
                <c:pt idx="107">
                  <c:v>2.2967267698564018</c:v>
                </c:pt>
                <c:pt idx="108">
                  <c:v>2.3068088582791066</c:v>
                </c:pt>
                <c:pt idx="109">
                  <c:v>2.3470897521408207</c:v>
                </c:pt>
                <c:pt idx="110">
                  <c:v>2.3048831870518853</c:v>
                </c:pt>
                <c:pt idx="111">
                  <c:v>2.3176027185983523</c:v>
                </c:pt>
                <c:pt idx="112">
                  <c:v>2.2916919550657333</c:v>
                </c:pt>
                <c:pt idx="113">
                  <c:v>2.3072511966621598</c:v>
                </c:pt>
                <c:pt idx="114">
                  <c:v>2.3401806229756428</c:v>
                </c:pt>
                <c:pt idx="115">
                  <c:v>2.4176421285037821</c:v>
                </c:pt>
                <c:pt idx="116">
                  <c:v>2.4587510846686191</c:v>
                </c:pt>
                <c:pt idx="117">
                  <c:v>2.4726079923024322</c:v>
                </c:pt>
                <c:pt idx="118">
                  <c:v>2.3463360125931945</c:v>
                </c:pt>
                <c:pt idx="119">
                  <c:v>2.3268213688759705</c:v>
                </c:pt>
                <c:pt idx="120">
                  <c:v>2.390553712314857</c:v>
                </c:pt>
                <c:pt idx="121">
                  <c:v>2.4333480158938574</c:v>
                </c:pt>
                <c:pt idx="122">
                  <c:v>2.6075350521938248</c:v>
                </c:pt>
                <c:pt idx="123">
                  <c:v>2.6792848558866034</c:v>
                </c:pt>
                <c:pt idx="124">
                  <c:v>2.6247721940712854</c:v>
                </c:pt>
                <c:pt idx="125">
                  <c:v>2.6999719049183106</c:v>
                </c:pt>
                <c:pt idx="126">
                  <c:v>2.8570717271853301</c:v>
                </c:pt>
                <c:pt idx="127">
                  <c:v>2.6643976864392171</c:v>
                </c:pt>
                <c:pt idx="128">
                  <c:v>2.7889505267186077</c:v>
                </c:pt>
                <c:pt idx="129">
                  <c:v>2.8653494472590446</c:v>
                </c:pt>
                <c:pt idx="130">
                  <c:v>2.9155541341971842</c:v>
                </c:pt>
                <c:pt idx="131">
                  <c:v>2.9400204454453038</c:v>
                </c:pt>
                <c:pt idx="132">
                  <c:v>2.9780685524937418</c:v>
                </c:pt>
                <c:pt idx="133">
                  <c:v>2.970805194310711</c:v>
                </c:pt>
                <c:pt idx="134">
                  <c:v>2.9869000821721321</c:v>
                </c:pt>
                <c:pt idx="135">
                  <c:v>2.958184265532811</c:v>
                </c:pt>
                <c:pt idx="136">
                  <c:v>2.9678902064447099</c:v>
                </c:pt>
                <c:pt idx="137">
                  <c:v>2.9539547347381339</c:v>
                </c:pt>
                <c:pt idx="138">
                  <c:v>3.0468116923746806</c:v>
                </c:pt>
                <c:pt idx="139">
                  <c:v>3.0912825950724891</c:v>
                </c:pt>
                <c:pt idx="140">
                  <c:v>3.1012509952726064</c:v>
                </c:pt>
                <c:pt idx="141">
                  <c:v>3.0947616902772506</c:v>
                </c:pt>
                <c:pt idx="142">
                  <c:v>3.3319998055344984</c:v>
                </c:pt>
                <c:pt idx="143">
                  <c:v>3.2541169825970431</c:v>
                </c:pt>
                <c:pt idx="144">
                  <c:v>3.4556844443457231</c:v>
                </c:pt>
                <c:pt idx="145">
                  <c:v>3.4190637781387228</c:v>
                </c:pt>
                <c:pt idx="146">
                  <c:v>3.7171121119421828</c:v>
                </c:pt>
                <c:pt idx="147">
                  <c:v>3.9541963785562761</c:v>
                </c:pt>
                <c:pt idx="148">
                  <c:v>4.1997330552909586</c:v>
                </c:pt>
                <c:pt idx="149">
                  <c:v>4.311207443014049</c:v>
                </c:pt>
                <c:pt idx="150">
                  <c:v>4.3234288151573121</c:v>
                </c:pt>
                <c:pt idx="151">
                  <c:v>4.6332592126084799</c:v>
                </c:pt>
                <c:pt idx="152">
                  <c:v>4.755660342374016</c:v>
                </c:pt>
                <c:pt idx="153">
                  <c:v>4.6790514324428747</c:v>
                </c:pt>
                <c:pt idx="154">
                  <c:v>4.7509278569842373</c:v>
                </c:pt>
                <c:pt idx="155">
                  <c:v>4.8121947523125428</c:v>
                </c:pt>
                <c:pt idx="156">
                  <c:v>4.8209395856761645</c:v>
                </c:pt>
                <c:pt idx="157">
                  <c:v>4.8467381815305748</c:v>
                </c:pt>
                <c:pt idx="158">
                  <c:v>4.9207056044795072</c:v>
                </c:pt>
                <c:pt idx="159">
                  <c:v>4.9503227740202931</c:v>
                </c:pt>
                <c:pt idx="160">
                  <c:v>5.0213060833167322</c:v>
                </c:pt>
                <c:pt idx="161">
                  <c:v>4.9846248601918619</c:v>
                </c:pt>
                <c:pt idx="162">
                  <c:v>4.896399946121428</c:v>
                </c:pt>
                <c:pt idx="163">
                  <c:v>4.7040384762837748</c:v>
                </c:pt>
                <c:pt idx="164">
                  <c:v>4.7478938244134978</c:v>
                </c:pt>
                <c:pt idx="165">
                  <c:v>4.7956917969896518</c:v>
                </c:pt>
                <c:pt idx="166">
                  <c:v>4.8450991871710318</c:v>
                </c:pt>
                <c:pt idx="167">
                  <c:v>4.9491574797445885</c:v>
                </c:pt>
                <c:pt idx="168">
                  <c:v>4.9048497326154274</c:v>
                </c:pt>
                <c:pt idx="169">
                  <c:v>4.8327261818475638</c:v>
                </c:pt>
                <c:pt idx="170">
                  <c:v>4.626351793496065</c:v>
                </c:pt>
                <c:pt idx="171">
                  <c:v>4.4960621553256628</c:v>
                </c:pt>
                <c:pt idx="172">
                  <c:v>4.3243267051739158</c:v>
                </c:pt>
                <c:pt idx="173">
                  <c:v>4.225113200069833</c:v>
                </c:pt>
                <c:pt idx="174">
                  <c:v>4.1452320212772849</c:v>
                </c:pt>
                <c:pt idx="175">
                  <c:v>3.9008573614003428</c:v>
                </c:pt>
                <c:pt idx="176">
                  <c:v>3.7001331444606622</c:v>
                </c:pt>
                <c:pt idx="177">
                  <c:v>3.7189879850623115</c:v>
                </c:pt>
                <c:pt idx="178">
                  <c:v>3.6940324860046641</c:v>
                </c:pt>
                <c:pt idx="179">
                  <c:v>3.6872847615328928</c:v>
                </c:pt>
                <c:pt idx="180">
                  <c:v>3.5926706669103226</c:v>
                </c:pt>
                <c:pt idx="181">
                  <c:v>3.6378912164257176</c:v>
                </c:pt>
                <c:pt idx="182">
                  <c:v>3.6414532163026938</c:v>
                </c:pt>
                <c:pt idx="183">
                  <c:v>3.6283822763214917</c:v>
                </c:pt>
                <c:pt idx="184">
                  <c:v>3.60422766425244</c:v>
                </c:pt>
                <c:pt idx="185">
                  <c:v>3.6492836648371476</c:v>
                </c:pt>
                <c:pt idx="186">
                  <c:v>3.5583711462958476</c:v>
                </c:pt>
                <c:pt idx="187">
                  <c:v>3.7816822032604827</c:v>
                </c:pt>
                <c:pt idx="188">
                  <c:v>3.7416397848555354</c:v>
                </c:pt>
                <c:pt idx="189">
                  <c:v>3.7169746286009109</c:v>
                </c:pt>
                <c:pt idx="190">
                  <c:v>3.6257828133946166</c:v>
                </c:pt>
                <c:pt idx="191">
                  <c:v>3.6406529749812364</c:v>
                </c:pt>
                <c:pt idx="192">
                  <c:v>3.6377886379533457</c:v>
                </c:pt>
                <c:pt idx="193">
                  <c:v>3.7284330721464332</c:v>
                </c:pt>
                <c:pt idx="194">
                  <c:v>3.6380265636959224</c:v>
                </c:pt>
                <c:pt idx="195">
                  <c:v>3.5537579923622067</c:v>
                </c:pt>
                <c:pt idx="196">
                  <c:v>3.509918365929515</c:v>
                </c:pt>
                <c:pt idx="197">
                  <c:v>3.564393581591327</c:v>
                </c:pt>
                <c:pt idx="198">
                  <c:v>3.5059473833730292</c:v>
                </c:pt>
                <c:pt idx="199">
                  <c:v>3.598281490808529</c:v>
                </c:pt>
                <c:pt idx="200">
                  <c:v>3.9357101255393165</c:v>
                </c:pt>
                <c:pt idx="201">
                  <c:v>3.806631755056848</c:v>
                </c:pt>
                <c:pt idx="202">
                  <c:v>3.7691795637214343</c:v>
                </c:pt>
                <c:pt idx="203">
                  <c:v>3.7794944538024566</c:v>
                </c:pt>
                <c:pt idx="204">
                  <c:v>3.8676322662943812</c:v>
                </c:pt>
                <c:pt idx="205">
                  <c:v>3.8307340537165544</c:v>
                </c:pt>
                <c:pt idx="206">
                  <c:v>3.8083742254525612</c:v>
                </c:pt>
                <c:pt idx="207">
                  <c:v>3.8340000000000032</c:v>
                </c:pt>
                <c:pt idx="208">
                  <c:v>3.7689600905269542</c:v>
                </c:pt>
                <c:pt idx="209">
                  <c:v>3.7839724729466879</c:v>
                </c:pt>
                <c:pt idx="210">
                  <c:v>3.7817928425663299</c:v>
                </c:pt>
                <c:pt idx="211">
                  <c:v>3.7183882347095838</c:v>
                </c:pt>
                <c:pt idx="212">
                  <c:v>3.6764049402311283</c:v>
                </c:pt>
                <c:pt idx="213">
                  <c:v>3.6914813493479151</c:v>
                </c:pt>
                <c:pt idx="214">
                  <c:v>3.6567393003036597</c:v>
                </c:pt>
                <c:pt idx="215">
                  <c:v>3.6491658343140236</c:v>
                </c:pt>
                <c:pt idx="216">
                  <c:v>3.5895062336281049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E5C-43F0-98AD-5C9AB6050F8D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40024474442715E-4"/>
                  <c:y val="8.97624371237084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5C-43F0-98AD-5C9AB6050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2018'!$A$123:$B$339</c:f>
              <c:multiLvlStrCache>
                <c:ptCount val="217"/>
                <c:lvl>
                  <c:pt idx="0">
                    <c:v>1qDic</c:v>
                  </c:pt>
                  <c:pt idx="1">
                    <c:v>2qDic</c:v>
                  </c:pt>
                  <c:pt idx="2">
                    <c:v>1qEne</c:v>
                  </c:pt>
                  <c:pt idx="3">
                    <c:v>2qEne</c:v>
                  </c:pt>
                  <c:pt idx="4">
                    <c:v>1qFeb</c:v>
                  </c:pt>
                  <c:pt idx="5">
                    <c:v>2qFeb</c:v>
                  </c:pt>
                  <c:pt idx="6">
                    <c:v>1qMar</c:v>
                  </c:pt>
                  <c:pt idx="7">
                    <c:v>2qMar</c:v>
                  </c:pt>
                  <c:pt idx="8">
                    <c:v>1qAbr</c:v>
                  </c:pt>
                  <c:pt idx="9">
                    <c:v>2qAbr</c:v>
                  </c:pt>
                  <c:pt idx="10">
                    <c:v>1qMay</c:v>
                  </c:pt>
                  <c:pt idx="11">
                    <c:v>2qMay</c:v>
                  </c:pt>
                  <c:pt idx="12">
                    <c:v>1qJun</c:v>
                  </c:pt>
                  <c:pt idx="13">
                    <c:v>2qJun</c:v>
                  </c:pt>
                  <c:pt idx="14">
                    <c:v>1qJul</c:v>
                  </c:pt>
                  <c:pt idx="15">
                    <c:v>2qJul</c:v>
                  </c:pt>
                  <c:pt idx="16">
                    <c:v>1qAgo</c:v>
                  </c:pt>
                  <c:pt idx="17">
                    <c:v>2qAgo</c:v>
                  </c:pt>
                  <c:pt idx="18">
                    <c:v>1qSep</c:v>
                  </c:pt>
                  <c:pt idx="19">
                    <c:v>2qSep</c:v>
                  </c:pt>
                  <c:pt idx="20">
                    <c:v>1qOct</c:v>
                  </c:pt>
                  <c:pt idx="21">
                    <c:v>2qOct</c:v>
                  </c:pt>
                  <c:pt idx="22">
                    <c:v>1qNov</c:v>
                  </c:pt>
                  <c:pt idx="23">
                    <c:v>2qNov</c:v>
                  </c:pt>
                  <c:pt idx="24">
                    <c:v>1qDic</c:v>
                  </c:pt>
                  <c:pt idx="25">
                    <c:v>2qDic</c:v>
                  </c:pt>
                  <c:pt idx="26">
                    <c:v>1qEne</c:v>
                  </c:pt>
                  <c:pt idx="27">
                    <c:v>2qEne</c:v>
                  </c:pt>
                  <c:pt idx="28">
                    <c:v>1qFeb</c:v>
                  </c:pt>
                  <c:pt idx="29">
                    <c:v>2qFeb</c:v>
                  </c:pt>
                  <c:pt idx="30">
                    <c:v>1qMar</c:v>
                  </c:pt>
                  <c:pt idx="31">
                    <c:v>2qMar</c:v>
                  </c:pt>
                  <c:pt idx="32">
                    <c:v>1qAbr</c:v>
                  </c:pt>
                  <c:pt idx="33">
                    <c:v>2qAbr</c:v>
                  </c:pt>
                  <c:pt idx="34">
                    <c:v>1qMay</c:v>
                  </c:pt>
                  <c:pt idx="35">
                    <c:v>2qMay</c:v>
                  </c:pt>
                  <c:pt idx="36">
                    <c:v>1qJun</c:v>
                  </c:pt>
                  <c:pt idx="37">
                    <c:v>2qJun</c:v>
                  </c:pt>
                  <c:pt idx="38">
                    <c:v>1qJul</c:v>
                  </c:pt>
                  <c:pt idx="39">
                    <c:v>2qJul</c:v>
                  </c:pt>
                  <c:pt idx="40">
                    <c:v>1qAgo</c:v>
                  </c:pt>
                  <c:pt idx="41">
                    <c:v>2qAgo</c:v>
                  </c:pt>
                  <c:pt idx="42">
                    <c:v>1qSep</c:v>
                  </c:pt>
                  <c:pt idx="43">
                    <c:v>2qSep</c:v>
                  </c:pt>
                  <c:pt idx="44">
                    <c:v>1qOct</c:v>
                  </c:pt>
                  <c:pt idx="45">
                    <c:v>2qOct</c:v>
                  </c:pt>
                  <c:pt idx="46">
                    <c:v>1qNov</c:v>
                  </c:pt>
                  <c:pt idx="47">
                    <c:v>2qNov</c:v>
                  </c:pt>
                  <c:pt idx="48">
                    <c:v>1qDic</c:v>
                  </c:pt>
                  <c:pt idx="49">
                    <c:v>2qDic</c:v>
                  </c:pt>
                  <c:pt idx="50">
                    <c:v>1qEne</c:v>
                  </c:pt>
                  <c:pt idx="51">
                    <c:v>2qEne</c:v>
                  </c:pt>
                  <c:pt idx="52">
                    <c:v>1qFeb</c:v>
                  </c:pt>
                  <c:pt idx="53">
                    <c:v>2qFeb</c:v>
                  </c:pt>
                  <c:pt idx="54">
                    <c:v>1qMar</c:v>
                  </c:pt>
                  <c:pt idx="55">
                    <c:v>2qMar</c:v>
                  </c:pt>
                  <c:pt idx="56">
                    <c:v>1qAbr</c:v>
                  </c:pt>
                  <c:pt idx="57">
                    <c:v>2qAbr</c:v>
                  </c:pt>
                  <c:pt idx="58">
                    <c:v>1qMay</c:v>
                  </c:pt>
                  <c:pt idx="59">
                    <c:v>2qMay</c:v>
                  </c:pt>
                  <c:pt idx="60">
                    <c:v>1qJun</c:v>
                  </c:pt>
                  <c:pt idx="61">
                    <c:v>2qJun</c:v>
                  </c:pt>
                  <c:pt idx="62">
                    <c:v>1qJul</c:v>
                  </c:pt>
                  <c:pt idx="63">
                    <c:v>2qJul</c:v>
                  </c:pt>
                  <c:pt idx="64">
                    <c:v>1qAgo</c:v>
                  </c:pt>
                  <c:pt idx="65">
                    <c:v>2qAgo</c:v>
                  </c:pt>
                  <c:pt idx="66">
                    <c:v>1qSep</c:v>
                  </c:pt>
                  <c:pt idx="67">
                    <c:v>2qSep</c:v>
                  </c:pt>
                  <c:pt idx="68">
                    <c:v>1qOct</c:v>
                  </c:pt>
                  <c:pt idx="69">
                    <c:v>2qOct</c:v>
                  </c:pt>
                  <c:pt idx="70">
                    <c:v>1qNov</c:v>
                  </c:pt>
                  <c:pt idx="71">
                    <c:v>2qNov</c:v>
                  </c:pt>
                  <c:pt idx="72">
                    <c:v>1qDic</c:v>
                  </c:pt>
                  <c:pt idx="73">
                    <c:v>2qDic</c:v>
                  </c:pt>
                  <c:pt idx="74">
                    <c:v>1qEne</c:v>
                  </c:pt>
                  <c:pt idx="75">
                    <c:v>2qEne</c:v>
                  </c:pt>
                  <c:pt idx="76">
                    <c:v>1qFeb</c:v>
                  </c:pt>
                  <c:pt idx="77">
                    <c:v>2qFeb</c:v>
                  </c:pt>
                  <c:pt idx="78">
                    <c:v>1qMar</c:v>
                  </c:pt>
                  <c:pt idx="79">
                    <c:v>2qMar</c:v>
                  </c:pt>
                  <c:pt idx="80">
                    <c:v>1qAbr</c:v>
                  </c:pt>
                  <c:pt idx="81">
                    <c:v>2qAbr</c:v>
                  </c:pt>
                  <c:pt idx="82">
                    <c:v>1qMay</c:v>
                  </c:pt>
                  <c:pt idx="83">
                    <c:v>2qMay</c:v>
                  </c:pt>
                  <c:pt idx="84">
                    <c:v>1qJun</c:v>
                  </c:pt>
                  <c:pt idx="85">
                    <c:v>2qJun</c:v>
                  </c:pt>
                  <c:pt idx="86">
                    <c:v>1qJul</c:v>
                  </c:pt>
                  <c:pt idx="87">
                    <c:v>2qJul</c:v>
                  </c:pt>
                  <c:pt idx="88">
                    <c:v>1qAgo</c:v>
                  </c:pt>
                  <c:pt idx="89">
                    <c:v>2qAgo</c:v>
                  </c:pt>
                  <c:pt idx="90">
                    <c:v>1qSep</c:v>
                  </c:pt>
                  <c:pt idx="91">
                    <c:v>2qSep</c:v>
                  </c:pt>
                  <c:pt idx="92">
                    <c:v>1qOct</c:v>
                  </c:pt>
                  <c:pt idx="93">
                    <c:v>2qOct</c:v>
                  </c:pt>
                  <c:pt idx="94">
                    <c:v>1qNov</c:v>
                  </c:pt>
                  <c:pt idx="95">
                    <c:v>2qNov</c:v>
                  </c:pt>
                  <c:pt idx="96">
                    <c:v>1qDic</c:v>
                  </c:pt>
                  <c:pt idx="97">
                    <c:v>2qDic</c:v>
                  </c:pt>
                  <c:pt idx="98">
                    <c:v>1qEne</c:v>
                  </c:pt>
                  <c:pt idx="99">
                    <c:v>2qEne</c:v>
                  </c:pt>
                  <c:pt idx="100">
                    <c:v>1qFeb</c:v>
                  </c:pt>
                  <c:pt idx="101">
                    <c:v>2qFeb</c:v>
                  </c:pt>
                  <c:pt idx="102">
                    <c:v>1qMar</c:v>
                  </c:pt>
                  <c:pt idx="103">
                    <c:v>2qMar</c:v>
                  </c:pt>
                  <c:pt idx="104">
                    <c:v>1qAbr</c:v>
                  </c:pt>
                  <c:pt idx="105">
                    <c:v>2qAbr</c:v>
                  </c:pt>
                  <c:pt idx="106">
                    <c:v>1qMay</c:v>
                  </c:pt>
                  <c:pt idx="107">
                    <c:v>2qMay</c:v>
                  </c:pt>
                  <c:pt idx="108">
                    <c:v>1qJun</c:v>
                  </c:pt>
                  <c:pt idx="109">
                    <c:v>2qJun</c:v>
                  </c:pt>
                  <c:pt idx="110">
                    <c:v>1qJul</c:v>
                  </c:pt>
                  <c:pt idx="111">
                    <c:v>2qJul</c:v>
                  </c:pt>
                  <c:pt idx="112">
                    <c:v>1qAgo</c:v>
                  </c:pt>
                  <c:pt idx="113">
                    <c:v>2qAgo</c:v>
                  </c:pt>
                  <c:pt idx="114">
                    <c:v>1qSep</c:v>
                  </c:pt>
                  <c:pt idx="115">
                    <c:v>2qSep</c:v>
                  </c:pt>
                  <c:pt idx="116">
                    <c:v>1qOct</c:v>
                  </c:pt>
                  <c:pt idx="117">
                    <c:v>2qOct</c:v>
                  </c:pt>
                  <c:pt idx="118">
                    <c:v>1qNov</c:v>
                  </c:pt>
                  <c:pt idx="119">
                    <c:v>2qNov</c:v>
                  </c:pt>
                  <c:pt idx="120">
                    <c:v>1qDic</c:v>
                  </c:pt>
                  <c:pt idx="121">
                    <c:v>2qDic</c:v>
                  </c:pt>
                  <c:pt idx="122">
                    <c:v>1qEne</c:v>
                  </c:pt>
                  <c:pt idx="123">
                    <c:v>2qEne</c:v>
                  </c:pt>
                  <c:pt idx="124">
                    <c:v>1qFeb</c:v>
                  </c:pt>
                  <c:pt idx="125">
                    <c:v>2qFeb</c:v>
                  </c:pt>
                  <c:pt idx="126">
                    <c:v>1qMar</c:v>
                  </c:pt>
                  <c:pt idx="127">
                    <c:v>2qMar</c:v>
                  </c:pt>
                  <c:pt idx="128">
                    <c:v>1qAbr</c:v>
                  </c:pt>
                  <c:pt idx="129">
                    <c:v>2qAbr</c:v>
                  </c:pt>
                  <c:pt idx="130">
                    <c:v>1qMay</c:v>
                  </c:pt>
                  <c:pt idx="131">
                    <c:v>2qMay</c:v>
                  </c:pt>
                  <c:pt idx="132">
                    <c:v>1qJun</c:v>
                  </c:pt>
                  <c:pt idx="133">
                    <c:v>2qJun</c:v>
                  </c:pt>
                  <c:pt idx="134">
                    <c:v>1qJul</c:v>
                  </c:pt>
                  <c:pt idx="135">
                    <c:v>2qJul</c:v>
                  </c:pt>
                  <c:pt idx="136">
                    <c:v>1qAgo</c:v>
                  </c:pt>
                  <c:pt idx="137">
                    <c:v>2qAgo</c:v>
                  </c:pt>
                  <c:pt idx="138">
                    <c:v>1qSep</c:v>
                  </c:pt>
                  <c:pt idx="139">
                    <c:v>2qSep</c:v>
                  </c:pt>
                  <c:pt idx="140">
                    <c:v>1qOct</c:v>
                  </c:pt>
                  <c:pt idx="141">
                    <c:v>2qOct</c:v>
                  </c:pt>
                  <c:pt idx="142">
                    <c:v>1qNov</c:v>
                  </c:pt>
                  <c:pt idx="143">
                    <c:v>2qNov</c:v>
                  </c:pt>
                  <c:pt idx="144">
                    <c:v>1qDic</c:v>
                  </c:pt>
                  <c:pt idx="145">
                    <c:v>2qDic</c:v>
                  </c:pt>
                  <c:pt idx="146">
                    <c:v>1qEne</c:v>
                  </c:pt>
                  <c:pt idx="147">
                    <c:v>2qEne</c:v>
                  </c:pt>
                  <c:pt idx="148">
                    <c:v>1qFeb</c:v>
                  </c:pt>
                  <c:pt idx="149">
                    <c:v>2qFeb</c:v>
                  </c:pt>
                  <c:pt idx="150">
                    <c:v>1qMar</c:v>
                  </c:pt>
                  <c:pt idx="151">
                    <c:v>2qMar</c:v>
                  </c:pt>
                  <c:pt idx="152">
                    <c:v>1qAbr</c:v>
                  </c:pt>
                  <c:pt idx="153">
                    <c:v>2qAbr</c:v>
                  </c:pt>
                  <c:pt idx="154">
                    <c:v>1qMay</c:v>
                  </c:pt>
                  <c:pt idx="155">
                    <c:v>2qMay</c:v>
                  </c:pt>
                  <c:pt idx="156">
                    <c:v>1qJun</c:v>
                  </c:pt>
                  <c:pt idx="157">
                    <c:v>2qJun</c:v>
                  </c:pt>
                  <c:pt idx="158">
                    <c:v>1qJul</c:v>
                  </c:pt>
                  <c:pt idx="159">
                    <c:v>2qJul</c:v>
                  </c:pt>
                  <c:pt idx="160">
                    <c:v>1qAgo</c:v>
                  </c:pt>
                  <c:pt idx="161">
                    <c:v>2qAgo</c:v>
                  </c:pt>
                  <c:pt idx="162">
                    <c:v>1qSep</c:v>
                  </c:pt>
                  <c:pt idx="163">
                    <c:v>2qSep</c:v>
                  </c:pt>
                  <c:pt idx="164">
                    <c:v>1qOct</c:v>
                  </c:pt>
                  <c:pt idx="165">
                    <c:v>2qOct</c:v>
                  </c:pt>
                  <c:pt idx="166">
                    <c:v>1qNov</c:v>
                  </c:pt>
                  <c:pt idx="167">
                    <c:v>2qNov</c:v>
                  </c:pt>
                  <c:pt idx="168">
                    <c:v>1qDic</c:v>
                  </c:pt>
                  <c:pt idx="169">
                    <c:v>2qDic</c:v>
                  </c:pt>
                  <c:pt idx="170">
                    <c:v>1qEne</c:v>
                  </c:pt>
                  <c:pt idx="171">
                    <c:v>2qEne</c:v>
                  </c:pt>
                  <c:pt idx="172">
                    <c:v>1qFeb</c:v>
                  </c:pt>
                  <c:pt idx="173">
                    <c:v>2qFeb</c:v>
                  </c:pt>
                  <c:pt idx="174">
                    <c:v>1qMar</c:v>
                  </c:pt>
                  <c:pt idx="175">
                    <c:v>2qMar</c:v>
                  </c:pt>
                  <c:pt idx="176">
                    <c:v>1qAbr</c:v>
                  </c:pt>
                  <c:pt idx="177">
                    <c:v>2qAbr</c:v>
                  </c:pt>
                  <c:pt idx="178">
                    <c:v>1qMay</c:v>
                  </c:pt>
                  <c:pt idx="179">
                    <c:v>2qMay</c:v>
                  </c:pt>
                  <c:pt idx="180">
                    <c:v>1qJun</c:v>
                  </c:pt>
                  <c:pt idx="181">
                    <c:v>2qJun</c:v>
                  </c:pt>
                  <c:pt idx="182">
                    <c:v>1qJul</c:v>
                  </c:pt>
                  <c:pt idx="183">
                    <c:v>2qJul</c:v>
                  </c:pt>
                  <c:pt idx="184">
                    <c:v>1qAgo</c:v>
                  </c:pt>
                  <c:pt idx="185">
                    <c:v>2qAgo</c:v>
                  </c:pt>
                  <c:pt idx="186">
                    <c:v>1qSep</c:v>
                  </c:pt>
                  <c:pt idx="187">
                    <c:v>2qSep</c:v>
                  </c:pt>
                  <c:pt idx="188">
                    <c:v>1qOct</c:v>
                  </c:pt>
                  <c:pt idx="189">
                    <c:v>2qOct</c:v>
                  </c:pt>
                  <c:pt idx="190">
                    <c:v>1qNov</c:v>
                  </c:pt>
                  <c:pt idx="191">
                    <c:v>2qNov</c:v>
                  </c:pt>
                  <c:pt idx="192">
                    <c:v>1qDic</c:v>
                  </c:pt>
                  <c:pt idx="193">
                    <c:v>2qDic</c:v>
                  </c:pt>
                  <c:pt idx="194">
                    <c:v>1qEne</c:v>
                  </c:pt>
                  <c:pt idx="195">
                    <c:v>2qEne</c:v>
                  </c:pt>
                  <c:pt idx="196">
                    <c:v>1qFeb</c:v>
                  </c:pt>
                  <c:pt idx="197">
                    <c:v>2qFeb</c:v>
                  </c:pt>
                  <c:pt idx="198">
                    <c:v>1qMar</c:v>
                  </c:pt>
                  <c:pt idx="199">
                    <c:v>2qMar</c:v>
                  </c:pt>
                  <c:pt idx="200">
                    <c:v>1qAbr</c:v>
                  </c:pt>
                  <c:pt idx="201">
                    <c:v>2qAbr</c:v>
                  </c:pt>
                  <c:pt idx="202">
                    <c:v>1qMay</c:v>
                  </c:pt>
                  <c:pt idx="203">
                    <c:v>2qMay</c:v>
                  </c:pt>
                  <c:pt idx="204">
                    <c:v>1qJun</c:v>
                  </c:pt>
                  <c:pt idx="205">
                    <c:v>2qJun</c:v>
                  </c:pt>
                  <c:pt idx="206">
                    <c:v>1qJul</c:v>
                  </c:pt>
                  <c:pt idx="207">
                    <c:v>2qJul</c:v>
                  </c:pt>
                  <c:pt idx="208">
                    <c:v>1qAgo</c:v>
                  </c:pt>
                  <c:pt idx="209">
                    <c:v>2qAgo</c:v>
                  </c:pt>
                  <c:pt idx="210">
                    <c:v>1qSep</c:v>
                  </c:pt>
                  <c:pt idx="211">
                    <c:v>2qSep</c:v>
                  </c:pt>
                  <c:pt idx="212">
                    <c:v>1qOct</c:v>
                  </c:pt>
                  <c:pt idx="213">
                    <c:v>2qOct</c:v>
                  </c:pt>
                  <c:pt idx="214">
                    <c:v>1qNov</c:v>
                  </c:pt>
                  <c:pt idx="215">
                    <c:v>2qNov</c:v>
                  </c:pt>
                  <c:pt idx="216">
                    <c:v>1qDic</c:v>
                  </c:pt>
                </c:lvl>
                <c:lvl>
                  <c:pt idx="0">
                    <c:v>2010</c:v>
                  </c:pt>
                  <c:pt idx="1">
                    <c:v>2010</c:v>
                  </c:pt>
                  <c:pt idx="2">
                    <c:v>2011</c:v>
                  </c:pt>
                  <c:pt idx="3">
                    <c:v>2011</c:v>
                  </c:pt>
                  <c:pt idx="4">
                    <c:v>2011</c:v>
                  </c:pt>
                  <c:pt idx="5">
                    <c:v>2011</c:v>
                  </c:pt>
                  <c:pt idx="6">
                    <c:v>2011</c:v>
                  </c:pt>
                  <c:pt idx="7">
                    <c:v>2011</c:v>
                  </c:pt>
                  <c:pt idx="8">
                    <c:v>2011</c:v>
                  </c:pt>
                  <c:pt idx="9">
                    <c:v>2011</c:v>
                  </c:pt>
                  <c:pt idx="10">
                    <c:v>2011</c:v>
                  </c:pt>
                  <c:pt idx="11">
                    <c:v>2011</c:v>
                  </c:pt>
                  <c:pt idx="12">
                    <c:v>2011</c:v>
                  </c:pt>
                  <c:pt idx="13">
                    <c:v>2011</c:v>
                  </c:pt>
                  <c:pt idx="14">
                    <c:v>2011</c:v>
                  </c:pt>
                  <c:pt idx="15">
                    <c:v>2011</c:v>
                  </c:pt>
                  <c:pt idx="16">
                    <c:v>2011</c:v>
                  </c:pt>
                  <c:pt idx="17">
                    <c:v>2011</c:v>
                  </c:pt>
                  <c:pt idx="18">
                    <c:v>2011</c:v>
                  </c:pt>
                  <c:pt idx="19">
                    <c:v>2011</c:v>
                  </c:pt>
                  <c:pt idx="20">
                    <c:v>2011</c:v>
                  </c:pt>
                  <c:pt idx="21">
                    <c:v>2011</c:v>
                  </c:pt>
                  <c:pt idx="22">
                    <c:v>2011</c:v>
                  </c:pt>
                  <c:pt idx="23">
                    <c:v>2011</c:v>
                  </c:pt>
                  <c:pt idx="24">
                    <c:v>2011</c:v>
                  </c:pt>
                  <c:pt idx="25">
                    <c:v>2011</c:v>
                  </c:pt>
                  <c:pt idx="26">
                    <c:v>2012</c:v>
                  </c:pt>
                  <c:pt idx="27">
                    <c:v>2012</c:v>
                  </c:pt>
                  <c:pt idx="28">
                    <c:v>2012</c:v>
                  </c:pt>
                  <c:pt idx="29">
                    <c:v>2012</c:v>
                  </c:pt>
                  <c:pt idx="30">
                    <c:v>2012</c:v>
                  </c:pt>
                  <c:pt idx="31">
                    <c:v>2012</c:v>
                  </c:pt>
                  <c:pt idx="32">
                    <c:v>2012</c:v>
                  </c:pt>
                  <c:pt idx="33">
                    <c:v>2012</c:v>
                  </c:pt>
                  <c:pt idx="34">
                    <c:v>2012</c:v>
                  </c:pt>
                  <c:pt idx="35">
                    <c:v>2012</c:v>
                  </c:pt>
                  <c:pt idx="36">
                    <c:v>2012</c:v>
                  </c:pt>
                  <c:pt idx="37">
                    <c:v>2012</c:v>
                  </c:pt>
                  <c:pt idx="38">
                    <c:v>2012</c:v>
                  </c:pt>
                  <c:pt idx="39">
                    <c:v>2012</c:v>
                  </c:pt>
                  <c:pt idx="40">
                    <c:v>2012</c:v>
                  </c:pt>
                  <c:pt idx="41">
                    <c:v>2012</c:v>
                  </c:pt>
                  <c:pt idx="42">
                    <c:v>2012</c:v>
                  </c:pt>
                  <c:pt idx="43">
                    <c:v>2012</c:v>
                  </c:pt>
                  <c:pt idx="44">
                    <c:v>2012</c:v>
                  </c:pt>
                  <c:pt idx="45">
                    <c:v>2012</c:v>
                  </c:pt>
                  <c:pt idx="46">
                    <c:v>2012</c:v>
                  </c:pt>
                  <c:pt idx="47">
                    <c:v>2012</c:v>
                  </c:pt>
                  <c:pt idx="48">
                    <c:v>2012</c:v>
                  </c:pt>
                  <c:pt idx="49">
                    <c:v>2012</c:v>
                  </c:pt>
                  <c:pt idx="50">
                    <c:v>2013</c:v>
                  </c:pt>
                  <c:pt idx="51">
                    <c:v>2013</c:v>
                  </c:pt>
                  <c:pt idx="52">
                    <c:v>2013</c:v>
                  </c:pt>
                  <c:pt idx="53">
                    <c:v>2013</c:v>
                  </c:pt>
                  <c:pt idx="54">
                    <c:v>2013</c:v>
                  </c:pt>
                  <c:pt idx="55">
                    <c:v>2013</c:v>
                  </c:pt>
                  <c:pt idx="56">
                    <c:v>2013</c:v>
                  </c:pt>
                  <c:pt idx="57">
                    <c:v>2013</c:v>
                  </c:pt>
                  <c:pt idx="58">
                    <c:v>2013</c:v>
                  </c:pt>
                  <c:pt idx="59">
                    <c:v>2013</c:v>
                  </c:pt>
                  <c:pt idx="60">
                    <c:v>2013</c:v>
                  </c:pt>
                  <c:pt idx="61">
                    <c:v>2013</c:v>
                  </c:pt>
                  <c:pt idx="62">
                    <c:v>2013</c:v>
                  </c:pt>
                  <c:pt idx="63">
                    <c:v>2013</c:v>
                  </c:pt>
                  <c:pt idx="64">
                    <c:v>2013</c:v>
                  </c:pt>
                  <c:pt idx="65">
                    <c:v>2013</c:v>
                  </c:pt>
                  <c:pt idx="66">
                    <c:v>2013</c:v>
                  </c:pt>
                  <c:pt idx="67">
                    <c:v>2013</c:v>
                  </c:pt>
                  <c:pt idx="68">
                    <c:v>2013</c:v>
                  </c:pt>
                  <c:pt idx="69">
                    <c:v>2013</c:v>
                  </c:pt>
                  <c:pt idx="70">
                    <c:v>2013</c:v>
                  </c:pt>
                  <c:pt idx="71">
                    <c:v>2013</c:v>
                  </c:pt>
                  <c:pt idx="72">
                    <c:v>2013</c:v>
                  </c:pt>
                  <c:pt idx="73">
                    <c:v>2013</c:v>
                  </c:pt>
                  <c:pt idx="74">
                    <c:v>2014</c:v>
                  </c:pt>
                  <c:pt idx="75">
                    <c:v>2014</c:v>
                  </c:pt>
                  <c:pt idx="76">
                    <c:v>2014</c:v>
                  </c:pt>
                  <c:pt idx="77">
                    <c:v>2014</c:v>
                  </c:pt>
                  <c:pt idx="78">
                    <c:v>2014</c:v>
                  </c:pt>
                  <c:pt idx="79">
                    <c:v>2014</c:v>
                  </c:pt>
                  <c:pt idx="80">
                    <c:v>2014</c:v>
                  </c:pt>
                  <c:pt idx="81">
                    <c:v>2014</c:v>
                  </c:pt>
                  <c:pt idx="82">
                    <c:v>2014</c:v>
                  </c:pt>
                  <c:pt idx="83">
                    <c:v>2014</c:v>
                  </c:pt>
                  <c:pt idx="84">
                    <c:v>2014</c:v>
                  </c:pt>
                  <c:pt idx="85">
                    <c:v>2014</c:v>
                  </c:pt>
                  <c:pt idx="86">
                    <c:v>2014</c:v>
                  </c:pt>
                  <c:pt idx="87">
                    <c:v>2014</c:v>
                  </c:pt>
                  <c:pt idx="88">
                    <c:v>2014</c:v>
                  </c:pt>
                  <c:pt idx="89">
                    <c:v>2014</c:v>
                  </c:pt>
                  <c:pt idx="90">
                    <c:v>2014</c:v>
                  </c:pt>
                  <c:pt idx="91">
                    <c:v>2014</c:v>
                  </c:pt>
                  <c:pt idx="92">
                    <c:v>2014</c:v>
                  </c:pt>
                  <c:pt idx="93">
                    <c:v>2014</c:v>
                  </c:pt>
                  <c:pt idx="94">
                    <c:v>2014</c:v>
                  </c:pt>
                  <c:pt idx="95">
                    <c:v>2014</c:v>
                  </c:pt>
                  <c:pt idx="96">
                    <c:v>2014</c:v>
                  </c:pt>
                  <c:pt idx="97">
                    <c:v>2014</c:v>
                  </c:pt>
                  <c:pt idx="98">
                    <c:v>2015</c:v>
                  </c:pt>
                  <c:pt idx="99">
                    <c:v>2015</c:v>
                  </c:pt>
                  <c:pt idx="100">
                    <c:v>2015</c:v>
                  </c:pt>
                  <c:pt idx="101">
                    <c:v>2015</c:v>
                  </c:pt>
                  <c:pt idx="102">
                    <c:v>2015</c:v>
                  </c:pt>
                  <c:pt idx="103">
                    <c:v>2015</c:v>
                  </c:pt>
                  <c:pt idx="104">
                    <c:v>2015</c:v>
                  </c:pt>
                  <c:pt idx="105">
                    <c:v>2015</c:v>
                  </c:pt>
                  <c:pt idx="106">
                    <c:v>2015</c:v>
                  </c:pt>
                  <c:pt idx="107">
                    <c:v>2015</c:v>
                  </c:pt>
                  <c:pt idx="108">
                    <c:v>2015</c:v>
                  </c:pt>
                  <c:pt idx="109">
                    <c:v>2015</c:v>
                  </c:pt>
                  <c:pt idx="110">
                    <c:v>2015</c:v>
                  </c:pt>
                  <c:pt idx="111">
                    <c:v>2015</c:v>
                  </c:pt>
                  <c:pt idx="112">
                    <c:v>2015</c:v>
                  </c:pt>
                  <c:pt idx="113">
                    <c:v>2015</c:v>
                  </c:pt>
                  <c:pt idx="114">
                    <c:v>2015</c:v>
                  </c:pt>
                  <c:pt idx="115">
                    <c:v>2015</c:v>
                  </c:pt>
                  <c:pt idx="116">
                    <c:v>2015</c:v>
                  </c:pt>
                  <c:pt idx="117">
                    <c:v>2015</c:v>
                  </c:pt>
                  <c:pt idx="118">
                    <c:v>2015</c:v>
                  </c:pt>
                  <c:pt idx="119">
                    <c:v>2015</c:v>
                  </c:pt>
                  <c:pt idx="120">
                    <c:v>2015</c:v>
                  </c:pt>
                  <c:pt idx="121">
                    <c:v>2015</c:v>
                  </c:pt>
                  <c:pt idx="122">
                    <c:v>2016</c:v>
                  </c:pt>
                  <c:pt idx="123">
                    <c:v>2016</c:v>
                  </c:pt>
                  <c:pt idx="124">
                    <c:v>2016</c:v>
                  </c:pt>
                  <c:pt idx="125">
                    <c:v>2016</c:v>
                  </c:pt>
                  <c:pt idx="126">
                    <c:v>2016</c:v>
                  </c:pt>
                  <c:pt idx="127">
                    <c:v>2016</c:v>
                  </c:pt>
                  <c:pt idx="128">
                    <c:v>2016</c:v>
                  </c:pt>
                  <c:pt idx="129">
                    <c:v>2016</c:v>
                  </c:pt>
                  <c:pt idx="130">
                    <c:v>2016</c:v>
                  </c:pt>
                  <c:pt idx="131">
                    <c:v>2016</c:v>
                  </c:pt>
                  <c:pt idx="132">
                    <c:v>2016</c:v>
                  </c:pt>
                  <c:pt idx="133">
                    <c:v>2016</c:v>
                  </c:pt>
                  <c:pt idx="134">
                    <c:v>2016</c:v>
                  </c:pt>
                  <c:pt idx="135">
                    <c:v>2016</c:v>
                  </c:pt>
                  <c:pt idx="136">
                    <c:v>2016</c:v>
                  </c:pt>
                  <c:pt idx="137">
                    <c:v>2016</c:v>
                  </c:pt>
                  <c:pt idx="138">
                    <c:v>2016</c:v>
                  </c:pt>
                  <c:pt idx="139">
                    <c:v>2016</c:v>
                  </c:pt>
                  <c:pt idx="140">
                    <c:v>2016</c:v>
                  </c:pt>
                  <c:pt idx="141">
                    <c:v>2016</c:v>
                  </c:pt>
                  <c:pt idx="142">
                    <c:v>2016</c:v>
                  </c:pt>
                  <c:pt idx="143">
                    <c:v>2016</c:v>
                  </c:pt>
                  <c:pt idx="144">
                    <c:v>2016</c:v>
                  </c:pt>
                  <c:pt idx="145">
                    <c:v>2016</c:v>
                  </c:pt>
                  <c:pt idx="146">
                    <c:v>2017</c:v>
                  </c:pt>
                  <c:pt idx="147">
                    <c:v>2017</c:v>
                  </c:pt>
                  <c:pt idx="148">
                    <c:v>2017</c:v>
                  </c:pt>
                  <c:pt idx="149">
                    <c:v>2017</c:v>
                  </c:pt>
                  <c:pt idx="150">
                    <c:v>2017</c:v>
                  </c:pt>
                  <c:pt idx="151">
                    <c:v>2017</c:v>
                  </c:pt>
                  <c:pt idx="152">
                    <c:v>2017</c:v>
                  </c:pt>
                  <c:pt idx="153">
                    <c:v>2017</c:v>
                  </c:pt>
                  <c:pt idx="154">
                    <c:v>2017</c:v>
                  </c:pt>
                  <c:pt idx="155">
                    <c:v>2017</c:v>
                  </c:pt>
                  <c:pt idx="156">
                    <c:v>2017</c:v>
                  </c:pt>
                  <c:pt idx="157">
                    <c:v>2017</c:v>
                  </c:pt>
                  <c:pt idx="158">
                    <c:v>2017</c:v>
                  </c:pt>
                  <c:pt idx="159">
                    <c:v>2017</c:v>
                  </c:pt>
                  <c:pt idx="160">
                    <c:v>2017</c:v>
                  </c:pt>
                  <c:pt idx="161">
                    <c:v>2017</c:v>
                  </c:pt>
                  <c:pt idx="162">
                    <c:v>2017</c:v>
                  </c:pt>
                  <c:pt idx="163">
                    <c:v>2017</c:v>
                  </c:pt>
                  <c:pt idx="164">
                    <c:v>2017</c:v>
                  </c:pt>
                  <c:pt idx="165">
                    <c:v>2017</c:v>
                  </c:pt>
                  <c:pt idx="166">
                    <c:v>2017</c:v>
                  </c:pt>
                  <c:pt idx="167">
                    <c:v>2017</c:v>
                  </c:pt>
                  <c:pt idx="168">
                    <c:v>2017</c:v>
                  </c:pt>
                  <c:pt idx="169">
                    <c:v>2017</c:v>
                  </c:pt>
                  <c:pt idx="170">
                    <c:v>2018</c:v>
                  </c:pt>
                  <c:pt idx="171">
                    <c:v>2018</c:v>
                  </c:pt>
                  <c:pt idx="172">
                    <c:v>2018</c:v>
                  </c:pt>
                  <c:pt idx="173">
                    <c:v>2018</c:v>
                  </c:pt>
                  <c:pt idx="174">
                    <c:v>2018</c:v>
                  </c:pt>
                  <c:pt idx="175">
                    <c:v>2018</c:v>
                  </c:pt>
                  <c:pt idx="176">
                    <c:v>2018</c:v>
                  </c:pt>
                  <c:pt idx="177">
                    <c:v>2018</c:v>
                  </c:pt>
                  <c:pt idx="178">
                    <c:v>2018</c:v>
                  </c:pt>
                  <c:pt idx="179">
                    <c:v>2018</c:v>
                  </c:pt>
                  <c:pt idx="180">
                    <c:v>2018</c:v>
                  </c:pt>
                  <c:pt idx="181">
                    <c:v>2018</c:v>
                  </c:pt>
                  <c:pt idx="182">
                    <c:v>2018</c:v>
                  </c:pt>
                  <c:pt idx="183">
                    <c:v>2018</c:v>
                  </c:pt>
                  <c:pt idx="184">
                    <c:v>2018</c:v>
                  </c:pt>
                  <c:pt idx="185">
                    <c:v>2018</c:v>
                  </c:pt>
                  <c:pt idx="186">
                    <c:v>2018</c:v>
                  </c:pt>
                  <c:pt idx="187">
                    <c:v>2018</c:v>
                  </c:pt>
                  <c:pt idx="188">
                    <c:v>2018</c:v>
                  </c:pt>
                  <c:pt idx="189">
                    <c:v>2018</c:v>
                  </c:pt>
                  <c:pt idx="190">
                    <c:v>2018</c:v>
                  </c:pt>
                  <c:pt idx="191">
                    <c:v>2018</c:v>
                  </c:pt>
                  <c:pt idx="192">
                    <c:v>2018</c:v>
                  </c:pt>
                  <c:pt idx="193">
                    <c:v>2018</c:v>
                  </c:pt>
                  <c:pt idx="194">
                    <c:v>2019</c:v>
                  </c:pt>
                  <c:pt idx="195">
                    <c:v>2019</c:v>
                  </c:pt>
                  <c:pt idx="196">
                    <c:v>2019</c:v>
                  </c:pt>
                  <c:pt idx="197">
                    <c:v>2019</c:v>
                  </c:pt>
                  <c:pt idx="198">
                    <c:v>2019</c:v>
                  </c:pt>
                  <c:pt idx="199">
                    <c:v>2019</c:v>
                  </c:pt>
                  <c:pt idx="200">
                    <c:v>2019</c:v>
                  </c:pt>
                  <c:pt idx="201">
                    <c:v>2019</c:v>
                  </c:pt>
                  <c:pt idx="202">
                    <c:v>2019</c:v>
                  </c:pt>
                  <c:pt idx="203">
                    <c:v>2019</c:v>
                  </c:pt>
                  <c:pt idx="204">
                    <c:v>2019</c:v>
                  </c:pt>
                  <c:pt idx="205">
                    <c:v>2019</c:v>
                  </c:pt>
                  <c:pt idx="206">
                    <c:v>2019</c:v>
                  </c:pt>
                  <c:pt idx="207">
                    <c:v>2019</c:v>
                  </c:pt>
                  <c:pt idx="208">
                    <c:v>2019</c:v>
                  </c:pt>
                  <c:pt idx="209">
                    <c:v>2019</c:v>
                  </c:pt>
                  <c:pt idx="210">
                    <c:v>2019</c:v>
                  </c:pt>
                  <c:pt idx="211">
                    <c:v>2019</c:v>
                  </c:pt>
                  <c:pt idx="212">
                    <c:v>2019</c:v>
                  </c:pt>
                  <c:pt idx="213">
                    <c:v>2019</c:v>
                  </c:pt>
                  <c:pt idx="214">
                    <c:v>2019</c:v>
                  </c:pt>
                  <c:pt idx="215">
                    <c:v>2019</c:v>
                  </c:pt>
                  <c:pt idx="216">
                    <c:v>2019</c:v>
                  </c:pt>
                </c:lvl>
              </c:multiLvlStrCache>
            </c:multiLvlStrRef>
          </c:cat>
          <c:val>
            <c:numRef>
              <c:f>'Datos base 2q jul 2018'!$J$123:$J$339</c:f>
              <c:numCache>
                <c:formatCode>0.00</c:formatCode>
                <c:ptCount val="217"/>
                <c:pt idx="0">
                  <c:v>6.5599535260481092</c:v>
                </c:pt>
                <c:pt idx="1">
                  <c:v>7.6096933883633531</c:v>
                </c:pt>
                <c:pt idx="2">
                  <c:v>5.9974298975974456</c:v>
                </c:pt>
                <c:pt idx="3">
                  <c:v>4.7954739349389577</c:v>
                </c:pt>
                <c:pt idx="4">
                  <c:v>4.7053132512262934</c:v>
                </c:pt>
                <c:pt idx="5">
                  <c:v>4.3653554151093132</c:v>
                </c:pt>
                <c:pt idx="6">
                  <c:v>2.3619639011651792</c:v>
                </c:pt>
                <c:pt idx="7">
                  <c:v>2.5676753497772022</c:v>
                </c:pt>
                <c:pt idx="8">
                  <c:v>3.2128942224719119</c:v>
                </c:pt>
                <c:pt idx="9">
                  <c:v>4.5868620229879102</c:v>
                </c:pt>
                <c:pt idx="10">
                  <c:v>3.8230921759643719</c:v>
                </c:pt>
                <c:pt idx="11">
                  <c:v>3.0760522067191856</c:v>
                </c:pt>
                <c:pt idx="12">
                  <c:v>2.9726644996227338</c:v>
                </c:pt>
                <c:pt idx="13">
                  <c:v>3.7115131088723894</c:v>
                </c:pt>
                <c:pt idx="14">
                  <c:v>4.4834542146363221</c:v>
                </c:pt>
                <c:pt idx="15">
                  <c:v>4.5324852148895358</c:v>
                </c:pt>
                <c:pt idx="16">
                  <c:v>4.2045643035820017</c:v>
                </c:pt>
                <c:pt idx="17">
                  <c:v>3.5896876560147861</c:v>
                </c:pt>
                <c:pt idx="18">
                  <c:v>3.1315505849218375</c:v>
                </c:pt>
                <c:pt idx="19">
                  <c:v>2.8324946138098586</c:v>
                </c:pt>
                <c:pt idx="20">
                  <c:v>3.1953097878299945</c:v>
                </c:pt>
                <c:pt idx="21">
                  <c:v>2.9766115302884968</c:v>
                </c:pt>
                <c:pt idx="22">
                  <c:v>4.1094747737144184</c:v>
                </c:pt>
                <c:pt idx="23">
                  <c:v>4.1570369175541622</c:v>
                </c:pt>
                <c:pt idx="24">
                  <c:v>5.3980878431429113</c:v>
                </c:pt>
                <c:pt idx="25">
                  <c:v>5.284977125599994</c:v>
                </c:pt>
                <c:pt idx="26">
                  <c:v>5.9688950728139112</c:v>
                </c:pt>
                <c:pt idx="27">
                  <c:v>6.7829656128453877</c:v>
                </c:pt>
                <c:pt idx="28">
                  <c:v>6.0431487604286325</c:v>
                </c:pt>
                <c:pt idx="29">
                  <c:v>5.0215550365205059</c:v>
                </c:pt>
                <c:pt idx="30">
                  <c:v>5.2859299287157651</c:v>
                </c:pt>
                <c:pt idx="31">
                  <c:v>4.9608465405715361</c:v>
                </c:pt>
                <c:pt idx="32">
                  <c:v>3.5724738332766162</c:v>
                </c:pt>
                <c:pt idx="33">
                  <c:v>3.3989969227290513</c:v>
                </c:pt>
                <c:pt idx="34">
                  <c:v>4.4063457190961399</c:v>
                </c:pt>
                <c:pt idx="35">
                  <c:v>5.8983907467252319</c:v>
                </c:pt>
                <c:pt idx="36">
                  <c:v>7.0719229188464947</c:v>
                </c:pt>
                <c:pt idx="37">
                  <c:v>7.4507635130297452</c:v>
                </c:pt>
                <c:pt idx="38">
                  <c:v>7.5521809507569255</c:v>
                </c:pt>
                <c:pt idx="39">
                  <c:v>7.0396963392735641</c:v>
                </c:pt>
                <c:pt idx="40">
                  <c:v>7.0306437576530145</c:v>
                </c:pt>
                <c:pt idx="41">
                  <c:v>8.1267483710033641</c:v>
                </c:pt>
                <c:pt idx="42">
                  <c:v>8.6566494869844988</c:v>
                </c:pt>
                <c:pt idx="43">
                  <c:v>8.9689564639889685</c:v>
                </c:pt>
                <c:pt idx="44">
                  <c:v>8.2727964085251564</c:v>
                </c:pt>
                <c:pt idx="45">
                  <c:v>7.870155377424946</c:v>
                </c:pt>
                <c:pt idx="46">
                  <c:v>7.2170220161045044</c:v>
                </c:pt>
                <c:pt idx="47">
                  <c:v>6.9706637062358769</c:v>
                </c:pt>
                <c:pt idx="48">
                  <c:v>6.2218573451948833</c:v>
                </c:pt>
                <c:pt idx="49">
                  <c:v>5.2682157801897365</c:v>
                </c:pt>
                <c:pt idx="50">
                  <c:v>4.608977501040858</c:v>
                </c:pt>
                <c:pt idx="51">
                  <c:v>4.3355668355780272</c:v>
                </c:pt>
                <c:pt idx="52">
                  <c:v>5.1382253293632401</c:v>
                </c:pt>
                <c:pt idx="53">
                  <c:v>5.8118619831810516</c:v>
                </c:pt>
                <c:pt idx="54">
                  <c:v>7.6078959792507632</c:v>
                </c:pt>
                <c:pt idx="55">
                  <c:v>8.974829046550866</c:v>
                </c:pt>
                <c:pt idx="56">
                  <c:v>10.4402917934479</c:v>
                </c:pt>
                <c:pt idx="57">
                  <c:v>10.201009942024438</c:v>
                </c:pt>
                <c:pt idx="58">
                  <c:v>10.907369408610769</c:v>
                </c:pt>
                <c:pt idx="59">
                  <c:v>10.207435473414865</c:v>
                </c:pt>
                <c:pt idx="60">
                  <c:v>8.9461357031676076</c:v>
                </c:pt>
                <c:pt idx="61">
                  <c:v>7.8336181790615926</c:v>
                </c:pt>
                <c:pt idx="62">
                  <c:v>6.6244275978413096</c:v>
                </c:pt>
                <c:pt idx="63">
                  <c:v>6.5849956521731121</c:v>
                </c:pt>
                <c:pt idx="64">
                  <c:v>7.3449762834321159</c:v>
                </c:pt>
                <c:pt idx="65">
                  <c:v>6.6779523560491665</c:v>
                </c:pt>
                <c:pt idx="66">
                  <c:v>6.4359410807156525</c:v>
                </c:pt>
                <c:pt idx="67">
                  <c:v>5.9553218744046132</c:v>
                </c:pt>
                <c:pt idx="68">
                  <c:v>5.8530958727509432</c:v>
                </c:pt>
                <c:pt idx="69">
                  <c:v>6.5128075430433015</c:v>
                </c:pt>
                <c:pt idx="70">
                  <c:v>7.0118965034908376</c:v>
                </c:pt>
                <c:pt idx="71">
                  <c:v>7.0221263361673998</c:v>
                </c:pt>
                <c:pt idx="72">
                  <c:v>7.4370205211353877</c:v>
                </c:pt>
                <c:pt idx="73">
                  <c:v>8.2465287880433564</c:v>
                </c:pt>
                <c:pt idx="74">
                  <c:v>8.8367983932548242</c:v>
                </c:pt>
                <c:pt idx="75">
                  <c:v>8.3284321874428038</c:v>
                </c:pt>
                <c:pt idx="76">
                  <c:v>8.2233548225420758</c:v>
                </c:pt>
                <c:pt idx="77">
                  <c:v>8.3413815433276302</c:v>
                </c:pt>
                <c:pt idx="78">
                  <c:v>7.2884436711685847</c:v>
                </c:pt>
                <c:pt idx="79">
                  <c:v>5.7915782414892245</c:v>
                </c:pt>
                <c:pt idx="80">
                  <c:v>4.6968785523998315</c:v>
                </c:pt>
                <c:pt idx="81">
                  <c:v>4.798318686234242</c:v>
                </c:pt>
                <c:pt idx="82">
                  <c:v>5.020625205263511</c:v>
                </c:pt>
                <c:pt idx="83">
                  <c:v>5.3523730112123085</c:v>
                </c:pt>
                <c:pt idx="84">
                  <c:v>5.781514877854991</c:v>
                </c:pt>
                <c:pt idx="85">
                  <c:v>6.1425421142468783</c:v>
                </c:pt>
                <c:pt idx="86">
                  <c:v>6.6760329205397984</c:v>
                </c:pt>
                <c:pt idx="87">
                  <c:v>6.9782029697425152</c:v>
                </c:pt>
                <c:pt idx="88">
                  <c:v>6.4950635503201806</c:v>
                </c:pt>
                <c:pt idx="89">
                  <c:v>6.9409184628710738</c:v>
                </c:pt>
                <c:pt idx="90">
                  <c:v>7.0922003284502013</c:v>
                </c:pt>
                <c:pt idx="91">
                  <c:v>7.1317297538828734</c:v>
                </c:pt>
                <c:pt idx="92">
                  <c:v>7.5886496453235548</c:v>
                </c:pt>
                <c:pt idx="93">
                  <c:v>7.4237251066789662</c:v>
                </c:pt>
                <c:pt idx="94">
                  <c:v>6.7872551782769337</c:v>
                </c:pt>
                <c:pt idx="95">
                  <c:v>6.7653961950898802</c:v>
                </c:pt>
                <c:pt idx="96">
                  <c:v>7.1142206408702933</c:v>
                </c:pt>
                <c:pt idx="97">
                  <c:v>6.2883677473259407</c:v>
                </c:pt>
                <c:pt idx="98">
                  <c:v>5.1238236673489137</c:v>
                </c:pt>
                <c:pt idx="99">
                  <c:v>5.553502053315559</c:v>
                </c:pt>
                <c:pt idx="100">
                  <c:v>4.9759722534293189</c:v>
                </c:pt>
                <c:pt idx="101">
                  <c:v>4.7923307780056659</c:v>
                </c:pt>
                <c:pt idx="102">
                  <c:v>4.6877848019337964</c:v>
                </c:pt>
                <c:pt idx="103">
                  <c:v>5.8982881785546351</c:v>
                </c:pt>
                <c:pt idx="104">
                  <c:v>5.5662086749607775</c:v>
                </c:pt>
                <c:pt idx="105">
                  <c:v>5.3604930577271457</c:v>
                </c:pt>
                <c:pt idx="106">
                  <c:v>4.7646302304178798</c:v>
                </c:pt>
                <c:pt idx="107">
                  <c:v>4.5218429460487961</c:v>
                </c:pt>
                <c:pt idx="108">
                  <c:v>4.7150900692212332</c:v>
                </c:pt>
                <c:pt idx="109">
                  <c:v>4.5522452292606204</c:v>
                </c:pt>
                <c:pt idx="110">
                  <c:v>4.2340596225878899</c:v>
                </c:pt>
                <c:pt idx="111">
                  <c:v>4.0145974849363251</c:v>
                </c:pt>
                <c:pt idx="112">
                  <c:v>3.7730940060574425</c:v>
                </c:pt>
                <c:pt idx="113">
                  <c:v>3.253707279534702</c:v>
                </c:pt>
                <c:pt idx="114">
                  <c:v>3.1284345527310906</c:v>
                </c:pt>
                <c:pt idx="115">
                  <c:v>2.799376312718608</c:v>
                </c:pt>
                <c:pt idx="116">
                  <c:v>2.5182673831467639</c:v>
                </c:pt>
                <c:pt idx="117">
                  <c:v>2.5316811331532789</c:v>
                </c:pt>
                <c:pt idx="118">
                  <c:v>2.0256458057087765</c:v>
                </c:pt>
                <c:pt idx="119">
                  <c:v>1.6607444895850163</c:v>
                </c:pt>
                <c:pt idx="120">
                  <c:v>0.82695210466758939</c:v>
                </c:pt>
                <c:pt idx="121">
                  <c:v>1.724262703140605</c:v>
                </c:pt>
                <c:pt idx="122">
                  <c:v>2.076840265880878</c:v>
                </c:pt>
                <c:pt idx="123">
                  <c:v>2.9670720466403915</c:v>
                </c:pt>
                <c:pt idx="124">
                  <c:v>3.8869802894417953</c:v>
                </c:pt>
                <c:pt idx="125">
                  <c:v>3.1013903780819594</c:v>
                </c:pt>
                <c:pt idx="126">
                  <c:v>2.2772829941737354</c:v>
                </c:pt>
                <c:pt idx="127">
                  <c:v>1.9572208365234951</c:v>
                </c:pt>
                <c:pt idx="128">
                  <c:v>2.0115736658447148</c:v>
                </c:pt>
                <c:pt idx="129">
                  <c:v>1.3069599469632531</c:v>
                </c:pt>
                <c:pt idx="130">
                  <c:v>1.3202540826712859</c:v>
                </c:pt>
                <c:pt idx="131">
                  <c:v>1.7754334846294024</c:v>
                </c:pt>
                <c:pt idx="132">
                  <c:v>1.1875054186072642</c:v>
                </c:pt>
                <c:pt idx="133">
                  <c:v>1.1236102759206998</c:v>
                </c:pt>
                <c:pt idx="134">
                  <c:v>1.8570672629971363</c:v>
                </c:pt>
                <c:pt idx="135">
                  <c:v>1.435473434493211</c:v>
                </c:pt>
                <c:pt idx="136">
                  <c:v>2.2551891944160936</c:v>
                </c:pt>
                <c:pt idx="137">
                  <c:v>1.7205237390155139</c:v>
                </c:pt>
                <c:pt idx="138">
                  <c:v>2.3568244434462002</c:v>
                </c:pt>
                <c:pt idx="139">
                  <c:v>2.9494501849673669</c:v>
                </c:pt>
                <c:pt idx="140">
                  <c:v>3.0509461123777619</c:v>
                </c:pt>
                <c:pt idx="141">
                  <c:v>2.8557463161235983</c:v>
                </c:pt>
                <c:pt idx="142">
                  <c:v>3.1799022420404248</c:v>
                </c:pt>
                <c:pt idx="143">
                  <c:v>3.5033422442723645</c:v>
                </c:pt>
                <c:pt idx="144">
                  <c:v>3.5487290477032336</c:v>
                </c:pt>
                <c:pt idx="145">
                  <c:v>2.7088446842934264</c:v>
                </c:pt>
                <c:pt idx="146">
                  <c:v>8.0155759671578775</c:v>
                </c:pt>
                <c:pt idx="147">
                  <c:v>6.7889227299709018</c:v>
                </c:pt>
                <c:pt idx="148">
                  <c:v>6.2468428455855101</c:v>
                </c:pt>
                <c:pt idx="149">
                  <c:v>7.1735536812742309</c:v>
                </c:pt>
                <c:pt idx="150">
                  <c:v>8.2400694123811249</c:v>
                </c:pt>
                <c:pt idx="151">
                  <c:v>7.8091062118025887</c:v>
                </c:pt>
                <c:pt idx="152">
                  <c:v>8.3192674122531542</c:v>
                </c:pt>
                <c:pt idx="153">
                  <c:v>10.188536743829049</c:v>
                </c:pt>
                <c:pt idx="154">
                  <c:v>10.713444255762218</c:v>
                </c:pt>
                <c:pt idx="155">
                  <c:v>10.494054509718536</c:v>
                </c:pt>
                <c:pt idx="156">
                  <c:v>11.068084455061635</c:v>
                </c:pt>
                <c:pt idx="157">
                  <c:v>11.116193236681299</c:v>
                </c:pt>
                <c:pt idx="158">
                  <c:v>10.654814832773308</c:v>
                </c:pt>
                <c:pt idx="159">
                  <c:v>11.890453651150397</c:v>
                </c:pt>
                <c:pt idx="160">
                  <c:v>11.59946520094484</c:v>
                </c:pt>
                <c:pt idx="161">
                  <c:v>12.370504117360422</c:v>
                </c:pt>
                <c:pt idx="162">
                  <c:v>11.732885573617841</c:v>
                </c:pt>
                <c:pt idx="163">
                  <c:v>10.826978305481262</c:v>
                </c:pt>
                <c:pt idx="164">
                  <c:v>11.175643401945399</c:v>
                </c:pt>
                <c:pt idx="165">
                  <c:v>11.627961590016657</c:v>
                </c:pt>
                <c:pt idx="166">
                  <c:v>11.979095541609256</c:v>
                </c:pt>
                <c:pt idx="167">
                  <c:v>11.966928586012539</c:v>
                </c:pt>
                <c:pt idx="168">
                  <c:v>12.19819985820498</c:v>
                </c:pt>
                <c:pt idx="169">
                  <c:v>13.042548535754021</c:v>
                </c:pt>
                <c:pt idx="170">
                  <c:v>8.0957142470216468</c:v>
                </c:pt>
                <c:pt idx="171">
                  <c:v>8.784029546271972</c:v>
                </c:pt>
                <c:pt idx="172">
                  <c:v>8.7699585650103895</c:v>
                </c:pt>
                <c:pt idx="173">
                  <c:v>8.2133204175087577</c:v>
                </c:pt>
                <c:pt idx="174">
                  <c:v>8.2109095942744847</c:v>
                </c:pt>
                <c:pt idx="175">
                  <c:v>7.8437064030363404</c:v>
                </c:pt>
                <c:pt idx="176">
                  <c:v>7.674493162831669</c:v>
                </c:pt>
                <c:pt idx="177">
                  <c:v>6.4732617723916475</c:v>
                </c:pt>
                <c:pt idx="178">
                  <c:v>6.7861034921774976</c:v>
                </c:pt>
                <c:pt idx="179">
                  <c:v>7.1894470826787513</c:v>
                </c:pt>
                <c:pt idx="180">
                  <c:v>7.4080464156303885</c:v>
                </c:pt>
                <c:pt idx="181">
                  <c:v>8.1759578507468582</c:v>
                </c:pt>
                <c:pt idx="182">
                  <c:v>8.5244469707804758</c:v>
                </c:pt>
                <c:pt idx="183">
                  <c:v>8.2396443389400353</c:v>
                </c:pt>
                <c:pt idx="184">
                  <c:v>8.4778777874222051</c:v>
                </c:pt>
                <c:pt idx="185">
                  <c:v>9.1250834094069031</c:v>
                </c:pt>
                <c:pt idx="186">
                  <c:v>8.9014621740238677</c:v>
                </c:pt>
                <c:pt idx="187">
                  <c:v>9.4001712302329175</c:v>
                </c:pt>
                <c:pt idx="188">
                  <c:v>8.5833746080847018</c:v>
                </c:pt>
                <c:pt idx="189">
                  <c:v>8.4149503244663659</c:v>
                </c:pt>
                <c:pt idx="190">
                  <c:v>7.4587754195543852</c:v>
                </c:pt>
                <c:pt idx="191">
                  <c:v>8.6855000983297579</c:v>
                </c:pt>
                <c:pt idx="192">
                  <c:v>9.2345283540430856</c:v>
                </c:pt>
                <c:pt idx="193">
                  <c:v>7.5711178493052351</c:v>
                </c:pt>
                <c:pt idx="194">
                  <c:v>7.3124385579132483</c:v>
                </c:pt>
                <c:pt idx="195">
                  <c:v>6.3061753519809374</c:v>
                </c:pt>
                <c:pt idx="196">
                  <c:v>5.1471540749467239</c:v>
                </c:pt>
                <c:pt idx="197">
                  <c:v>5.3588076577166346</c:v>
                </c:pt>
                <c:pt idx="198">
                  <c:v>5.3893710249035962</c:v>
                </c:pt>
                <c:pt idx="199">
                  <c:v>5.5437019338347788</c:v>
                </c:pt>
                <c:pt idx="200">
                  <c:v>5.7707492934085547</c:v>
                </c:pt>
                <c:pt idx="201">
                  <c:v>6.3945344975361236</c:v>
                </c:pt>
                <c:pt idx="202">
                  <c:v>6.4150072664465689</c:v>
                </c:pt>
                <c:pt idx="203">
                  <c:v>5.1485634676002903</c:v>
                </c:pt>
                <c:pt idx="204">
                  <c:v>4.3393156770757928</c:v>
                </c:pt>
                <c:pt idx="205">
                  <c:v>4.037491372769324</c:v>
                </c:pt>
                <c:pt idx="206">
                  <c:v>3.920254162049539</c:v>
                </c:pt>
                <c:pt idx="207">
                  <c:v>3.3700000000000041</c:v>
                </c:pt>
                <c:pt idx="208">
                  <c:v>1.8069870764384564</c:v>
                </c:pt>
                <c:pt idx="209">
                  <c:v>0.76325379907859547</c:v>
                </c:pt>
                <c:pt idx="210">
                  <c:v>0.56789253123408745</c:v>
                </c:pt>
                <c:pt idx="211">
                  <c:v>0.84506489941570395</c:v>
                </c:pt>
                <c:pt idx="212">
                  <c:v>0.98524078276217042</c:v>
                </c:pt>
                <c:pt idx="213">
                  <c:v>1.0409411036297576</c:v>
                </c:pt>
                <c:pt idx="214">
                  <c:v>1.4517936155263074</c:v>
                </c:pt>
                <c:pt idx="215">
                  <c:v>0.50817105300167975</c:v>
                </c:pt>
                <c:pt idx="216">
                  <c:v>-0.15228473531241721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E5C-43F0-98AD-5C9AB6050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3565568"/>
        <c:axId val="103562432"/>
      </c:lineChart>
      <c:catAx>
        <c:axId val="103565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3562432"/>
        <c:crosses val="autoZero"/>
        <c:auto val="0"/>
        <c:lblAlgn val="ctr"/>
        <c:lblOffset val="45"/>
        <c:tickLblSkip val="24"/>
        <c:tickMarkSkip val="24"/>
        <c:noMultiLvlLbl val="1"/>
      </c:catAx>
      <c:valAx>
        <c:axId val="103562432"/>
        <c:scaling>
          <c:orientation val="minMax"/>
          <c:max val="14"/>
          <c:min val="-2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3565568"/>
        <c:crossesAt val="1"/>
        <c:crossBetween val="midCat"/>
        <c:majorUnit val="2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F829-FA53-4447-9A79-B04B6BA1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908</TotalTime>
  <Pages>9</Pages>
  <Words>1441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al Consumidor. Primera quincena de diciembre de 2019</vt:lpstr>
    </vt:vector>
  </TitlesOfParts>
  <Company>INEGI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Consumidor. Primera quincena de diciembre de 2019</dc:title>
  <dc:creator>INEGI</dc:creator>
  <cp:keywords>PRECIOS CONSUMIDOR SUBYACENTE</cp:keywords>
  <cp:lastModifiedBy>SALA DE PRENSA</cp:lastModifiedBy>
  <cp:revision>82</cp:revision>
  <cp:lastPrinted>2019-12-21T23:14:00Z</cp:lastPrinted>
  <dcterms:created xsi:type="dcterms:W3CDTF">2019-01-21T18:24:00Z</dcterms:created>
  <dcterms:modified xsi:type="dcterms:W3CDTF">2019-12-21T23:15:00Z</dcterms:modified>
  <cp:category>INDICES DE PRECIOS</cp:category>
  <cp:version>1</cp:version>
</cp:coreProperties>
</file>