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33789"/>
    <w:bookmarkEnd w:id="0"/>
    <w:p w14:paraId="55CDBE15" w14:textId="77777777" w:rsidR="00076994" w:rsidRDefault="00076994" w:rsidP="00076994">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63D102AE" wp14:editId="6460B77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0CD2067" w14:textId="77777777" w:rsidR="00076994" w:rsidRPr="00265B8C" w:rsidRDefault="00076994" w:rsidP="0007699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102A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0CD2067" w14:textId="77777777" w:rsidR="00076994" w:rsidRPr="00265B8C" w:rsidRDefault="00076994" w:rsidP="0007699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  </w:t>
                      </w:r>
                    </w:p>
                  </w:txbxContent>
                </v:textbox>
                <w10:wrap type="square"/>
              </v:shape>
            </w:pict>
          </mc:Fallback>
        </mc:AlternateContent>
      </w:r>
    </w:p>
    <w:p w14:paraId="510215A7" w14:textId="77777777" w:rsidR="00076994" w:rsidRDefault="00076994" w:rsidP="00076994">
      <w:pPr>
        <w:pStyle w:val="Profesin"/>
        <w:spacing w:before="240"/>
      </w:pPr>
      <w:r>
        <w:t xml:space="preserve">  </w:t>
      </w:r>
    </w:p>
    <w:p w14:paraId="58058254" w14:textId="77777777" w:rsidR="00076994" w:rsidRPr="00B6569A" w:rsidRDefault="00076994" w:rsidP="00076994">
      <w:pPr>
        <w:pStyle w:val="Profesin"/>
        <w:spacing w:before="240"/>
      </w:pPr>
      <w:r>
        <w:t>Í</w:t>
      </w:r>
      <w:r w:rsidRPr="00B6569A">
        <w:t>NDICE NACIONAL DE PRECIOS AL CONSUMIDOR</w:t>
      </w:r>
    </w:p>
    <w:p w14:paraId="6665C879" w14:textId="77777777" w:rsidR="00076994" w:rsidRPr="00B6569A" w:rsidRDefault="00076994" w:rsidP="00076994">
      <w:pPr>
        <w:pStyle w:val="Profesin"/>
        <w:rPr>
          <w:caps w:val="0"/>
        </w:rPr>
      </w:pPr>
      <w:r>
        <w:rPr>
          <w:caps w:val="0"/>
        </w:rPr>
        <w:t xml:space="preserve">NOVIEMBRE </w:t>
      </w:r>
      <w:r w:rsidRPr="003110E0">
        <w:rPr>
          <w:caps w:val="0"/>
        </w:rPr>
        <w:t>DE 201</w:t>
      </w:r>
      <w:r>
        <w:rPr>
          <w:caps w:val="0"/>
        </w:rPr>
        <w:t>9</w:t>
      </w:r>
    </w:p>
    <w:p w14:paraId="69C8C2BD" w14:textId="77777777" w:rsidR="00076994" w:rsidRPr="00F340C6" w:rsidRDefault="00076994" w:rsidP="00076994">
      <w:pPr>
        <w:spacing w:before="360"/>
        <w:ind w:right="-263"/>
        <w:rPr>
          <w:bCs/>
        </w:rPr>
      </w:pPr>
      <w:r w:rsidRPr="00F340C6">
        <w:rPr>
          <w:bCs/>
        </w:rPr>
        <w:t>El Instituto Nacional de Estadística y Geografía (INEGI) informa que en noviembre de 2019 el Índice Nacional de Precios al Consumidor (INPC) registró un incremento de 0.81 por ciento frente al mes precedente, así como una inflación anual de 2.97 por ciento. En el mismo mes de 2018 las cifras correspondientes fueron de 0.85 por ciento mensual y de 4.72 por ciento anual.</w:t>
      </w:r>
    </w:p>
    <w:p w14:paraId="55E3C55E" w14:textId="77777777" w:rsidR="00076994" w:rsidRPr="00F340C6" w:rsidRDefault="00076994" w:rsidP="00076994">
      <w:pPr>
        <w:spacing w:before="360"/>
        <w:ind w:right="-263"/>
        <w:rPr>
          <w:bCs/>
        </w:rPr>
      </w:pPr>
      <w:r w:rsidRPr="00F340C6">
        <w:rPr>
          <w:bCs/>
        </w:rPr>
        <w:t>El índice de precios subyacente</w:t>
      </w:r>
      <w:r w:rsidRPr="00F340C6">
        <w:rPr>
          <w:vertAlign w:val="superscript"/>
        </w:rPr>
        <w:footnoteReference w:id="1"/>
      </w:r>
      <w:r w:rsidRPr="00F340C6">
        <w:rPr>
          <w:bCs/>
        </w:rPr>
        <w:t xml:space="preserve"> aumentó 0.22 por ciento a tasa mensual, alcanzando una variación anual de 3.65 por ciento; al mismo tiempo, el índice de precios no subyacente creció 2.62 por ciento mensual y 0.98 por ciento anual.</w:t>
      </w:r>
    </w:p>
    <w:p w14:paraId="1E1798E4" w14:textId="77777777" w:rsidR="00076994" w:rsidRPr="00F340C6" w:rsidRDefault="00076994" w:rsidP="00076994">
      <w:pPr>
        <w:spacing w:before="360"/>
        <w:ind w:right="-263"/>
        <w:rPr>
          <w:bCs/>
        </w:rPr>
      </w:pPr>
      <w:r w:rsidRPr="00F340C6">
        <w:rPr>
          <w:bCs/>
        </w:rPr>
        <w:t xml:space="preserve">Dentro del índice de precios subyacente, los precios de las mercancías y de los servicios subieron en 0.12 y en 0.33 por ciento mensual, respectivamente. </w:t>
      </w:r>
    </w:p>
    <w:p w14:paraId="0A513255" w14:textId="77777777" w:rsidR="00076994" w:rsidRPr="00F340C6" w:rsidRDefault="00076994" w:rsidP="00076994">
      <w:pPr>
        <w:spacing w:before="360"/>
        <w:ind w:right="-263"/>
        <w:rPr>
          <w:bCs/>
        </w:rPr>
      </w:pPr>
      <w:r w:rsidRPr="00F340C6">
        <w:rPr>
          <w:bCs/>
        </w:rPr>
        <w:t>Al interior del índice de precios no subyacente, los precios de los productos agropecuarios mostraron un alza mensual de 1.84 por ciento y los de los energéticos y tarifas autorizadas por el gobierno de 3.18 por ciento, como consecuencia, en mayor medida, de la conclusión del subsidio al programa de tarifas eléctricas de temporada cálida en 11 ciudades del país.</w:t>
      </w:r>
    </w:p>
    <w:p w14:paraId="68048FA3" w14:textId="77777777" w:rsidR="00076994" w:rsidRPr="00FE475D" w:rsidRDefault="00076994" w:rsidP="00076994">
      <w:pPr>
        <w:pStyle w:val="Profesin"/>
        <w:spacing w:before="360"/>
        <w:rPr>
          <w:caps w:val="0"/>
          <w:sz w:val="24"/>
          <w:szCs w:val="24"/>
        </w:rPr>
      </w:pPr>
      <w:r w:rsidRPr="00FE475D">
        <w:rPr>
          <w:sz w:val="24"/>
          <w:szCs w:val="24"/>
        </w:rPr>
        <w:t xml:space="preserve">  </w:t>
      </w:r>
    </w:p>
    <w:p w14:paraId="1207593A" w14:textId="77777777" w:rsidR="00076994" w:rsidRPr="00FE475D" w:rsidRDefault="00076994" w:rsidP="00076994">
      <w:pPr>
        <w:spacing w:before="360"/>
        <w:ind w:right="162" w:hanging="785"/>
        <w:rPr>
          <w:color w:val="000000" w:themeColor="text1"/>
        </w:rPr>
      </w:pPr>
      <w:r w:rsidRPr="00FE475D">
        <w:rPr>
          <w:color w:val="000000" w:themeColor="text1"/>
        </w:rPr>
        <w:tab/>
      </w:r>
    </w:p>
    <w:p w14:paraId="3EF6C6F5" w14:textId="77777777" w:rsidR="00076994" w:rsidRPr="00BF4A6C" w:rsidRDefault="00076994" w:rsidP="00076994">
      <w:pPr>
        <w:ind w:left="426" w:right="-121" w:hanging="785"/>
        <w:jc w:val="left"/>
        <w:rPr>
          <w:i/>
        </w:rPr>
      </w:pPr>
      <w:r w:rsidRPr="00BF4A6C">
        <w:rPr>
          <w:i/>
        </w:rPr>
        <w:br w:type="page"/>
      </w:r>
    </w:p>
    <w:p w14:paraId="1C3B8A62" w14:textId="77777777" w:rsidR="00076994" w:rsidRDefault="00076994" w:rsidP="00076994">
      <w:pPr>
        <w:keepNext/>
        <w:keepLines/>
        <w:spacing w:before="480"/>
        <w:jc w:val="center"/>
        <w:rPr>
          <w:b/>
          <w:bCs/>
          <w:color w:val="000000" w:themeColor="text1"/>
          <w:sz w:val="22"/>
          <w:szCs w:val="22"/>
        </w:rPr>
      </w:pPr>
    </w:p>
    <w:p w14:paraId="3338A23A" w14:textId="77777777" w:rsidR="00076994" w:rsidRPr="000E730C" w:rsidRDefault="00076994" w:rsidP="00076994">
      <w:pPr>
        <w:keepNext/>
        <w:keepLines/>
        <w:spacing w:before="240"/>
        <w:jc w:val="center"/>
        <w:rPr>
          <w:b/>
          <w:bCs/>
          <w:smallCaps/>
          <w:color w:val="000000" w:themeColor="text1"/>
          <w:sz w:val="22"/>
          <w:szCs w:val="22"/>
        </w:rPr>
      </w:pPr>
      <w:r w:rsidRPr="000E730C">
        <w:rPr>
          <w:b/>
          <w:bCs/>
          <w:smallCaps/>
          <w:color w:val="000000" w:themeColor="text1"/>
          <w:sz w:val="22"/>
          <w:szCs w:val="22"/>
        </w:rPr>
        <w:t>INPC, Subyacente y No Subyacente</w:t>
      </w:r>
    </w:p>
    <w:p w14:paraId="1EB44FA2" w14:textId="77777777" w:rsidR="00076994" w:rsidRPr="000E730C" w:rsidRDefault="00076994" w:rsidP="00076994">
      <w:pPr>
        <w:keepNext/>
        <w:keepLines/>
        <w:widowControl w:val="0"/>
        <w:autoSpaceDE w:val="0"/>
        <w:autoSpaceDN w:val="0"/>
        <w:adjustRightInd w:val="0"/>
        <w:jc w:val="center"/>
        <w:rPr>
          <w:sz w:val="18"/>
          <w:szCs w:val="18"/>
        </w:rPr>
      </w:pPr>
      <w:r w:rsidRPr="000E730C">
        <w:rPr>
          <w:sz w:val="18"/>
          <w:szCs w:val="18"/>
        </w:rPr>
        <w:t xml:space="preserve">Variación porcentual e incidencia durante noviembre </w:t>
      </w:r>
      <w:r>
        <w:rPr>
          <w:sz w:val="18"/>
          <w:szCs w:val="18"/>
        </w:rPr>
        <w:t xml:space="preserve">de </w:t>
      </w:r>
      <w:r w:rsidRPr="000E730C">
        <w:rPr>
          <w:sz w:val="18"/>
          <w:szCs w:val="18"/>
        </w:rPr>
        <w:t>los años que se indican</w:t>
      </w:r>
    </w:p>
    <w:p w14:paraId="065FB50C" w14:textId="77777777" w:rsidR="00076994" w:rsidRPr="000D49D2" w:rsidRDefault="00076994" w:rsidP="00076994">
      <w:pPr>
        <w:widowControl w:val="0"/>
        <w:autoSpaceDE w:val="0"/>
        <w:autoSpaceDN w:val="0"/>
        <w:adjustRightInd w:val="0"/>
        <w:ind w:right="-23"/>
        <w:jc w:val="center"/>
        <w:rPr>
          <w:b/>
          <w:sz w:val="22"/>
          <w:szCs w:val="22"/>
        </w:rPr>
      </w:pPr>
      <w:r w:rsidRPr="003F3CDE">
        <w:rPr>
          <w:noProof/>
        </w:rPr>
        <w:drawing>
          <wp:inline distT="0" distB="0" distL="0" distR="0" wp14:anchorId="6D6AF312" wp14:editId="3AFBE523">
            <wp:extent cx="5972810" cy="2565400"/>
            <wp:effectExtent l="0" t="0" r="889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65400"/>
                    </a:xfrm>
                    <a:prstGeom prst="rect">
                      <a:avLst/>
                    </a:prstGeom>
                    <a:noFill/>
                    <a:ln>
                      <a:noFill/>
                    </a:ln>
                  </pic:spPr>
                </pic:pic>
              </a:graphicData>
            </a:graphic>
          </wp:inline>
        </w:drawing>
      </w:r>
    </w:p>
    <w:p w14:paraId="20B153DE" w14:textId="77777777" w:rsidR="00076994" w:rsidRPr="003B2C91" w:rsidRDefault="00076994" w:rsidP="00076994">
      <w:pPr>
        <w:autoSpaceDE w:val="0"/>
        <w:autoSpaceDN w:val="0"/>
        <w:adjustRightInd w:val="0"/>
        <w:ind w:left="283" w:right="-263" w:hanging="170"/>
        <w:rPr>
          <w:color w:val="006600"/>
          <w:sz w:val="16"/>
          <w:szCs w:val="16"/>
        </w:rPr>
      </w:pPr>
      <w:r w:rsidRPr="003B2C91">
        <w:rPr>
          <w:color w:val="006600"/>
          <w:sz w:val="18"/>
          <w:szCs w:val="16"/>
          <w:vertAlign w:val="superscript"/>
        </w:rPr>
        <w:t>1/</w:t>
      </w:r>
      <w:r>
        <w:rPr>
          <w:color w:val="006600"/>
          <w:sz w:val="16"/>
          <w:szCs w:val="16"/>
        </w:rPr>
        <w:tab/>
      </w:r>
      <w:r w:rsidRPr="003B2C91">
        <w:rPr>
          <w:color w:val="006600"/>
          <w:sz w:val="16"/>
          <w:szCs w:val="16"/>
        </w:rPr>
        <w:t xml:space="preserve">La incidencia se refiere a la contribución en puntos porcentuales de cada componente del INPC </w:t>
      </w:r>
      <w:r>
        <w:rPr>
          <w:color w:val="006600"/>
          <w:sz w:val="16"/>
          <w:szCs w:val="16"/>
        </w:rPr>
        <w:t>a</w:t>
      </w:r>
      <w:r w:rsidRPr="003B2C91">
        <w:rPr>
          <w:color w:val="006600"/>
          <w:sz w:val="16"/>
          <w:szCs w:val="16"/>
        </w:rPr>
        <w:t xml:space="preserve"> la inflación general. Ésta se</w:t>
      </w:r>
      <w:r>
        <w:rPr>
          <w:color w:val="006600"/>
          <w:sz w:val="16"/>
          <w:szCs w:val="16"/>
        </w:rPr>
        <w:t xml:space="preserve"> </w:t>
      </w:r>
      <w:r w:rsidRPr="003B2C91">
        <w:rPr>
          <w:color w:val="006600"/>
          <w:sz w:val="16"/>
          <w:szCs w:val="16"/>
        </w:rPr>
        <w:t>calcula utilizando los ponderadores de cada subíndice, así como los precios relativos y sus respectivas variaciones. En ciertos casos, la suma de los componentes de algún grupo de subíndices puede tener alguna discrepancia por efectos de redondeo.</w:t>
      </w:r>
    </w:p>
    <w:p w14:paraId="4DEB4291" w14:textId="77777777" w:rsidR="00076994" w:rsidRPr="003B2C91" w:rsidRDefault="00076994" w:rsidP="00076994">
      <w:pPr>
        <w:autoSpaceDE w:val="0"/>
        <w:autoSpaceDN w:val="0"/>
        <w:adjustRightInd w:val="0"/>
        <w:ind w:left="283" w:right="-263" w:hanging="170"/>
        <w:rPr>
          <w:color w:val="006600"/>
          <w:sz w:val="16"/>
          <w:szCs w:val="16"/>
        </w:rPr>
      </w:pPr>
      <w:r w:rsidRPr="003B2C91">
        <w:rPr>
          <w:color w:val="006600"/>
          <w:sz w:val="18"/>
          <w:szCs w:val="16"/>
          <w:vertAlign w:val="superscript"/>
        </w:rPr>
        <w:t>2/</w:t>
      </w:r>
      <w:r>
        <w:rPr>
          <w:color w:val="006600"/>
          <w:sz w:val="16"/>
          <w:szCs w:val="16"/>
        </w:rPr>
        <w:tab/>
      </w:r>
      <w:r w:rsidRPr="003B2C91">
        <w:rPr>
          <w:color w:val="006600"/>
          <w:sz w:val="16"/>
          <w:szCs w:val="16"/>
        </w:rPr>
        <w:t>Incluye alimentos procesados, bebidas y tabaco, no incluye productos agropecuarios.</w:t>
      </w:r>
    </w:p>
    <w:p w14:paraId="55658320" w14:textId="77777777" w:rsidR="00076994" w:rsidRPr="003B2C91" w:rsidRDefault="00076994" w:rsidP="00076994">
      <w:pPr>
        <w:autoSpaceDE w:val="0"/>
        <w:autoSpaceDN w:val="0"/>
        <w:adjustRightInd w:val="0"/>
        <w:ind w:left="283" w:right="-263" w:hanging="170"/>
        <w:rPr>
          <w:color w:val="006600"/>
          <w:sz w:val="16"/>
          <w:szCs w:val="16"/>
        </w:rPr>
      </w:pPr>
      <w:r w:rsidRPr="003B2C91">
        <w:rPr>
          <w:color w:val="006600"/>
          <w:sz w:val="18"/>
          <w:szCs w:val="16"/>
          <w:vertAlign w:val="superscript"/>
        </w:rPr>
        <w:t>3/</w:t>
      </w:r>
      <w:r>
        <w:rPr>
          <w:color w:val="006600"/>
          <w:sz w:val="16"/>
          <w:szCs w:val="16"/>
        </w:rPr>
        <w:tab/>
      </w:r>
      <w:r w:rsidRPr="003B2C91">
        <w:rPr>
          <w:color w:val="006600"/>
          <w:sz w:val="16"/>
          <w:szCs w:val="16"/>
        </w:rPr>
        <w:t>Incluye vivienda propia, renta de vivienda, servicio doméstico y otros servicios para el hogar.</w:t>
      </w:r>
    </w:p>
    <w:p w14:paraId="32644349" w14:textId="77777777" w:rsidR="00076994" w:rsidRPr="003B2C91" w:rsidRDefault="00076994" w:rsidP="00076994">
      <w:pPr>
        <w:autoSpaceDE w:val="0"/>
        <w:autoSpaceDN w:val="0"/>
        <w:adjustRightInd w:val="0"/>
        <w:ind w:left="283" w:right="-26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3B2C91">
        <w:rPr>
          <w:color w:val="006600"/>
          <w:sz w:val="16"/>
          <w:szCs w:val="16"/>
        </w:rPr>
        <w:t>Incluye loncherías, fondas y taquerías, restaurantes y similares, servicio de telefonía móvil, mantenimiento de automóvil, consulta médica, servicios turísticos en paquete, entre otros.</w:t>
      </w:r>
    </w:p>
    <w:p w14:paraId="4B760722" w14:textId="77777777" w:rsidR="00076994" w:rsidRDefault="00076994" w:rsidP="00076994">
      <w:pPr>
        <w:autoSpaceDE w:val="0"/>
        <w:autoSpaceDN w:val="0"/>
        <w:adjustRightInd w:val="0"/>
        <w:ind w:left="283" w:right="-405" w:hanging="170"/>
        <w:rPr>
          <w:color w:val="006600"/>
          <w:sz w:val="16"/>
          <w:szCs w:val="16"/>
        </w:rPr>
      </w:pPr>
    </w:p>
    <w:p w14:paraId="09FC855D" w14:textId="77777777" w:rsidR="00076994" w:rsidRDefault="00076994" w:rsidP="00076994">
      <w:pPr>
        <w:spacing w:before="20"/>
        <w:ind w:left="142" w:right="-263" w:hanging="548"/>
        <w:outlineLvl w:val="0"/>
        <w:rPr>
          <w:sz w:val="4"/>
          <w:szCs w:val="4"/>
        </w:rPr>
      </w:pPr>
    </w:p>
    <w:p w14:paraId="3794E460" w14:textId="77777777" w:rsidR="00076994" w:rsidRDefault="00076994" w:rsidP="00076994">
      <w:pPr>
        <w:spacing w:before="20"/>
        <w:ind w:left="142" w:right="-263" w:hanging="548"/>
        <w:jc w:val="right"/>
        <w:outlineLvl w:val="0"/>
        <w:rPr>
          <w:sz w:val="4"/>
          <w:szCs w:val="4"/>
        </w:rPr>
      </w:pPr>
      <w:r>
        <w:rPr>
          <w:noProof/>
          <w:lang w:val="es-MX" w:eastAsia="es-MX"/>
        </w:rPr>
        <w:drawing>
          <wp:inline distT="0" distB="0" distL="0" distR="0" wp14:anchorId="6C924342" wp14:editId="422B291F">
            <wp:extent cx="4112373" cy="1466005"/>
            <wp:effectExtent l="0" t="0" r="254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0218" cy="1486626"/>
                    </a:xfrm>
                    <a:prstGeom prst="rect">
                      <a:avLst/>
                    </a:prstGeom>
                    <a:noFill/>
                  </pic:spPr>
                </pic:pic>
              </a:graphicData>
            </a:graphic>
          </wp:inline>
        </w:drawing>
      </w:r>
    </w:p>
    <w:p w14:paraId="660A1B6D" w14:textId="77777777" w:rsidR="00076994" w:rsidRDefault="00076994" w:rsidP="00076994">
      <w:pPr>
        <w:pStyle w:val="p01"/>
        <w:keepLines w:val="0"/>
        <w:tabs>
          <w:tab w:val="left" w:pos="3261"/>
        </w:tabs>
        <w:spacing w:before="100" w:beforeAutospacing="1"/>
        <w:ind w:left="1418"/>
        <w:mirrorIndents/>
        <w:outlineLvl w:val="0"/>
        <w:rPr>
          <w:rFonts w:cs="Arial"/>
          <w:szCs w:val="24"/>
        </w:rPr>
      </w:pPr>
      <w:r>
        <w:rPr>
          <w:rFonts w:ascii="Arial" w:hAnsi="Arial" w:cs="Arial"/>
          <w:b/>
          <w:color w:val="000000"/>
          <w:szCs w:val="24"/>
        </w:rPr>
        <w:tab/>
        <w:t xml:space="preserve">   S</w:t>
      </w:r>
      <w:r w:rsidRPr="003B1ACA">
        <w:rPr>
          <w:rFonts w:ascii="Arial" w:hAnsi="Arial" w:cs="Arial"/>
          <w:b/>
          <w:color w:val="000000"/>
          <w:szCs w:val="24"/>
        </w:rPr>
        <w:t>e anexa Nota Técnica</w:t>
      </w:r>
      <w:r>
        <w:rPr>
          <w:rFonts w:cs="Arial"/>
          <w:szCs w:val="24"/>
        </w:rPr>
        <w:tab/>
      </w:r>
    </w:p>
    <w:p w14:paraId="2CCB1BA9" w14:textId="77777777" w:rsidR="00076994" w:rsidRDefault="00076994" w:rsidP="00076994">
      <w:pPr>
        <w:pStyle w:val="p0"/>
      </w:pPr>
    </w:p>
    <w:p w14:paraId="06F0EDED" w14:textId="77777777" w:rsidR="00076994" w:rsidRPr="00D51A7C" w:rsidRDefault="00076994" w:rsidP="00076994">
      <w:pPr>
        <w:pStyle w:val="p0"/>
      </w:pPr>
    </w:p>
    <w:p w14:paraId="63E4542B" w14:textId="77777777" w:rsidR="00076994" w:rsidRPr="00D51A7C" w:rsidRDefault="00076994" w:rsidP="00076994">
      <w:pPr>
        <w:pStyle w:val="NormalWeb"/>
        <w:spacing w:before="0" w:beforeAutospacing="0" w:after="0" w:afterAutospacing="0"/>
        <w:ind w:left="-426" w:right="-518"/>
        <w:contextualSpacing/>
        <w:jc w:val="center"/>
        <w:rPr>
          <w:rFonts w:ascii="Arial" w:hAnsi="Arial" w:cs="Arial"/>
          <w:sz w:val="20"/>
          <w:szCs w:val="20"/>
        </w:rPr>
      </w:pPr>
      <w:r w:rsidRPr="00D51A7C">
        <w:rPr>
          <w:rFonts w:ascii="Arial" w:hAnsi="Arial" w:cs="Arial"/>
          <w:sz w:val="20"/>
          <w:szCs w:val="20"/>
        </w:rPr>
        <w:t xml:space="preserve">Para consultas de medios y periodistas, contactar a: </w:t>
      </w:r>
      <w:hyperlink r:id="rId10" w:history="1">
        <w:r w:rsidRPr="00D51A7C">
          <w:rPr>
            <w:rStyle w:val="Hipervnculo"/>
            <w:rFonts w:ascii="Arial" w:hAnsi="Arial" w:cs="Arial"/>
            <w:sz w:val="20"/>
            <w:szCs w:val="20"/>
          </w:rPr>
          <w:t>comunicacionsocial@inegi.org.mx</w:t>
        </w:r>
      </w:hyperlink>
      <w:r w:rsidRPr="00D51A7C">
        <w:rPr>
          <w:rFonts w:ascii="Arial" w:hAnsi="Arial" w:cs="Arial"/>
          <w:sz w:val="20"/>
          <w:szCs w:val="20"/>
        </w:rPr>
        <w:t xml:space="preserve"> </w:t>
      </w:r>
    </w:p>
    <w:p w14:paraId="497DE2DE" w14:textId="77777777" w:rsidR="00076994" w:rsidRPr="00D51A7C" w:rsidRDefault="00076994" w:rsidP="00076994">
      <w:pPr>
        <w:pStyle w:val="NormalWeb"/>
        <w:spacing w:before="0" w:beforeAutospacing="0" w:after="0" w:afterAutospacing="0"/>
        <w:ind w:left="-426" w:right="-518"/>
        <w:contextualSpacing/>
        <w:jc w:val="center"/>
        <w:rPr>
          <w:rFonts w:ascii="Arial" w:hAnsi="Arial" w:cs="Arial"/>
          <w:sz w:val="20"/>
          <w:szCs w:val="20"/>
        </w:rPr>
      </w:pPr>
      <w:r w:rsidRPr="00D51A7C">
        <w:rPr>
          <w:rFonts w:ascii="Arial" w:hAnsi="Arial" w:cs="Arial"/>
          <w:sz w:val="20"/>
          <w:szCs w:val="20"/>
        </w:rPr>
        <w:t xml:space="preserve">o llamar al teléfono (55) 52-78-10-00, </w:t>
      </w:r>
      <w:proofErr w:type="spellStart"/>
      <w:r w:rsidRPr="00D51A7C">
        <w:rPr>
          <w:rFonts w:ascii="Arial" w:hAnsi="Arial" w:cs="Arial"/>
          <w:sz w:val="20"/>
          <w:szCs w:val="20"/>
        </w:rPr>
        <w:t>exts</w:t>
      </w:r>
      <w:proofErr w:type="spellEnd"/>
      <w:r w:rsidRPr="00D51A7C">
        <w:rPr>
          <w:rFonts w:ascii="Arial" w:hAnsi="Arial" w:cs="Arial"/>
          <w:sz w:val="20"/>
          <w:szCs w:val="20"/>
        </w:rPr>
        <w:t>. 1134, 1260 y 1241.</w:t>
      </w:r>
    </w:p>
    <w:p w14:paraId="7D75320A" w14:textId="77777777" w:rsidR="00076994" w:rsidRPr="00D51A7C" w:rsidRDefault="00076994" w:rsidP="00076994">
      <w:pPr>
        <w:ind w:left="-426" w:right="-518"/>
        <w:contextualSpacing/>
        <w:jc w:val="center"/>
        <w:rPr>
          <w:sz w:val="20"/>
          <w:szCs w:val="20"/>
        </w:rPr>
      </w:pPr>
    </w:p>
    <w:p w14:paraId="140DB035" w14:textId="77777777" w:rsidR="00076994" w:rsidRPr="00D51A7C" w:rsidRDefault="00076994" w:rsidP="00076994">
      <w:pPr>
        <w:ind w:left="-426" w:right="-518"/>
        <w:contextualSpacing/>
        <w:jc w:val="center"/>
        <w:rPr>
          <w:sz w:val="20"/>
          <w:szCs w:val="20"/>
        </w:rPr>
      </w:pPr>
      <w:r w:rsidRPr="00D51A7C">
        <w:rPr>
          <w:sz w:val="20"/>
          <w:szCs w:val="20"/>
        </w:rPr>
        <w:t>Dirección de Atención a Medios / Dirección General Adjunta de Comunicación</w:t>
      </w:r>
    </w:p>
    <w:p w14:paraId="6C2D9D6B" w14:textId="77777777" w:rsidR="00076994" w:rsidRPr="00D51A7C" w:rsidRDefault="00076994" w:rsidP="00076994">
      <w:pPr>
        <w:ind w:left="-426" w:right="-518"/>
        <w:contextualSpacing/>
        <w:jc w:val="center"/>
        <w:rPr>
          <w:sz w:val="20"/>
          <w:szCs w:val="20"/>
        </w:rPr>
      </w:pPr>
    </w:p>
    <w:p w14:paraId="2CFD0C9B" w14:textId="77777777" w:rsidR="00076994" w:rsidRPr="008F0992" w:rsidRDefault="00076994" w:rsidP="00076994">
      <w:pPr>
        <w:ind w:left="-425" w:right="-516"/>
        <w:contextualSpacing/>
        <w:jc w:val="center"/>
        <w:rPr>
          <w:noProof/>
          <w:lang w:eastAsia="es-MX"/>
        </w:rPr>
      </w:pPr>
      <w:r w:rsidRPr="00FF1218">
        <w:rPr>
          <w:noProof/>
          <w:lang w:val="es-MX" w:eastAsia="es-MX"/>
        </w:rPr>
        <w:drawing>
          <wp:inline distT="0" distB="0" distL="0" distR="0" wp14:anchorId="0CD564B4" wp14:editId="71850A14">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E0A66A" wp14:editId="205D01CF">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B1B18C0" wp14:editId="49913A38">
            <wp:extent cx="365760" cy="365760"/>
            <wp:effectExtent l="0" t="0" r="0" b="0"/>
            <wp:docPr id="9" name="Imagen 9"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3734039" wp14:editId="5773A84B">
            <wp:extent cx="365760" cy="365760"/>
            <wp:effectExtent l="0" t="0" r="0" b="0"/>
            <wp:docPr id="10" name="Imagen 10"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B0C1A12" wp14:editId="6A50C954">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2D95E2B" w14:textId="77777777" w:rsidR="00076994" w:rsidRDefault="00076994" w:rsidP="00076994">
      <w:pPr>
        <w:pStyle w:val="NormalWeb"/>
        <w:spacing w:before="0" w:beforeAutospacing="0" w:after="0" w:afterAutospacing="0"/>
        <w:ind w:left="-426" w:right="-518"/>
        <w:jc w:val="center"/>
        <w:rPr>
          <w:rFonts w:ascii="Arial" w:hAnsi="Arial" w:cs="Arial"/>
          <w:sz w:val="18"/>
          <w:szCs w:val="18"/>
        </w:rPr>
      </w:pPr>
    </w:p>
    <w:p w14:paraId="67FE5283" w14:textId="77777777" w:rsidR="00076994" w:rsidRPr="005167F5" w:rsidRDefault="00076994" w:rsidP="00076994">
      <w:pPr>
        <w:pStyle w:val="p0"/>
        <w:jc w:val="center"/>
        <w:rPr>
          <w:sz w:val="18"/>
          <w:szCs w:val="18"/>
        </w:rPr>
        <w:sectPr w:rsidR="00076994" w:rsidRPr="005167F5" w:rsidSect="004E4A3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p>
    <w:p w14:paraId="22B062F4" w14:textId="77777777" w:rsidR="00076994" w:rsidRPr="0011753D" w:rsidRDefault="00076994" w:rsidP="00076994">
      <w:pPr>
        <w:tabs>
          <w:tab w:val="left" w:pos="8789"/>
        </w:tabs>
        <w:ind w:right="51"/>
        <w:jc w:val="center"/>
        <w:rPr>
          <w:b/>
          <w:color w:val="000000" w:themeColor="text1"/>
          <w:sz w:val="28"/>
          <w:szCs w:val="28"/>
        </w:rPr>
      </w:pPr>
      <w:r w:rsidRPr="00C26721">
        <w:rPr>
          <w:b/>
          <w:color w:val="000000" w:themeColor="text1"/>
          <w:sz w:val="28"/>
          <w:szCs w:val="28"/>
        </w:rPr>
        <w:lastRenderedPageBreak/>
        <w:t xml:space="preserve">    </w:t>
      </w:r>
      <w:r w:rsidRPr="0011753D">
        <w:rPr>
          <w:b/>
          <w:color w:val="000000" w:themeColor="text1"/>
          <w:sz w:val="28"/>
          <w:szCs w:val="28"/>
        </w:rPr>
        <w:t>NOTA TÉCNICA</w:t>
      </w:r>
    </w:p>
    <w:p w14:paraId="55036B6E" w14:textId="77777777" w:rsidR="00B63B5D" w:rsidRPr="00B6569A" w:rsidRDefault="00935393" w:rsidP="00076994">
      <w:pPr>
        <w:pStyle w:val="Profesin"/>
        <w:spacing w:before="240"/>
      </w:pPr>
      <w:r>
        <w:t>Í</w:t>
      </w:r>
      <w:r w:rsidR="00B63B5D" w:rsidRPr="00B6569A">
        <w:t>NDICE NACIONAL DE PRECIOS AL CONSUMIDOR</w:t>
      </w:r>
    </w:p>
    <w:p w14:paraId="7F3D4C40" w14:textId="77777777" w:rsidR="00B63B5D" w:rsidRPr="00B6569A" w:rsidRDefault="003F3CDE" w:rsidP="00B63B5D">
      <w:pPr>
        <w:pStyle w:val="Profesin"/>
        <w:rPr>
          <w:caps w:val="0"/>
        </w:rPr>
      </w:pPr>
      <w:r>
        <w:rPr>
          <w:caps w:val="0"/>
        </w:rPr>
        <w:t>NOVIEM</w:t>
      </w:r>
      <w:r w:rsidR="001E331C">
        <w:rPr>
          <w:caps w:val="0"/>
        </w:rPr>
        <w:t xml:space="preserve">BRE </w:t>
      </w:r>
      <w:r w:rsidR="003110E0" w:rsidRPr="003110E0">
        <w:rPr>
          <w:caps w:val="0"/>
        </w:rPr>
        <w:t>DE 201</w:t>
      </w:r>
      <w:r w:rsidR="00AD3792">
        <w:rPr>
          <w:caps w:val="0"/>
        </w:rPr>
        <w:t>9</w:t>
      </w:r>
    </w:p>
    <w:p w14:paraId="2480D82F" w14:textId="2F909137" w:rsidR="007729C2" w:rsidRDefault="007729C2" w:rsidP="00607E03">
      <w:pPr>
        <w:spacing w:before="240"/>
        <w:jc w:val="left"/>
        <w:rPr>
          <w:b/>
          <w:i/>
          <w:color w:val="000000" w:themeColor="text1"/>
        </w:rPr>
      </w:pPr>
    </w:p>
    <w:p w14:paraId="7DF24C6E" w14:textId="77777777" w:rsidR="00E0429B" w:rsidRPr="00AD3792" w:rsidRDefault="00E0429B" w:rsidP="00616221">
      <w:pPr>
        <w:keepNext/>
        <w:keepLines/>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536B0222" w14:textId="77777777" w:rsidR="003F3CDE" w:rsidRPr="00D25428" w:rsidRDefault="003F3CDE" w:rsidP="000E730C">
      <w:pPr>
        <w:keepNext/>
        <w:keepLines/>
        <w:autoSpaceDE w:val="0"/>
        <w:autoSpaceDN w:val="0"/>
        <w:adjustRightInd w:val="0"/>
        <w:spacing w:before="360"/>
      </w:pPr>
      <w:r>
        <w:rPr>
          <w:color w:val="000000" w:themeColor="text1"/>
        </w:rPr>
        <w:t xml:space="preserve">En noviembre de 2019 el </w:t>
      </w:r>
      <w:r w:rsidRPr="00D25428">
        <w:rPr>
          <w:color w:val="000000" w:themeColor="text1"/>
        </w:rPr>
        <w:t xml:space="preserve">Índice Nacional de Precios al Consumidor (INPC) </w:t>
      </w:r>
      <w:r>
        <w:rPr>
          <w:color w:val="000000" w:themeColor="text1"/>
        </w:rPr>
        <w:t>aumentó 0.81</w:t>
      </w:r>
      <w:r w:rsidRPr="00D25428">
        <w:rPr>
          <w:color w:val="000000" w:themeColor="text1"/>
        </w:rPr>
        <w:t xml:space="preserve"> por ciento</w:t>
      </w:r>
      <w:r w:rsidR="000E730C">
        <w:rPr>
          <w:color w:val="000000" w:themeColor="text1"/>
        </w:rPr>
        <w:t xml:space="preserve"> con relación al mes inmediato anterior</w:t>
      </w:r>
      <w:r>
        <w:rPr>
          <w:color w:val="000000" w:themeColor="text1"/>
        </w:rPr>
        <w:t xml:space="preserve">. En </w:t>
      </w:r>
      <w:r w:rsidR="000E730C">
        <w:rPr>
          <w:color w:val="000000" w:themeColor="text1"/>
        </w:rPr>
        <w:t xml:space="preserve">igual </w:t>
      </w:r>
      <w:r>
        <w:rPr>
          <w:color w:val="000000" w:themeColor="text1"/>
        </w:rPr>
        <w:t xml:space="preserve">mes de 2018 </w:t>
      </w:r>
      <w:r w:rsidR="000E730C">
        <w:rPr>
          <w:color w:val="000000" w:themeColor="text1"/>
        </w:rPr>
        <w:t>se incrementó</w:t>
      </w:r>
      <w:r>
        <w:rPr>
          <w:color w:val="000000" w:themeColor="text1"/>
        </w:rPr>
        <w:t xml:space="preserve"> 0.85 por ciento.</w:t>
      </w:r>
    </w:p>
    <w:p w14:paraId="4B3DBB07" w14:textId="77777777" w:rsidR="003F3CDE" w:rsidRPr="000E730C" w:rsidRDefault="000E730C" w:rsidP="000E730C">
      <w:pPr>
        <w:pStyle w:val="n01"/>
        <w:keepNext/>
        <w:spacing w:before="360"/>
        <w:ind w:left="708" w:hanging="708"/>
        <w:jc w:val="center"/>
        <w:rPr>
          <w:rFonts w:ascii="Arial" w:hAnsi="Arial"/>
          <w:b/>
          <w:bCs/>
          <w:smallCaps/>
          <w:color w:val="000000" w:themeColor="text1"/>
          <w:sz w:val="22"/>
          <w:szCs w:val="22"/>
        </w:rPr>
      </w:pPr>
      <w:r w:rsidRPr="000E730C">
        <w:rPr>
          <w:rFonts w:ascii="Arial" w:hAnsi="Arial"/>
          <w:b/>
          <w:bCs/>
          <w:smallCaps/>
          <w:color w:val="000000" w:themeColor="text1"/>
          <w:sz w:val="22"/>
          <w:szCs w:val="22"/>
        </w:rPr>
        <w:t xml:space="preserve">Índice Nacional </w:t>
      </w:r>
      <w:r>
        <w:rPr>
          <w:rFonts w:ascii="Arial" w:hAnsi="Arial"/>
          <w:b/>
          <w:bCs/>
          <w:smallCaps/>
          <w:color w:val="000000" w:themeColor="text1"/>
          <w:sz w:val="22"/>
          <w:szCs w:val="22"/>
        </w:rPr>
        <w:t>d</w:t>
      </w:r>
      <w:r w:rsidRPr="000E730C">
        <w:rPr>
          <w:rFonts w:ascii="Arial" w:hAnsi="Arial"/>
          <w:b/>
          <w:bCs/>
          <w:smallCaps/>
          <w:color w:val="000000" w:themeColor="text1"/>
          <w:sz w:val="22"/>
          <w:szCs w:val="22"/>
        </w:rPr>
        <w:t xml:space="preserve">e Precios </w:t>
      </w:r>
      <w:r>
        <w:rPr>
          <w:rFonts w:ascii="Arial" w:hAnsi="Arial"/>
          <w:b/>
          <w:bCs/>
          <w:smallCaps/>
          <w:color w:val="000000" w:themeColor="text1"/>
          <w:sz w:val="22"/>
          <w:szCs w:val="22"/>
        </w:rPr>
        <w:t>a</w:t>
      </w:r>
      <w:r w:rsidRPr="000E730C">
        <w:rPr>
          <w:rFonts w:ascii="Arial" w:hAnsi="Arial"/>
          <w:b/>
          <w:bCs/>
          <w:smallCaps/>
          <w:color w:val="000000" w:themeColor="text1"/>
          <w:sz w:val="22"/>
          <w:szCs w:val="22"/>
        </w:rPr>
        <w:t>l Consumidor</w:t>
      </w:r>
    </w:p>
    <w:p w14:paraId="1A3CCBDE" w14:textId="77777777" w:rsidR="003F3CDE" w:rsidRPr="000E730C" w:rsidRDefault="003F3CDE" w:rsidP="003F3CDE">
      <w:pPr>
        <w:widowControl w:val="0"/>
        <w:autoSpaceDE w:val="0"/>
        <w:autoSpaceDN w:val="0"/>
        <w:adjustRightInd w:val="0"/>
        <w:spacing w:before="3" w:line="225" w:lineRule="exact"/>
        <w:ind w:right="-20"/>
        <w:jc w:val="center"/>
        <w:rPr>
          <w:sz w:val="18"/>
          <w:szCs w:val="22"/>
        </w:rPr>
      </w:pPr>
      <w:r w:rsidRPr="000E730C">
        <w:rPr>
          <w:sz w:val="18"/>
          <w:szCs w:val="22"/>
        </w:rPr>
        <w:t>Variación porcentual</w:t>
      </w:r>
      <w:r w:rsidR="000E730C">
        <w:rPr>
          <w:sz w:val="18"/>
          <w:szCs w:val="22"/>
        </w:rPr>
        <w:t xml:space="preserve"> mensual</w:t>
      </w:r>
      <w:r w:rsidRPr="000E730C">
        <w:rPr>
          <w:sz w:val="18"/>
          <w:szCs w:val="22"/>
        </w:rPr>
        <w:t xml:space="preserve"> en noviembre de los años que se indican</w:t>
      </w:r>
    </w:p>
    <w:p w14:paraId="2965D2B3" w14:textId="77777777" w:rsidR="003F3CDE" w:rsidRPr="00654642" w:rsidRDefault="000E730C" w:rsidP="000E730C">
      <w:pPr>
        <w:pStyle w:val="n01"/>
        <w:keepLines w:val="0"/>
        <w:spacing w:before="0"/>
        <w:ind w:left="0" w:firstLine="0"/>
        <w:jc w:val="center"/>
        <w:rPr>
          <w:rFonts w:ascii="Arial" w:hAnsi="Arial"/>
          <w:color w:val="auto"/>
          <w:sz w:val="22"/>
          <w:szCs w:val="22"/>
        </w:rPr>
      </w:pPr>
      <w:r>
        <w:rPr>
          <w:noProof/>
        </w:rPr>
        <w:drawing>
          <wp:inline distT="0" distB="0" distL="0" distR="0" wp14:anchorId="446C8691" wp14:editId="1273327C">
            <wp:extent cx="5040000" cy="2880000"/>
            <wp:effectExtent l="0" t="0" r="27305" b="3492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50E8B5" w14:textId="77777777" w:rsidR="003F3CDE" w:rsidRPr="00D25428" w:rsidRDefault="003F3CDE" w:rsidP="0049613A">
      <w:pPr>
        <w:autoSpaceDE w:val="0"/>
        <w:autoSpaceDN w:val="0"/>
        <w:adjustRightInd w:val="0"/>
        <w:spacing w:before="600"/>
        <w:rPr>
          <w:color w:val="000000" w:themeColor="text1"/>
        </w:rPr>
      </w:pPr>
      <w:r w:rsidRPr="00D25428">
        <w:rPr>
          <w:color w:val="000000" w:themeColor="text1"/>
        </w:rPr>
        <w:t xml:space="preserve">En el siguiente cuadro se </w:t>
      </w:r>
      <w:r>
        <w:rPr>
          <w:color w:val="000000" w:themeColor="text1"/>
        </w:rPr>
        <w:t>muestran</w:t>
      </w:r>
      <w:r w:rsidRPr="00D25428">
        <w:rPr>
          <w:color w:val="000000" w:themeColor="text1"/>
        </w:rPr>
        <w:t xml:space="preserve"> las variaciones e incidencias</w:t>
      </w:r>
      <w:r w:rsidR="000E730C">
        <w:rPr>
          <w:color w:val="000000" w:themeColor="text1"/>
        </w:rPr>
        <w:t>,</w:t>
      </w:r>
      <w:r w:rsidRPr="00D25428">
        <w:rPr>
          <w:color w:val="000000" w:themeColor="text1"/>
        </w:rPr>
        <w:t xml:space="preserve"> durante el </w:t>
      </w:r>
      <w:r w:rsidR="000E730C">
        <w:rPr>
          <w:color w:val="000000" w:themeColor="text1"/>
        </w:rPr>
        <w:t xml:space="preserve">penúltimo mes </w:t>
      </w:r>
      <w:r w:rsidRPr="00D25428">
        <w:rPr>
          <w:color w:val="000000" w:themeColor="text1"/>
        </w:rPr>
        <w:t>de 201</w:t>
      </w:r>
      <w:r>
        <w:rPr>
          <w:color w:val="000000" w:themeColor="text1"/>
        </w:rPr>
        <w:t>9,</w:t>
      </w:r>
      <w:r w:rsidRPr="00D25428">
        <w:rPr>
          <w:color w:val="000000" w:themeColor="text1"/>
        </w:rPr>
        <w:t xml:space="preserve"> </w:t>
      </w:r>
      <w:r>
        <w:rPr>
          <w:color w:val="000000" w:themeColor="text1"/>
        </w:rPr>
        <w:t xml:space="preserve">en el INPC </w:t>
      </w:r>
      <w:r w:rsidRPr="00D25428">
        <w:rPr>
          <w:color w:val="000000" w:themeColor="text1"/>
        </w:rPr>
        <w:t xml:space="preserve">así como </w:t>
      </w:r>
      <w:r>
        <w:rPr>
          <w:color w:val="000000" w:themeColor="text1"/>
        </w:rPr>
        <w:t xml:space="preserve">en </w:t>
      </w:r>
      <w:r w:rsidRPr="00D25428">
        <w:rPr>
          <w:color w:val="000000" w:themeColor="text1"/>
        </w:rPr>
        <w:t xml:space="preserve">los subíndices que </w:t>
      </w:r>
      <w:r>
        <w:rPr>
          <w:color w:val="000000" w:themeColor="text1"/>
        </w:rPr>
        <w:t xml:space="preserve">lo </w:t>
      </w:r>
      <w:r w:rsidRPr="00D25428">
        <w:rPr>
          <w:color w:val="000000" w:themeColor="text1"/>
        </w:rPr>
        <w:t>integran</w:t>
      </w:r>
      <w:r w:rsidR="000E730C">
        <w:rPr>
          <w:color w:val="000000" w:themeColor="text1"/>
        </w:rPr>
        <w:t>.</w:t>
      </w:r>
    </w:p>
    <w:p w14:paraId="34FC2CC4" w14:textId="77777777" w:rsidR="003F3CDE" w:rsidRPr="000E730C" w:rsidRDefault="000E730C" w:rsidP="000E730C">
      <w:pPr>
        <w:keepNext/>
        <w:keepLines/>
        <w:spacing w:before="240"/>
        <w:jc w:val="center"/>
        <w:rPr>
          <w:b/>
          <w:bCs/>
          <w:smallCaps/>
          <w:color w:val="000000" w:themeColor="text1"/>
          <w:sz w:val="22"/>
          <w:szCs w:val="22"/>
        </w:rPr>
      </w:pPr>
      <w:r w:rsidRPr="000E730C">
        <w:rPr>
          <w:b/>
          <w:bCs/>
          <w:smallCaps/>
          <w:color w:val="000000" w:themeColor="text1"/>
          <w:sz w:val="22"/>
          <w:szCs w:val="22"/>
        </w:rPr>
        <w:lastRenderedPageBreak/>
        <w:t>INPC, Subyacente y No Subyacente</w:t>
      </w:r>
    </w:p>
    <w:p w14:paraId="494E19D8" w14:textId="77777777" w:rsidR="003F3CDE" w:rsidRPr="000E730C" w:rsidRDefault="003F3CDE" w:rsidP="000E730C">
      <w:pPr>
        <w:keepNext/>
        <w:keepLines/>
        <w:widowControl w:val="0"/>
        <w:autoSpaceDE w:val="0"/>
        <w:autoSpaceDN w:val="0"/>
        <w:adjustRightInd w:val="0"/>
        <w:jc w:val="center"/>
        <w:rPr>
          <w:sz w:val="18"/>
          <w:szCs w:val="18"/>
        </w:rPr>
      </w:pPr>
      <w:r w:rsidRPr="000E730C">
        <w:rPr>
          <w:sz w:val="18"/>
          <w:szCs w:val="18"/>
        </w:rPr>
        <w:t xml:space="preserve">Variación porcentual e incidencia durante noviembre </w:t>
      </w:r>
      <w:r w:rsidR="000E730C">
        <w:rPr>
          <w:sz w:val="18"/>
          <w:szCs w:val="18"/>
        </w:rPr>
        <w:t xml:space="preserve">de </w:t>
      </w:r>
      <w:r w:rsidRPr="000E730C">
        <w:rPr>
          <w:sz w:val="18"/>
          <w:szCs w:val="18"/>
        </w:rPr>
        <w:t>los años que se indican</w:t>
      </w:r>
    </w:p>
    <w:p w14:paraId="5442479D" w14:textId="77777777" w:rsidR="003F3CDE" w:rsidRPr="000D49D2" w:rsidRDefault="003F3CDE" w:rsidP="003F3CDE">
      <w:pPr>
        <w:widowControl w:val="0"/>
        <w:autoSpaceDE w:val="0"/>
        <w:autoSpaceDN w:val="0"/>
        <w:adjustRightInd w:val="0"/>
        <w:ind w:right="-23"/>
        <w:jc w:val="center"/>
        <w:rPr>
          <w:b/>
          <w:sz w:val="22"/>
          <w:szCs w:val="22"/>
        </w:rPr>
      </w:pPr>
      <w:r w:rsidRPr="003F3CDE">
        <w:rPr>
          <w:noProof/>
        </w:rPr>
        <w:drawing>
          <wp:inline distT="0" distB="0" distL="0" distR="0" wp14:anchorId="68646F4C" wp14:editId="700EB5E9">
            <wp:extent cx="5972810" cy="2565400"/>
            <wp:effectExtent l="0" t="0" r="889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65400"/>
                    </a:xfrm>
                    <a:prstGeom prst="rect">
                      <a:avLst/>
                    </a:prstGeom>
                    <a:noFill/>
                    <a:ln>
                      <a:noFill/>
                    </a:ln>
                  </pic:spPr>
                </pic:pic>
              </a:graphicData>
            </a:graphic>
          </wp:inline>
        </w:drawing>
      </w:r>
    </w:p>
    <w:p w14:paraId="0DC22B34" w14:textId="77777777" w:rsidR="003F3CDE" w:rsidRPr="003B2C91" w:rsidRDefault="003F3CDE" w:rsidP="003F3CDE">
      <w:pPr>
        <w:autoSpaceDE w:val="0"/>
        <w:autoSpaceDN w:val="0"/>
        <w:adjustRightInd w:val="0"/>
        <w:ind w:left="283" w:right="113" w:hanging="170"/>
        <w:rPr>
          <w:color w:val="006600"/>
          <w:sz w:val="16"/>
          <w:szCs w:val="16"/>
        </w:rPr>
      </w:pPr>
      <w:r w:rsidRPr="003B2C91">
        <w:rPr>
          <w:color w:val="006600"/>
          <w:sz w:val="18"/>
          <w:szCs w:val="16"/>
          <w:vertAlign w:val="superscript"/>
        </w:rPr>
        <w:t>1/</w:t>
      </w:r>
      <w:r>
        <w:rPr>
          <w:color w:val="006600"/>
          <w:sz w:val="16"/>
          <w:szCs w:val="16"/>
        </w:rPr>
        <w:tab/>
      </w:r>
      <w:r w:rsidRPr="003B2C91">
        <w:rPr>
          <w:color w:val="006600"/>
          <w:sz w:val="16"/>
          <w:szCs w:val="16"/>
        </w:rPr>
        <w:t xml:space="preserve">La incidencia se refiere a la contribución en puntos porcentuales de cada componente del INPC </w:t>
      </w:r>
      <w:r>
        <w:rPr>
          <w:color w:val="006600"/>
          <w:sz w:val="16"/>
          <w:szCs w:val="16"/>
        </w:rPr>
        <w:t>a</w:t>
      </w:r>
      <w:r w:rsidRPr="003B2C91">
        <w:rPr>
          <w:color w:val="006600"/>
          <w:sz w:val="16"/>
          <w:szCs w:val="16"/>
        </w:rPr>
        <w:t xml:space="preserve"> la inflación general. Ésta se</w:t>
      </w:r>
      <w:r>
        <w:rPr>
          <w:color w:val="006600"/>
          <w:sz w:val="16"/>
          <w:szCs w:val="16"/>
        </w:rPr>
        <w:t xml:space="preserve"> </w:t>
      </w:r>
      <w:r w:rsidRPr="003B2C91">
        <w:rPr>
          <w:color w:val="006600"/>
          <w:sz w:val="16"/>
          <w:szCs w:val="16"/>
        </w:rPr>
        <w:t>calcula utilizando los ponderadores de cada subíndice, así como los precios relativos y sus respectivas variaciones. En ciertos casos, la suma de los componentes de algún grupo de subíndices puede tener alguna discrepancia por efectos de redondeo.</w:t>
      </w:r>
    </w:p>
    <w:p w14:paraId="6D002335" w14:textId="77777777" w:rsidR="003F3CDE" w:rsidRPr="003B2C91" w:rsidRDefault="003F3CDE" w:rsidP="003F3CDE">
      <w:pPr>
        <w:autoSpaceDE w:val="0"/>
        <w:autoSpaceDN w:val="0"/>
        <w:adjustRightInd w:val="0"/>
        <w:ind w:left="283" w:right="113" w:hanging="170"/>
        <w:rPr>
          <w:color w:val="006600"/>
          <w:sz w:val="16"/>
          <w:szCs w:val="16"/>
        </w:rPr>
      </w:pPr>
      <w:r w:rsidRPr="003B2C91">
        <w:rPr>
          <w:color w:val="006600"/>
          <w:sz w:val="18"/>
          <w:szCs w:val="16"/>
          <w:vertAlign w:val="superscript"/>
        </w:rPr>
        <w:t>2/</w:t>
      </w:r>
      <w:r>
        <w:rPr>
          <w:color w:val="006600"/>
          <w:sz w:val="16"/>
          <w:szCs w:val="16"/>
        </w:rPr>
        <w:tab/>
      </w:r>
      <w:r w:rsidRPr="003B2C91">
        <w:rPr>
          <w:color w:val="006600"/>
          <w:sz w:val="16"/>
          <w:szCs w:val="16"/>
        </w:rPr>
        <w:t>Incluye alimentos procesados, bebidas y tabaco, no incluye productos agropecuarios.</w:t>
      </w:r>
    </w:p>
    <w:p w14:paraId="3953A6BC" w14:textId="77777777" w:rsidR="003F3CDE" w:rsidRPr="003B2C91" w:rsidRDefault="003F3CDE" w:rsidP="003F3CDE">
      <w:pPr>
        <w:autoSpaceDE w:val="0"/>
        <w:autoSpaceDN w:val="0"/>
        <w:adjustRightInd w:val="0"/>
        <w:ind w:left="283" w:right="113" w:hanging="170"/>
        <w:rPr>
          <w:color w:val="006600"/>
          <w:sz w:val="16"/>
          <w:szCs w:val="16"/>
        </w:rPr>
      </w:pPr>
      <w:r w:rsidRPr="003B2C91">
        <w:rPr>
          <w:color w:val="006600"/>
          <w:sz w:val="18"/>
          <w:szCs w:val="16"/>
          <w:vertAlign w:val="superscript"/>
        </w:rPr>
        <w:t>3/</w:t>
      </w:r>
      <w:r>
        <w:rPr>
          <w:color w:val="006600"/>
          <w:sz w:val="16"/>
          <w:szCs w:val="16"/>
        </w:rPr>
        <w:tab/>
      </w:r>
      <w:r w:rsidRPr="003B2C91">
        <w:rPr>
          <w:color w:val="006600"/>
          <w:sz w:val="16"/>
          <w:szCs w:val="16"/>
        </w:rPr>
        <w:t>Incluye vivienda propia, renta de vivienda, servicio doméstico y otros servicios para el hogar.</w:t>
      </w:r>
    </w:p>
    <w:p w14:paraId="59304526" w14:textId="77777777" w:rsidR="003F3CDE" w:rsidRPr="003B2C91" w:rsidRDefault="003F3CDE" w:rsidP="003F3CDE">
      <w:pPr>
        <w:autoSpaceDE w:val="0"/>
        <w:autoSpaceDN w:val="0"/>
        <w:adjustRightInd w:val="0"/>
        <w:ind w:left="283" w:right="11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3B2C91">
        <w:rPr>
          <w:color w:val="006600"/>
          <w:sz w:val="16"/>
          <w:szCs w:val="16"/>
        </w:rPr>
        <w:t>Incluye loncherías, fondas y taquerías, restaurantes y similares, servicio de telefonía móvil, mantenimiento de automóvil, consulta médica, servicios turísticos en paquete, entre otros.</w:t>
      </w:r>
    </w:p>
    <w:p w14:paraId="2BD9AE41" w14:textId="77777777" w:rsidR="003F3CDE" w:rsidRPr="007F75D1" w:rsidRDefault="003F3CDE" w:rsidP="000E730C">
      <w:pPr>
        <w:pStyle w:val="n01"/>
        <w:keepLines w:val="0"/>
        <w:spacing w:before="720"/>
        <w:ind w:left="0" w:firstLine="0"/>
        <w:rPr>
          <w:rFonts w:ascii="Arial" w:hAnsi="Arial"/>
          <w:b/>
          <w:i/>
          <w:color w:val="auto"/>
        </w:rPr>
      </w:pPr>
      <w:r w:rsidRPr="007F75D1">
        <w:rPr>
          <w:rFonts w:ascii="Arial" w:hAnsi="Arial"/>
          <w:b/>
          <w:i/>
          <w:color w:val="auto"/>
        </w:rPr>
        <w:t>Índices Subyacente y No Subyacente</w:t>
      </w:r>
    </w:p>
    <w:p w14:paraId="58FEB938" w14:textId="77777777" w:rsidR="003F3CDE" w:rsidRPr="00AF5DD6" w:rsidRDefault="003F3CDE" w:rsidP="000E730C">
      <w:pPr>
        <w:autoSpaceDE w:val="0"/>
        <w:autoSpaceDN w:val="0"/>
        <w:adjustRightInd w:val="0"/>
        <w:spacing w:before="240"/>
        <w:rPr>
          <w:szCs w:val="22"/>
        </w:rPr>
      </w:pPr>
      <w:r w:rsidRPr="00AF5DD6">
        <w:rPr>
          <w:szCs w:val="22"/>
        </w:rPr>
        <w:t xml:space="preserve">La variación mensual de los índices subyacente y no subyacente </w:t>
      </w:r>
      <w:r>
        <w:rPr>
          <w:szCs w:val="22"/>
        </w:rPr>
        <w:t xml:space="preserve">en noviembre de </w:t>
      </w:r>
      <w:r w:rsidR="00081034">
        <w:rPr>
          <w:szCs w:val="22"/>
        </w:rPr>
        <w:t>este año</w:t>
      </w:r>
      <w:r>
        <w:rPr>
          <w:szCs w:val="22"/>
        </w:rPr>
        <w:t xml:space="preserve"> </w:t>
      </w:r>
      <w:r w:rsidRPr="00AF5DD6">
        <w:rPr>
          <w:szCs w:val="22"/>
        </w:rPr>
        <w:t>fue de 0.</w:t>
      </w:r>
      <w:r>
        <w:rPr>
          <w:szCs w:val="22"/>
        </w:rPr>
        <w:t xml:space="preserve">22 y </w:t>
      </w:r>
      <w:r w:rsidR="00081034">
        <w:rPr>
          <w:szCs w:val="22"/>
        </w:rPr>
        <w:t xml:space="preserve">de </w:t>
      </w:r>
      <w:r>
        <w:rPr>
          <w:szCs w:val="22"/>
        </w:rPr>
        <w:t>2.62</w:t>
      </w:r>
      <w:r w:rsidRPr="00AF5DD6">
        <w:rPr>
          <w:szCs w:val="22"/>
        </w:rPr>
        <w:t xml:space="preserve"> por ciento</w:t>
      </w:r>
      <w:r w:rsidR="00081034">
        <w:rPr>
          <w:szCs w:val="22"/>
        </w:rPr>
        <w:t>, en ese orden. Los</w:t>
      </w:r>
      <w:r w:rsidRPr="00AF5DD6">
        <w:rPr>
          <w:szCs w:val="22"/>
        </w:rPr>
        <w:t xml:space="preserve"> </w:t>
      </w:r>
      <w:r>
        <w:rPr>
          <w:szCs w:val="22"/>
        </w:rPr>
        <w:t>d</w:t>
      </w:r>
      <w:r w:rsidRPr="00AF5DD6">
        <w:rPr>
          <w:szCs w:val="22"/>
        </w:rPr>
        <w:t>atos compara</w:t>
      </w:r>
      <w:r w:rsidR="00081034">
        <w:rPr>
          <w:szCs w:val="22"/>
        </w:rPr>
        <w:t>bles</w:t>
      </w:r>
      <w:r w:rsidRPr="00AF5DD6">
        <w:rPr>
          <w:szCs w:val="22"/>
        </w:rPr>
        <w:t xml:space="preserve"> </w:t>
      </w:r>
      <w:r w:rsidR="00081034">
        <w:rPr>
          <w:szCs w:val="22"/>
        </w:rPr>
        <w:t xml:space="preserve">para </w:t>
      </w:r>
      <w:r w:rsidRPr="00AF5DD6">
        <w:rPr>
          <w:szCs w:val="22"/>
        </w:rPr>
        <w:t>el mismo periodo de 201</w:t>
      </w:r>
      <w:r>
        <w:rPr>
          <w:szCs w:val="22"/>
        </w:rPr>
        <w:t>8</w:t>
      </w:r>
      <w:r w:rsidR="00081034">
        <w:rPr>
          <w:szCs w:val="22"/>
        </w:rPr>
        <w:t xml:space="preserve"> </w:t>
      </w:r>
      <w:r>
        <w:rPr>
          <w:szCs w:val="22"/>
        </w:rPr>
        <w:t>fuer</w:t>
      </w:r>
      <w:r w:rsidRPr="00AF5DD6">
        <w:rPr>
          <w:szCs w:val="22"/>
        </w:rPr>
        <w:t xml:space="preserve">on </w:t>
      </w:r>
      <w:r>
        <w:rPr>
          <w:szCs w:val="22"/>
        </w:rPr>
        <w:t xml:space="preserve">de </w:t>
      </w:r>
      <w:r w:rsidRPr="00AF5DD6">
        <w:rPr>
          <w:szCs w:val="22"/>
        </w:rPr>
        <w:t>0.</w:t>
      </w:r>
      <w:r>
        <w:rPr>
          <w:szCs w:val="22"/>
        </w:rPr>
        <w:t>25</w:t>
      </w:r>
      <w:r w:rsidRPr="00AF5DD6">
        <w:rPr>
          <w:szCs w:val="22"/>
        </w:rPr>
        <w:t xml:space="preserve"> y </w:t>
      </w:r>
      <w:r w:rsidR="00081034">
        <w:rPr>
          <w:szCs w:val="22"/>
        </w:rPr>
        <w:t xml:space="preserve">de </w:t>
      </w:r>
      <w:r>
        <w:rPr>
          <w:szCs w:val="22"/>
        </w:rPr>
        <w:t xml:space="preserve">2.66 por ciento. </w:t>
      </w:r>
    </w:p>
    <w:p w14:paraId="3F148FBB" w14:textId="77777777" w:rsidR="003F3CDE" w:rsidRPr="000E730C" w:rsidRDefault="000E730C" w:rsidP="000E730C">
      <w:pPr>
        <w:keepNext/>
        <w:keepLines/>
        <w:spacing w:before="240"/>
        <w:jc w:val="center"/>
        <w:rPr>
          <w:b/>
          <w:bCs/>
          <w:smallCaps/>
          <w:color w:val="000000" w:themeColor="text1"/>
          <w:sz w:val="22"/>
          <w:szCs w:val="22"/>
        </w:rPr>
      </w:pPr>
      <w:r w:rsidRPr="000E730C">
        <w:rPr>
          <w:b/>
          <w:bCs/>
          <w:smallCaps/>
          <w:color w:val="000000" w:themeColor="text1"/>
          <w:sz w:val="22"/>
          <w:szCs w:val="22"/>
        </w:rPr>
        <w:lastRenderedPageBreak/>
        <w:t>Índice</w:t>
      </w:r>
      <w:r>
        <w:rPr>
          <w:b/>
          <w:bCs/>
          <w:smallCaps/>
          <w:color w:val="000000" w:themeColor="text1"/>
          <w:sz w:val="22"/>
          <w:szCs w:val="22"/>
        </w:rPr>
        <w:t>s</w:t>
      </w:r>
      <w:r w:rsidRPr="000E730C">
        <w:rPr>
          <w:b/>
          <w:bCs/>
          <w:smallCaps/>
          <w:color w:val="000000" w:themeColor="text1"/>
          <w:sz w:val="22"/>
          <w:szCs w:val="22"/>
        </w:rPr>
        <w:t xml:space="preserve"> </w:t>
      </w:r>
      <w:r>
        <w:rPr>
          <w:b/>
          <w:bCs/>
          <w:smallCaps/>
          <w:color w:val="000000" w:themeColor="text1"/>
          <w:sz w:val="22"/>
          <w:szCs w:val="22"/>
        </w:rPr>
        <w:t>d</w:t>
      </w:r>
      <w:r w:rsidRPr="000E730C">
        <w:rPr>
          <w:b/>
          <w:bCs/>
          <w:smallCaps/>
          <w:color w:val="000000" w:themeColor="text1"/>
          <w:sz w:val="22"/>
          <w:szCs w:val="22"/>
        </w:rPr>
        <w:t xml:space="preserve">e Precios Subyacente </w:t>
      </w:r>
      <w:r>
        <w:rPr>
          <w:b/>
          <w:bCs/>
          <w:smallCaps/>
          <w:color w:val="000000" w:themeColor="text1"/>
          <w:sz w:val="22"/>
          <w:szCs w:val="22"/>
        </w:rPr>
        <w:t>y</w:t>
      </w:r>
      <w:r w:rsidRPr="000E730C">
        <w:rPr>
          <w:b/>
          <w:bCs/>
          <w:smallCaps/>
          <w:color w:val="000000" w:themeColor="text1"/>
          <w:sz w:val="22"/>
          <w:szCs w:val="22"/>
        </w:rPr>
        <w:t xml:space="preserve"> No Subyacente</w:t>
      </w:r>
    </w:p>
    <w:p w14:paraId="12DAD27A" w14:textId="77777777" w:rsidR="003F3CDE" w:rsidRPr="00115A59" w:rsidRDefault="003F3CDE" w:rsidP="00115A59">
      <w:pPr>
        <w:keepNext/>
        <w:keepLines/>
        <w:widowControl w:val="0"/>
        <w:autoSpaceDE w:val="0"/>
        <w:autoSpaceDN w:val="0"/>
        <w:adjustRightInd w:val="0"/>
        <w:jc w:val="center"/>
        <w:rPr>
          <w:sz w:val="18"/>
        </w:rPr>
      </w:pPr>
      <w:r w:rsidRPr="00115A59">
        <w:rPr>
          <w:sz w:val="18"/>
        </w:rPr>
        <w:t xml:space="preserve">Variación porcentual </w:t>
      </w:r>
      <w:r w:rsidR="00115A59">
        <w:rPr>
          <w:sz w:val="18"/>
        </w:rPr>
        <w:t xml:space="preserve">mensual </w:t>
      </w:r>
      <w:r w:rsidRPr="00115A59">
        <w:rPr>
          <w:sz w:val="18"/>
        </w:rPr>
        <w:t>en noviembre de los años que se indican</w:t>
      </w:r>
    </w:p>
    <w:p w14:paraId="6FC9481E" w14:textId="77777777" w:rsidR="003F3CDE" w:rsidRDefault="00115A59" w:rsidP="003F3CDE">
      <w:pPr>
        <w:pStyle w:val="n01"/>
        <w:keepLines w:val="0"/>
        <w:spacing w:before="0"/>
        <w:ind w:left="0" w:firstLine="0"/>
        <w:jc w:val="center"/>
        <w:rPr>
          <w:rFonts w:ascii="Arial" w:hAnsi="Arial"/>
          <w:color w:val="auto"/>
          <w:sz w:val="22"/>
          <w:szCs w:val="22"/>
        </w:rPr>
      </w:pPr>
      <w:r>
        <w:rPr>
          <w:noProof/>
        </w:rPr>
        <w:drawing>
          <wp:inline distT="0" distB="0" distL="0" distR="0" wp14:anchorId="7F659CC8" wp14:editId="783CAFA5">
            <wp:extent cx="5040000" cy="2880000"/>
            <wp:effectExtent l="0" t="0" r="27305" b="34925"/>
            <wp:docPr id="20" name="Gráfico 20">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7E090C6" w14:textId="13D3FE46" w:rsidR="003F3CDE" w:rsidRPr="00D25428" w:rsidRDefault="00081034" w:rsidP="00115A59">
      <w:pPr>
        <w:autoSpaceDE w:val="0"/>
        <w:autoSpaceDN w:val="0"/>
        <w:adjustRightInd w:val="0"/>
        <w:spacing w:before="360"/>
        <w:rPr>
          <w:color w:val="000000" w:themeColor="text1"/>
        </w:rPr>
      </w:pPr>
      <w:r>
        <w:rPr>
          <w:color w:val="000000" w:themeColor="text1"/>
        </w:rPr>
        <w:t xml:space="preserve">El comportamiento </w:t>
      </w:r>
      <w:r w:rsidR="003F3CDE" w:rsidRPr="00D25428">
        <w:rPr>
          <w:color w:val="000000" w:themeColor="text1"/>
        </w:rPr>
        <w:t xml:space="preserve">anual del INPC </w:t>
      </w:r>
      <w:r w:rsidR="003F3CDE">
        <w:rPr>
          <w:color w:val="000000" w:themeColor="text1"/>
        </w:rPr>
        <w:t>en noviembre de 2019 fue de</w:t>
      </w:r>
      <w:r w:rsidR="003F3CDE" w:rsidRPr="00D25428">
        <w:rPr>
          <w:color w:val="000000" w:themeColor="text1"/>
        </w:rPr>
        <w:t xml:space="preserve"> </w:t>
      </w:r>
      <w:r>
        <w:rPr>
          <w:color w:val="000000" w:themeColor="text1"/>
        </w:rPr>
        <w:t xml:space="preserve">un alza de </w:t>
      </w:r>
      <w:r w:rsidR="003F3CDE">
        <w:rPr>
          <w:color w:val="000000" w:themeColor="text1"/>
        </w:rPr>
        <w:t>2.97</w:t>
      </w:r>
      <w:r w:rsidR="003F3CDE" w:rsidRPr="00D25428">
        <w:rPr>
          <w:color w:val="000000" w:themeColor="text1"/>
        </w:rPr>
        <w:t xml:space="preserve"> por ciento</w:t>
      </w:r>
      <w:r w:rsidR="00FC64BB">
        <w:rPr>
          <w:color w:val="000000" w:themeColor="text1"/>
        </w:rPr>
        <w:t>;</w:t>
      </w:r>
      <w:r w:rsidR="003F3CDE" w:rsidRPr="00D25428">
        <w:rPr>
          <w:color w:val="000000" w:themeColor="text1"/>
        </w:rPr>
        <w:t xml:space="preserve"> </w:t>
      </w:r>
      <w:r w:rsidR="003F3CDE">
        <w:rPr>
          <w:color w:val="000000" w:themeColor="text1"/>
        </w:rPr>
        <w:t>en el mismo mes del a</w:t>
      </w:r>
      <w:r w:rsidR="003F3CDE" w:rsidRPr="00D25428">
        <w:rPr>
          <w:color w:val="000000" w:themeColor="text1"/>
        </w:rPr>
        <w:t xml:space="preserve">ño anterior fue de </w:t>
      </w:r>
      <w:r w:rsidR="003F3CDE">
        <w:rPr>
          <w:color w:val="000000" w:themeColor="text1"/>
        </w:rPr>
        <w:t>4.72</w:t>
      </w:r>
      <w:r w:rsidR="003F3CDE" w:rsidRPr="00D25428">
        <w:rPr>
          <w:color w:val="000000" w:themeColor="text1"/>
        </w:rPr>
        <w:t xml:space="preserve"> por ciento</w:t>
      </w:r>
      <w:r w:rsidR="003F3CDE">
        <w:rPr>
          <w:color w:val="000000" w:themeColor="text1"/>
        </w:rPr>
        <w:t>.</w:t>
      </w:r>
      <w:r w:rsidR="003F3CDE" w:rsidRPr="00D25428">
        <w:rPr>
          <w:color w:val="000000" w:themeColor="text1"/>
        </w:rPr>
        <w:t xml:space="preserve"> </w:t>
      </w:r>
      <w:r>
        <w:rPr>
          <w:color w:val="000000" w:themeColor="text1"/>
        </w:rPr>
        <w:t xml:space="preserve">A </w:t>
      </w:r>
      <w:r w:rsidR="003F3CDE">
        <w:rPr>
          <w:color w:val="000000" w:themeColor="text1"/>
        </w:rPr>
        <w:t>su interior</w:t>
      </w:r>
      <w:r>
        <w:rPr>
          <w:color w:val="000000" w:themeColor="text1"/>
        </w:rPr>
        <w:t>,</w:t>
      </w:r>
      <w:r w:rsidR="003F3CDE" w:rsidRPr="00D25428">
        <w:rPr>
          <w:color w:val="000000" w:themeColor="text1"/>
        </w:rPr>
        <w:t xml:space="preserve"> los índices subyacente y no subyacente </w:t>
      </w:r>
      <w:r>
        <w:rPr>
          <w:color w:val="000000" w:themeColor="text1"/>
        </w:rPr>
        <w:t xml:space="preserve">registraron incrementos anuales </w:t>
      </w:r>
      <w:r w:rsidR="003F3CDE">
        <w:rPr>
          <w:color w:val="000000" w:themeColor="text1"/>
        </w:rPr>
        <w:t>de</w:t>
      </w:r>
      <w:r w:rsidR="003F3CDE" w:rsidRPr="00D25428">
        <w:rPr>
          <w:color w:val="000000" w:themeColor="text1"/>
        </w:rPr>
        <w:t xml:space="preserve"> </w:t>
      </w:r>
      <w:r w:rsidR="003F3CDE">
        <w:rPr>
          <w:color w:val="000000" w:themeColor="text1"/>
        </w:rPr>
        <w:t>3.65</w:t>
      </w:r>
      <w:r w:rsidR="003F3CDE" w:rsidRPr="00D25428">
        <w:rPr>
          <w:color w:val="000000" w:themeColor="text1"/>
        </w:rPr>
        <w:t xml:space="preserve"> y </w:t>
      </w:r>
      <w:r>
        <w:rPr>
          <w:color w:val="000000" w:themeColor="text1"/>
        </w:rPr>
        <w:t xml:space="preserve">de </w:t>
      </w:r>
      <w:r w:rsidR="003F3CDE">
        <w:rPr>
          <w:color w:val="000000" w:themeColor="text1"/>
        </w:rPr>
        <w:t>0.98</w:t>
      </w:r>
      <w:r w:rsidR="003F3CDE" w:rsidRPr="00D25428">
        <w:rPr>
          <w:color w:val="000000" w:themeColor="text1"/>
        </w:rPr>
        <w:t xml:space="preserve"> por ciento</w:t>
      </w:r>
      <w:r>
        <w:rPr>
          <w:color w:val="000000" w:themeColor="text1"/>
        </w:rPr>
        <w:t>,</w:t>
      </w:r>
      <w:r w:rsidR="003F3CDE" w:rsidRPr="00D25428">
        <w:rPr>
          <w:color w:val="000000" w:themeColor="text1"/>
        </w:rPr>
        <w:t xml:space="preserve"> respectivamente</w:t>
      </w:r>
      <w:r>
        <w:rPr>
          <w:color w:val="000000" w:themeColor="text1"/>
        </w:rPr>
        <w:t>;</w:t>
      </w:r>
      <w:r w:rsidR="003F3CDE" w:rsidRPr="00D25428">
        <w:rPr>
          <w:color w:val="000000" w:themeColor="text1"/>
        </w:rPr>
        <w:t xml:space="preserve"> </w:t>
      </w:r>
      <w:r w:rsidR="003F3CDE">
        <w:rPr>
          <w:color w:val="000000" w:themeColor="text1"/>
        </w:rPr>
        <w:t>e</w:t>
      </w:r>
      <w:r w:rsidR="003F3CDE" w:rsidRPr="00D25428">
        <w:rPr>
          <w:color w:val="000000" w:themeColor="text1"/>
        </w:rPr>
        <w:t xml:space="preserve">n </w:t>
      </w:r>
      <w:r>
        <w:rPr>
          <w:color w:val="000000" w:themeColor="text1"/>
        </w:rPr>
        <w:t xml:space="preserve">igual mes </w:t>
      </w:r>
      <w:r w:rsidR="003F3CDE" w:rsidRPr="00D25428">
        <w:rPr>
          <w:color w:val="000000" w:themeColor="text1"/>
        </w:rPr>
        <w:t>de 201</w:t>
      </w:r>
      <w:r w:rsidR="003F3CDE">
        <w:rPr>
          <w:color w:val="000000" w:themeColor="text1"/>
        </w:rPr>
        <w:t>8</w:t>
      </w:r>
      <w:r w:rsidR="003F3CDE" w:rsidRPr="00D25428">
        <w:rPr>
          <w:color w:val="000000" w:themeColor="text1"/>
        </w:rPr>
        <w:t xml:space="preserve"> las cifras correspondientes fueron</w:t>
      </w:r>
      <w:r w:rsidR="003F3CDE">
        <w:rPr>
          <w:color w:val="000000" w:themeColor="text1"/>
        </w:rPr>
        <w:t xml:space="preserve"> de</w:t>
      </w:r>
      <w:r w:rsidR="003F3CDE" w:rsidRPr="00D25428">
        <w:rPr>
          <w:color w:val="000000" w:themeColor="text1"/>
        </w:rPr>
        <w:t xml:space="preserve"> </w:t>
      </w:r>
      <w:r w:rsidR="003F3CDE">
        <w:rPr>
          <w:color w:val="000000" w:themeColor="text1"/>
        </w:rPr>
        <w:t>3.63</w:t>
      </w:r>
      <w:r w:rsidR="003F3CDE" w:rsidRPr="00D25428">
        <w:rPr>
          <w:color w:val="000000" w:themeColor="text1"/>
        </w:rPr>
        <w:t xml:space="preserve"> y</w:t>
      </w:r>
      <w:r w:rsidR="003F3CDE">
        <w:rPr>
          <w:color w:val="000000" w:themeColor="text1"/>
        </w:rPr>
        <w:t xml:space="preserve"> </w:t>
      </w:r>
      <w:r>
        <w:rPr>
          <w:color w:val="000000" w:themeColor="text1"/>
        </w:rPr>
        <w:t xml:space="preserve">de </w:t>
      </w:r>
      <w:r w:rsidR="003F3CDE">
        <w:rPr>
          <w:color w:val="000000" w:themeColor="text1"/>
        </w:rPr>
        <w:t>8.07</w:t>
      </w:r>
      <w:r w:rsidR="003F3CDE" w:rsidRPr="00D25428">
        <w:rPr>
          <w:color w:val="000000" w:themeColor="text1"/>
        </w:rPr>
        <w:t xml:space="preserve"> por ciento.</w:t>
      </w:r>
    </w:p>
    <w:p w14:paraId="1D1EC8BC" w14:textId="77777777" w:rsidR="003F3CDE" w:rsidRPr="00115A59" w:rsidRDefault="00115A59" w:rsidP="00115A59">
      <w:pPr>
        <w:pStyle w:val="n01"/>
        <w:keepNext/>
        <w:ind w:left="0" w:firstLine="0"/>
        <w:jc w:val="center"/>
        <w:rPr>
          <w:rFonts w:ascii="Arial" w:hAnsi="Arial"/>
          <w:b/>
          <w:bCs/>
          <w:smallCaps/>
          <w:color w:val="000000" w:themeColor="text1"/>
          <w:sz w:val="22"/>
          <w:szCs w:val="22"/>
        </w:rPr>
      </w:pPr>
      <w:r w:rsidRPr="00115A59">
        <w:rPr>
          <w:rFonts w:ascii="Arial" w:hAnsi="Arial"/>
          <w:b/>
          <w:bCs/>
          <w:smallCaps/>
          <w:color w:val="000000" w:themeColor="text1"/>
          <w:sz w:val="22"/>
          <w:szCs w:val="22"/>
        </w:rPr>
        <w:t xml:space="preserve">INPC, Subyacente </w:t>
      </w:r>
      <w:r>
        <w:rPr>
          <w:rFonts w:ascii="Arial" w:hAnsi="Arial"/>
          <w:b/>
          <w:bCs/>
          <w:smallCaps/>
          <w:color w:val="000000" w:themeColor="text1"/>
          <w:sz w:val="22"/>
          <w:szCs w:val="22"/>
        </w:rPr>
        <w:t>y</w:t>
      </w:r>
      <w:r w:rsidRPr="00115A59">
        <w:rPr>
          <w:rFonts w:ascii="Arial" w:hAnsi="Arial"/>
          <w:b/>
          <w:bCs/>
          <w:smallCaps/>
          <w:color w:val="000000" w:themeColor="text1"/>
          <w:sz w:val="22"/>
          <w:szCs w:val="22"/>
        </w:rPr>
        <w:t xml:space="preserve"> No Subyacente</w:t>
      </w:r>
    </w:p>
    <w:p w14:paraId="41078EBE" w14:textId="77777777" w:rsidR="00115A59" w:rsidRPr="00303EAC" w:rsidRDefault="00115A59" w:rsidP="00115A59">
      <w:pPr>
        <w:keepNext/>
        <w:keepLines/>
        <w:autoSpaceDE w:val="0"/>
        <w:autoSpaceDN w:val="0"/>
        <w:adjustRightInd w:val="0"/>
        <w:jc w:val="center"/>
        <w:rPr>
          <w:sz w:val="18"/>
        </w:rPr>
      </w:pPr>
      <w:r w:rsidRPr="00303EAC">
        <w:rPr>
          <w:sz w:val="18"/>
        </w:rPr>
        <w:t>Variaci</w:t>
      </w:r>
      <w:r>
        <w:rPr>
          <w:sz w:val="18"/>
        </w:rPr>
        <w:t>ón</w:t>
      </w:r>
      <w:r w:rsidRPr="00303EAC">
        <w:rPr>
          <w:sz w:val="18"/>
        </w:rPr>
        <w:t xml:space="preserve"> porcentual anual</w:t>
      </w:r>
      <w:r>
        <w:rPr>
          <w:sz w:val="18"/>
        </w:rPr>
        <w:t xml:space="preserve"> a noviembre de 2019</w:t>
      </w:r>
    </w:p>
    <w:p w14:paraId="59FBDC93" w14:textId="31EA66E2" w:rsidR="003F3CDE" w:rsidRDefault="00881685" w:rsidP="00BE39E6">
      <w:pPr>
        <w:pStyle w:val="n01"/>
        <w:spacing w:before="0"/>
        <w:ind w:left="0" w:right="-28" w:firstLine="0"/>
        <w:jc w:val="center"/>
        <w:rPr>
          <w:rFonts w:ascii="Arial" w:hAnsi="Arial"/>
          <w:color w:val="auto"/>
          <w:sz w:val="22"/>
          <w:szCs w:val="22"/>
        </w:rPr>
      </w:pPr>
      <w:r>
        <w:rPr>
          <w:noProof/>
        </w:rPr>
        <w:drawing>
          <wp:inline distT="0" distB="0" distL="0" distR="0" wp14:anchorId="0879B9B2" wp14:editId="40D5855E">
            <wp:extent cx="5032673" cy="2876336"/>
            <wp:effectExtent l="0" t="0" r="15875" b="19685"/>
            <wp:docPr id="5" name="Gráfico 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E49CD2B" w14:textId="77777777" w:rsidR="003F3CDE" w:rsidRDefault="003F3CDE" w:rsidP="003F3CDE">
      <w:pPr>
        <w:autoSpaceDE w:val="0"/>
        <w:autoSpaceDN w:val="0"/>
        <w:adjustRightInd w:val="0"/>
        <w:spacing w:before="240"/>
      </w:pPr>
      <w:r w:rsidRPr="0004061B">
        <w:lastRenderedPageBreak/>
        <w:t xml:space="preserve">A continuación se presentan los principales genéricos cuyas variaciones de precios al alza y a la baja destacaron por su incidencia sobre la inflación general. </w:t>
      </w:r>
    </w:p>
    <w:p w14:paraId="6050B553" w14:textId="77777777" w:rsidR="003F3CDE" w:rsidRPr="00442560" w:rsidRDefault="003F3CDE" w:rsidP="003F3CDE">
      <w:pPr>
        <w:widowControl w:val="0"/>
        <w:tabs>
          <w:tab w:val="left" w:pos="1220"/>
        </w:tabs>
        <w:autoSpaceDE w:val="0"/>
        <w:autoSpaceDN w:val="0"/>
        <w:adjustRightInd w:val="0"/>
        <w:spacing w:before="240"/>
        <w:jc w:val="center"/>
        <w:rPr>
          <w:b/>
          <w:bCs/>
          <w:smallCaps/>
          <w:color w:val="000000" w:themeColor="text1"/>
          <w:spacing w:val="1"/>
          <w:sz w:val="22"/>
          <w:szCs w:val="22"/>
        </w:rPr>
      </w:pPr>
      <w:r w:rsidRPr="00442560">
        <w:rPr>
          <w:b/>
          <w:bCs/>
          <w:smallCaps/>
          <w:color w:val="000000" w:themeColor="text1"/>
          <w:spacing w:val="1"/>
          <w:sz w:val="22"/>
          <w:szCs w:val="22"/>
        </w:rPr>
        <w:t>Índice Nacional de Precios al Consumidor</w:t>
      </w:r>
    </w:p>
    <w:p w14:paraId="13490EAA" w14:textId="77777777" w:rsidR="003F3CDE" w:rsidRPr="00E4145E" w:rsidRDefault="003F3CDE" w:rsidP="003F3CDE">
      <w:pPr>
        <w:widowControl w:val="0"/>
        <w:tabs>
          <w:tab w:val="left" w:pos="1220"/>
        </w:tabs>
        <w:autoSpaceDE w:val="0"/>
        <w:autoSpaceDN w:val="0"/>
        <w:adjustRightInd w:val="0"/>
        <w:jc w:val="center"/>
        <w:rPr>
          <w:b/>
          <w:bCs/>
          <w:smallCaps/>
          <w:color w:val="000000" w:themeColor="text1"/>
          <w:spacing w:val="1"/>
          <w:sz w:val="22"/>
          <w:szCs w:val="22"/>
        </w:rPr>
      </w:pPr>
      <w:r w:rsidRPr="00442560">
        <w:rPr>
          <w:b/>
          <w:bCs/>
          <w:smallCaps/>
          <w:color w:val="000000" w:themeColor="text1"/>
          <w:spacing w:val="1"/>
          <w:sz w:val="22"/>
          <w:szCs w:val="22"/>
        </w:rPr>
        <w:t xml:space="preserve">Genéricos con mayor y menor </w:t>
      </w:r>
      <w:r w:rsidR="00C128AE" w:rsidRPr="00442560">
        <w:rPr>
          <w:b/>
          <w:bCs/>
          <w:smallCaps/>
          <w:color w:val="000000" w:themeColor="text1"/>
          <w:spacing w:val="1"/>
          <w:sz w:val="22"/>
          <w:szCs w:val="22"/>
        </w:rPr>
        <w:t>incidencia</w:t>
      </w:r>
      <w:r w:rsidR="00C128AE">
        <w:rPr>
          <w:b/>
          <w:bCs/>
          <w:smallCaps/>
          <w:color w:val="000000" w:themeColor="text1"/>
          <w:spacing w:val="1"/>
          <w:sz w:val="22"/>
          <w:szCs w:val="22"/>
        </w:rPr>
        <w:t xml:space="preserve"> *</w:t>
      </w:r>
    </w:p>
    <w:p w14:paraId="74C45D9B" w14:textId="77777777" w:rsidR="003F3CDE" w:rsidRPr="00C128AE" w:rsidRDefault="003F3CDE" w:rsidP="003F3CDE">
      <w:pPr>
        <w:autoSpaceDE w:val="0"/>
        <w:autoSpaceDN w:val="0"/>
        <w:adjustRightInd w:val="0"/>
        <w:jc w:val="center"/>
        <w:rPr>
          <w:bCs/>
          <w:color w:val="000000" w:themeColor="text1"/>
          <w:spacing w:val="1"/>
          <w:sz w:val="18"/>
          <w:szCs w:val="22"/>
        </w:rPr>
      </w:pPr>
      <w:r w:rsidRPr="00C128AE">
        <w:rPr>
          <w:bCs/>
          <w:color w:val="000000" w:themeColor="text1"/>
          <w:spacing w:val="1"/>
          <w:sz w:val="18"/>
          <w:szCs w:val="22"/>
        </w:rPr>
        <w:t>Noviembre de 2019</w:t>
      </w:r>
    </w:p>
    <w:p w14:paraId="2C47F8F3" w14:textId="77777777" w:rsidR="003F3CDE" w:rsidRDefault="003F3CDE" w:rsidP="003F3CDE">
      <w:pPr>
        <w:autoSpaceDE w:val="0"/>
        <w:autoSpaceDN w:val="0"/>
        <w:adjustRightInd w:val="0"/>
        <w:jc w:val="center"/>
      </w:pPr>
      <w:r w:rsidRPr="003F3CDE">
        <w:rPr>
          <w:noProof/>
        </w:rPr>
        <w:drawing>
          <wp:inline distT="0" distB="0" distL="0" distR="0" wp14:anchorId="0AB2BADC" wp14:editId="05B7498A">
            <wp:extent cx="5972810" cy="1706245"/>
            <wp:effectExtent l="0" t="0" r="889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706245"/>
                    </a:xfrm>
                    <a:prstGeom prst="rect">
                      <a:avLst/>
                    </a:prstGeom>
                    <a:noFill/>
                    <a:ln>
                      <a:noFill/>
                    </a:ln>
                  </pic:spPr>
                </pic:pic>
              </a:graphicData>
            </a:graphic>
          </wp:inline>
        </w:drawing>
      </w:r>
    </w:p>
    <w:p w14:paraId="60263CA5" w14:textId="77777777" w:rsidR="00C128AE" w:rsidRPr="00F95ED3" w:rsidRDefault="00C128AE" w:rsidP="00C128AE">
      <w:pPr>
        <w:autoSpaceDE w:val="0"/>
        <w:autoSpaceDN w:val="0"/>
        <w:adjustRightInd w:val="0"/>
        <w:ind w:left="283" w:right="113" w:hanging="170"/>
        <w:rPr>
          <w:color w:val="006600"/>
          <w:sz w:val="16"/>
          <w:szCs w:val="16"/>
        </w:rPr>
      </w:pPr>
      <w:r w:rsidRPr="005A1D8D">
        <w:rPr>
          <w:color w:val="006600"/>
          <w:sz w:val="18"/>
          <w:szCs w:val="16"/>
        </w:rPr>
        <w:t>*</w:t>
      </w:r>
      <w:r w:rsidRPr="005A1D8D">
        <w:rPr>
          <w:color w:val="006600"/>
          <w:sz w:val="18"/>
          <w:szCs w:val="16"/>
          <w:vertAlign w:val="superscript"/>
        </w:rPr>
        <w:tab/>
      </w:r>
      <w:r w:rsidRPr="005A1D8D">
        <w:rPr>
          <w:color w:val="006600"/>
          <w:sz w:val="16"/>
          <w:szCs w:val="16"/>
        </w:rPr>
        <w:t>Las desagregaciones del INPC solo tienen valor informativo.</w:t>
      </w:r>
    </w:p>
    <w:p w14:paraId="35F172E3" w14:textId="77777777" w:rsidR="00C128AE" w:rsidRPr="001544BA" w:rsidRDefault="00C128AE" w:rsidP="00C128AE">
      <w:pPr>
        <w:autoSpaceDE w:val="0"/>
        <w:autoSpaceDN w:val="0"/>
        <w:adjustRightInd w:val="0"/>
        <w:ind w:left="283" w:right="113" w:hanging="170"/>
        <w:rPr>
          <w:color w:val="006600"/>
          <w:sz w:val="16"/>
          <w:szCs w:val="16"/>
        </w:rPr>
      </w:pPr>
      <w:r w:rsidRPr="001544BA">
        <w:rPr>
          <w:color w:val="006600"/>
          <w:sz w:val="18"/>
          <w:szCs w:val="16"/>
          <w:vertAlign w:val="superscript"/>
        </w:rPr>
        <w:t>1/</w:t>
      </w:r>
      <w:r>
        <w:rPr>
          <w:color w:val="006600"/>
          <w:sz w:val="18"/>
          <w:szCs w:val="16"/>
          <w:vertAlign w:val="superscript"/>
        </w:rPr>
        <w:tab/>
      </w:r>
      <w:r w:rsidRPr="001544BA">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0AD14C5B" w14:textId="77777777" w:rsidR="003F3CDE" w:rsidRPr="00BE39E6" w:rsidRDefault="003F3CDE" w:rsidP="00C128AE">
      <w:pPr>
        <w:autoSpaceDE w:val="0"/>
        <w:autoSpaceDN w:val="0"/>
        <w:adjustRightInd w:val="0"/>
        <w:ind w:left="283" w:right="113" w:hanging="170"/>
        <w:rPr>
          <w:color w:val="006600"/>
          <w:sz w:val="16"/>
          <w:szCs w:val="16"/>
        </w:rPr>
      </w:pPr>
      <w:r w:rsidRPr="00C128AE">
        <w:rPr>
          <w:color w:val="006600"/>
          <w:sz w:val="18"/>
          <w:szCs w:val="16"/>
          <w:vertAlign w:val="superscript"/>
        </w:rPr>
        <w:t>2/</w:t>
      </w:r>
      <w:r w:rsidR="00C128AE">
        <w:rPr>
          <w:color w:val="006600"/>
          <w:sz w:val="16"/>
          <w:szCs w:val="16"/>
        </w:rPr>
        <w:tab/>
      </w:r>
      <w:r w:rsidRPr="006072BE">
        <w:rPr>
          <w:color w:val="006600"/>
          <w:sz w:val="16"/>
          <w:szCs w:val="16"/>
        </w:rPr>
        <w:t>El programa de tarifas eléctricas de temporada cálida terminó su periodo de vigencia durante noviembre en las siguientes ciudades: Mexicali, Cd. Juárez, Culiacán, Chihuahua, Hermosillo, Matamoros, Colima, La Paz, Huatabampo</w:t>
      </w:r>
      <w:r>
        <w:rPr>
          <w:color w:val="006600"/>
          <w:sz w:val="16"/>
          <w:szCs w:val="16"/>
        </w:rPr>
        <w:t>, Cd.</w:t>
      </w:r>
      <w:r w:rsidRPr="006072BE">
        <w:rPr>
          <w:color w:val="006600"/>
          <w:sz w:val="16"/>
          <w:szCs w:val="16"/>
        </w:rPr>
        <w:t xml:space="preserve"> Jiménez</w:t>
      </w:r>
      <w:r>
        <w:rPr>
          <w:color w:val="006600"/>
          <w:sz w:val="16"/>
          <w:szCs w:val="16"/>
        </w:rPr>
        <w:t xml:space="preserve"> y Esperanza.</w:t>
      </w:r>
    </w:p>
    <w:p w14:paraId="1A6AE307" w14:textId="77777777" w:rsidR="003F3CDE" w:rsidRPr="0004061B" w:rsidRDefault="003F3CDE" w:rsidP="00BE39E6">
      <w:pPr>
        <w:keepNext/>
        <w:keepLines/>
        <w:autoSpaceDE w:val="0"/>
        <w:autoSpaceDN w:val="0"/>
        <w:adjustRightInd w:val="0"/>
        <w:spacing w:before="360"/>
      </w:pPr>
      <w:r>
        <w:t>E</w:t>
      </w:r>
      <w:r w:rsidRPr="0004061B">
        <w:t xml:space="preserve">n el siguiente cuadro se </w:t>
      </w:r>
      <w:r>
        <w:t xml:space="preserve">muestran </w:t>
      </w:r>
      <w:r w:rsidRPr="0004061B">
        <w:t xml:space="preserve">las principales </w:t>
      </w:r>
      <w:r>
        <w:t>ciudades</w:t>
      </w:r>
      <w:r w:rsidRPr="0004061B">
        <w:t xml:space="preserve"> </w:t>
      </w:r>
      <w:r w:rsidR="00081034">
        <w:t xml:space="preserve">con </w:t>
      </w:r>
      <w:r w:rsidRPr="0004061B">
        <w:t>la mayor y menor variaci</w:t>
      </w:r>
      <w:r>
        <w:t>ón</w:t>
      </w:r>
      <w:r w:rsidRPr="0004061B">
        <w:t xml:space="preserve"> </w:t>
      </w:r>
      <w:r>
        <w:t>del INPC</w:t>
      </w:r>
      <w:r w:rsidRPr="0004061B">
        <w:t>.</w:t>
      </w:r>
    </w:p>
    <w:p w14:paraId="11943E37" w14:textId="77777777" w:rsidR="003F3CDE" w:rsidRPr="00BE39E6" w:rsidRDefault="00BE39E6" w:rsidP="00BE39E6">
      <w:pPr>
        <w:keepNext/>
        <w:keepLines/>
        <w:tabs>
          <w:tab w:val="left" w:pos="1220"/>
        </w:tabs>
        <w:autoSpaceDE w:val="0"/>
        <w:autoSpaceDN w:val="0"/>
        <w:adjustRightInd w:val="0"/>
        <w:spacing w:before="360"/>
        <w:jc w:val="center"/>
        <w:rPr>
          <w:b/>
          <w:bCs/>
          <w:smallCaps/>
          <w:color w:val="000000" w:themeColor="text1"/>
          <w:spacing w:val="1"/>
          <w:sz w:val="22"/>
        </w:rPr>
      </w:pPr>
      <w:r w:rsidRPr="00512118">
        <w:rPr>
          <w:b/>
          <w:bCs/>
          <w:smallCaps/>
          <w:color w:val="000000" w:themeColor="text1"/>
          <w:spacing w:val="1"/>
          <w:sz w:val="22"/>
        </w:rPr>
        <w:t xml:space="preserve">Índice Nacional </w:t>
      </w:r>
      <w:r>
        <w:rPr>
          <w:b/>
          <w:bCs/>
          <w:smallCaps/>
          <w:color w:val="000000" w:themeColor="text1"/>
          <w:spacing w:val="1"/>
          <w:sz w:val="22"/>
        </w:rPr>
        <w:t>d</w:t>
      </w:r>
      <w:r w:rsidRPr="00512118">
        <w:rPr>
          <w:b/>
          <w:bCs/>
          <w:smallCaps/>
          <w:color w:val="000000" w:themeColor="text1"/>
          <w:spacing w:val="1"/>
          <w:sz w:val="22"/>
        </w:rPr>
        <w:t xml:space="preserve">e Precios </w:t>
      </w:r>
      <w:r>
        <w:rPr>
          <w:b/>
          <w:bCs/>
          <w:smallCaps/>
          <w:color w:val="000000" w:themeColor="text1"/>
          <w:spacing w:val="1"/>
          <w:sz w:val="22"/>
        </w:rPr>
        <w:t>a</w:t>
      </w:r>
      <w:r w:rsidRPr="00512118">
        <w:rPr>
          <w:b/>
          <w:bCs/>
          <w:smallCaps/>
          <w:color w:val="000000" w:themeColor="text1"/>
          <w:spacing w:val="1"/>
          <w:sz w:val="22"/>
        </w:rPr>
        <w:t>l Consumidor</w:t>
      </w:r>
    </w:p>
    <w:p w14:paraId="7F238012" w14:textId="77777777" w:rsidR="003F3CDE" w:rsidRPr="00866182" w:rsidRDefault="00BE39E6" w:rsidP="003F3CDE">
      <w:pPr>
        <w:keepNext/>
        <w:keepLines/>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C</w:t>
      </w:r>
      <w:r w:rsidR="003F3CDE">
        <w:rPr>
          <w:b/>
          <w:bCs/>
          <w:smallCaps/>
          <w:color w:val="000000" w:themeColor="text1"/>
          <w:spacing w:val="1"/>
          <w:sz w:val="22"/>
        </w:rPr>
        <w:t>iudades</w:t>
      </w:r>
      <w:r w:rsidR="003F3CDE" w:rsidRPr="00866182">
        <w:rPr>
          <w:b/>
          <w:bCs/>
          <w:smallCaps/>
          <w:color w:val="000000" w:themeColor="text1"/>
          <w:spacing w:val="1"/>
          <w:sz w:val="22"/>
        </w:rPr>
        <w:t xml:space="preserve"> con mayor y menor variación</w:t>
      </w:r>
      <w:r>
        <w:rPr>
          <w:b/>
          <w:bCs/>
          <w:smallCaps/>
          <w:color w:val="000000" w:themeColor="text1"/>
          <w:spacing w:val="1"/>
          <w:sz w:val="22"/>
        </w:rPr>
        <w:t xml:space="preserve"> </w:t>
      </w:r>
      <w:r w:rsidR="003F3CDE">
        <w:rPr>
          <w:b/>
          <w:bCs/>
          <w:smallCaps/>
          <w:color w:val="000000" w:themeColor="text1"/>
          <w:spacing w:val="1"/>
          <w:sz w:val="22"/>
        </w:rPr>
        <w:t>*</w:t>
      </w:r>
    </w:p>
    <w:p w14:paraId="0FF5264E" w14:textId="77777777" w:rsidR="003F3CDE" w:rsidRPr="00BE39E6" w:rsidRDefault="003F3CDE" w:rsidP="00BE39E6">
      <w:pPr>
        <w:autoSpaceDE w:val="0"/>
        <w:autoSpaceDN w:val="0"/>
        <w:adjustRightInd w:val="0"/>
        <w:jc w:val="center"/>
        <w:rPr>
          <w:bCs/>
          <w:color w:val="000000" w:themeColor="text1"/>
          <w:spacing w:val="1"/>
          <w:sz w:val="18"/>
          <w:szCs w:val="22"/>
        </w:rPr>
      </w:pPr>
      <w:r w:rsidRPr="00BE39E6">
        <w:rPr>
          <w:bCs/>
          <w:color w:val="000000" w:themeColor="text1"/>
          <w:spacing w:val="1"/>
          <w:sz w:val="18"/>
          <w:szCs w:val="22"/>
        </w:rPr>
        <w:t>Noviembre de 2019</w:t>
      </w:r>
    </w:p>
    <w:p w14:paraId="4ACB4A3D" w14:textId="77777777" w:rsidR="003F3CDE" w:rsidRPr="00916CCB" w:rsidRDefault="003F3CDE" w:rsidP="00BE39E6">
      <w:pPr>
        <w:widowControl w:val="0"/>
        <w:tabs>
          <w:tab w:val="left" w:pos="1220"/>
        </w:tabs>
        <w:autoSpaceDE w:val="0"/>
        <w:autoSpaceDN w:val="0"/>
        <w:adjustRightInd w:val="0"/>
        <w:jc w:val="center"/>
        <w:rPr>
          <w:sz w:val="22"/>
          <w:szCs w:val="22"/>
        </w:rPr>
      </w:pPr>
      <w:r w:rsidRPr="003F3CDE">
        <w:rPr>
          <w:noProof/>
        </w:rPr>
        <w:drawing>
          <wp:inline distT="0" distB="0" distL="0" distR="0" wp14:anchorId="638CEEC6" wp14:editId="30B11240">
            <wp:extent cx="5972810" cy="1906905"/>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6905"/>
                    </a:xfrm>
                    <a:prstGeom prst="rect">
                      <a:avLst/>
                    </a:prstGeom>
                    <a:noFill/>
                    <a:ln>
                      <a:noFill/>
                    </a:ln>
                  </pic:spPr>
                </pic:pic>
              </a:graphicData>
            </a:graphic>
          </wp:inline>
        </w:drawing>
      </w:r>
    </w:p>
    <w:p w14:paraId="73EBE012" w14:textId="77777777" w:rsidR="00BE39E6" w:rsidRPr="00F95ED3" w:rsidRDefault="00BE39E6" w:rsidP="00BE39E6">
      <w:pPr>
        <w:autoSpaceDE w:val="0"/>
        <w:autoSpaceDN w:val="0"/>
        <w:adjustRightInd w:val="0"/>
        <w:ind w:left="283" w:right="113" w:hanging="170"/>
        <w:rPr>
          <w:color w:val="006600"/>
          <w:sz w:val="16"/>
          <w:szCs w:val="16"/>
        </w:rPr>
      </w:pPr>
      <w:r w:rsidRPr="005A1D8D">
        <w:rPr>
          <w:color w:val="006600"/>
          <w:sz w:val="18"/>
          <w:szCs w:val="16"/>
        </w:rPr>
        <w:t>*</w:t>
      </w:r>
      <w:r w:rsidRPr="005A1D8D">
        <w:rPr>
          <w:color w:val="006600"/>
          <w:sz w:val="18"/>
          <w:szCs w:val="16"/>
          <w:vertAlign w:val="superscript"/>
        </w:rPr>
        <w:tab/>
      </w:r>
      <w:r w:rsidRPr="005A1D8D">
        <w:rPr>
          <w:color w:val="006600"/>
          <w:sz w:val="16"/>
          <w:szCs w:val="16"/>
        </w:rPr>
        <w:t>Las desagregaciones del INPC solo tienen valor informativo.</w:t>
      </w:r>
    </w:p>
    <w:p w14:paraId="3B00118B" w14:textId="77777777" w:rsidR="003F3CDE" w:rsidRPr="00BE39E6" w:rsidRDefault="003F3CDE" w:rsidP="003F3CDE">
      <w:pPr>
        <w:keepNext/>
        <w:keepLines/>
        <w:autoSpaceDE w:val="0"/>
        <w:autoSpaceDN w:val="0"/>
        <w:adjustRightInd w:val="0"/>
        <w:spacing w:before="240"/>
        <w:rPr>
          <w:color w:val="000000" w:themeColor="text1"/>
        </w:rPr>
      </w:pPr>
      <w:r w:rsidRPr="00866182">
        <w:rPr>
          <w:color w:val="000000" w:themeColor="text1"/>
        </w:rPr>
        <w:lastRenderedPageBreak/>
        <w:t>A continuación</w:t>
      </w:r>
      <w:r>
        <w:rPr>
          <w:color w:val="000000" w:themeColor="text1"/>
        </w:rPr>
        <w:t xml:space="preserve"> se presentan</w:t>
      </w:r>
      <w:r w:rsidRPr="00BE39E6">
        <w:rPr>
          <w:color w:val="000000" w:themeColor="text1"/>
        </w:rPr>
        <w:t xml:space="preserve"> las principales entidades </w:t>
      </w:r>
      <w:r w:rsidR="00081034">
        <w:rPr>
          <w:color w:val="000000" w:themeColor="text1"/>
        </w:rPr>
        <w:t xml:space="preserve">con </w:t>
      </w:r>
      <w:r w:rsidRPr="00BE39E6">
        <w:rPr>
          <w:color w:val="000000" w:themeColor="text1"/>
        </w:rPr>
        <w:t>la mayor y menor variaci</w:t>
      </w:r>
      <w:r w:rsidR="00081034">
        <w:rPr>
          <w:color w:val="000000" w:themeColor="text1"/>
        </w:rPr>
        <w:t>ón</w:t>
      </w:r>
      <w:r w:rsidRPr="00BE39E6">
        <w:rPr>
          <w:color w:val="000000" w:themeColor="text1"/>
        </w:rPr>
        <w:t xml:space="preserve"> del INPC</w:t>
      </w:r>
      <w:r w:rsidR="00081034">
        <w:rPr>
          <w:color w:val="000000" w:themeColor="text1"/>
        </w:rPr>
        <w:t xml:space="preserve"> en el mes en cuestión</w:t>
      </w:r>
      <w:r w:rsidRPr="00BE39E6">
        <w:rPr>
          <w:color w:val="000000" w:themeColor="text1"/>
        </w:rPr>
        <w:t xml:space="preserve">. </w:t>
      </w:r>
    </w:p>
    <w:p w14:paraId="0CADD6D8" w14:textId="77777777" w:rsidR="003F3CDE" w:rsidRPr="00866182" w:rsidRDefault="003F3CDE" w:rsidP="00BE39E6">
      <w:pPr>
        <w:keepNext/>
        <w:keepLines/>
        <w:tabs>
          <w:tab w:val="left" w:pos="1220"/>
        </w:tabs>
        <w:autoSpaceDE w:val="0"/>
        <w:autoSpaceDN w:val="0"/>
        <w:adjustRightInd w:val="0"/>
        <w:spacing w:before="240"/>
        <w:jc w:val="center"/>
        <w:rPr>
          <w:b/>
          <w:bCs/>
          <w:smallCaps/>
          <w:color w:val="000000" w:themeColor="text1"/>
          <w:spacing w:val="1"/>
          <w:sz w:val="22"/>
        </w:rPr>
      </w:pPr>
      <w:r w:rsidRPr="00866182">
        <w:rPr>
          <w:b/>
          <w:bCs/>
          <w:smallCaps/>
          <w:color w:val="000000" w:themeColor="text1"/>
          <w:spacing w:val="1"/>
          <w:sz w:val="22"/>
        </w:rPr>
        <w:t>Índice Nacional de Precios al Consumidor</w:t>
      </w:r>
    </w:p>
    <w:p w14:paraId="0417CBAD" w14:textId="77777777" w:rsidR="003F3CDE" w:rsidRPr="00866182" w:rsidRDefault="00BE39E6" w:rsidP="00BE39E6">
      <w:pPr>
        <w:keepNext/>
        <w:keepLines/>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E</w:t>
      </w:r>
      <w:r w:rsidR="003F3CDE" w:rsidRPr="00866182">
        <w:rPr>
          <w:b/>
          <w:bCs/>
          <w:smallCaps/>
          <w:color w:val="000000" w:themeColor="text1"/>
          <w:spacing w:val="1"/>
          <w:sz w:val="22"/>
        </w:rPr>
        <w:t>ntidades federativas</w:t>
      </w:r>
      <w:r w:rsidR="003F3CDE">
        <w:rPr>
          <w:b/>
          <w:bCs/>
          <w:smallCaps/>
          <w:color w:val="000000" w:themeColor="text1"/>
          <w:spacing w:val="1"/>
          <w:sz w:val="22"/>
        </w:rPr>
        <w:t xml:space="preserve"> </w:t>
      </w:r>
      <w:r w:rsidR="003F3CDE" w:rsidRPr="00866182">
        <w:rPr>
          <w:b/>
          <w:bCs/>
          <w:smallCaps/>
          <w:color w:val="000000" w:themeColor="text1"/>
          <w:spacing w:val="1"/>
          <w:sz w:val="22"/>
        </w:rPr>
        <w:t>con mayor y menor variación</w:t>
      </w:r>
      <w:r>
        <w:rPr>
          <w:b/>
          <w:bCs/>
          <w:smallCaps/>
          <w:color w:val="000000" w:themeColor="text1"/>
          <w:spacing w:val="1"/>
          <w:sz w:val="22"/>
        </w:rPr>
        <w:t xml:space="preserve"> </w:t>
      </w:r>
      <w:r w:rsidR="003F3CDE">
        <w:rPr>
          <w:b/>
          <w:bCs/>
          <w:smallCaps/>
          <w:color w:val="000000" w:themeColor="text1"/>
          <w:spacing w:val="1"/>
          <w:sz w:val="22"/>
        </w:rPr>
        <w:t>*</w:t>
      </w:r>
    </w:p>
    <w:p w14:paraId="1FED6FF6" w14:textId="77777777" w:rsidR="003F3CDE" w:rsidRPr="00BE39E6" w:rsidRDefault="003F3CDE" w:rsidP="00BE39E6">
      <w:pPr>
        <w:keepNext/>
        <w:keepLines/>
        <w:tabs>
          <w:tab w:val="left" w:pos="1220"/>
        </w:tabs>
        <w:autoSpaceDE w:val="0"/>
        <w:autoSpaceDN w:val="0"/>
        <w:adjustRightInd w:val="0"/>
        <w:jc w:val="center"/>
        <w:rPr>
          <w:sz w:val="18"/>
          <w:szCs w:val="22"/>
        </w:rPr>
      </w:pPr>
      <w:r w:rsidRPr="00BE39E6">
        <w:rPr>
          <w:sz w:val="18"/>
          <w:szCs w:val="22"/>
        </w:rPr>
        <w:t xml:space="preserve">Noviembre de 2019 </w:t>
      </w:r>
    </w:p>
    <w:p w14:paraId="72ECE81C" w14:textId="77777777" w:rsidR="003F3CDE" w:rsidRDefault="003F3CDE" w:rsidP="003F3CDE">
      <w:pPr>
        <w:widowControl w:val="0"/>
        <w:tabs>
          <w:tab w:val="left" w:pos="1220"/>
        </w:tabs>
        <w:autoSpaceDE w:val="0"/>
        <w:autoSpaceDN w:val="0"/>
        <w:adjustRightInd w:val="0"/>
        <w:jc w:val="center"/>
        <w:rPr>
          <w:bCs/>
          <w:color w:val="000000" w:themeColor="text1"/>
          <w:spacing w:val="1"/>
        </w:rPr>
      </w:pPr>
      <w:r w:rsidRPr="003F3CDE">
        <w:rPr>
          <w:noProof/>
        </w:rPr>
        <w:drawing>
          <wp:inline distT="0" distB="0" distL="0" distR="0" wp14:anchorId="1415DF72" wp14:editId="2629C2C0">
            <wp:extent cx="5972810" cy="1170305"/>
            <wp:effectExtent l="0" t="0" r="889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1170305"/>
                    </a:xfrm>
                    <a:prstGeom prst="rect">
                      <a:avLst/>
                    </a:prstGeom>
                    <a:noFill/>
                    <a:ln>
                      <a:noFill/>
                    </a:ln>
                  </pic:spPr>
                </pic:pic>
              </a:graphicData>
            </a:graphic>
          </wp:inline>
        </w:drawing>
      </w:r>
    </w:p>
    <w:p w14:paraId="05917FC6" w14:textId="77777777" w:rsidR="00BE39E6" w:rsidRPr="00C9353F" w:rsidRDefault="00BE39E6" w:rsidP="00BE39E6">
      <w:pPr>
        <w:keepNext/>
        <w:keepLines/>
        <w:autoSpaceDE w:val="0"/>
        <w:autoSpaceDN w:val="0"/>
        <w:adjustRightInd w:val="0"/>
        <w:ind w:left="336" w:right="113" w:hanging="170"/>
        <w:rPr>
          <w:color w:val="006600"/>
          <w:sz w:val="16"/>
          <w:szCs w:val="16"/>
        </w:rPr>
      </w:pPr>
      <w:r w:rsidRPr="00C9353F">
        <w:rPr>
          <w:color w:val="006600"/>
          <w:sz w:val="18"/>
          <w:szCs w:val="16"/>
        </w:rPr>
        <w:t>*</w:t>
      </w:r>
      <w:r w:rsidRPr="00C9353F">
        <w:rPr>
          <w:color w:val="006600"/>
          <w:sz w:val="18"/>
          <w:szCs w:val="16"/>
        </w:rPr>
        <w:tab/>
      </w:r>
      <w:r w:rsidRPr="00C9353F">
        <w:rPr>
          <w:color w:val="006600"/>
          <w:sz w:val="16"/>
          <w:szCs w:val="16"/>
        </w:rPr>
        <w:t>Las desagregaciones del INPC solo tienen valor informativo.</w:t>
      </w:r>
    </w:p>
    <w:p w14:paraId="39DF7D50" w14:textId="77777777" w:rsidR="003F3CDE" w:rsidRPr="0004061B" w:rsidRDefault="003F3CDE" w:rsidP="00BE39E6">
      <w:pPr>
        <w:widowControl w:val="0"/>
        <w:autoSpaceDE w:val="0"/>
        <w:autoSpaceDN w:val="0"/>
        <w:adjustRightInd w:val="0"/>
        <w:spacing w:before="360"/>
      </w:pPr>
      <w:r>
        <w:t>El comportamiento durante noviembre</w:t>
      </w:r>
      <w:r w:rsidRPr="0004061B">
        <w:t xml:space="preserve"> de 201</w:t>
      </w:r>
      <w:r>
        <w:t>9</w:t>
      </w:r>
      <w:r w:rsidRPr="0004061B">
        <w:t xml:space="preserve"> de los subíndices que integran al INPC según la </w:t>
      </w:r>
      <w:r>
        <w:t>C</w:t>
      </w:r>
      <w:r w:rsidRPr="0004061B">
        <w:t xml:space="preserve">lasificación del </w:t>
      </w:r>
      <w:r>
        <w:t>C</w:t>
      </w:r>
      <w:r w:rsidRPr="0004061B">
        <w:t xml:space="preserve">onsumo </w:t>
      </w:r>
      <w:r>
        <w:t>I</w:t>
      </w:r>
      <w:r w:rsidRPr="0004061B">
        <w:t xml:space="preserve">ndividual por </w:t>
      </w:r>
      <w:r>
        <w:t>F</w:t>
      </w:r>
      <w:r w:rsidRPr="0004061B">
        <w:t>inalidades (CCIF), utilizada internacionalmente para los índices de precios al consumidor</w:t>
      </w:r>
      <w:r w:rsidRPr="00BE39E6">
        <w:rPr>
          <w:vertAlign w:val="superscript"/>
        </w:rPr>
        <w:footnoteReference w:id="2"/>
      </w:r>
      <w:r w:rsidRPr="0004061B">
        <w:t xml:space="preserve">, se </w:t>
      </w:r>
      <w:r>
        <w:t xml:space="preserve">muestra </w:t>
      </w:r>
      <w:r w:rsidRPr="0004061B">
        <w:t>a continuación:</w:t>
      </w:r>
    </w:p>
    <w:p w14:paraId="4DD72A3F" w14:textId="77777777" w:rsidR="003F3CDE" w:rsidRPr="00BE39E6" w:rsidRDefault="00BE39E6" w:rsidP="00BE39E6">
      <w:pPr>
        <w:keepNext/>
        <w:keepLines/>
        <w:tabs>
          <w:tab w:val="left" w:pos="1220"/>
        </w:tabs>
        <w:autoSpaceDE w:val="0"/>
        <w:autoSpaceDN w:val="0"/>
        <w:adjustRightInd w:val="0"/>
        <w:spacing w:before="360"/>
        <w:jc w:val="center"/>
        <w:rPr>
          <w:b/>
          <w:bCs/>
          <w:smallCaps/>
          <w:color w:val="000000" w:themeColor="text1"/>
          <w:spacing w:val="1"/>
          <w:sz w:val="22"/>
          <w:szCs w:val="22"/>
        </w:rPr>
      </w:pPr>
      <w:r w:rsidRPr="00BE39E6">
        <w:rPr>
          <w:b/>
          <w:bCs/>
          <w:smallCaps/>
          <w:color w:val="000000" w:themeColor="text1"/>
          <w:spacing w:val="1"/>
          <w:sz w:val="22"/>
          <w:szCs w:val="22"/>
        </w:rPr>
        <w:t xml:space="preserve">Índice Nacional </w:t>
      </w:r>
      <w:r>
        <w:rPr>
          <w:b/>
          <w:bCs/>
          <w:smallCaps/>
          <w:color w:val="000000" w:themeColor="text1"/>
          <w:spacing w:val="1"/>
          <w:sz w:val="22"/>
          <w:szCs w:val="22"/>
        </w:rPr>
        <w:t>d</w:t>
      </w:r>
      <w:r w:rsidRPr="00BE39E6">
        <w:rPr>
          <w:b/>
          <w:bCs/>
          <w:smallCaps/>
          <w:color w:val="000000" w:themeColor="text1"/>
          <w:spacing w:val="1"/>
          <w:sz w:val="22"/>
          <w:szCs w:val="22"/>
        </w:rPr>
        <w:t xml:space="preserve">e Precios </w:t>
      </w:r>
      <w:r>
        <w:rPr>
          <w:b/>
          <w:bCs/>
          <w:smallCaps/>
          <w:color w:val="000000" w:themeColor="text1"/>
          <w:spacing w:val="1"/>
          <w:sz w:val="22"/>
          <w:szCs w:val="22"/>
        </w:rPr>
        <w:t>a</w:t>
      </w:r>
      <w:r w:rsidRPr="00BE39E6">
        <w:rPr>
          <w:b/>
          <w:bCs/>
          <w:smallCaps/>
          <w:color w:val="000000" w:themeColor="text1"/>
          <w:spacing w:val="1"/>
          <w:sz w:val="22"/>
          <w:szCs w:val="22"/>
        </w:rPr>
        <w:t>l Consumidor</w:t>
      </w:r>
    </w:p>
    <w:p w14:paraId="527C97F7" w14:textId="77777777" w:rsidR="003F3CDE" w:rsidRPr="00BE39E6" w:rsidRDefault="00BE39E6" w:rsidP="003F3CDE">
      <w:pPr>
        <w:autoSpaceDE w:val="0"/>
        <w:autoSpaceDN w:val="0"/>
        <w:adjustRightInd w:val="0"/>
        <w:jc w:val="center"/>
        <w:rPr>
          <w:b/>
          <w:bCs/>
          <w:smallCaps/>
          <w:color w:val="000000"/>
          <w:spacing w:val="1"/>
          <w:sz w:val="22"/>
          <w:szCs w:val="22"/>
        </w:rPr>
      </w:pPr>
      <w:r>
        <w:rPr>
          <w:b/>
          <w:bCs/>
          <w:smallCaps/>
          <w:color w:val="000000"/>
          <w:spacing w:val="1"/>
          <w:sz w:val="22"/>
          <w:szCs w:val="22"/>
        </w:rPr>
        <w:t>C</w:t>
      </w:r>
      <w:r w:rsidRPr="00BE39E6">
        <w:rPr>
          <w:b/>
          <w:bCs/>
          <w:smallCaps/>
          <w:color w:val="000000"/>
          <w:spacing w:val="1"/>
          <w:sz w:val="22"/>
          <w:szCs w:val="22"/>
        </w:rPr>
        <w:t xml:space="preserve">lasificación del consumo individual por finalidades </w:t>
      </w:r>
    </w:p>
    <w:p w14:paraId="10DEB9D9" w14:textId="77777777" w:rsidR="003F3CDE" w:rsidRPr="00BE39E6" w:rsidRDefault="003F3CDE" w:rsidP="003F3CDE">
      <w:pPr>
        <w:autoSpaceDE w:val="0"/>
        <w:autoSpaceDN w:val="0"/>
        <w:adjustRightInd w:val="0"/>
        <w:jc w:val="center"/>
        <w:rPr>
          <w:sz w:val="18"/>
          <w:szCs w:val="22"/>
        </w:rPr>
      </w:pPr>
      <w:r w:rsidRPr="00BE39E6">
        <w:rPr>
          <w:sz w:val="18"/>
          <w:szCs w:val="22"/>
        </w:rPr>
        <w:t>Variación porcentual</w:t>
      </w:r>
    </w:p>
    <w:p w14:paraId="4B8C6883" w14:textId="77777777" w:rsidR="003F3CDE" w:rsidRDefault="003F3CDE" w:rsidP="00BE39E6">
      <w:pPr>
        <w:pStyle w:val="Prrafodelista"/>
        <w:autoSpaceDE w:val="0"/>
        <w:autoSpaceDN w:val="0"/>
        <w:adjustRightInd w:val="0"/>
        <w:ind w:left="0"/>
        <w:rPr>
          <w:sz w:val="22"/>
          <w:szCs w:val="22"/>
        </w:rPr>
      </w:pPr>
      <w:r w:rsidRPr="003F3CDE">
        <w:rPr>
          <w:noProof/>
        </w:rPr>
        <w:drawing>
          <wp:inline distT="0" distB="0" distL="0" distR="0" wp14:anchorId="2B210B48" wp14:editId="2DBA803B">
            <wp:extent cx="5972810" cy="2675255"/>
            <wp:effectExtent l="0" t="0" r="889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2675255"/>
                    </a:xfrm>
                    <a:prstGeom prst="rect">
                      <a:avLst/>
                    </a:prstGeom>
                    <a:noFill/>
                    <a:ln>
                      <a:noFill/>
                    </a:ln>
                  </pic:spPr>
                </pic:pic>
              </a:graphicData>
            </a:graphic>
          </wp:inline>
        </w:drawing>
      </w:r>
    </w:p>
    <w:p w14:paraId="649249A5" w14:textId="77777777" w:rsidR="003F3CDE" w:rsidRDefault="003F3CDE" w:rsidP="003F3CDE">
      <w:pPr>
        <w:autoSpaceDE w:val="0"/>
        <w:autoSpaceDN w:val="0"/>
        <w:adjustRightInd w:val="0"/>
        <w:ind w:left="283" w:right="113" w:hanging="170"/>
        <w:rPr>
          <w:color w:val="006600"/>
          <w:sz w:val="16"/>
          <w:szCs w:val="16"/>
        </w:rPr>
      </w:pPr>
      <w:r>
        <w:rPr>
          <w:color w:val="006600"/>
          <w:sz w:val="18"/>
          <w:szCs w:val="16"/>
          <w:vertAlign w:val="superscript"/>
        </w:rPr>
        <w:t>1</w:t>
      </w:r>
      <w:r w:rsidRPr="00714A6E">
        <w:rPr>
          <w:color w:val="006600"/>
          <w:sz w:val="18"/>
          <w:szCs w:val="16"/>
          <w:vertAlign w:val="superscript"/>
        </w:rPr>
        <w:t>/</w:t>
      </w:r>
      <w:r>
        <w:rPr>
          <w:color w:val="006600"/>
          <w:sz w:val="16"/>
          <w:szCs w:val="16"/>
          <w:vertAlign w:val="superscript"/>
        </w:rPr>
        <w:tab/>
      </w:r>
      <w:r w:rsidRPr="00714A6E">
        <w:rPr>
          <w:color w:val="006600"/>
          <w:sz w:val="16"/>
          <w:szCs w:val="16"/>
        </w:rPr>
        <w:t>Incluye productos y servicios de cuidado personal, relojes, maletas, seguro de automóvil, servicios funerarios y profesionales, entre otros.</w:t>
      </w:r>
    </w:p>
    <w:p w14:paraId="5B2039E6" w14:textId="77777777" w:rsidR="003F3CDE" w:rsidRPr="00D25428" w:rsidRDefault="003F3CDE" w:rsidP="00BE39E6">
      <w:pPr>
        <w:autoSpaceDE w:val="0"/>
        <w:autoSpaceDN w:val="0"/>
        <w:adjustRightInd w:val="0"/>
        <w:spacing w:before="240"/>
        <w:rPr>
          <w:color w:val="000000" w:themeColor="text1"/>
        </w:rPr>
      </w:pPr>
      <w:r w:rsidRPr="00D25428">
        <w:rPr>
          <w:color w:val="000000" w:themeColor="text1"/>
        </w:rPr>
        <w:lastRenderedPageBreak/>
        <w:t xml:space="preserve">En la segunda quincena de </w:t>
      </w:r>
      <w:r>
        <w:rPr>
          <w:color w:val="000000" w:themeColor="text1"/>
        </w:rPr>
        <w:t>noviembre</w:t>
      </w:r>
      <w:r w:rsidRPr="00D25428">
        <w:rPr>
          <w:color w:val="000000" w:themeColor="text1"/>
        </w:rPr>
        <w:t xml:space="preserve"> de 201</w:t>
      </w:r>
      <w:r>
        <w:rPr>
          <w:color w:val="000000" w:themeColor="text1"/>
        </w:rPr>
        <w:t>9</w:t>
      </w:r>
      <w:r w:rsidRPr="00D25428">
        <w:rPr>
          <w:color w:val="000000" w:themeColor="text1"/>
        </w:rPr>
        <w:t xml:space="preserve"> el INPC </w:t>
      </w:r>
      <w:r w:rsidR="00081034">
        <w:rPr>
          <w:color w:val="000000" w:themeColor="text1"/>
        </w:rPr>
        <w:t xml:space="preserve">creció </w:t>
      </w:r>
      <w:r>
        <w:rPr>
          <w:color w:val="000000" w:themeColor="text1"/>
        </w:rPr>
        <w:t>0.09</w:t>
      </w:r>
      <w:r w:rsidRPr="00D25428">
        <w:rPr>
          <w:color w:val="000000" w:themeColor="text1"/>
        </w:rPr>
        <w:t xml:space="preserve"> por ciento, resultado de los índices </w:t>
      </w:r>
      <w:r w:rsidR="00081034">
        <w:rPr>
          <w:color w:val="000000" w:themeColor="text1"/>
        </w:rPr>
        <w:t xml:space="preserve">de </w:t>
      </w:r>
      <w:r w:rsidRPr="004507DB">
        <w:rPr>
          <w:color w:val="000000" w:themeColor="text1"/>
        </w:rPr>
        <w:t>1</w:t>
      </w:r>
      <w:r>
        <w:rPr>
          <w:color w:val="000000" w:themeColor="text1"/>
        </w:rPr>
        <w:t>05.299</w:t>
      </w:r>
      <w:r w:rsidRPr="004507DB">
        <w:rPr>
          <w:color w:val="000000" w:themeColor="text1"/>
        </w:rPr>
        <w:t xml:space="preserve"> y </w:t>
      </w:r>
      <w:r w:rsidR="00081034">
        <w:rPr>
          <w:color w:val="000000" w:themeColor="text1"/>
        </w:rPr>
        <w:t xml:space="preserve">de </w:t>
      </w:r>
      <w:r w:rsidRPr="004507DB">
        <w:rPr>
          <w:color w:val="000000" w:themeColor="text1"/>
        </w:rPr>
        <w:t>1</w:t>
      </w:r>
      <w:r>
        <w:rPr>
          <w:color w:val="000000" w:themeColor="text1"/>
        </w:rPr>
        <w:t>05</w:t>
      </w:r>
      <w:r w:rsidRPr="004507DB">
        <w:rPr>
          <w:color w:val="000000" w:themeColor="text1"/>
        </w:rPr>
        <w:t>.</w:t>
      </w:r>
      <w:r>
        <w:rPr>
          <w:color w:val="000000" w:themeColor="text1"/>
        </w:rPr>
        <w:t>393</w:t>
      </w:r>
      <w:r w:rsidRPr="00D25428">
        <w:rPr>
          <w:color w:val="000000" w:themeColor="text1"/>
        </w:rPr>
        <w:t xml:space="preserve"> registrados en la primera y segunda quincena del mes</w:t>
      </w:r>
      <w:r w:rsidR="00081034">
        <w:rPr>
          <w:color w:val="000000" w:themeColor="text1"/>
        </w:rPr>
        <w:t>,</w:t>
      </w:r>
      <w:r w:rsidRPr="00D25428">
        <w:rPr>
          <w:color w:val="000000" w:themeColor="text1"/>
        </w:rPr>
        <w:t xml:space="preserve"> respectivamente.</w:t>
      </w:r>
    </w:p>
    <w:p w14:paraId="7E5A092A" w14:textId="77777777" w:rsidR="003F3CDE" w:rsidRPr="00AF5DD6" w:rsidRDefault="003F3CDE" w:rsidP="00BE39E6">
      <w:pPr>
        <w:autoSpaceDE w:val="0"/>
        <w:autoSpaceDN w:val="0"/>
        <w:adjustRightInd w:val="0"/>
        <w:spacing w:before="240"/>
        <w:rPr>
          <w:color w:val="000000" w:themeColor="text1"/>
        </w:rPr>
      </w:pPr>
      <w:r w:rsidRPr="00AF5DD6">
        <w:rPr>
          <w:color w:val="000000" w:themeColor="text1"/>
        </w:rPr>
        <w:t>El índice de precios de la canasta básica</w:t>
      </w:r>
      <w:r w:rsidRPr="00A60146">
        <w:rPr>
          <w:rStyle w:val="Refdenotaalpie"/>
        </w:rPr>
        <w:footnoteReference w:id="3"/>
      </w:r>
      <w:r>
        <w:rPr>
          <w:color w:val="000000" w:themeColor="text1"/>
        </w:rPr>
        <w:t xml:space="preserve"> present</w:t>
      </w:r>
      <w:r w:rsidRPr="00AF5DD6">
        <w:rPr>
          <w:color w:val="000000" w:themeColor="text1"/>
        </w:rPr>
        <w:t>ó un</w:t>
      </w:r>
      <w:r>
        <w:rPr>
          <w:color w:val="000000" w:themeColor="text1"/>
        </w:rPr>
        <w:t xml:space="preserve"> aumento mensual de</w:t>
      </w:r>
      <w:r w:rsidRPr="00AF5DD6">
        <w:rPr>
          <w:color w:val="000000" w:themeColor="text1"/>
        </w:rPr>
        <w:t xml:space="preserve"> </w:t>
      </w:r>
      <w:r>
        <w:rPr>
          <w:color w:val="000000" w:themeColor="text1"/>
        </w:rPr>
        <w:t>1.52</w:t>
      </w:r>
      <w:r w:rsidRPr="00AF5DD6">
        <w:rPr>
          <w:color w:val="000000" w:themeColor="text1"/>
        </w:rPr>
        <w:t xml:space="preserve"> por ciento</w:t>
      </w:r>
      <w:r>
        <w:rPr>
          <w:color w:val="000000" w:themeColor="text1"/>
        </w:rPr>
        <w:t xml:space="preserve"> y </w:t>
      </w:r>
      <w:r w:rsidRPr="00AF5DD6">
        <w:rPr>
          <w:color w:val="000000" w:themeColor="text1"/>
        </w:rPr>
        <w:t xml:space="preserve">anual de </w:t>
      </w:r>
      <w:r>
        <w:rPr>
          <w:color w:val="000000" w:themeColor="text1"/>
        </w:rPr>
        <w:t>2.42</w:t>
      </w:r>
      <w:r w:rsidRPr="00AF5DD6">
        <w:rPr>
          <w:color w:val="000000" w:themeColor="text1"/>
        </w:rPr>
        <w:t xml:space="preserve"> por ciento. En el mismo mes de 201</w:t>
      </w:r>
      <w:r>
        <w:rPr>
          <w:color w:val="000000" w:themeColor="text1"/>
        </w:rPr>
        <w:t>8</w:t>
      </w:r>
      <w:r w:rsidRPr="00AF5DD6">
        <w:rPr>
          <w:color w:val="000000" w:themeColor="text1"/>
        </w:rPr>
        <w:t xml:space="preserve"> las cifras correspondientes fueron de </w:t>
      </w:r>
      <w:r>
        <w:rPr>
          <w:color w:val="000000" w:themeColor="text1"/>
        </w:rPr>
        <w:t>1.05</w:t>
      </w:r>
      <w:r w:rsidRPr="00AF5DD6">
        <w:rPr>
          <w:color w:val="000000" w:themeColor="text1"/>
        </w:rPr>
        <w:t xml:space="preserve"> y </w:t>
      </w:r>
      <w:r w:rsidR="00081034">
        <w:rPr>
          <w:color w:val="000000" w:themeColor="text1"/>
        </w:rPr>
        <w:t xml:space="preserve">de </w:t>
      </w:r>
      <w:r>
        <w:rPr>
          <w:color w:val="000000" w:themeColor="text1"/>
        </w:rPr>
        <w:t>6.11</w:t>
      </w:r>
      <w:r w:rsidRPr="00AF5DD6">
        <w:rPr>
          <w:color w:val="000000" w:themeColor="text1"/>
        </w:rPr>
        <w:t xml:space="preserve"> por ciento</w:t>
      </w:r>
      <w:r w:rsidR="00081034">
        <w:rPr>
          <w:color w:val="000000" w:themeColor="text1"/>
        </w:rPr>
        <w:t>, en ese orden</w:t>
      </w:r>
      <w:r w:rsidRPr="00AF5DD6">
        <w:rPr>
          <w:color w:val="000000" w:themeColor="text1"/>
        </w:rPr>
        <w:t>.</w:t>
      </w:r>
    </w:p>
    <w:p w14:paraId="5F1E7D94" w14:textId="77777777" w:rsidR="00DE0778" w:rsidRPr="00DE0778" w:rsidRDefault="00DE0778" w:rsidP="00134FA4">
      <w:pPr>
        <w:pStyle w:val="Prrafodelista"/>
        <w:autoSpaceDE w:val="0"/>
        <w:autoSpaceDN w:val="0"/>
        <w:adjustRightInd w:val="0"/>
        <w:spacing w:before="480"/>
        <w:ind w:left="0"/>
      </w:pPr>
      <w:r w:rsidRPr="00DE0778">
        <w:rPr>
          <w:b/>
          <w:i/>
        </w:rPr>
        <w:t xml:space="preserve">Nota metodológica </w:t>
      </w:r>
    </w:p>
    <w:p w14:paraId="2FC47135" w14:textId="77777777" w:rsidR="00DE0778" w:rsidRPr="00DE0778" w:rsidRDefault="007F194F" w:rsidP="00DE0778">
      <w:pPr>
        <w:pStyle w:val="Texto"/>
        <w:autoSpaceDE w:val="0"/>
        <w:autoSpaceDN w:val="0"/>
        <w:adjustRightInd w:val="0"/>
        <w:spacing w:before="240" w:after="0" w:line="240" w:lineRule="auto"/>
        <w:ind w:firstLine="0"/>
        <w:rPr>
          <w:sz w:val="24"/>
          <w:szCs w:val="24"/>
          <w:lang w:val="es-ES_tradnl"/>
        </w:rPr>
      </w:pPr>
      <w:r w:rsidRPr="007F194F">
        <w:rPr>
          <w:color w:val="000000" w:themeColor="text1"/>
          <w:sz w:val="24"/>
          <w:szCs w:val="24"/>
          <w:lang w:val="es-ES_tradnl"/>
        </w:rPr>
        <w:t>El año base de referencia del cálculo del INPC es la segunda quincena de julio de 2018=100. Para dicho cálculo se cotizaron los precios en 55 ciudades, las cuales están ubicadas en las 32 entidades federativas</w:t>
      </w:r>
      <w:r w:rsidR="00DE0778" w:rsidRPr="00DE0778">
        <w:rPr>
          <w:sz w:val="24"/>
          <w:szCs w:val="24"/>
          <w:lang w:val="es-ES_tradnl"/>
        </w:rPr>
        <w:t xml:space="preserve">. </w:t>
      </w:r>
    </w:p>
    <w:p w14:paraId="1E37BAF3" w14:textId="77777777" w:rsidR="00DE0778" w:rsidRPr="00DE0778" w:rsidRDefault="007F194F" w:rsidP="003721AC">
      <w:pPr>
        <w:pStyle w:val="Texto"/>
        <w:autoSpaceDE w:val="0"/>
        <w:autoSpaceDN w:val="0"/>
        <w:adjustRightInd w:val="0"/>
        <w:spacing w:before="240" w:after="0" w:line="240" w:lineRule="auto"/>
        <w:ind w:firstLine="0"/>
        <w:rPr>
          <w:sz w:val="24"/>
          <w:szCs w:val="24"/>
          <w:lang w:val="es-ES_tradnl"/>
        </w:rPr>
      </w:pPr>
      <w:r w:rsidRPr="007F194F">
        <w:rPr>
          <w:sz w:val="24"/>
          <w:szCs w:val="24"/>
          <w:lang w:val="es-ES_tradnl"/>
        </w:rPr>
        <w:t>Se recaban en promedio 159 mil 500 precios quincenalmente agrupados en 299 conceptos de consumo genéricos, los cuales abarcan 91 ramas de actividad económica</w:t>
      </w:r>
      <w:r w:rsidR="00DE0778" w:rsidRPr="00DE0778">
        <w:rPr>
          <w:sz w:val="24"/>
          <w:szCs w:val="24"/>
          <w:lang w:val="es-ES_tradnl"/>
        </w:rPr>
        <w:t xml:space="preserve">. </w:t>
      </w:r>
    </w:p>
    <w:p w14:paraId="5B0BB4B2" w14:textId="77777777" w:rsidR="00DE0778" w:rsidRPr="00DE0778" w:rsidRDefault="007F194F" w:rsidP="003721AC">
      <w:pPr>
        <w:pStyle w:val="Texto"/>
        <w:keepLines/>
        <w:autoSpaceDE w:val="0"/>
        <w:autoSpaceDN w:val="0"/>
        <w:adjustRightInd w:val="0"/>
        <w:spacing w:before="240" w:after="0" w:line="240" w:lineRule="auto"/>
        <w:ind w:firstLine="0"/>
        <w:rPr>
          <w:sz w:val="24"/>
          <w:szCs w:val="24"/>
          <w:lang w:val="es-ES_tradnl"/>
        </w:rPr>
      </w:pPr>
      <w:r w:rsidRPr="007F194F">
        <w:rPr>
          <w:sz w:val="24"/>
          <w:szCs w:val="24"/>
          <w:lang w:val="es-ES_tradnl"/>
        </w:rPr>
        <w:t>La recolección de precios de los alimentos se realiza por lo menos dos veces durante la quincena que se reporta; para el resto de los productos se obtienen por lo menos una vez en dicho periodo. Estas cotizaciones una vez procesadas dan lugar a índices de precios, con los que se generan los índices nacionales correspondientes a los distintos conceptos de consumo familiar</w:t>
      </w:r>
      <w:r w:rsidR="00DE0778" w:rsidRPr="00DE0778">
        <w:rPr>
          <w:sz w:val="24"/>
          <w:szCs w:val="24"/>
          <w:lang w:val="es-ES_tradnl"/>
        </w:rPr>
        <w:t>.</w:t>
      </w:r>
    </w:p>
    <w:p w14:paraId="6B20083F" w14:textId="77777777" w:rsidR="00DE0778" w:rsidRPr="00DE0778" w:rsidRDefault="007F194F" w:rsidP="003721AC">
      <w:pPr>
        <w:pStyle w:val="Texto"/>
        <w:autoSpaceDE w:val="0"/>
        <w:autoSpaceDN w:val="0"/>
        <w:adjustRightInd w:val="0"/>
        <w:spacing w:before="240" w:after="0" w:line="240" w:lineRule="auto"/>
        <w:ind w:firstLine="0"/>
        <w:rPr>
          <w:sz w:val="24"/>
          <w:szCs w:val="24"/>
          <w:lang w:val="es-ES_tradnl"/>
        </w:rPr>
      </w:pPr>
      <w:r w:rsidRPr="007F194F">
        <w:rPr>
          <w:sz w:val="24"/>
          <w:szCs w:val="24"/>
          <w:lang w:val="es-ES_tradnl"/>
        </w:rPr>
        <w:t>La canasta de bienes y servicios considera el total del gasto en consumo de los hogares en el territorio nacional y la estructura de ponderación se obtuvo de los gastos reportados en las Encuestas Nacionales de Gastos de los Hogares 2012 y 2013 en combinación con la Encuesta Nacional de Ingreso y Gasto de los Hogares 2014</w:t>
      </w:r>
      <w:r w:rsidR="00DE0778" w:rsidRPr="00DE0778">
        <w:rPr>
          <w:sz w:val="24"/>
          <w:szCs w:val="24"/>
          <w:lang w:val="es-ES_tradnl"/>
        </w:rPr>
        <w:t xml:space="preserve">. </w:t>
      </w:r>
    </w:p>
    <w:p w14:paraId="46E95531" w14:textId="77777777" w:rsidR="00DE0778" w:rsidRPr="00DE0778" w:rsidRDefault="00DE0778" w:rsidP="00DE0778">
      <w:pPr>
        <w:pStyle w:val="Texto"/>
        <w:autoSpaceDE w:val="0"/>
        <w:autoSpaceDN w:val="0"/>
        <w:adjustRightInd w:val="0"/>
        <w:spacing w:before="240" w:after="0" w:line="240" w:lineRule="auto"/>
        <w:ind w:firstLine="0"/>
        <w:rPr>
          <w:i/>
          <w:sz w:val="24"/>
          <w:szCs w:val="24"/>
        </w:rPr>
      </w:pPr>
      <w:r w:rsidRPr="00DE0778">
        <w:rPr>
          <w:b/>
          <w:i/>
          <w:sz w:val="24"/>
          <w:szCs w:val="24"/>
        </w:rPr>
        <w:t>Herramientas de análisis de los Índices Nacionales de Precios</w:t>
      </w:r>
    </w:p>
    <w:p w14:paraId="00761FD5" w14:textId="77777777" w:rsidR="00DE0778" w:rsidRDefault="007F194F" w:rsidP="00554561">
      <w:pPr>
        <w:pStyle w:val="Texto"/>
        <w:autoSpaceDE w:val="0"/>
        <w:autoSpaceDN w:val="0"/>
        <w:adjustRightInd w:val="0"/>
        <w:spacing w:before="240" w:after="0" w:line="240" w:lineRule="auto"/>
        <w:ind w:firstLine="0"/>
        <w:rPr>
          <w:sz w:val="24"/>
        </w:rPr>
      </w:pPr>
      <w:r w:rsidRPr="007F194F">
        <w:rPr>
          <w:sz w:val="24"/>
          <w:szCs w:val="24"/>
          <w:lang w:val="es-ES_tradnl"/>
        </w:rPr>
        <w:t xml:space="preserve">El INEGI lo invita a conocer y hacer uso de las herramientas para el análisis y entendimiento de los índices nacionales de precios, disponibles en el apartado </w:t>
      </w:r>
      <w:r w:rsidRPr="007F194F">
        <w:rPr>
          <w:i/>
          <w:sz w:val="24"/>
          <w:szCs w:val="24"/>
          <w:lang w:val="es-ES_tradnl"/>
        </w:rPr>
        <w:t>Herramientas</w:t>
      </w:r>
      <w:r w:rsidRPr="007F194F">
        <w:rPr>
          <w:sz w:val="24"/>
          <w:szCs w:val="24"/>
          <w:lang w:val="es-ES_tradnl"/>
        </w:rPr>
        <w:t xml:space="preserve"> dentro del apartado </w:t>
      </w:r>
      <w:r w:rsidRPr="007F194F">
        <w:rPr>
          <w:i/>
          <w:sz w:val="24"/>
          <w:szCs w:val="24"/>
          <w:lang w:val="es-ES_tradnl"/>
        </w:rPr>
        <w:t>Índice Nacional de Precios al Consumidor</w:t>
      </w:r>
      <w:r w:rsidRPr="007F194F">
        <w:rPr>
          <w:sz w:val="24"/>
          <w:szCs w:val="24"/>
          <w:lang w:val="es-ES_tradnl"/>
        </w:rPr>
        <w:t xml:space="preserve"> de su página en Internet</w:t>
      </w:r>
      <w:r w:rsidR="00DE0778" w:rsidRPr="00DE0778">
        <w:rPr>
          <w:sz w:val="24"/>
          <w:szCs w:val="24"/>
        </w:rPr>
        <w:t xml:space="preserve">. </w:t>
      </w:r>
      <w:r w:rsidR="00AD5D1B">
        <w:rPr>
          <w:sz w:val="24"/>
          <w:szCs w:val="24"/>
        </w:rPr>
        <w:t xml:space="preserve"> </w:t>
      </w:r>
      <w:hyperlink r:id="rId34" w:history="1">
        <w:r w:rsidR="00AD5D1B" w:rsidRPr="005B4C7E">
          <w:rPr>
            <w:rStyle w:val="Hipervnculo"/>
            <w:sz w:val="24"/>
          </w:rPr>
          <w:t>https://www.inegi.org.mx/programas/inpc/2018/</w:t>
        </w:r>
      </w:hyperlink>
    </w:p>
    <w:p w14:paraId="4EAFD87D" w14:textId="77777777" w:rsidR="00DE0778" w:rsidRPr="00DE0778" w:rsidRDefault="00DE0778" w:rsidP="00762F6E">
      <w:pPr>
        <w:pStyle w:val="Texto"/>
        <w:numPr>
          <w:ilvl w:val="0"/>
          <w:numId w:val="7"/>
        </w:numPr>
        <w:autoSpaceDE w:val="0"/>
        <w:autoSpaceDN w:val="0"/>
        <w:adjustRightInd w:val="0"/>
        <w:spacing w:before="240" w:after="0" w:line="240" w:lineRule="auto"/>
        <w:ind w:left="350" w:hanging="357"/>
        <w:rPr>
          <w:sz w:val="24"/>
          <w:szCs w:val="24"/>
        </w:rPr>
      </w:pPr>
      <w:r w:rsidRPr="00DE0778">
        <w:rPr>
          <w:b/>
          <w:sz w:val="24"/>
          <w:szCs w:val="24"/>
        </w:rPr>
        <w:t>Calculadora de inflación</w:t>
      </w:r>
      <w:r w:rsidRPr="00DE0778">
        <w:rPr>
          <w:sz w:val="24"/>
          <w:szCs w:val="24"/>
        </w:rPr>
        <w:t xml:space="preserve">. </w:t>
      </w:r>
      <w:r w:rsidR="007F194F" w:rsidRPr="007F194F">
        <w:rPr>
          <w:sz w:val="24"/>
          <w:szCs w:val="24"/>
          <w:lang w:val="es-ES_tradnl"/>
        </w:rPr>
        <w:t>Permite calcular la Tasa de Inflación de un Índice de Precios, en un intervalo de tiempo. Calcula dos tipos de tasas de inflación porcentuales: la implícita entre cualquiera de dos fechas, y la tasa de inflación porcentual promedio en un período.</w:t>
      </w:r>
    </w:p>
    <w:p w14:paraId="4B111066" w14:textId="77777777" w:rsidR="00DE0778" w:rsidRPr="00DE0778" w:rsidRDefault="00DE0778" w:rsidP="00762F6E">
      <w:pPr>
        <w:pStyle w:val="Texto"/>
        <w:numPr>
          <w:ilvl w:val="0"/>
          <w:numId w:val="7"/>
        </w:numPr>
        <w:autoSpaceDE w:val="0"/>
        <w:autoSpaceDN w:val="0"/>
        <w:adjustRightInd w:val="0"/>
        <w:spacing w:before="120" w:after="0" w:line="240" w:lineRule="auto"/>
        <w:ind w:left="350" w:hanging="357"/>
        <w:rPr>
          <w:sz w:val="24"/>
          <w:szCs w:val="24"/>
        </w:rPr>
      </w:pPr>
      <w:r w:rsidRPr="00DE0778">
        <w:rPr>
          <w:b/>
          <w:sz w:val="24"/>
          <w:szCs w:val="24"/>
        </w:rPr>
        <w:lastRenderedPageBreak/>
        <w:t>Caleidoscopio</w:t>
      </w:r>
      <w:r w:rsidRPr="00DE0778">
        <w:rPr>
          <w:sz w:val="24"/>
          <w:szCs w:val="24"/>
        </w:rPr>
        <w:t xml:space="preserve">. </w:t>
      </w:r>
      <w:r w:rsidR="007F194F" w:rsidRPr="007F194F">
        <w:rPr>
          <w:sz w:val="24"/>
          <w:szCs w:val="24"/>
          <w:lang w:val="es-ES_tradnl"/>
        </w:rPr>
        <w:t>Muestra la forma en que los consumidores, en promedio, distribuyen su gasto en 8 grupos y 36 subgrupos, así como, las variaciones en los precios de los mismos.</w:t>
      </w:r>
    </w:p>
    <w:p w14:paraId="68AEE7F4" w14:textId="77777777" w:rsidR="00DE0778" w:rsidRPr="00DE0778" w:rsidRDefault="00DE0778" w:rsidP="00762F6E">
      <w:pPr>
        <w:pStyle w:val="Texto"/>
        <w:numPr>
          <w:ilvl w:val="0"/>
          <w:numId w:val="7"/>
        </w:numPr>
        <w:autoSpaceDE w:val="0"/>
        <w:autoSpaceDN w:val="0"/>
        <w:adjustRightInd w:val="0"/>
        <w:spacing w:before="120" w:after="0" w:line="240" w:lineRule="auto"/>
        <w:ind w:left="350" w:hanging="357"/>
        <w:rPr>
          <w:sz w:val="24"/>
          <w:szCs w:val="24"/>
        </w:rPr>
      </w:pPr>
      <w:r w:rsidRPr="00DE0778">
        <w:rPr>
          <w:b/>
          <w:sz w:val="24"/>
          <w:szCs w:val="24"/>
        </w:rPr>
        <w:t>Mapa de precios</w:t>
      </w:r>
      <w:r w:rsidRPr="00DE0778">
        <w:rPr>
          <w:sz w:val="24"/>
          <w:szCs w:val="24"/>
        </w:rPr>
        <w:t xml:space="preserve">. </w:t>
      </w:r>
      <w:r w:rsidR="007F194F" w:rsidRPr="0004061B">
        <w:rPr>
          <w:sz w:val="24"/>
          <w:szCs w:val="24"/>
        </w:rPr>
        <w:t>Presenta en forma dinámica las variaciones anualizadas de los precios por ciudad</w:t>
      </w:r>
      <w:r w:rsidR="007F194F">
        <w:rPr>
          <w:sz w:val="24"/>
          <w:szCs w:val="24"/>
        </w:rPr>
        <w:t>, entidad</w:t>
      </w:r>
      <w:r w:rsidR="007F194F" w:rsidRPr="0004061B">
        <w:rPr>
          <w:sz w:val="24"/>
          <w:szCs w:val="24"/>
        </w:rPr>
        <w:t xml:space="preserve"> y región, </w:t>
      </w:r>
      <w:r w:rsidR="007F7A18">
        <w:rPr>
          <w:sz w:val="24"/>
          <w:szCs w:val="24"/>
        </w:rPr>
        <w:t>y</w:t>
      </w:r>
      <w:r w:rsidR="007F194F" w:rsidRPr="0004061B">
        <w:rPr>
          <w:sz w:val="24"/>
          <w:szCs w:val="24"/>
        </w:rPr>
        <w:t xml:space="preserve"> la participación o peso que tienen estos en el INPC.</w:t>
      </w:r>
    </w:p>
    <w:p w14:paraId="19055FBF" w14:textId="77777777" w:rsidR="00DE0778" w:rsidRDefault="00DE0778" w:rsidP="00762F6E">
      <w:pPr>
        <w:pStyle w:val="Texto"/>
        <w:numPr>
          <w:ilvl w:val="0"/>
          <w:numId w:val="7"/>
        </w:numPr>
        <w:autoSpaceDE w:val="0"/>
        <w:autoSpaceDN w:val="0"/>
        <w:adjustRightInd w:val="0"/>
        <w:spacing w:before="120" w:after="0" w:line="240" w:lineRule="auto"/>
        <w:ind w:left="350" w:hanging="357"/>
        <w:rPr>
          <w:sz w:val="24"/>
          <w:szCs w:val="24"/>
        </w:rPr>
      </w:pPr>
      <w:r w:rsidRPr="00DE0778">
        <w:rPr>
          <w:b/>
          <w:sz w:val="24"/>
          <w:szCs w:val="24"/>
        </w:rPr>
        <w:t>Consulta de precios promedio</w:t>
      </w:r>
      <w:r w:rsidRPr="00DE0778">
        <w:rPr>
          <w:sz w:val="24"/>
          <w:szCs w:val="24"/>
        </w:rPr>
        <w:t xml:space="preserve">. </w:t>
      </w:r>
      <w:r w:rsidR="007F194F" w:rsidRPr="0004061B">
        <w:rPr>
          <w:sz w:val="24"/>
          <w:szCs w:val="24"/>
        </w:rPr>
        <w:t>Permite consultar y exportar el precio promedio mensual de cada uno de los productos específicos utilizados para el cálculo del INPC</w:t>
      </w:r>
      <w:r w:rsidRPr="00DE0778">
        <w:rPr>
          <w:sz w:val="24"/>
          <w:szCs w:val="24"/>
        </w:rPr>
        <w:t>.</w:t>
      </w:r>
    </w:p>
    <w:p w14:paraId="7E36EFA2" w14:textId="77777777" w:rsidR="000350A7" w:rsidRPr="000350A7" w:rsidRDefault="000350A7" w:rsidP="003721AC">
      <w:pPr>
        <w:pStyle w:val="Texto"/>
        <w:autoSpaceDE w:val="0"/>
        <w:autoSpaceDN w:val="0"/>
        <w:adjustRightInd w:val="0"/>
        <w:spacing w:before="240" w:after="0" w:line="240" w:lineRule="auto"/>
        <w:ind w:firstLine="0"/>
        <w:rPr>
          <w:sz w:val="24"/>
          <w:szCs w:val="24"/>
        </w:rPr>
      </w:pPr>
      <w:r w:rsidRPr="000350A7">
        <w:rPr>
          <w:sz w:val="24"/>
          <w:szCs w:val="24"/>
        </w:rPr>
        <w:t>La información contenida en este documento es generada por el INEGI con base en los Índices de Precios y se da a conocer en la fecha establecida en el Calendario de difusión de información estadística y geográfica y de Interés Nacional.</w:t>
      </w:r>
    </w:p>
    <w:p w14:paraId="1C942479" w14:textId="77777777" w:rsidR="000350A7" w:rsidRDefault="000350A7" w:rsidP="00416893">
      <w:pPr>
        <w:pStyle w:val="Texto"/>
        <w:autoSpaceDE w:val="0"/>
        <w:autoSpaceDN w:val="0"/>
        <w:adjustRightInd w:val="0"/>
        <w:spacing w:before="240" w:after="360" w:line="240" w:lineRule="auto"/>
        <w:ind w:firstLine="0"/>
        <w:rPr>
          <w:rStyle w:val="Hipervnculo"/>
          <w:sz w:val="24"/>
        </w:rPr>
      </w:pPr>
      <w:r w:rsidRPr="000350A7">
        <w:rPr>
          <w:sz w:val="24"/>
          <w:szCs w:val="24"/>
        </w:rPr>
        <w:t xml:space="preserve">Las cifras aquí </w:t>
      </w:r>
      <w:r w:rsidR="00202299" w:rsidRPr="000350A7">
        <w:rPr>
          <w:sz w:val="24"/>
          <w:szCs w:val="24"/>
        </w:rPr>
        <w:t>mencionadas,</w:t>
      </w:r>
      <w:r w:rsidRPr="000350A7">
        <w:rPr>
          <w:sz w:val="24"/>
          <w:szCs w:val="24"/>
        </w:rPr>
        <w:t xml:space="preserve"> así como el documento metodológico podrán ser consultados en la página del INEGI en Internet: </w:t>
      </w:r>
      <w:hyperlink r:id="rId35" w:history="1">
        <w:r w:rsidRPr="007F26BE">
          <w:rPr>
            <w:rStyle w:val="Hipervnculo"/>
            <w:sz w:val="24"/>
          </w:rPr>
          <w:t>www.inegi.org.mx</w:t>
        </w:r>
      </w:hyperlink>
      <w:r w:rsidR="007F26BE">
        <w:rPr>
          <w:rStyle w:val="Hipervnculo"/>
          <w:sz w:val="24"/>
        </w:rPr>
        <w:t xml:space="preserve"> </w:t>
      </w:r>
    </w:p>
    <w:p w14:paraId="7A47EAEE" w14:textId="77777777" w:rsidR="008C60C4" w:rsidRPr="000350A7" w:rsidRDefault="008C60C4" w:rsidP="002D4ED0">
      <w:pPr>
        <w:pStyle w:val="Texto"/>
        <w:autoSpaceDE w:val="0"/>
        <w:autoSpaceDN w:val="0"/>
        <w:adjustRightInd w:val="0"/>
        <w:spacing w:before="360" w:after="0" w:line="240" w:lineRule="auto"/>
        <w:ind w:firstLine="0"/>
        <w:jc w:val="right"/>
        <w:rPr>
          <w:sz w:val="24"/>
          <w:szCs w:val="24"/>
        </w:rPr>
      </w:pPr>
      <w:r w:rsidRPr="00553D4D">
        <w:rPr>
          <w:rStyle w:val="nfasis"/>
          <w:noProof/>
          <w:lang w:val="es-MX" w:eastAsia="es-MX"/>
        </w:rPr>
        <w:drawing>
          <wp:inline distT="0" distB="0" distL="0" distR="0" wp14:anchorId="66D61E50" wp14:editId="3F55DCD2">
            <wp:extent cx="4686646" cy="1692000"/>
            <wp:effectExtent l="38100" t="0" r="38100" b="419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8C60C4" w:rsidRPr="000350A7" w:rsidSect="00416893">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DC2BA" w14:textId="77777777" w:rsidR="00527591" w:rsidRDefault="00527591">
      <w:r>
        <w:separator/>
      </w:r>
    </w:p>
  </w:endnote>
  <w:endnote w:type="continuationSeparator" w:id="0">
    <w:p w14:paraId="5C063D56" w14:textId="77777777" w:rsidR="00527591" w:rsidRDefault="0052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9BD7" w14:textId="77777777" w:rsidR="009917CD" w:rsidRDefault="009917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0E90" w14:textId="77777777" w:rsidR="00076994" w:rsidRPr="006F4552" w:rsidRDefault="00076994" w:rsidP="004E4A3C">
    <w:pPr>
      <w:pStyle w:val="Piedepgina"/>
      <w:contextualSpacing/>
      <w:jc w:val="center"/>
      <w:rPr>
        <w:color w:val="002060"/>
        <w:sz w:val="18"/>
        <w:szCs w:val="18"/>
      </w:rPr>
    </w:pPr>
    <w:r w:rsidRPr="006F4552">
      <w:rPr>
        <w:b/>
        <w:color w:val="002060"/>
        <w:sz w:val="18"/>
        <w:szCs w:val="18"/>
      </w:rPr>
      <w:t>COMUNICACIÓN SOCIAL</w:t>
    </w:r>
  </w:p>
  <w:p w14:paraId="52BDA173" w14:textId="77777777" w:rsidR="00076994" w:rsidRDefault="000769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FF4B" w14:textId="77777777" w:rsidR="009917CD" w:rsidRDefault="009917C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F735" w14:textId="77777777" w:rsidR="00527591" w:rsidRDefault="00527591">
      <w:r>
        <w:separator/>
      </w:r>
    </w:p>
  </w:footnote>
  <w:footnote w:type="continuationSeparator" w:id="0">
    <w:p w14:paraId="2172332E" w14:textId="77777777" w:rsidR="00527591" w:rsidRDefault="00527591">
      <w:r>
        <w:continuationSeparator/>
      </w:r>
    </w:p>
  </w:footnote>
  <w:footnote w:id="1">
    <w:p w14:paraId="38487C79" w14:textId="77777777" w:rsidR="00076994" w:rsidRDefault="00076994" w:rsidP="009B7221">
      <w:pPr>
        <w:pStyle w:val="Textonotapie"/>
        <w:spacing w:before="60"/>
        <w:ind w:left="170" w:right="-688" w:hanging="170"/>
        <w:rPr>
          <w:sz w:val="16"/>
          <w:szCs w:val="16"/>
        </w:rPr>
      </w:pPr>
      <w:r w:rsidRPr="00D8168F">
        <w:rPr>
          <w:rStyle w:val="Refdenotaalpie"/>
          <w:sz w:val="18"/>
          <w:szCs w:val="16"/>
        </w:rPr>
        <w:footnoteRef/>
      </w:r>
      <w:r w:rsidRPr="00D8168F">
        <w:rPr>
          <w:sz w:val="16"/>
          <w:szCs w:val="16"/>
        </w:rP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r>
        <w:rPr>
          <w:sz w:val="16"/>
          <w:szCs w:val="16"/>
        </w:rPr>
        <w:t xml:space="preserve"> </w:t>
      </w:r>
    </w:p>
    <w:p w14:paraId="4FDC0972" w14:textId="77777777" w:rsidR="00076994" w:rsidRPr="00D8168F" w:rsidRDefault="00076994" w:rsidP="00076994">
      <w:pPr>
        <w:pStyle w:val="Textonotapie"/>
        <w:spacing w:before="60"/>
        <w:ind w:left="170" w:right="-263" w:hanging="170"/>
        <w:rPr>
          <w:sz w:val="16"/>
          <w:szCs w:val="16"/>
          <w:lang w:val="es-MX"/>
        </w:rPr>
      </w:pPr>
    </w:p>
  </w:footnote>
  <w:footnote w:id="2">
    <w:p w14:paraId="18E94D83" w14:textId="77777777" w:rsidR="003F3CDE" w:rsidRPr="00CA39BA" w:rsidRDefault="003F3CDE" w:rsidP="003F3CDE">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p>
  </w:footnote>
  <w:footnote w:id="3">
    <w:p w14:paraId="494F5290" w14:textId="77777777" w:rsidR="003F3CDE" w:rsidRPr="009C5908" w:rsidRDefault="003F3CDE" w:rsidP="003F3CDE">
      <w:pPr>
        <w:autoSpaceDE w:val="0"/>
        <w:autoSpaceDN w:val="0"/>
        <w:spacing w:before="40" w:after="40"/>
        <w:ind w:left="170" w:hanging="170"/>
        <w:rPr>
          <w:b/>
          <w:color w:val="C00000"/>
          <w:sz w:val="16"/>
          <w:lang w:val="es-MX"/>
        </w:rPr>
      </w:pPr>
      <w:r w:rsidRPr="00166951">
        <w:rPr>
          <w:rStyle w:val="Refdenotaalpie"/>
          <w:sz w:val="18"/>
          <w:szCs w:val="16"/>
        </w:rPr>
        <w:footnoteRef/>
      </w:r>
      <w:r>
        <w:rPr>
          <w:color w:val="000000" w:themeColor="text1"/>
          <w:sz w:val="16"/>
          <w:szCs w:val="16"/>
        </w:rPr>
        <w:tab/>
      </w:r>
      <w:r>
        <w:rPr>
          <w:sz w:val="16"/>
          <w:szCs w:val="16"/>
        </w:rPr>
        <w:t xml:space="preserve">Los componentes de la canasta básica se </w:t>
      </w:r>
      <w:r w:rsidRPr="003B6802">
        <w:rPr>
          <w:sz w:val="16"/>
          <w:szCs w:val="16"/>
        </w:rPr>
        <w:t xml:space="preserve">detallan en el documento metodológico ubicado en la siguiente liga: </w:t>
      </w:r>
      <w:hyperlink r:id="rId1" w:history="1">
        <w:r w:rsidR="00F5232E" w:rsidRPr="00F5232E">
          <w:rPr>
            <w:rStyle w:val="Hipervnculo"/>
            <w:sz w:val="16"/>
          </w:rPr>
          <w:t>https://www.inegi.org.mx/programas/inpc/2018/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896F3" w14:textId="77777777" w:rsidR="009917CD" w:rsidRDefault="009917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2BF0" w14:textId="0A3D0CA0" w:rsidR="00076994" w:rsidRPr="00265B8C" w:rsidRDefault="00076994" w:rsidP="009917CD">
    <w:pPr>
      <w:pStyle w:val="Encabezado"/>
      <w:framePr w:w="5592" w:hSpace="141" w:wrap="auto" w:vAnchor="text" w:hAnchor="page" w:x="5508" w:y="39"/>
      <w:ind w:left="567" w:hanging="11"/>
      <w:jc w:val="right"/>
      <w:rPr>
        <w:b/>
        <w:color w:val="002060"/>
      </w:rPr>
    </w:pPr>
    <w:bookmarkStart w:id="1" w:name="_GoBack"/>
    <w:r w:rsidRPr="00265B8C">
      <w:rPr>
        <w:b/>
        <w:color w:val="002060"/>
      </w:rPr>
      <w:t xml:space="preserve">COMUNICADO </w:t>
    </w:r>
    <w:r w:rsidRPr="00E808E2">
      <w:rPr>
        <w:b/>
        <w:color w:val="002060"/>
      </w:rPr>
      <w:t xml:space="preserve">DE PRENSA </w:t>
    </w:r>
    <w:r w:rsidRPr="00265B8C">
      <w:rPr>
        <w:b/>
        <w:color w:val="002060"/>
      </w:rPr>
      <w:t xml:space="preserve">NÚM. </w:t>
    </w:r>
    <w:r w:rsidR="009917CD">
      <w:rPr>
        <w:b/>
        <w:color w:val="002060"/>
      </w:rPr>
      <w:t>648</w:t>
    </w:r>
    <w:r w:rsidRPr="00265B8C">
      <w:rPr>
        <w:b/>
        <w:color w:val="002060"/>
      </w:rPr>
      <w:t>/1</w:t>
    </w:r>
    <w:r>
      <w:rPr>
        <w:b/>
        <w:color w:val="002060"/>
      </w:rPr>
      <w:t>9</w:t>
    </w:r>
  </w:p>
  <w:p w14:paraId="429961A4" w14:textId="77777777" w:rsidR="00076994" w:rsidRPr="00265B8C" w:rsidRDefault="00076994" w:rsidP="009917CD">
    <w:pPr>
      <w:pStyle w:val="Encabezado"/>
      <w:framePr w:w="5592" w:hSpace="141" w:wrap="auto" w:vAnchor="text" w:hAnchor="page" w:x="5508" w:y="39"/>
      <w:ind w:left="567" w:hanging="11"/>
      <w:jc w:val="right"/>
      <w:rPr>
        <w:b/>
        <w:color w:val="002060"/>
        <w:lang w:val="pt-BR"/>
      </w:rPr>
    </w:pPr>
    <w:r>
      <w:rPr>
        <w:b/>
        <w:color w:val="002060"/>
        <w:lang w:val="pt-BR"/>
      </w:rPr>
      <w:t xml:space="preserve">9 DE DICIEMBRE </w:t>
    </w:r>
    <w:r w:rsidRPr="00265B8C">
      <w:rPr>
        <w:b/>
        <w:color w:val="002060"/>
        <w:lang w:val="pt-BR"/>
      </w:rPr>
      <w:t>DE 201</w:t>
    </w:r>
    <w:r>
      <w:rPr>
        <w:b/>
        <w:color w:val="002060"/>
        <w:lang w:val="pt-BR"/>
      </w:rPr>
      <w:t>9</w:t>
    </w:r>
  </w:p>
  <w:p w14:paraId="1143A70C" w14:textId="77777777" w:rsidR="00076994" w:rsidRPr="00265B8C" w:rsidRDefault="00076994" w:rsidP="009917CD">
    <w:pPr>
      <w:pStyle w:val="Encabezado"/>
      <w:framePr w:w="5592" w:hSpace="141" w:wrap="auto" w:vAnchor="text" w:hAnchor="page" w:x="5508"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1"/>
  <w:p w14:paraId="6B6C425C" w14:textId="77777777" w:rsidR="00076994" w:rsidRDefault="00076994" w:rsidP="004E4A3C">
    <w:pPr>
      <w:pStyle w:val="Encabezado"/>
      <w:ind w:left="-993"/>
    </w:pPr>
    <w:r>
      <w:rPr>
        <w:noProof/>
      </w:rPr>
      <w:drawing>
        <wp:inline distT="0" distB="0" distL="0" distR="0" wp14:anchorId="00DC957D" wp14:editId="295F9B6D">
          <wp:extent cx="927615" cy="963545"/>
          <wp:effectExtent l="0" t="0" r="635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18EF" w14:textId="77777777" w:rsidR="009917CD" w:rsidRDefault="009917C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11C77C2C" w:rsidR="003B5757" w:rsidRDefault="00AD3792" w:rsidP="00076994">
    <w:pPr>
      <w:pStyle w:val="Encabezado"/>
      <w:jc w:val="center"/>
    </w:pPr>
    <w:r>
      <w:rPr>
        <w:noProof/>
        <w:lang w:val="es-MX" w:eastAsia="es-MX"/>
      </w:rPr>
      <w:drawing>
        <wp:inline distT="0" distB="0" distL="0" distR="0" wp14:anchorId="5B8D5AF8" wp14:editId="58E7D21B">
          <wp:extent cx="928799" cy="964800"/>
          <wp:effectExtent l="0" t="0" r="5080" b="6985"/>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3"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3"/>
  </w:num>
  <w:num w:numId="6">
    <w:abstractNumId w:val="5"/>
  </w:num>
  <w:num w:numId="7">
    <w:abstractNumId w:val="7"/>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2"/>
  </w:num>
  <w:num w:numId="12">
    <w:abstractNumId w:val="24"/>
  </w:num>
  <w:num w:numId="13">
    <w:abstractNumId w:val="25"/>
  </w:num>
  <w:num w:numId="14">
    <w:abstractNumId w:val="17"/>
  </w:num>
  <w:num w:numId="15">
    <w:abstractNumId w:val="14"/>
  </w:num>
  <w:num w:numId="16">
    <w:abstractNumId w:val="20"/>
  </w:num>
  <w:num w:numId="17">
    <w:abstractNumId w:val="16"/>
  </w:num>
  <w:num w:numId="18">
    <w:abstractNumId w:val="18"/>
  </w:num>
  <w:num w:numId="19">
    <w:abstractNumId w:val="8"/>
  </w:num>
  <w:num w:numId="20">
    <w:abstractNumId w:val="0"/>
  </w:num>
  <w:num w:numId="21">
    <w:abstractNumId w:val="3"/>
  </w:num>
  <w:num w:numId="22">
    <w:abstractNumId w:val="7"/>
  </w:num>
  <w:num w:numId="23">
    <w:abstractNumId w:val="11"/>
  </w:num>
  <w:num w:numId="24">
    <w:abstractNumId w:val="23"/>
  </w:num>
  <w:num w:numId="25">
    <w:abstractNumId w:val="19"/>
  </w:num>
  <w:num w:numId="26">
    <w:abstractNumId w:val="4"/>
  </w:num>
  <w:num w:numId="27">
    <w:abstractNumId w:val="15"/>
  </w:num>
  <w:num w:numId="28">
    <w:abstractNumId w:val="12"/>
  </w:num>
  <w:num w:numId="29">
    <w:abstractNumId w:val="10"/>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1000"/>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A1A"/>
    <w:rsid w:val="00010A59"/>
    <w:rsid w:val="000112A7"/>
    <w:rsid w:val="0001151F"/>
    <w:rsid w:val="00011840"/>
    <w:rsid w:val="00011AC0"/>
    <w:rsid w:val="00011BD3"/>
    <w:rsid w:val="00012278"/>
    <w:rsid w:val="000124BB"/>
    <w:rsid w:val="00012A27"/>
    <w:rsid w:val="00012E16"/>
    <w:rsid w:val="0001302A"/>
    <w:rsid w:val="000132A4"/>
    <w:rsid w:val="00013319"/>
    <w:rsid w:val="00013E55"/>
    <w:rsid w:val="00014418"/>
    <w:rsid w:val="0001447E"/>
    <w:rsid w:val="000144ED"/>
    <w:rsid w:val="00014FBD"/>
    <w:rsid w:val="00015302"/>
    <w:rsid w:val="00016590"/>
    <w:rsid w:val="000165EA"/>
    <w:rsid w:val="00016B4E"/>
    <w:rsid w:val="00016D3A"/>
    <w:rsid w:val="0001718D"/>
    <w:rsid w:val="000176AC"/>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D72"/>
    <w:rsid w:val="00037089"/>
    <w:rsid w:val="00037177"/>
    <w:rsid w:val="000374FA"/>
    <w:rsid w:val="00037CC4"/>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F04"/>
    <w:rsid w:val="00052F1E"/>
    <w:rsid w:val="000536D2"/>
    <w:rsid w:val="00053B2C"/>
    <w:rsid w:val="00053EB7"/>
    <w:rsid w:val="00054674"/>
    <w:rsid w:val="00054A4F"/>
    <w:rsid w:val="00055047"/>
    <w:rsid w:val="00055B54"/>
    <w:rsid w:val="00056F51"/>
    <w:rsid w:val="000573F5"/>
    <w:rsid w:val="00057F37"/>
    <w:rsid w:val="000602B0"/>
    <w:rsid w:val="0006056C"/>
    <w:rsid w:val="000621E0"/>
    <w:rsid w:val="0006228A"/>
    <w:rsid w:val="00063614"/>
    <w:rsid w:val="00063838"/>
    <w:rsid w:val="0006433F"/>
    <w:rsid w:val="000646BA"/>
    <w:rsid w:val="00064BBC"/>
    <w:rsid w:val="00064E9D"/>
    <w:rsid w:val="00064FDB"/>
    <w:rsid w:val="00065106"/>
    <w:rsid w:val="000651F1"/>
    <w:rsid w:val="00065708"/>
    <w:rsid w:val="00065A07"/>
    <w:rsid w:val="00065BC1"/>
    <w:rsid w:val="00066394"/>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994"/>
    <w:rsid w:val="00076EE9"/>
    <w:rsid w:val="00077C46"/>
    <w:rsid w:val="0008027F"/>
    <w:rsid w:val="0008084D"/>
    <w:rsid w:val="00081034"/>
    <w:rsid w:val="000814ED"/>
    <w:rsid w:val="0008175A"/>
    <w:rsid w:val="0008195B"/>
    <w:rsid w:val="00081E62"/>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2764"/>
    <w:rsid w:val="0009292F"/>
    <w:rsid w:val="00092F4C"/>
    <w:rsid w:val="00094496"/>
    <w:rsid w:val="000950E7"/>
    <w:rsid w:val="00095360"/>
    <w:rsid w:val="000955AA"/>
    <w:rsid w:val="000957BC"/>
    <w:rsid w:val="0009618D"/>
    <w:rsid w:val="00096737"/>
    <w:rsid w:val="00097C0A"/>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4A6A"/>
    <w:rsid w:val="000B50FB"/>
    <w:rsid w:val="000B515D"/>
    <w:rsid w:val="000B5A74"/>
    <w:rsid w:val="000B5FA3"/>
    <w:rsid w:val="000B6AF6"/>
    <w:rsid w:val="000B6B22"/>
    <w:rsid w:val="000C0403"/>
    <w:rsid w:val="000C1051"/>
    <w:rsid w:val="000C1F04"/>
    <w:rsid w:val="000C26A5"/>
    <w:rsid w:val="000C2892"/>
    <w:rsid w:val="000C2B3C"/>
    <w:rsid w:val="000C30D7"/>
    <w:rsid w:val="000C3105"/>
    <w:rsid w:val="000C34DD"/>
    <w:rsid w:val="000C37BC"/>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4773"/>
    <w:rsid w:val="000D4833"/>
    <w:rsid w:val="000D49D2"/>
    <w:rsid w:val="000D4A88"/>
    <w:rsid w:val="000D4BBC"/>
    <w:rsid w:val="000D4D90"/>
    <w:rsid w:val="000D4E26"/>
    <w:rsid w:val="000D5176"/>
    <w:rsid w:val="000D5EDB"/>
    <w:rsid w:val="000D6C0F"/>
    <w:rsid w:val="000D6F1E"/>
    <w:rsid w:val="000D7A95"/>
    <w:rsid w:val="000D7BBD"/>
    <w:rsid w:val="000E03C0"/>
    <w:rsid w:val="000E0654"/>
    <w:rsid w:val="000E19B3"/>
    <w:rsid w:val="000E2970"/>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491"/>
    <w:rsid w:val="000F3DE6"/>
    <w:rsid w:val="000F44E7"/>
    <w:rsid w:val="000F49F1"/>
    <w:rsid w:val="000F4C41"/>
    <w:rsid w:val="000F4FA7"/>
    <w:rsid w:val="000F536A"/>
    <w:rsid w:val="000F541D"/>
    <w:rsid w:val="000F5AD1"/>
    <w:rsid w:val="000F630B"/>
    <w:rsid w:val="000F69FA"/>
    <w:rsid w:val="000F7577"/>
    <w:rsid w:val="000F7974"/>
    <w:rsid w:val="000F7ECD"/>
    <w:rsid w:val="000F7FB5"/>
    <w:rsid w:val="00100317"/>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348"/>
    <w:rsid w:val="00113404"/>
    <w:rsid w:val="001134B4"/>
    <w:rsid w:val="00113DE8"/>
    <w:rsid w:val="0011424C"/>
    <w:rsid w:val="0011478A"/>
    <w:rsid w:val="00114B56"/>
    <w:rsid w:val="00114B96"/>
    <w:rsid w:val="00114E47"/>
    <w:rsid w:val="001159B7"/>
    <w:rsid w:val="00115A20"/>
    <w:rsid w:val="00115A59"/>
    <w:rsid w:val="00115F12"/>
    <w:rsid w:val="00116647"/>
    <w:rsid w:val="00116F84"/>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1492"/>
    <w:rsid w:val="00152838"/>
    <w:rsid w:val="001533B2"/>
    <w:rsid w:val="001534CA"/>
    <w:rsid w:val="0015369A"/>
    <w:rsid w:val="0015386A"/>
    <w:rsid w:val="001540F9"/>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93"/>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3E"/>
    <w:rsid w:val="00181B78"/>
    <w:rsid w:val="0018211C"/>
    <w:rsid w:val="001821F8"/>
    <w:rsid w:val="00182CBE"/>
    <w:rsid w:val="001831B3"/>
    <w:rsid w:val="001845FA"/>
    <w:rsid w:val="0018522B"/>
    <w:rsid w:val="00185355"/>
    <w:rsid w:val="001854A8"/>
    <w:rsid w:val="00185D40"/>
    <w:rsid w:val="00186127"/>
    <w:rsid w:val="00186C17"/>
    <w:rsid w:val="00190180"/>
    <w:rsid w:val="00190A43"/>
    <w:rsid w:val="00190D0B"/>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A27"/>
    <w:rsid w:val="001A1ED0"/>
    <w:rsid w:val="001A35A6"/>
    <w:rsid w:val="001A368A"/>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253D"/>
    <w:rsid w:val="001B277C"/>
    <w:rsid w:val="001B2C6A"/>
    <w:rsid w:val="001B2F19"/>
    <w:rsid w:val="001B35ED"/>
    <w:rsid w:val="001B369D"/>
    <w:rsid w:val="001B450E"/>
    <w:rsid w:val="001B46DB"/>
    <w:rsid w:val="001B4F75"/>
    <w:rsid w:val="001B5C28"/>
    <w:rsid w:val="001B5DDB"/>
    <w:rsid w:val="001B62D3"/>
    <w:rsid w:val="001B74F4"/>
    <w:rsid w:val="001B75DC"/>
    <w:rsid w:val="001C0136"/>
    <w:rsid w:val="001C0431"/>
    <w:rsid w:val="001C0A6E"/>
    <w:rsid w:val="001C0AD1"/>
    <w:rsid w:val="001C0BCC"/>
    <w:rsid w:val="001C117D"/>
    <w:rsid w:val="001C1F9C"/>
    <w:rsid w:val="001C226A"/>
    <w:rsid w:val="001C236E"/>
    <w:rsid w:val="001C29E7"/>
    <w:rsid w:val="001C32C6"/>
    <w:rsid w:val="001C3E2D"/>
    <w:rsid w:val="001C41E8"/>
    <w:rsid w:val="001C48C7"/>
    <w:rsid w:val="001C4A9E"/>
    <w:rsid w:val="001C6CAB"/>
    <w:rsid w:val="001C6CC1"/>
    <w:rsid w:val="001C7130"/>
    <w:rsid w:val="001C7E70"/>
    <w:rsid w:val="001D0068"/>
    <w:rsid w:val="001D01C6"/>
    <w:rsid w:val="001D092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B8D"/>
    <w:rsid w:val="001E1DBA"/>
    <w:rsid w:val="001E1EF2"/>
    <w:rsid w:val="001E290B"/>
    <w:rsid w:val="001E331C"/>
    <w:rsid w:val="001E385F"/>
    <w:rsid w:val="001E39E4"/>
    <w:rsid w:val="001E490C"/>
    <w:rsid w:val="001E4C68"/>
    <w:rsid w:val="001E4D20"/>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A"/>
    <w:rsid w:val="001F2C3A"/>
    <w:rsid w:val="001F3531"/>
    <w:rsid w:val="001F3696"/>
    <w:rsid w:val="001F42FF"/>
    <w:rsid w:val="001F43B8"/>
    <w:rsid w:val="001F44B4"/>
    <w:rsid w:val="001F44D3"/>
    <w:rsid w:val="001F4510"/>
    <w:rsid w:val="001F58D3"/>
    <w:rsid w:val="001F64D8"/>
    <w:rsid w:val="001F65A4"/>
    <w:rsid w:val="001F65E0"/>
    <w:rsid w:val="001F6EE3"/>
    <w:rsid w:val="001F7362"/>
    <w:rsid w:val="001F7AE9"/>
    <w:rsid w:val="001F7CFD"/>
    <w:rsid w:val="002011D5"/>
    <w:rsid w:val="00201C2D"/>
    <w:rsid w:val="00202299"/>
    <w:rsid w:val="00203367"/>
    <w:rsid w:val="00204438"/>
    <w:rsid w:val="00204A44"/>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75B"/>
    <w:rsid w:val="00215783"/>
    <w:rsid w:val="002160A3"/>
    <w:rsid w:val="0021669B"/>
    <w:rsid w:val="00216876"/>
    <w:rsid w:val="0022018A"/>
    <w:rsid w:val="00220ADA"/>
    <w:rsid w:val="00220B7B"/>
    <w:rsid w:val="0022180E"/>
    <w:rsid w:val="00221A42"/>
    <w:rsid w:val="002220BA"/>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8D4"/>
    <w:rsid w:val="00243AC5"/>
    <w:rsid w:val="0024405D"/>
    <w:rsid w:val="00244516"/>
    <w:rsid w:val="00244C88"/>
    <w:rsid w:val="00244CF8"/>
    <w:rsid w:val="002454F0"/>
    <w:rsid w:val="00245A39"/>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CB"/>
    <w:rsid w:val="00254724"/>
    <w:rsid w:val="0025523F"/>
    <w:rsid w:val="00255D8E"/>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38C"/>
    <w:rsid w:val="002665A1"/>
    <w:rsid w:val="00266F00"/>
    <w:rsid w:val="002670EF"/>
    <w:rsid w:val="002671A2"/>
    <w:rsid w:val="00267A38"/>
    <w:rsid w:val="00267A56"/>
    <w:rsid w:val="00267F5F"/>
    <w:rsid w:val="0027086F"/>
    <w:rsid w:val="00270965"/>
    <w:rsid w:val="00271E5D"/>
    <w:rsid w:val="00272082"/>
    <w:rsid w:val="00272AEB"/>
    <w:rsid w:val="0027349D"/>
    <w:rsid w:val="00273516"/>
    <w:rsid w:val="00273985"/>
    <w:rsid w:val="00273B82"/>
    <w:rsid w:val="00273E7A"/>
    <w:rsid w:val="00274372"/>
    <w:rsid w:val="0027475A"/>
    <w:rsid w:val="00275F56"/>
    <w:rsid w:val="002765B7"/>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A9"/>
    <w:rsid w:val="002908CE"/>
    <w:rsid w:val="00290C43"/>
    <w:rsid w:val="00290C90"/>
    <w:rsid w:val="002916DB"/>
    <w:rsid w:val="0029190A"/>
    <w:rsid w:val="0029288A"/>
    <w:rsid w:val="00293271"/>
    <w:rsid w:val="00293587"/>
    <w:rsid w:val="00293896"/>
    <w:rsid w:val="00293ED1"/>
    <w:rsid w:val="00294A06"/>
    <w:rsid w:val="00294FFB"/>
    <w:rsid w:val="00295038"/>
    <w:rsid w:val="002954FD"/>
    <w:rsid w:val="00296242"/>
    <w:rsid w:val="002964CA"/>
    <w:rsid w:val="00296CE6"/>
    <w:rsid w:val="002973DF"/>
    <w:rsid w:val="00297D6A"/>
    <w:rsid w:val="002A0190"/>
    <w:rsid w:val="002A0983"/>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830"/>
    <w:rsid w:val="002B3A06"/>
    <w:rsid w:val="002B4552"/>
    <w:rsid w:val="002B4C84"/>
    <w:rsid w:val="002B5746"/>
    <w:rsid w:val="002B63D3"/>
    <w:rsid w:val="002B6537"/>
    <w:rsid w:val="002B6815"/>
    <w:rsid w:val="002B6AB1"/>
    <w:rsid w:val="002B6E20"/>
    <w:rsid w:val="002B71D1"/>
    <w:rsid w:val="002C0144"/>
    <w:rsid w:val="002C0CAC"/>
    <w:rsid w:val="002C1F28"/>
    <w:rsid w:val="002C254B"/>
    <w:rsid w:val="002C25DE"/>
    <w:rsid w:val="002C27E8"/>
    <w:rsid w:val="002C2965"/>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55B"/>
    <w:rsid w:val="002D1AD3"/>
    <w:rsid w:val="002D3759"/>
    <w:rsid w:val="002D40A5"/>
    <w:rsid w:val="002D48E1"/>
    <w:rsid w:val="002D4ED0"/>
    <w:rsid w:val="002D612D"/>
    <w:rsid w:val="002D61C8"/>
    <w:rsid w:val="002D629E"/>
    <w:rsid w:val="002D6E9A"/>
    <w:rsid w:val="002D726B"/>
    <w:rsid w:val="002D75DB"/>
    <w:rsid w:val="002E0067"/>
    <w:rsid w:val="002E02D0"/>
    <w:rsid w:val="002E0489"/>
    <w:rsid w:val="002E04C0"/>
    <w:rsid w:val="002E0544"/>
    <w:rsid w:val="002E0C8E"/>
    <w:rsid w:val="002E1DF4"/>
    <w:rsid w:val="002E211F"/>
    <w:rsid w:val="002E2C3B"/>
    <w:rsid w:val="002E320C"/>
    <w:rsid w:val="002E3C37"/>
    <w:rsid w:val="002E4BA7"/>
    <w:rsid w:val="002E4D3D"/>
    <w:rsid w:val="002E5C58"/>
    <w:rsid w:val="002E5CA7"/>
    <w:rsid w:val="002E668B"/>
    <w:rsid w:val="002E7235"/>
    <w:rsid w:val="002E7DEA"/>
    <w:rsid w:val="002F0276"/>
    <w:rsid w:val="002F10E7"/>
    <w:rsid w:val="002F11F9"/>
    <w:rsid w:val="002F1274"/>
    <w:rsid w:val="002F13E0"/>
    <w:rsid w:val="002F16CB"/>
    <w:rsid w:val="002F1742"/>
    <w:rsid w:val="002F1AB0"/>
    <w:rsid w:val="002F1D0E"/>
    <w:rsid w:val="002F3C64"/>
    <w:rsid w:val="002F4431"/>
    <w:rsid w:val="002F47E7"/>
    <w:rsid w:val="002F510D"/>
    <w:rsid w:val="002F579D"/>
    <w:rsid w:val="002F57EC"/>
    <w:rsid w:val="002F5AB7"/>
    <w:rsid w:val="002F5F61"/>
    <w:rsid w:val="00300081"/>
    <w:rsid w:val="0030023E"/>
    <w:rsid w:val="0030059B"/>
    <w:rsid w:val="00300FC5"/>
    <w:rsid w:val="00301277"/>
    <w:rsid w:val="00301837"/>
    <w:rsid w:val="003019CD"/>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367"/>
    <w:rsid w:val="0031354F"/>
    <w:rsid w:val="00314614"/>
    <w:rsid w:val="00314739"/>
    <w:rsid w:val="00314773"/>
    <w:rsid w:val="00314F8A"/>
    <w:rsid w:val="003151F3"/>
    <w:rsid w:val="003152FA"/>
    <w:rsid w:val="003154DB"/>
    <w:rsid w:val="00316779"/>
    <w:rsid w:val="00317DA5"/>
    <w:rsid w:val="003201D0"/>
    <w:rsid w:val="003205E0"/>
    <w:rsid w:val="00320B8F"/>
    <w:rsid w:val="00320C20"/>
    <w:rsid w:val="00321386"/>
    <w:rsid w:val="00321788"/>
    <w:rsid w:val="00321848"/>
    <w:rsid w:val="00321CB3"/>
    <w:rsid w:val="00322341"/>
    <w:rsid w:val="0032345B"/>
    <w:rsid w:val="003235FE"/>
    <w:rsid w:val="00324FF5"/>
    <w:rsid w:val="003256A0"/>
    <w:rsid w:val="00325893"/>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404"/>
    <w:rsid w:val="003327BD"/>
    <w:rsid w:val="003338EB"/>
    <w:rsid w:val="00334446"/>
    <w:rsid w:val="0033444C"/>
    <w:rsid w:val="00334725"/>
    <w:rsid w:val="00334A38"/>
    <w:rsid w:val="00334AE6"/>
    <w:rsid w:val="00334AF1"/>
    <w:rsid w:val="003353D5"/>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2D0"/>
    <w:rsid w:val="00352775"/>
    <w:rsid w:val="00352F14"/>
    <w:rsid w:val="003530B3"/>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B6"/>
    <w:rsid w:val="00386891"/>
    <w:rsid w:val="00386A21"/>
    <w:rsid w:val="0038735C"/>
    <w:rsid w:val="003874B4"/>
    <w:rsid w:val="00387631"/>
    <w:rsid w:val="00387823"/>
    <w:rsid w:val="00390044"/>
    <w:rsid w:val="003903FB"/>
    <w:rsid w:val="00390644"/>
    <w:rsid w:val="0039066F"/>
    <w:rsid w:val="00390D50"/>
    <w:rsid w:val="00390EAD"/>
    <w:rsid w:val="00390EAF"/>
    <w:rsid w:val="00390F3A"/>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E29"/>
    <w:rsid w:val="003B5306"/>
    <w:rsid w:val="003B5757"/>
    <w:rsid w:val="003B5DE6"/>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9A7"/>
    <w:rsid w:val="003C6BED"/>
    <w:rsid w:val="003C7965"/>
    <w:rsid w:val="003C7D06"/>
    <w:rsid w:val="003C7EF7"/>
    <w:rsid w:val="003D0E1F"/>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AC4"/>
    <w:rsid w:val="003E3816"/>
    <w:rsid w:val="003E4979"/>
    <w:rsid w:val="003E4B79"/>
    <w:rsid w:val="003E4B85"/>
    <w:rsid w:val="003E555D"/>
    <w:rsid w:val="003E581F"/>
    <w:rsid w:val="003E5F16"/>
    <w:rsid w:val="003E634D"/>
    <w:rsid w:val="003E64BB"/>
    <w:rsid w:val="003E6AC1"/>
    <w:rsid w:val="003E7EEA"/>
    <w:rsid w:val="003F01E7"/>
    <w:rsid w:val="003F18CF"/>
    <w:rsid w:val="003F2BFE"/>
    <w:rsid w:val="003F3A44"/>
    <w:rsid w:val="003F3CDE"/>
    <w:rsid w:val="003F5325"/>
    <w:rsid w:val="003F5F0A"/>
    <w:rsid w:val="003F664F"/>
    <w:rsid w:val="003F6DF4"/>
    <w:rsid w:val="003F7022"/>
    <w:rsid w:val="003F7263"/>
    <w:rsid w:val="003F7D77"/>
    <w:rsid w:val="00400A5E"/>
    <w:rsid w:val="00400F61"/>
    <w:rsid w:val="004015B0"/>
    <w:rsid w:val="004016AD"/>
    <w:rsid w:val="00401A15"/>
    <w:rsid w:val="00401C5B"/>
    <w:rsid w:val="00401DB1"/>
    <w:rsid w:val="004020FB"/>
    <w:rsid w:val="0040230D"/>
    <w:rsid w:val="0040241D"/>
    <w:rsid w:val="004028D0"/>
    <w:rsid w:val="00402940"/>
    <w:rsid w:val="00403226"/>
    <w:rsid w:val="00403827"/>
    <w:rsid w:val="004040E3"/>
    <w:rsid w:val="00404D4D"/>
    <w:rsid w:val="00406AFE"/>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11F"/>
    <w:rsid w:val="00416787"/>
    <w:rsid w:val="00416893"/>
    <w:rsid w:val="00420226"/>
    <w:rsid w:val="004203CA"/>
    <w:rsid w:val="004208D7"/>
    <w:rsid w:val="00420CA2"/>
    <w:rsid w:val="00421878"/>
    <w:rsid w:val="00421AEE"/>
    <w:rsid w:val="004228EE"/>
    <w:rsid w:val="00422BB1"/>
    <w:rsid w:val="00422D87"/>
    <w:rsid w:val="0042325A"/>
    <w:rsid w:val="0042336F"/>
    <w:rsid w:val="004234EF"/>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81D"/>
    <w:rsid w:val="00431A68"/>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6043D"/>
    <w:rsid w:val="00460EF6"/>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EFD"/>
    <w:rsid w:val="00470535"/>
    <w:rsid w:val="00471183"/>
    <w:rsid w:val="0047123C"/>
    <w:rsid w:val="004714F6"/>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B0E"/>
    <w:rsid w:val="00481688"/>
    <w:rsid w:val="004820E0"/>
    <w:rsid w:val="004822CA"/>
    <w:rsid w:val="00483F95"/>
    <w:rsid w:val="00484D20"/>
    <w:rsid w:val="004850C1"/>
    <w:rsid w:val="00486F54"/>
    <w:rsid w:val="004871B4"/>
    <w:rsid w:val="004876DD"/>
    <w:rsid w:val="0049067E"/>
    <w:rsid w:val="0049178A"/>
    <w:rsid w:val="00491C1D"/>
    <w:rsid w:val="00491DF1"/>
    <w:rsid w:val="00492535"/>
    <w:rsid w:val="00493435"/>
    <w:rsid w:val="00493C39"/>
    <w:rsid w:val="0049434C"/>
    <w:rsid w:val="00494B28"/>
    <w:rsid w:val="00495FFF"/>
    <w:rsid w:val="0049613A"/>
    <w:rsid w:val="00496591"/>
    <w:rsid w:val="00496A9F"/>
    <w:rsid w:val="00496EB5"/>
    <w:rsid w:val="00497358"/>
    <w:rsid w:val="00497FA5"/>
    <w:rsid w:val="004A03B3"/>
    <w:rsid w:val="004A04D5"/>
    <w:rsid w:val="004A07CC"/>
    <w:rsid w:val="004A0F3D"/>
    <w:rsid w:val="004A1361"/>
    <w:rsid w:val="004A1B07"/>
    <w:rsid w:val="004A2E04"/>
    <w:rsid w:val="004A3226"/>
    <w:rsid w:val="004A399F"/>
    <w:rsid w:val="004A4096"/>
    <w:rsid w:val="004A4692"/>
    <w:rsid w:val="004A669F"/>
    <w:rsid w:val="004A6842"/>
    <w:rsid w:val="004A718C"/>
    <w:rsid w:val="004A7DBE"/>
    <w:rsid w:val="004A7F94"/>
    <w:rsid w:val="004B08AC"/>
    <w:rsid w:val="004B0D88"/>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B5D"/>
    <w:rsid w:val="004B7D94"/>
    <w:rsid w:val="004C0FB7"/>
    <w:rsid w:val="004C104B"/>
    <w:rsid w:val="004C164A"/>
    <w:rsid w:val="004C2E14"/>
    <w:rsid w:val="004C2FE3"/>
    <w:rsid w:val="004C305A"/>
    <w:rsid w:val="004C34B9"/>
    <w:rsid w:val="004C35EF"/>
    <w:rsid w:val="004C3BCF"/>
    <w:rsid w:val="004C4829"/>
    <w:rsid w:val="004C48E5"/>
    <w:rsid w:val="004C4D30"/>
    <w:rsid w:val="004C4EAB"/>
    <w:rsid w:val="004C5570"/>
    <w:rsid w:val="004C5BD0"/>
    <w:rsid w:val="004C5D52"/>
    <w:rsid w:val="004C5DB0"/>
    <w:rsid w:val="004C60D8"/>
    <w:rsid w:val="004C62EE"/>
    <w:rsid w:val="004C6A0D"/>
    <w:rsid w:val="004C7F4F"/>
    <w:rsid w:val="004D1000"/>
    <w:rsid w:val="004D1D27"/>
    <w:rsid w:val="004D2EC3"/>
    <w:rsid w:val="004D2FF6"/>
    <w:rsid w:val="004D3FD6"/>
    <w:rsid w:val="004D405F"/>
    <w:rsid w:val="004D55CA"/>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C7"/>
    <w:rsid w:val="004E356A"/>
    <w:rsid w:val="004E375D"/>
    <w:rsid w:val="004E3850"/>
    <w:rsid w:val="004E3FC1"/>
    <w:rsid w:val="004E58EA"/>
    <w:rsid w:val="004E5F65"/>
    <w:rsid w:val="004E6172"/>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667"/>
    <w:rsid w:val="004F7F0F"/>
    <w:rsid w:val="004F7FBC"/>
    <w:rsid w:val="005001AE"/>
    <w:rsid w:val="00500287"/>
    <w:rsid w:val="005007E7"/>
    <w:rsid w:val="005012FC"/>
    <w:rsid w:val="005019BC"/>
    <w:rsid w:val="00501EBE"/>
    <w:rsid w:val="00503551"/>
    <w:rsid w:val="005037BB"/>
    <w:rsid w:val="00503F38"/>
    <w:rsid w:val="005043FC"/>
    <w:rsid w:val="00504855"/>
    <w:rsid w:val="00504A55"/>
    <w:rsid w:val="00505F08"/>
    <w:rsid w:val="0050671D"/>
    <w:rsid w:val="0050672C"/>
    <w:rsid w:val="00506C4C"/>
    <w:rsid w:val="0050700E"/>
    <w:rsid w:val="005079D7"/>
    <w:rsid w:val="00507B2A"/>
    <w:rsid w:val="00507F8E"/>
    <w:rsid w:val="00510A22"/>
    <w:rsid w:val="00510D8A"/>
    <w:rsid w:val="005118DF"/>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92E"/>
    <w:rsid w:val="005232E0"/>
    <w:rsid w:val="0052373B"/>
    <w:rsid w:val="0052397B"/>
    <w:rsid w:val="00523E00"/>
    <w:rsid w:val="0052439F"/>
    <w:rsid w:val="005243EB"/>
    <w:rsid w:val="00524CF5"/>
    <w:rsid w:val="00525789"/>
    <w:rsid w:val="00525890"/>
    <w:rsid w:val="00526452"/>
    <w:rsid w:val="00526816"/>
    <w:rsid w:val="00526F09"/>
    <w:rsid w:val="00527591"/>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7753"/>
    <w:rsid w:val="005479F5"/>
    <w:rsid w:val="00547D90"/>
    <w:rsid w:val="005508EF"/>
    <w:rsid w:val="005510E3"/>
    <w:rsid w:val="0055173F"/>
    <w:rsid w:val="00551AE8"/>
    <w:rsid w:val="00551D57"/>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775"/>
    <w:rsid w:val="005647AB"/>
    <w:rsid w:val="00564F25"/>
    <w:rsid w:val="00566C28"/>
    <w:rsid w:val="00566EBC"/>
    <w:rsid w:val="00567500"/>
    <w:rsid w:val="0056753D"/>
    <w:rsid w:val="0056778B"/>
    <w:rsid w:val="00567811"/>
    <w:rsid w:val="00567938"/>
    <w:rsid w:val="00567CDA"/>
    <w:rsid w:val="00570163"/>
    <w:rsid w:val="005701B3"/>
    <w:rsid w:val="005702BD"/>
    <w:rsid w:val="005704B1"/>
    <w:rsid w:val="0057182E"/>
    <w:rsid w:val="00572749"/>
    <w:rsid w:val="005739F4"/>
    <w:rsid w:val="00573A7F"/>
    <w:rsid w:val="00573EE1"/>
    <w:rsid w:val="0057406C"/>
    <w:rsid w:val="00575051"/>
    <w:rsid w:val="00575295"/>
    <w:rsid w:val="005758E3"/>
    <w:rsid w:val="0057605A"/>
    <w:rsid w:val="00576CB4"/>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D18"/>
    <w:rsid w:val="00590EDD"/>
    <w:rsid w:val="00591988"/>
    <w:rsid w:val="005921C8"/>
    <w:rsid w:val="005922A3"/>
    <w:rsid w:val="0059239E"/>
    <w:rsid w:val="005924DB"/>
    <w:rsid w:val="005929E8"/>
    <w:rsid w:val="00592A2E"/>
    <w:rsid w:val="00592E30"/>
    <w:rsid w:val="00593155"/>
    <w:rsid w:val="0059353B"/>
    <w:rsid w:val="005938DB"/>
    <w:rsid w:val="00594027"/>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41B3"/>
    <w:rsid w:val="005B4289"/>
    <w:rsid w:val="005B57DC"/>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802"/>
    <w:rsid w:val="005C3964"/>
    <w:rsid w:val="005C428A"/>
    <w:rsid w:val="005C4330"/>
    <w:rsid w:val="005C4544"/>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D1F"/>
    <w:rsid w:val="005D1D60"/>
    <w:rsid w:val="005D205D"/>
    <w:rsid w:val="005D2F54"/>
    <w:rsid w:val="005D33D2"/>
    <w:rsid w:val="005D353D"/>
    <w:rsid w:val="005D3FD5"/>
    <w:rsid w:val="005D593D"/>
    <w:rsid w:val="005D5F0A"/>
    <w:rsid w:val="005D63A5"/>
    <w:rsid w:val="005D69A4"/>
    <w:rsid w:val="005D79B5"/>
    <w:rsid w:val="005D7BDA"/>
    <w:rsid w:val="005E0A1F"/>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EB4"/>
    <w:rsid w:val="005E40C8"/>
    <w:rsid w:val="005E43DF"/>
    <w:rsid w:val="005E48DE"/>
    <w:rsid w:val="005E566F"/>
    <w:rsid w:val="005E64AF"/>
    <w:rsid w:val="005E6BE9"/>
    <w:rsid w:val="005E71A5"/>
    <w:rsid w:val="005E777B"/>
    <w:rsid w:val="005E7FA0"/>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1E9"/>
    <w:rsid w:val="005F764A"/>
    <w:rsid w:val="0060008E"/>
    <w:rsid w:val="006005C1"/>
    <w:rsid w:val="006011A0"/>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07E03"/>
    <w:rsid w:val="00611BA6"/>
    <w:rsid w:val="00611CCD"/>
    <w:rsid w:val="00612465"/>
    <w:rsid w:val="00612D19"/>
    <w:rsid w:val="0061330F"/>
    <w:rsid w:val="00613641"/>
    <w:rsid w:val="00613B4D"/>
    <w:rsid w:val="00614139"/>
    <w:rsid w:val="00614483"/>
    <w:rsid w:val="0061478C"/>
    <w:rsid w:val="0061516E"/>
    <w:rsid w:val="006151BC"/>
    <w:rsid w:val="00615204"/>
    <w:rsid w:val="006154F0"/>
    <w:rsid w:val="00615E77"/>
    <w:rsid w:val="00616128"/>
    <w:rsid w:val="00616221"/>
    <w:rsid w:val="006162A3"/>
    <w:rsid w:val="00616C7D"/>
    <w:rsid w:val="0061735F"/>
    <w:rsid w:val="006205E1"/>
    <w:rsid w:val="006208EE"/>
    <w:rsid w:val="0062091D"/>
    <w:rsid w:val="00620C44"/>
    <w:rsid w:val="0062100E"/>
    <w:rsid w:val="006211A5"/>
    <w:rsid w:val="006219BC"/>
    <w:rsid w:val="00621DD8"/>
    <w:rsid w:val="00622789"/>
    <w:rsid w:val="006233C1"/>
    <w:rsid w:val="00623DB9"/>
    <w:rsid w:val="00624649"/>
    <w:rsid w:val="006249A7"/>
    <w:rsid w:val="006249D1"/>
    <w:rsid w:val="00624D4F"/>
    <w:rsid w:val="00625713"/>
    <w:rsid w:val="00625B22"/>
    <w:rsid w:val="00625C53"/>
    <w:rsid w:val="00626415"/>
    <w:rsid w:val="0062768B"/>
    <w:rsid w:val="00627941"/>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3E4"/>
    <w:rsid w:val="00636EF8"/>
    <w:rsid w:val="00636FEF"/>
    <w:rsid w:val="0063715F"/>
    <w:rsid w:val="0063764D"/>
    <w:rsid w:val="006377DB"/>
    <w:rsid w:val="006405A2"/>
    <w:rsid w:val="00640699"/>
    <w:rsid w:val="0064096C"/>
    <w:rsid w:val="006415EB"/>
    <w:rsid w:val="006417E0"/>
    <w:rsid w:val="006418D2"/>
    <w:rsid w:val="006419D4"/>
    <w:rsid w:val="00641B37"/>
    <w:rsid w:val="00641E1E"/>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2C8F"/>
    <w:rsid w:val="00653AC4"/>
    <w:rsid w:val="00653C52"/>
    <w:rsid w:val="006540C1"/>
    <w:rsid w:val="00654642"/>
    <w:rsid w:val="00654AF4"/>
    <w:rsid w:val="00654CB8"/>
    <w:rsid w:val="0065561D"/>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700F"/>
    <w:rsid w:val="00667FB2"/>
    <w:rsid w:val="00670D2E"/>
    <w:rsid w:val="0067269F"/>
    <w:rsid w:val="006726CB"/>
    <w:rsid w:val="0067272F"/>
    <w:rsid w:val="00673BA4"/>
    <w:rsid w:val="00674C5D"/>
    <w:rsid w:val="00674ED8"/>
    <w:rsid w:val="00675793"/>
    <w:rsid w:val="00675C5E"/>
    <w:rsid w:val="00676F0B"/>
    <w:rsid w:val="006773D1"/>
    <w:rsid w:val="006801BB"/>
    <w:rsid w:val="006802E3"/>
    <w:rsid w:val="00680CC6"/>
    <w:rsid w:val="00681010"/>
    <w:rsid w:val="0068241B"/>
    <w:rsid w:val="00683889"/>
    <w:rsid w:val="006842A2"/>
    <w:rsid w:val="006846DB"/>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ACB"/>
    <w:rsid w:val="00692C4E"/>
    <w:rsid w:val="006936DB"/>
    <w:rsid w:val="00693801"/>
    <w:rsid w:val="00693C26"/>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77A"/>
    <w:rsid w:val="006A7AE9"/>
    <w:rsid w:val="006A7C9D"/>
    <w:rsid w:val="006B0264"/>
    <w:rsid w:val="006B1E59"/>
    <w:rsid w:val="006B2995"/>
    <w:rsid w:val="006B2F13"/>
    <w:rsid w:val="006B3EFD"/>
    <w:rsid w:val="006B40C8"/>
    <w:rsid w:val="006B472A"/>
    <w:rsid w:val="006B549F"/>
    <w:rsid w:val="006B65CB"/>
    <w:rsid w:val="006B765D"/>
    <w:rsid w:val="006C0867"/>
    <w:rsid w:val="006C12F3"/>
    <w:rsid w:val="006C1D4C"/>
    <w:rsid w:val="006C215A"/>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2290"/>
    <w:rsid w:val="006E2C6D"/>
    <w:rsid w:val="006E33D2"/>
    <w:rsid w:val="006E374B"/>
    <w:rsid w:val="006E3B50"/>
    <w:rsid w:val="006E44D3"/>
    <w:rsid w:val="006E4705"/>
    <w:rsid w:val="006E470D"/>
    <w:rsid w:val="006E49DF"/>
    <w:rsid w:val="006E4E81"/>
    <w:rsid w:val="006E58CF"/>
    <w:rsid w:val="006E6241"/>
    <w:rsid w:val="006E645F"/>
    <w:rsid w:val="006E6F3D"/>
    <w:rsid w:val="006F0B4A"/>
    <w:rsid w:val="006F117D"/>
    <w:rsid w:val="006F1195"/>
    <w:rsid w:val="006F13F3"/>
    <w:rsid w:val="006F1DBD"/>
    <w:rsid w:val="006F1E00"/>
    <w:rsid w:val="006F28C3"/>
    <w:rsid w:val="006F301F"/>
    <w:rsid w:val="006F4EDA"/>
    <w:rsid w:val="006F5847"/>
    <w:rsid w:val="006F5B1A"/>
    <w:rsid w:val="006F5F76"/>
    <w:rsid w:val="006F6790"/>
    <w:rsid w:val="00700821"/>
    <w:rsid w:val="00700E98"/>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2020"/>
    <w:rsid w:val="00712026"/>
    <w:rsid w:val="007121C0"/>
    <w:rsid w:val="00712638"/>
    <w:rsid w:val="0071276A"/>
    <w:rsid w:val="00712B22"/>
    <w:rsid w:val="00712D93"/>
    <w:rsid w:val="00713806"/>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206C"/>
    <w:rsid w:val="007223DC"/>
    <w:rsid w:val="0072242A"/>
    <w:rsid w:val="00722BE6"/>
    <w:rsid w:val="00722CD9"/>
    <w:rsid w:val="00722E26"/>
    <w:rsid w:val="00722EF9"/>
    <w:rsid w:val="007232F1"/>
    <w:rsid w:val="00723F60"/>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927"/>
    <w:rsid w:val="00737A4B"/>
    <w:rsid w:val="00740008"/>
    <w:rsid w:val="00741355"/>
    <w:rsid w:val="00741C56"/>
    <w:rsid w:val="00741C83"/>
    <w:rsid w:val="00741E9A"/>
    <w:rsid w:val="0074283C"/>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A17"/>
    <w:rsid w:val="00756B41"/>
    <w:rsid w:val="007576EC"/>
    <w:rsid w:val="00757957"/>
    <w:rsid w:val="00760978"/>
    <w:rsid w:val="00760D42"/>
    <w:rsid w:val="007623B0"/>
    <w:rsid w:val="00762A7D"/>
    <w:rsid w:val="00762F6E"/>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FF9"/>
    <w:rsid w:val="0078285C"/>
    <w:rsid w:val="00782B30"/>
    <w:rsid w:val="00782FA6"/>
    <w:rsid w:val="00783A36"/>
    <w:rsid w:val="007845D4"/>
    <w:rsid w:val="00784DF0"/>
    <w:rsid w:val="00785A38"/>
    <w:rsid w:val="00785C2A"/>
    <w:rsid w:val="0078668F"/>
    <w:rsid w:val="0078700E"/>
    <w:rsid w:val="00787339"/>
    <w:rsid w:val="0078755B"/>
    <w:rsid w:val="00787B59"/>
    <w:rsid w:val="00787EB2"/>
    <w:rsid w:val="007900A9"/>
    <w:rsid w:val="00790DC4"/>
    <w:rsid w:val="007910C3"/>
    <w:rsid w:val="00791110"/>
    <w:rsid w:val="00791250"/>
    <w:rsid w:val="0079150D"/>
    <w:rsid w:val="00791DE1"/>
    <w:rsid w:val="00793181"/>
    <w:rsid w:val="00793372"/>
    <w:rsid w:val="007936BD"/>
    <w:rsid w:val="007936C1"/>
    <w:rsid w:val="00793D45"/>
    <w:rsid w:val="00795E20"/>
    <w:rsid w:val="00796787"/>
    <w:rsid w:val="007975BD"/>
    <w:rsid w:val="007978C7"/>
    <w:rsid w:val="00797B7E"/>
    <w:rsid w:val="007A05A2"/>
    <w:rsid w:val="007A10D6"/>
    <w:rsid w:val="007A12EE"/>
    <w:rsid w:val="007A138C"/>
    <w:rsid w:val="007A1834"/>
    <w:rsid w:val="007A1856"/>
    <w:rsid w:val="007A1C3A"/>
    <w:rsid w:val="007A1E52"/>
    <w:rsid w:val="007A2A4D"/>
    <w:rsid w:val="007A31B2"/>
    <w:rsid w:val="007A3629"/>
    <w:rsid w:val="007A385C"/>
    <w:rsid w:val="007A38F5"/>
    <w:rsid w:val="007A3D24"/>
    <w:rsid w:val="007A4755"/>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388"/>
    <w:rsid w:val="007D25B9"/>
    <w:rsid w:val="007D2BE8"/>
    <w:rsid w:val="007D3066"/>
    <w:rsid w:val="007D421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45CA"/>
    <w:rsid w:val="007E48C0"/>
    <w:rsid w:val="007E5885"/>
    <w:rsid w:val="007E61B7"/>
    <w:rsid w:val="007E64FF"/>
    <w:rsid w:val="007E6F62"/>
    <w:rsid w:val="007E6FEA"/>
    <w:rsid w:val="007E7C7B"/>
    <w:rsid w:val="007E7DA1"/>
    <w:rsid w:val="007E7E0F"/>
    <w:rsid w:val="007E7F8F"/>
    <w:rsid w:val="007F015E"/>
    <w:rsid w:val="007F1160"/>
    <w:rsid w:val="007F194F"/>
    <w:rsid w:val="007F1D9B"/>
    <w:rsid w:val="007F21B0"/>
    <w:rsid w:val="007F26BE"/>
    <w:rsid w:val="007F2DE9"/>
    <w:rsid w:val="007F341B"/>
    <w:rsid w:val="007F3682"/>
    <w:rsid w:val="007F3AA2"/>
    <w:rsid w:val="007F3B45"/>
    <w:rsid w:val="007F3E3E"/>
    <w:rsid w:val="007F4A9E"/>
    <w:rsid w:val="007F4ABC"/>
    <w:rsid w:val="007F4D45"/>
    <w:rsid w:val="007F510F"/>
    <w:rsid w:val="007F545B"/>
    <w:rsid w:val="007F5687"/>
    <w:rsid w:val="007F59B2"/>
    <w:rsid w:val="007F61E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91F"/>
    <w:rsid w:val="00815A7E"/>
    <w:rsid w:val="00815A99"/>
    <w:rsid w:val="00815E5B"/>
    <w:rsid w:val="008160D1"/>
    <w:rsid w:val="008162B3"/>
    <w:rsid w:val="0081640D"/>
    <w:rsid w:val="0081687A"/>
    <w:rsid w:val="008169A1"/>
    <w:rsid w:val="00816B62"/>
    <w:rsid w:val="00816D37"/>
    <w:rsid w:val="00820160"/>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181"/>
    <w:rsid w:val="008262BC"/>
    <w:rsid w:val="008266A2"/>
    <w:rsid w:val="008267AE"/>
    <w:rsid w:val="00826970"/>
    <w:rsid w:val="00830B33"/>
    <w:rsid w:val="0083118A"/>
    <w:rsid w:val="00831784"/>
    <w:rsid w:val="00831CBC"/>
    <w:rsid w:val="00832727"/>
    <w:rsid w:val="00833563"/>
    <w:rsid w:val="008337C1"/>
    <w:rsid w:val="00833C32"/>
    <w:rsid w:val="00834F23"/>
    <w:rsid w:val="00835092"/>
    <w:rsid w:val="008353B6"/>
    <w:rsid w:val="00836A67"/>
    <w:rsid w:val="00836CEB"/>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989"/>
    <w:rsid w:val="008772D9"/>
    <w:rsid w:val="00877B29"/>
    <w:rsid w:val="00880143"/>
    <w:rsid w:val="008808B9"/>
    <w:rsid w:val="00880B30"/>
    <w:rsid w:val="00880F1D"/>
    <w:rsid w:val="00881685"/>
    <w:rsid w:val="0088172A"/>
    <w:rsid w:val="00881784"/>
    <w:rsid w:val="00881F90"/>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184"/>
    <w:rsid w:val="008875B1"/>
    <w:rsid w:val="008879EA"/>
    <w:rsid w:val="00890139"/>
    <w:rsid w:val="0089160E"/>
    <w:rsid w:val="00891D15"/>
    <w:rsid w:val="008921B1"/>
    <w:rsid w:val="00892687"/>
    <w:rsid w:val="00893386"/>
    <w:rsid w:val="0089363C"/>
    <w:rsid w:val="00893657"/>
    <w:rsid w:val="00893671"/>
    <w:rsid w:val="00893D79"/>
    <w:rsid w:val="008940DF"/>
    <w:rsid w:val="008941FB"/>
    <w:rsid w:val="00894565"/>
    <w:rsid w:val="008950D6"/>
    <w:rsid w:val="00895B46"/>
    <w:rsid w:val="00896474"/>
    <w:rsid w:val="00896DBC"/>
    <w:rsid w:val="0089778E"/>
    <w:rsid w:val="00897B59"/>
    <w:rsid w:val="00897C6C"/>
    <w:rsid w:val="00897D1A"/>
    <w:rsid w:val="008A0905"/>
    <w:rsid w:val="008A0B02"/>
    <w:rsid w:val="008A0E0D"/>
    <w:rsid w:val="008A10E7"/>
    <w:rsid w:val="008A155C"/>
    <w:rsid w:val="008A180E"/>
    <w:rsid w:val="008A197C"/>
    <w:rsid w:val="008A2545"/>
    <w:rsid w:val="008A2636"/>
    <w:rsid w:val="008A35DB"/>
    <w:rsid w:val="008A3AF9"/>
    <w:rsid w:val="008A3FBE"/>
    <w:rsid w:val="008A4013"/>
    <w:rsid w:val="008A42FA"/>
    <w:rsid w:val="008A4C9C"/>
    <w:rsid w:val="008A6041"/>
    <w:rsid w:val="008A60F8"/>
    <w:rsid w:val="008A66A8"/>
    <w:rsid w:val="008A69FE"/>
    <w:rsid w:val="008A6EC7"/>
    <w:rsid w:val="008A6F36"/>
    <w:rsid w:val="008A7286"/>
    <w:rsid w:val="008A7B50"/>
    <w:rsid w:val="008B0641"/>
    <w:rsid w:val="008B0EB7"/>
    <w:rsid w:val="008B138E"/>
    <w:rsid w:val="008B168B"/>
    <w:rsid w:val="008B1C78"/>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29FE"/>
    <w:rsid w:val="008C32CA"/>
    <w:rsid w:val="008C3967"/>
    <w:rsid w:val="008C431E"/>
    <w:rsid w:val="008C54BD"/>
    <w:rsid w:val="008C54C4"/>
    <w:rsid w:val="008C6056"/>
    <w:rsid w:val="008C60C4"/>
    <w:rsid w:val="008C6628"/>
    <w:rsid w:val="008C69C9"/>
    <w:rsid w:val="008C6E38"/>
    <w:rsid w:val="008C6F75"/>
    <w:rsid w:val="008C790B"/>
    <w:rsid w:val="008C7C18"/>
    <w:rsid w:val="008C7CC4"/>
    <w:rsid w:val="008D047D"/>
    <w:rsid w:val="008D0B4C"/>
    <w:rsid w:val="008D14C4"/>
    <w:rsid w:val="008D1800"/>
    <w:rsid w:val="008D1964"/>
    <w:rsid w:val="008D221A"/>
    <w:rsid w:val="008D24D6"/>
    <w:rsid w:val="008D24E1"/>
    <w:rsid w:val="008D3E6A"/>
    <w:rsid w:val="008D53E2"/>
    <w:rsid w:val="008D5908"/>
    <w:rsid w:val="008D5AF1"/>
    <w:rsid w:val="008D626C"/>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562"/>
    <w:rsid w:val="008E7CC9"/>
    <w:rsid w:val="008F02A1"/>
    <w:rsid w:val="008F0624"/>
    <w:rsid w:val="008F0E69"/>
    <w:rsid w:val="008F0F3B"/>
    <w:rsid w:val="008F12FF"/>
    <w:rsid w:val="008F3D3E"/>
    <w:rsid w:val="008F3F31"/>
    <w:rsid w:val="008F4655"/>
    <w:rsid w:val="008F4779"/>
    <w:rsid w:val="008F542B"/>
    <w:rsid w:val="008F5670"/>
    <w:rsid w:val="008F599F"/>
    <w:rsid w:val="008F63DF"/>
    <w:rsid w:val="008F6428"/>
    <w:rsid w:val="008F64E5"/>
    <w:rsid w:val="008F677E"/>
    <w:rsid w:val="008F7C28"/>
    <w:rsid w:val="0090034D"/>
    <w:rsid w:val="00900EC7"/>
    <w:rsid w:val="00900FFC"/>
    <w:rsid w:val="009011F9"/>
    <w:rsid w:val="00901244"/>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616A"/>
    <w:rsid w:val="00906527"/>
    <w:rsid w:val="00906BD9"/>
    <w:rsid w:val="00906EA0"/>
    <w:rsid w:val="0090737D"/>
    <w:rsid w:val="00907F4C"/>
    <w:rsid w:val="0091006A"/>
    <w:rsid w:val="00910B57"/>
    <w:rsid w:val="0091148A"/>
    <w:rsid w:val="00911FD7"/>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668D"/>
    <w:rsid w:val="009271AB"/>
    <w:rsid w:val="00927281"/>
    <w:rsid w:val="009273B8"/>
    <w:rsid w:val="00927A20"/>
    <w:rsid w:val="00930298"/>
    <w:rsid w:val="009302A6"/>
    <w:rsid w:val="00931325"/>
    <w:rsid w:val="009319DC"/>
    <w:rsid w:val="00931AAD"/>
    <w:rsid w:val="00931E6D"/>
    <w:rsid w:val="00932120"/>
    <w:rsid w:val="00932D04"/>
    <w:rsid w:val="00932E9E"/>
    <w:rsid w:val="00933B8A"/>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243B"/>
    <w:rsid w:val="009425EB"/>
    <w:rsid w:val="00942810"/>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459"/>
    <w:rsid w:val="009657D5"/>
    <w:rsid w:val="00965F9F"/>
    <w:rsid w:val="00966141"/>
    <w:rsid w:val="009662EC"/>
    <w:rsid w:val="00966611"/>
    <w:rsid w:val="0096682A"/>
    <w:rsid w:val="009669CC"/>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DF0"/>
    <w:rsid w:val="00980F3F"/>
    <w:rsid w:val="0098117A"/>
    <w:rsid w:val="00981D1C"/>
    <w:rsid w:val="00982214"/>
    <w:rsid w:val="009823D4"/>
    <w:rsid w:val="00982474"/>
    <w:rsid w:val="00983285"/>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17CD"/>
    <w:rsid w:val="00992097"/>
    <w:rsid w:val="00992869"/>
    <w:rsid w:val="00992914"/>
    <w:rsid w:val="00992C47"/>
    <w:rsid w:val="00993776"/>
    <w:rsid w:val="00993832"/>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AEA"/>
    <w:rsid w:val="009A6C33"/>
    <w:rsid w:val="009A6CC5"/>
    <w:rsid w:val="009B1F3A"/>
    <w:rsid w:val="009B2766"/>
    <w:rsid w:val="009B32F0"/>
    <w:rsid w:val="009B3EB4"/>
    <w:rsid w:val="009B3F21"/>
    <w:rsid w:val="009B42BE"/>
    <w:rsid w:val="009B5167"/>
    <w:rsid w:val="009B5973"/>
    <w:rsid w:val="009B5B48"/>
    <w:rsid w:val="009B62E6"/>
    <w:rsid w:val="009B67C4"/>
    <w:rsid w:val="009B6A3F"/>
    <w:rsid w:val="009B6C5A"/>
    <w:rsid w:val="009B71E1"/>
    <w:rsid w:val="009B7221"/>
    <w:rsid w:val="009B76C4"/>
    <w:rsid w:val="009B78E7"/>
    <w:rsid w:val="009C0448"/>
    <w:rsid w:val="009C0615"/>
    <w:rsid w:val="009C0CF8"/>
    <w:rsid w:val="009C0CF9"/>
    <w:rsid w:val="009C125A"/>
    <w:rsid w:val="009C1EB2"/>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95E"/>
    <w:rsid w:val="00A07D26"/>
    <w:rsid w:val="00A1036E"/>
    <w:rsid w:val="00A104A1"/>
    <w:rsid w:val="00A10BF6"/>
    <w:rsid w:val="00A10D80"/>
    <w:rsid w:val="00A10FC7"/>
    <w:rsid w:val="00A11671"/>
    <w:rsid w:val="00A1187C"/>
    <w:rsid w:val="00A11D6C"/>
    <w:rsid w:val="00A12CCC"/>
    <w:rsid w:val="00A12D1A"/>
    <w:rsid w:val="00A12E07"/>
    <w:rsid w:val="00A12F3D"/>
    <w:rsid w:val="00A13A4E"/>
    <w:rsid w:val="00A15566"/>
    <w:rsid w:val="00A15775"/>
    <w:rsid w:val="00A15AA3"/>
    <w:rsid w:val="00A15B2D"/>
    <w:rsid w:val="00A1616C"/>
    <w:rsid w:val="00A163CD"/>
    <w:rsid w:val="00A16778"/>
    <w:rsid w:val="00A16B57"/>
    <w:rsid w:val="00A20224"/>
    <w:rsid w:val="00A2120A"/>
    <w:rsid w:val="00A21424"/>
    <w:rsid w:val="00A21890"/>
    <w:rsid w:val="00A21997"/>
    <w:rsid w:val="00A22A08"/>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D00"/>
    <w:rsid w:val="00A32051"/>
    <w:rsid w:val="00A32AE0"/>
    <w:rsid w:val="00A32B77"/>
    <w:rsid w:val="00A32BB4"/>
    <w:rsid w:val="00A33983"/>
    <w:rsid w:val="00A33CCF"/>
    <w:rsid w:val="00A34BF6"/>
    <w:rsid w:val="00A3578D"/>
    <w:rsid w:val="00A35D65"/>
    <w:rsid w:val="00A3630A"/>
    <w:rsid w:val="00A36CF6"/>
    <w:rsid w:val="00A36EC5"/>
    <w:rsid w:val="00A37EDA"/>
    <w:rsid w:val="00A4035D"/>
    <w:rsid w:val="00A413A3"/>
    <w:rsid w:val="00A42CD1"/>
    <w:rsid w:val="00A43270"/>
    <w:rsid w:val="00A44D93"/>
    <w:rsid w:val="00A4539E"/>
    <w:rsid w:val="00A45DFF"/>
    <w:rsid w:val="00A46080"/>
    <w:rsid w:val="00A461CB"/>
    <w:rsid w:val="00A46C6C"/>
    <w:rsid w:val="00A46EB1"/>
    <w:rsid w:val="00A47A54"/>
    <w:rsid w:val="00A47C59"/>
    <w:rsid w:val="00A50FEC"/>
    <w:rsid w:val="00A51FC3"/>
    <w:rsid w:val="00A532FC"/>
    <w:rsid w:val="00A53624"/>
    <w:rsid w:val="00A54F72"/>
    <w:rsid w:val="00A565B6"/>
    <w:rsid w:val="00A567E2"/>
    <w:rsid w:val="00A56806"/>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8BA"/>
    <w:rsid w:val="00A709AE"/>
    <w:rsid w:val="00A70DCB"/>
    <w:rsid w:val="00A70E5B"/>
    <w:rsid w:val="00A71423"/>
    <w:rsid w:val="00A71FD1"/>
    <w:rsid w:val="00A720C2"/>
    <w:rsid w:val="00A7248F"/>
    <w:rsid w:val="00A72733"/>
    <w:rsid w:val="00A72BC8"/>
    <w:rsid w:val="00A72C04"/>
    <w:rsid w:val="00A72FE2"/>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DB9"/>
    <w:rsid w:val="00A93738"/>
    <w:rsid w:val="00A94084"/>
    <w:rsid w:val="00A9446E"/>
    <w:rsid w:val="00A9579F"/>
    <w:rsid w:val="00A96852"/>
    <w:rsid w:val="00A96C21"/>
    <w:rsid w:val="00A9791D"/>
    <w:rsid w:val="00A97D4A"/>
    <w:rsid w:val="00A97DB8"/>
    <w:rsid w:val="00AA0209"/>
    <w:rsid w:val="00AA03A6"/>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2E7B"/>
    <w:rsid w:val="00AD2F8F"/>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63"/>
    <w:rsid w:val="00AE6AAF"/>
    <w:rsid w:val="00AE6E97"/>
    <w:rsid w:val="00AE758E"/>
    <w:rsid w:val="00AF059D"/>
    <w:rsid w:val="00AF077D"/>
    <w:rsid w:val="00AF0992"/>
    <w:rsid w:val="00AF0C7C"/>
    <w:rsid w:val="00AF0D62"/>
    <w:rsid w:val="00AF0EB3"/>
    <w:rsid w:val="00AF1281"/>
    <w:rsid w:val="00AF14C8"/>
    <w:rsid w:val="00AF23D9"/>
    <w:rsid w:val="00AF23F3"/>
    <w:rsid w:val="00AF290E"/>
    <w:rsid w:val="00AF29FA"/>
    <w:rsid w:val="00AF37D5"/>
    <w:rsid w:val="00AF381B"/>
    <w:rsid w:val="00AF3BD8"/>
    <w:rsid w:val="00AF3F63"/>
    <w:rsid w:val="00AF4345"/>
    <w:rsid w:val="00AF463B"/>
    <w:rsid w:val="00AF4CC5"/>
    <w:rsid w:val="00AF5319"/>
    <w:rsid w:val="00AF608B"/>
    <w:rsid w:val="00AF6576"/>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88"/>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01"/>
    <w:rsid w:val="00B15075"/>
    <w:rsid w:val="00B15774"/>
    <w:rsid w:val="00B15DB9"/>
    <w:rsid w:val="00B16F5A"/>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32C"/>
    <w:rsid w:val="00B32F0B"/>
    <w:rsid w:val="00B331B8"/>
    <w:rsid w:val="00B33786"/>
    <w:rsid w:val="00B337A4"/>
    <w:rsid w:val="00B34725"/>
    <w:rsid w:val="00B355F0"/>
    <w:rsid w:val="00B3578C"/>
    <w:rsid w:val="00B36D9E"/>
    <w:rsid w:val="00B370D9"/>
    <w:rsid w:val="00B37304"/>
    <w:rsid w:val="00B37311"/>
    <w:rsid w:val="00B373FB"/>
    <w:rsid w:val="00B37975"/>
    <w:rsid w:val="00B4106F"/>
    <w:rsid w:val="00B41BE7"/>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33F"/>
    <w:rsid w:val="00B4758E"/>
    <w:rsid w:val="00B47CBB"/>
    <w:rsid w:val="00B5083E"/>
    <w:rsid w:val="00B50ADB"/>
    <w:rsid w:val="00B51466"/>
    <w:rsid w:val="00B51604"/>
    <w:rsid w:val="00B517EE"/>
    <w:rsid w:val="00B51F64"/>
    <w:rsid w:val="00B52ACF"/>
    <w:rsid w:val="00B53B4E"/>
    <w:rsid w:val="00B53C5F"/>
    <w:rsid w:val="00B54BD8"/>
    <w:rsid w:val="00B5596C"/>
    <w:rsid w:val="00B569B2"/>
    <w:rsid w:val="00B56FBD"/>
    <w:rsid w:val="00B5715A"/>
    <w:rsid w:val="00B57327"/>
    <w:rsid w:val="00B6002D"/>
    <w:rsid w:val="00B6010B"/>
    <w:rsid w:val="00B6107E"/>
    <w:rsid w:val="00B61262"/>
    <w:rsid w:val="00B6210A"/>
    <w:rsid w:val="00B6220A"/>
    <w:rsid w:val="00B62644"/>
    <w:rsid w:val="00B629F3"/>
    <w:rsid w:val="00B63B5D"/>
    <w:rsid w:val="00B640CF"/>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FE9"/>
    <w:rsid w:val="00BA139F"/>
    <w:rsid w:val="00BA1A0B"/>
    <w:rsid w:val="00BA1E85"/>
    <w:rsid w:val="00BA359B"/>
    <w:rsid w:val="00BA3A93"/>
    <w:rsid w:val="00BA4D05"/>
    <w:rsid w:val="00BA5165"/>
    <w:rsid w:val="00BA5599"/>
    <w:rsid w:val="00BA5A40"/>
    <w:rsid w:val="00BA5FD5"/>
    <w:rsid w:val="00BA62AB"/>
    <w:rsid w:val="00BA7E0B"/>
    <w:rsid w:val="00BB034A"/>
    <w:rsid w:val="00BB0DE3"/>
    <w:rsid w:val="00BB0EA0"/>
    <w:rsid w:val="00BB10CD"/>
    <w:rsid w:val="00BB10F0"/>
    <w:rsid w:val="00BB122E"/>
    <w:rsid w:val="00BB25BB"/>
    <w:rsid w:val="00BB4A6F"/>
    <w:rsid w:val="00BB4EA2"/>
    <w:rsid w:val="00BB56B1"/>
    <w:rsid w:val="00BB5759"/>
    <w:rsid w:val="00BB5A30"/>
    <w:rsid w:val="00BB5B98"/>
    <w:rsid w:val="00BB67AC"/>
    <w:rsid w:val="00BB7BAC"/>
    <w:rsid w:val="00BC08D8"/>
    <w:rsid w:val="00BC08FC"/>
    <w:rsid w:val="00BC202D"/>
    <w:rsid w:val="00BC213B"/>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1290"/>
    <w:rsid w:val="00BD1CFB"/>
    <w:rsid w:val="00BD22AA"/>
    <w:rsid w:val="00BD2B8F"/>
    <w:rsid w:val="00BD3047"/>
    <w:rsid w:val="00BD35B9"/>
    <w:rsid w:val="00BD36EC"/>
    <w:rsid w:val="00BD4A52"/>
    <w:rsid w:val="00BD4B84"/>
    <w:rsid w:val="00BD51CA"/>
    <w:rsid w:val="00BD54F7"/>
    <w:rsid w:val="00BD5CD2"/>
    <w:rsid w:val="00BD605A"/>
    <w:rsid w:val="00BD77DE"/>
    <w:rsid w:val="00BD79C2"/>
    <w:rsid w:val="00BE182B"/>
    <w:rsid w:val="00BE199C"/>
    <w:rsid w:val="00BE1F2E"/>
    <w:rsid w:val="00BE1FA7"/>
    <w:rsid w:val="00BE2AD7"/>
    <w:rsid w:val="00BE2BAA"/>
    <w:rsid w:val="00BE3237"/>
    <w:rsid w:val="00BE39E6"/>
    <w:rsid w:val="00BE4F8D"/>
    <w:rsid w:val="00BE590A"/>
    <w:rsid w:val="00BE5EDB"/>
    <w:rsid w:val="00BE770F"/>
    <w:rsid w:val="00BE778C"/>
    <w:rsid w:val="00BE7B69"/>
    <w:rsid w:val="00BF01D4"/>
    <w:rsid w:val="00BF12E2"/>
    <w:rsid w:val="00BF1DEA"/>
    <w:rsid w:val="00BF20FB"/>
    <w:rsid w:val="00BF2997"/>
    <w:rsid w:val="00BF4C22"/>
    <w:rsid w:val="00BF4CD1"/>
    <w:rsid w:val="00BF4DD7"/>
    <w:rsid w:val="00BF51E4"/>
    <w:rsid w:val="00BF6043"/>
    <w:rsid w:val="00BF71B9"/>
    <w:rsid w:val="00BF76ED"/>
    <w:rsid w:val="00C00156"/>
    <w:rsid w:val="00C003C3"/>
    <w:rsid w:val="00C006F6"/>
    <w:rsid w:val="00C00838"/>
    <w:rsid w:val="00C008C6"/>
    <w:rsid w:val="00C00A3D"/>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B32"/>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4DEB"/>
    <w:rsid w:val="00C26495"/>
    <w:rsid w:val="00C26CFA"/>
    <w:rsid w:val="00C273ED"/>
    <w:rsid w:val="00C27447"/>
    <w:rsid w:val="00C27891"/>
    <w:rsid w:val="00C27D45"/>
    <w:rsid w:val="00C300F5"/>
    <w:rsid w:val="00C30AED"/>
    <w:rsid w:val="00C31073"/>
    <w:rsid w:val="00C314B5"/>
    <w:rsid w:val="00C31C2C"/>
    <w:rsid w:val="00C31D3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987"/>
    <w:rsid w:val="00C47CD2"/>
    <w:rsid w:val="00C47D56"/>
    <w:rsid w:val="00C510DE"/>
    <w:rsid w:val="00C536E4"/>
    <w:rsid w:val="00C538AE"/>
    <w:rsid w:val="00C53C32"/>
    <w:rsid w:val="00C53E7A"/>
    <w:rsid w:val="00C54492"/>
    <w:rsid w:val="00C544B6"/>
    <w:rsid w:val="00C54601"/>
    <w:rsid w:val="00C54E26"/>
    <w:rsid w:val="00C55419"/>
    <w:rsid w:val="00C56A84"/>
    <w:rsid w:val="00C575E8"/>
    <w:rsid w:val="00C5777E"/>
    <w:rsid w:val="00C57EB0"/>
    <w:rsid w:val="00C60984"/>
    <w:rsid w:val="00C60E33"/>
    <w:rsid w:val="00C6111A"/>
    <w:rsid w:val="00C61801"/>
    <w:rsid w:val="00C618DF"/>
    <w:rsid w:val="00C62C6E"/>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532A"/>
    <w:rsid w:val="00C75721"/>
    <w:rsid w:val="00C760A6"/>
    <w:rsid w:val="00C762B7"/>
    <w:rsid w:val="00C7674F"/>
    <w:rsid w:val="00C76825"/>
    <w:rsid w:val="00C77C4B"/>
    <w:rsid w:val="00C77D50"/>
    <w:rsid w:val="00C80DC6"/>
    <w:rsid w:val="00C815E4"/>
    <w:rsid w:val="00C8290C"/>
    <w:rsid w:val="00C8512B"/>
    <w:rsid w:val="00C8575D"/>
    <w:rsid w:val="00C858C8"/>
    <w:rsid w:val="00C85A79"/>
    <w:rsid w:val="00C86242"/>
    <w:rsid w:val="00C86D64"/>
    <w:rsid w:val="00C87CDD"/>
    <w:rsid w:val="00C909EE"/>
    <w:rsid w:val="00C90E27"/>
    <w:rsid w:val="00C910ED"/>
    <w:rsid w:val="00C914C9"/>
    <w:rsid w:val="00C9156F"/>
    <w:rsid w:val="00C916D2"/>
    <w:rsid w:val="00C91E57"/>
    <w:rsid w:val="00C922E8"/>
    <w:rsid w:val="00C93188"/>
    <w:rsid w:val="00C9353F"/>
    <w:rsid w:val="00C94E01"/>
    <w:rsid w:val="00C94EF3"/>
    <w:rsid w:val="00C952A9"/>
    <w:rsid w:val="00C9534F"/>
    <w:rsid w:val="00C95E98"/>
    <w:rsid w:val="00C95F67"/>
    <w:rsid w:val="00C961C0"/>
    <w:rsid w:val="00C965E4"/>
    <w:rsid w:val="00C9739A"/>
    <w:rsid w:val="00CA0A42"/>
    <w:rsid w:val="00CA13BF"/>
    <w:rsid w:val="00CA13F7"/>
    <w:rsid w:val="00CA1463"/>
    <w:rsid w:val="00CA14DE"/>
    <w:rsid w:val="00CA2A57"/>
    <w:rsid w:val="00CA2C4B"/>
    <w:rsid w:val="00CA30A9"/>
    <w:rsid w:val="00CA32D9"/>
    <w:rsid w:val="00CA35EC"/>
    <w:rsid w:val="00CA3D36"/>
    <w:rsid w:val="00CA3EC4"/>
    <w:rsid w:val="00CA4249"/>
    <w:rsid w:val="00CA4EF3"/>
    <w:rsid w:val="00CA575F"/>
    <w:rsid w:val="00CA5FB1"/>
    <w:rsid w:val="00CA66B5"/>
    <w:rsid w:val="00CA6F69"/>
    <w:rsid w:val="00CA6F7C"/>
    <w:rsid w:val="00CB0652"/>
    <w:rsid w:val="00CB0A8A"/>
    <w:rsid w:val="00CB138C"/>
    <w:rsid w:val="00CB14C7"/>
    <w:rsid w:val="00CB1BD3"/>
    <w:rsid w:val="00CB21EF"/>
    <w:rsid w:val="00CB25D4"/>
    <w:rsid w:val="00CB26B1"/>
    <w:rsid w:val="00CB2714"/>
    <w:rsid w:val="00CB2824"/>
    <w:rsid w:val="00CB2C75"/>
    <w:rsid w:val="00CB2F95"/>
    <w:rsid w:val="00CB30E7"/>
    <w:rsid w:val="00CB3270"/>
    <w:rsid w:val="00CB4DA4"/>
    <w:rsid w:val="00CB557A"/>
    <w:rsid w:val="00CB5DD1"/>
    <w:rsid w:val="00CB6108"/>
    <w:rsid w:val="00CB644A"/>
    <w:rsid w:val="00CB6807"/>
    <w:rsid w:val="00CB6A21"/>
    <w:rsid w:val="00CB7071"/>
    <w:rsid w:val="00CB75F9"/>
    <w:rsid w:val="00CB7D14"/>
    <w:rsid w:val="00CB7D9F"/>
    <w:rsid w:val="00CC07A1"/>
    <w:rsid w:val="00CC0824"/>
    <w:rsid w:val="00CC08D7"/>
    <w:rsid w:val="00CC0A9A"/>
    <w:rsid w:val="00CC0EA3"/>
    <w:rsid w:val="00CC156F"/>
    <w:rsid w:val="00CC22C1"/>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75C7"/>
    <w:rsid w:val="00D17E09"/>
    <w:rsid w:val="00D20886"/>
    <w:rsid w:val="00D21B66"/>
    <w:rsid w:val="00D225A4"/>
    <w:rsid w:val="00D22B9C"/>
    <w:rsid w:val="00D22E00"/>
    <w:rsid w:val="00D251E6"/>
    <w:rsid w:val="00D259B0"/>
    <w:rsid w:val="00D25CCC"/>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640"/>
    <w:rsid w:val="00D3719F"/>
    <w:rsid w:val="00D371C8"/>
    <w:rsid w:val="00D4061B"/>
    <w:rsid w:val="00D411DD"/>
    <w:rsid w:val="00D431DA"/>
    <w:rsid w:val="00D43450"/>
    <w:rsid w:val="00D43D75"/>
    <w:rsid w:val="00D43F48"/>
    <w:rsid w:val="00D43F90"/>
    <w:rsid w:val="00D44156"/>
    <w:rsid w:val="00D44198"/>
    <w:rsid w:val="00D445B3"/>
    <w:rsid w:val="00D44C1D"/>
    <w:rsid w:val="00D453B5"/>
    <w:rsid w:val="00D45977"/>
    <w:rsid w:val="00D46DBF"/>
    <w:rsid w:val="00D46F26"/>
    <w:rsid w:val="00D47591"/>
    <w:rsid w:val="00D50F4A"/>
    <w:rsid w:val="00D51089"/>
    <w:rsid w:val="00D5228C"/>
    <w:rsid w:val="00D5267F"/>
    <w:rsid w:val="00D52D1F"/>
    <w:rsid w:val="00D52E06"/>
    <w:rsid w:val="00D53292"/>
    <w:rsid w:val="00D53650"/>
    <w:rsid w:val="00D540AD"/>
    <w:rsid w:val="00D54C85"/>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316"/>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7BDC"/>
    <w:rsid w:val="00D9096B"/>
    <w:rsid w:val="00D90D1C"/>
    <w:rsid w:val="00D90D5C"/>
    <w:rsid w:val="00D90ED4"/>
    <w:rsid w:val="00D90FF0"/>
    <w:rsid w:val="00D91327"/>
    <w:rsid w:val="00D91838"/>
    <w:rsid w:val="00D91E21"/>
    <w:rsid w:val="00D920E8"/>
    <w:rsid w:val="00D92722"/>
    <w:rsid w:val="00D92BF2"/>
    <w:rsid w:val="00D93295"/>
    <w:rsid w:val="00D9335B"/>
    <w:rsid w:val="00D93DAF"/>
    <w:rsid w:val="00D941AE"/>
    <w:rsid w:val="00D94E5E"/>
    <w:rsid w:val="00D94F2C"/>
    <w:rsid w:val="00D9500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2AF1"/>
    <w:rsid w:val="00DB3810"/>
    <w:rsid w:val="00DB3AA0"/>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1524"/>
    <w:rsid w:val="00DC17D7"/>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E0048"/>
    <w:rsid w:val="00DE01AB"/>
    <w:rsid w:val="00DE02F3"/>
    <w:rsid w:val="00DE0778"/>
    <w:rsid w:val="00DE0B85"/>
    <w:rsid w:val="00DE12BD"/>
    <w:rsid w:val="00DE1532"/>
    <w:rsid w:val="00DE179B"/>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FC2"/>
    <w:rsid w:val="00DF3D62"/>
    <w:rsid w:val="00DF40B8"/>
    <w:rsid w:val="00DF48A8"/>
    <w:rsid w:val="00DF572E"/>
    <w:rsid w:val="00DF596A"/>
    <w:rsid w:val="00DF650F"/>
    <w:rsid w:val="00DF6BD1"/>
    <w:rsid w:val="00DF6DA6"/>
    <w:rsid w:val="00DF708D"/>
    <w:rsid w:val="00DF7EB8"/>
    <w:rsid w:val="00E0031E"/>
    <w:rsid w:val="00E00A61"/>
    <w:rsid w:val="00E00FD5"/>
    <w:rsid w:val="00E01956"/>
    <w:rsid w:val="00E02047"/>
    <w:rsid w:val="00E023E5"/>
    <w:rsid w:val="00E02837"/>
    <w:rsid w:val="00E0429B"/>
    <w:rsid w:val="00E0443C"/>
    <w:rsid w:val="00E04B0F"/>
    <w:rsid w:val="00E04B4F"/>
    <w:rsid w:val="00E061BA"/>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3AF"/>
    <w:rsid w:val="00E27C73"/>
    <w:rsid w:val="00E27E1C"/>
    <w:rsid w:val="00E300F2"/>
    <w:rsid w:val="00E31966"/>
    <w:rsid w:val="00E3203D"/>
    <w:rsid w:val="00E32AE4"/>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8F7"/>
    <w:rsid w:val="00E43DB5"/>
    <w:rsid w:val="00E43E29"/>
    <w:rsid w:val="00E43EE5"/>
    <w:rsid w:val="00E441A9"/>
    <w:rsid w:val="00E44ACD"/>
    <w:rsid w:val="00E44CB9"/>
    <w:rsid w:val="00E45343"/>
    <w:rsid w:val="00E45B97"/>
    <w:rsid w:val="00E46852"/>
    <w:rsid w:val="00E46AB1"/>
    <w:rsid w:val="00E4775D"/>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E87"/>
    <w:rsid w:val="00E60DE1"/>
    <w:rsid w:val="00E60EA4"/>
    <w:rsid w:val="00E61076"/>
    <w:rsid w:val="00E61812"/>
    <w:rsid w:val="00E62CF0"/>
    <w:rsid w:val="00E62E5D"/>
    <w:rsid w:val="00E65073"/>
    <w:rsid w:val="00E65C86"/>
    <w:rsid w:val="00E65E8C"/>
    <w:rsid w:val="00E66800"/>
    <w:rsid w:val="00E66D78"/>
    <w:rsid w:val="00E67196"/>
    <w:rsid w:val="00E673C1"/>
    <w:rsid w:val="00E67C5C"/>
    <w:rsid w:val="00E67E4D"/>
    <w:rsid w:val="00E67E55"/>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2135"/>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4F0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7E2"/>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6B07"/>
    <w:rsid w:val="00EC774B"/>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E9"/>
    <w:rsid w:val="00EE13A7"/>
    <w:rsid w:val="00EE18F3"/>
    <w:rsid w:val="00EE297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C88"/>
    <w:rsid w:val="00F020E1"/>
    <w:rsid w:val="00F0221D"/>
    <w:rsid w:val="00F02DE5"/>
    <w:rsid w:val="00F0324F"/>
    <w:rsid w:val="00F03AA2"/>
    <w:rsid w:val="00F043F9"/>
    <w:rsid w:val="00F046C5"/>
    <w:rsid w:val="00F04E02"/>
    <w:rsid w:val="00F05558"/>
    <w:rsid w:val="00F0595E"/>
    <w:rsid w:val="00F05A7B"/>
    <w:rsid w:val="00F05F59"/>
    <w:rsid w:val="00F06454"/>
    <w:rsid w:val="00F06CB2"/>
    <w:rsid w:val="00F06E72"/>
    <w:rsid w:val="00F07C8A"/>
    <w:rsid w:val="00F07D8B"/>
    <w:rsid w:val="00F104D0"/>
    <w:rsid w:val="00F106FC"/>
    <w:rsid w:val="00F10840"/>
    <w:rsid w:val="00F116E1"/>
    <w:rsid w:val="00F11E4F"/>
    <w:rsid w:val="00F1272B"/>
    <w:rsid w:val="00F12DE0"/>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D6D"/>
    <w:rsid w:val="00F27E08"/>
    <w:rsid w:val="00F30616"/>
    <w:rsid w:val="00F30CBB"/>
    <w:rsid w:val="00F319F9"/>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3B41"/>
    <w:rsid w:val="00F443B0"/>
    <w:rsid w:val="00F444E7"/>
    <w:rsid w:val="00F447EA"/>
    <w:rsid w:val="00F44943"/>
    <w:rsid w:val="00F453DF"/>
    <w:rsid w:val="00F466CA"/>
    <w:rsid w:val="00F4737E"/>
    <w:rsid w:val="00F47D5F"/>
    <w:rsid w:val="00F47E5F"/>
    <w:rsid w:val="00F50623"/>
    <w:rsid w:val="00F508D7"/>
    <w:rsid w:val="00F511EE"/>
    <w:rsid w:val="00F51D28"/>
    <w:rsid w:val="00F51E4D"/>
    <w:rsid w:val="00F5232E"/>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C33"/>
    <w:rsid w:val="00F77D71"/>
    <w:rsid w:val="00F808F0"/>
    <w:rsid w:val="00F80927"/>
    <w:rsid w:val="00F819E1"/>
    <w:rsid w:val="00F822A0"/>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A0A"/>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720"/>
    <w:rsid w:val="00FB6F0E"/>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88B"/>
    <w:rsid w:val="00FC5B26"/>
    <w:rsid w:val="00FC5F5C"/>
    <w:rsid w:val="00FC6028"/>
    <w:rsid w:val="00FC635D"/>
    <w:rsid w:val="00FC64BB"/>
    <w:rsid w:val="00FC66B8"/>
    <w:rsid w:val="00FC6947"/>
    <w:rsid w:val="00FC6E6C"/>
    <w:rsid w:val="00FC6E74"/>
    <w:rsid w:val="00FC7186"/>
    <w:rsid w:val="00FC742F"/>
    <w:rsid w:val="00FC7959"/>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7318"/>
    <w:rsid w:val="00FD7407"/>
    <w:rsid w:val="00FD764D"/>
    <w:rsid w:val="00FD7B35"/>
    <w:rsid w:val="00FD7C6C"/>
    <w:rsid w:val="00FD7CDC"/>
    <w:rsid w:val="00FD7F20"/>
    <w:rsid w:val="00FE01A6"/>
    <w:rsid w:val="00FE02F8"/>
    <w:rsid w:val="00FE0BA6"/>
    <w:rsid w:val="00FE1445"/>
    <w:rsid w:val="00FE153E"/>
    <w:rsid w:val="00FE18EF"/>
    <w:rsid w:val="00FE1CE2"/>
    <w:rsid w:val="00FE1DFC"/>
    <w:rsid w:val="00FE1F56"/>
    <w:rsid w:val="00FE235B"/>
    <w:rsid w:val="00FE27FE"/>
    <w:rsid w:val="00FE2852"/>
    <w:rsid w:val="00FE2F5F"/>
    <w:rsid w:val="00FE2FED"/>
    <w:rsid w:val="00FE393B"/>
    <w:rsid w:val="00FE4608"/>
    <w:rsid w:val="00FE4826"/>
    <w:rsid w:val="00FE5DD2"/>
    <w:rsid w:val="00FE5ED4"/>
    <w:rsid w:val="00FE66DF"/>
    <w:rsid w:val="00FE6845"/>
    <w:rsid w:val="00FE6AD1"/>
    <w:rsid w:val="00FE6B43"/>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paragraph" w:customStyle="1" w:styleId="p01">
    <w:name w:val="p01"/>
    <w:basedOn w:val="Normal1"/>
    <w:next w:val="p0"/>
    <w:rsid w:val="00076994"/>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07699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www.inegi.org.mx/programas/inpc/201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image" Target="media/image13.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www.inegi.org.mx" TargetMode="Externa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inpc/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2018'!$O$178:$X$178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'Datos base 2q jul 2018'!$O$189:$X$189</c:f>
              <c:numCache>
                <c:formatCode>0.00</c:formatCode>
                <c:ptCount val="10"/>
                <c:pt idx="0">
                  <c:v>0.80122144247865013</c:v>
                </c:pt>
                <c:pt idx="1">
                  <c:v>1.0816077474214314</c:v>
                </c:pt>
                <c:pt idx="2">
                  <c:v>0.67935038295792172</c:v>
                </c:pt>
                <c:pt idx="3">
                  <c:v>0.93219721797392907</c:v>
                </c:pt>
                <c:pt idx="4">
                  <c:v>0.81</c:v>
                </c:pt>
                <c:pt idx="5">
                  <c:v>0.54595008943021384</c:v>
                </c:pt>
                <c:pt idx="6">
                  <c:v>0.78177295528358837</c:v>
                </c:pt>
                <c:pt idx="7">
                  <c:v>1.030943853570232</c:v>
                </c:pt>
                <c:pt idx="8">
                  <c:v>0.85074921135646075</c:v>
                </c:pt>
                <c:pt idx="9">
                  <c:v>0.81</c:v>
                </c:pt>
              </c:numCache>
            </c:numRef>
          </c:val>
          <c:extLst>
            <c:ext xmlns:c16="http://schemas.microsoft.com/office/drawing/2014/chart" uri="{C3380CC4-5D6E-409C-BE32-E72D297353CC}">
              <c16:uniqueId val="{00000000-D44F-41DB-9E2B-517D9CF77F86}"/>
            </c:ext>
          </c:extLst>
        </c:ser>
        <c:dLbls>
          <c:dLblPos val="outEnd"/>
          <c:showLegendKey val="0"/>
          <c:showVal val="1"/>
          <c:showCatName val="0"/>
          <c:showSerName val="0"/>
          <c:showPercent val="0"/>
          <c:showBubbleSize val="0"/>
        </c:dLbls>
        <c:gapWidth val="40"/>
        <c:axId val="240754032"/>
        <c:axId val="240754424"/>
      </c:barChart>
      <c:catAx>
        <c:axId val="240754032"/>
        <c:scaling>
          <c:orientation val="minMax"/>
        </c:scaling>
        <c:delete val="0"/>
        <c:axPos val="b"/>
        <c:numFmt formatCode="General" sourceLinked="1"/>
        <c:majorTickMark val="out"/>
        <c:minorTickMark val="none"/>
        <c:tickLblPos val="low"/>
        <c:spPr>
          <a:noFill/>
          <a:ln w="9525">
            <a:solidFill>
              <a:schemeClr val="tx1"/>
            </a:solidFill>
          </a:ln>
        </c:spPr>
        <c:crossAx val="240754424"/>
        <c:crosses val="autoZero"/>
        <c:auto val="1"/>
        <c:lblAlgn val="ctr"/>
        <c:lblOffset val="100"/>
        <c:noMultiLvlLbl val="0"/>
      </c:catAx>
      <c:valAx>
        <c:axId val="240754424"/>
        <c:scaling>
          <c:orientation val="minMax"/>
          <c:max val="1.3"/>
          <c:min val="0"/>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240754032"/>
        <c:crosses val="autoZero"/>
        <c:crossBetween val="between"/>
        <c:majorUnit val="0.2"/>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2018'!$M$192</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2018'!$O$178:$X$178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'Datos base 2q jul 2018'!$O$204:$X$204</c:f>
              <c:numCache>
                <c:formatCode>0.00</c:formatCode>
                <c:ptCount val="10"/>
                <c:pt idx="0">
                  <c:v>0.23701953907389051</c:v>
                </c:pt>
                <c:pt idx="1">
                  <c:v>0.322710995335318</c:v>
                </c:pt>
                <c:pt idx="2">
                  <c:v>5.1713834129385461E-2</c:v>
                </c:pt>
                <c:pt idx="3">
                  <c:v>0.13522798476124365</c:v>
                </c:pt>
                <c:pt idx="4">
                  <c:v>0.16136788068079611</c:v>
                </c:pt>
                <c:pt idx="5">
                  <c:v>3.5167923062173756E-2</c:v>
                </c:pt>
                <c:pt idx="6">
                  <c:v>0.22</c:v>
                </c:pt>
                <c:pt idx="7">
                  <c:v>0.34429319932371971</c:v>
                </c:pt>
                <c:pt idx="8">
                  <c:v>0.2516812491852205</c:v>
                </c:pt>
                <c:pt idx="9">
                  <c:v>0.22</c:v>
                </c:pt>
              </c:numCache>
            </c:numRef>
          </c:val>
          <c:extLst>
            <c:ext xmlns:c16="http://schemas.microsoft.com/office/drawing/2014/chart" uri="{C3380CC4-5D6E-409C-BE32-E72D297353CC}">
              <c16:uniqueId val="{00000000-4375-48B4-A2A3-56DD9D17BA9A}"/>
            </c:ext>
          </c:extLst>
        </c:ser>
        <c:ser>
          <c:idx val="2"/>
          <c:order val="1"/>
          <c:tx>
            <c:strRef>
              <c:f>'Datos base 2q jul 2018'!$M$207</c:f>
              <c:strCache>
                <c:ptCount val="1"/>
                <c:pt idx="0">
                  <c:v>No Subyacente</c:v>
                </c:pt>
              </c:strCache>
            </c:strRef>
          </c:tx>
          <c:spPr>
            <a:pattFill prst="pct60">
              <a:fgClr>
                <a:srgbClr val="ABC674"/>
              </a:fgClr>
              <a:bgClr>
                <a:schemeClr val="bg1"/>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2018'!$O$178:$X$178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'Datos base 2q jul 2018'!$O$219:$X$219</c:f>
              <c:numCache>
                <c:formatCode>0.00</c:formatCode>
                <c:ptCount val="10"/>
                <c:pt idx="0">
                  <c:v>2.62</c:v>
                </c:pt>
                <c:pt idx="1">
                  <c:v>3.6678099144918264</c:v>
                </c:pt>
                <c:pt idx="2">
                  <c:v>2.7298275813150807</c:v>
                </c:pt>
                <c:pt idx="3">
                  <c:v>3.5372568009500283</c:v>
                </c:pt>
                <c:pt idx="4">
                  <c:v>2.8344546581437591</c:v>
                </c:pt>
                <c:pt idx="5">
                  <c:v>2.1504432913862503</c:v>
                </c:pt>
                <c:pt idx="6">
                  <c:v>2.5356378506077082</c:v>
                </c:pt>
                <c:pt idx="7">
                  <c:v>3.0613956200121972</c:v>
                </c:pt>
                <c:pt idx="8">
                  <c:v>2.6563999001510519</c:v>
                </c:pt>
                <c:pt idx="9">
                  <c:v>2.62</c:v>
                </c:pt>
              </c:numCache>
            </c:numRef>
          </c:val>
          <c:extLst>
            <c:ext xmlns:c16="http://schemas.microsoft.com/office/drawing/2014/chart" uri="{C3380CC4-5D6E-409C-BE32-E72D297353CC}">
              <c16:uniqueId val="{00000001-4375-48B4-A2A3-56DD9D17BA9A}"/>
            </c:ext>
          </c:extLst>
        </c:ser>
        <c:dLbls>
          <c:dLblPos val="outEnd"/>
          <c:showLegendKey val="0"/>
          <c:showVal val="1"/>
          <c:showCatName val="0"/>
          <c:showSerName val="0"/>
          <c:showPercent val="0"/>
          <c:showBubbleSize val="0"/>
        </c:dLbls>
        <c:gapWidth val="40"/>
        <c:overlap val="-10"/>
        <c:axId val="240755208"/>
        <c:axId val="240755992"/>
      </c:barChart>
      <c:catAx>
        <c:axId val="240755208"/>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240755992"/>
        <c:crosses val="autoZero"/>
        <c:auto val="1"/>
        <c:lblAlgn val="ctr"/>
        <c:lblOffset val="100"/>
        <c:noMultiLvlLbl val="0"/>
      </c:catAx>
      <c:valAx>
        <c:axId val="240755992"/>
        <c:scaling>
          <c:orientation val="minMax"/>
          <c:max val="4.5"/>
          <c:min val="0"/>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240755208"/>
        <c:crosses val="autoZero"/>
        <c:crossBetween val="between"/>
        <c:majorUnit val="1"/>
        <c:minorUnit val="0.5"/>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1.3271292191401789E-4"/>
                  <c:y val="4.181705452325248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E7-4BFF-A916-AACC4F791083}"/>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2018'!$A$65:$B$173</c:f>
              <c:multiLvlStrCache>
                <c:ptCount val="109"/>
                <c:lvl>
                  <c:pt idx="0">
                    <c:v>Nov</c:v>
                  </c:pt>
                  <c:pt idx="1">
                    <c:v>Dic</c:v>
                  </c:pt>
                  <c:pt idx="2">
                    <c:v>Ene</c:v>
                  </c:pt>
                  <c:pt idx="3">
                    <c:v>Feb</c:v>
                  </c:pt>
                  <c:pt idx="4">
                    <c:v>Mar</c:v>
                  </c:pt>
                  <c:pt idx="5">
                    <c:v>Abr</c:v>
                  </c:pt>
                  <c:pt idx="6">
                    <c:v>May</c:v>
                  </c:pt>
                  <c:pt idx="7">
                    <c:v>Jun</c:v>
                  </c:pt>
                  <c:pt idx="8">
                    <c:v>Jul</c:v>
                  </c:pt>
                  <c:pt idx="9">
                    <c:v>Ago</c:v>
                  </c:pt>
                  <c:pt idx="10">
                    <c:v>Sep</c:v>
                  </c:pt>
                  <c:pt idx="11">
                    <c:v>Oct</c:v>
                  </c:pt>
                  <c:pt idx="12">
                    <c:v>Nov</c:v>
                  </c:pt>
                  <c:pt idx="13">
                    <c:v>Dic</c:v>
                  </c:pt>
                  <c:pt idx="14">
                    <c:v>Ene</c:v>
                  </c:pt>
                  <c:pt idx="15">
                    <c:v>Feb</c:v>
                  </c:pt>
                  <c:pt idx="16">
                    <c:v>Mar</c:v>
                  </c:pt>
                  <c:pt idx="17">
                    <c:v>Abr</c:v>
                  </c:pt>
                  <c:pt idx="18">
                    <c:v>May</c:v>
                  </c:pt>
                  <c:pt idx="19">
                    <c:v>Jun</c:v>
                  </c:pt>
                  <c:pt idx="20">
                    <c:v>Jul</c:v>
                  </c:pt>
                  <c:pt idx="21">
                    <c:v>Ago</c:v>
                  </c:pt>
                  <c:pt idx="22">
                    <c:v>Sep</c:v>
                  </c:pt>
                  <c:pt idx="23">
                    <c:v>Oct</c:v>
                  </c:pt>
                  <c:pt idx="24">
                    <c:v>Nov</c:v>
                  </c:pt>
                  <c:pt idx="25">
                    <c:v>Dic</c:v>
                  </c:pt>
                  <c:pt idx="26">
                    <c:v>Ene</c:v>
                  </c:pt>
                  <c:pt idx="27">
                    <c:v>Feb</c:v>
                  </c:pt>
                  <c:pt idx="28">
                    <c:v>Mar</c:v>
                  </c:pt>
                  <c:pt idx="29">
                    <c:v>Abr</c:v>
                  </c:pt>
                  <c:pt idx="30">
                    <c:v>May</c:v>
                  </c:pt>
                  <c:pt idx="31">
                    <c:v>Jun</c:v>
                  </c:pt>
                  <c:pt idx="32">
                    <c:v>Jul</c:v>
                  </c:pt>
                  <c:pt idx="33">
                    <c:v>Ago</c:v>
                  </c:pt>
                  <c:pt idx="34">
                    <c:v>Sep</c:v>
                  </c:pt>
                  <c:pt idx="35">
                    <c:v>Oct</c:v>
                  </c:pt>
                  <c:pt idx="36">
                    <c:v>Nov</c:v>
                  </c:pt>
                  <c:pt idx="37">
                    <c:v>Dic</c:v>
                  </c:pt>
                  <c:pt idx="38">
                    <c:v>Ene</c:v>
                  </c:pt>
                  <c:pt idx="39">
                    <c:v>Feb</c:v>
                  </c:pt>
                  <c:pt idx="40">
                    <c:v>Mar</c:v>
                  </c:pt>
                  <c:pt idx="41">
                    <c:v>Abr</c:v>
                  </c:pt>
                  <c:pt idx="42">
                    <c:v>May</c:v>
                  </c:pt>
                  <c:pt idx="43">
                    <c:v>Jun</c:v>
                  </c:pt>
                  <c:pt idx="44">
                    <c:v>Jul</c:v>
                  </c:pt>
                  <c:pt idx="45">
                    <c:v>Ago</c:v>
                  </c:pt>
                  <c:pt idx="46">
                    <c:v>Sep</c:v>
                  </c:pt>
                  <c:pt idx="47">
                    <c:v>Oct</c:v>
                  </c:pt>
                  <c:pt idx="48">
                    <c:v>Nov</c:v>
                  </c:pt>
                  <c:pt idx="49">
                    <c:v>Dic</c:v>
                  </c:pt>
                  <c:pt idx="50">
                    <c:v>Ene</c:v>
                  </c:pt>
                  <c:pt idx="51">
                    <c:v>Feb</c:v>
                  </c:pt>
                  <c:pt idx="52">
                    <c:v>Mar</c:v>
                  </c:pt>
                  <c:pt idx="53">
                    <c:v>Abr</c:v>
                  </c:pt>
                  <c:pt idx="54">
                    <c:v>May</c:v>
                  </c:pt>
                  <c:pt idx="55">
                    <c:v>Jun</c:v>
                  </c:pt>
                  <c:pt idx="56">
                    <c:v>Jul</c:v>
                  </c:pt>
                  <c:pt idx="57">
                    <c:v>Ago</c:v>
                  </c:pt>
                  <c:pt idx="58">
                    <c:v>Sep</c:v>
                  </c:pt>
                  <c:pt idx="59">
                    <c:v>Oct</c:v>
                  </c:pt>
                  <c:pt idx="60">
                    <c:v>Nov</c:v>
                  </c:pt>
                  <c:pt idx="61">
                    <c:v>Dic</c:v>
                  </c:pt>
                  <c:pt idx="62">
                    <c:v>Ene </c:v>
                  </c:pt>
                  <c:pt idx="63">
                    <c:v>Feb</c:v>
                  </c:pt>
                  <c:pt idx="64">
                    <c:v>Mar</c:v>
                  </c:pt>
                  <c:pt idx="65">
                    <c:v>Abr</c:v>
                  </c:pt>
                  <c:pt idx="66">
                    <c:v>May</c:v>
                  </c:pt>
                  <c:pt idx="67">
                    <c:v>Jun</c:v>
                  </c:pt>
                  <c:pt idx="68">
                    <c:v>Jul</c:v>
                  </c:pt>
                  <c:pt idx="69">
                    <c:v>Ago</c:v>
                  </c:pt>
                  <c:pt idx="70">
                    <c:v>Sep</c:v>
                  </c:pt>
                  <c:pt idx="71">
                    <c:v>Oct</c:v>
                  </c:pt>
                  <c:pt idx="72">
                    <c:v>Nov</c:v>
                  </c:pt>
                  <c:pt idx="73">
                    <c:v>Dic</c:v>
                  </c:pt>
                  <c:pt idx="74">
                    <c:v>Ene </c:v>
                  </c:pt>
                  <c:pt idx="75">
                    <c:v>Feb</c:v>
                  </c:pt>
                  <c:pt idx="76">
                    <c:v>Mar</c:v>
                  </c:pt>
                  <c:pt idx="77">
                    <c:v>Abr</c:v>
                  </c:pt>
                  <c:pt idx="78">
                    <c:v>May</c:v>
                  </c:pt>
                  <c:pt idx="79">
                    <c:v>Jun</c:v>
                  </c:pt>
                  <c:pt idx="80">
                    <c:v>Jul</c:v>
                  </c:pt>
                  <c:pt idx="81">
                    <c:v>Ago</c:v>
                  </c:pt>
                  <c:pt idx="82">
                    <c:v>Sep</c:v>
                  </c:pt>
                  <c:pt idx="83">
                    <c:v>Oct</c:v>
                  </c:pt>
                  <c:pt idx="84">
                    <c:v>Nov</c:v>
                  </c:pt>
                  <c:pt idx="85">
                    <c:v>Dic</c:v>
                  </c:pt>
                  <c:pt idx="86">
                    <c:v>Ene </c:v>
                  </c:pt>
                  <c:pt idx="87">
                    <c:v>Feb</c:v>
                  </c:pt>
                  <c:pt idx="88">
                    <c:v>Mar</c:v>
                  </c:pt>
                  <c:pt idx="89">
                    <c:v>Abr</c:v>
                  </c:pt>
                  <c:pt idx="90">
                    <c:v>May</c:v>
                  </c:pt>
                  <c:pt idx="91">
                    <c:v>Jun</c:v>
                  </c:pt>
                  <c:pt idx="92">
                    <c:v>Jul</c:v>
                  </c:pt>
                  <c:pt idx="93">
                    <c:v>Ago</c:v>
                  </c:pt>
                  <c:pt idx="94">
                    <c:v>Sep</c:v>
                  </c:pt>
                  <c:pt idx="95">
                    <c:v>Oct</c:v>
                  </c:pt>
                  <c:pt idx="96">
                    <c:v>Nov</c:v>
                  </c:pt>
                  <c:pt idx="97">
                    <c:v>Dic</c:v>
                  </c:pt>
                  <c:pt idx="98">
                    <c:v>Ene </c:v>
                  </c:pt>
                  <c:pt idx="99">
                    <c:v>Feb</c:v>
                  </c:pt>
                  <c:pt idx="100">
                    <c:v>Mar</c:v>
                  </c:pt>
                  <c:pt idx="101">
                    <c:v>Abr</c:v>
                  </c:pt>
                  <c:pt idx="102">
                    <c:v>May</c:v>
                  </c:pt>
                  <c:pt idx="103">
                    <c:v>Jun</c:v>
                  </c:pt>
                  <c:pt idx="104">
                    <c:v>Jul</c:v>
                  </c:pt>
                  <c:pt idx="105">
                    <c:v>Ago</c:v>
                  </c:pt>
                  <c:pt idx="106">
                    <c:v>Sep</c:v>
                  </c:pt>
                  <c:pt idx="107">
                    <c:v>Oct</c:v>
                  </c:pt>
                  <c:pt idx="108">
                    <c:v>Nov</c:v>
                  </c:pt>
                </c:lvl>
                <c:lvl>
                  <c:pt idx="0">
                    <c:v>2010</c:v>
                  </c:pt>
                  <c:pt idx="1">
                    <c:v>2010</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2013</c:v>
                  </c:pt>
                  <c:pt idx="27">
                    <c:v>2013</c:v>
                  </c:pt>
                  <c:pt idx="28">
                    <c:v>2013</c:v>
                  </c:pt>
                  <c:pt idx="29">
                    <c:v>2013</c:v>
                  </c:pt>
                  <c:pt idx="30">
                    <c:v>2013</c:v>
                  </c:pt>
                  <c:pt idx="31">
                    <c:v>2013</c:v>
                  </c:pt>
                  <c:pt idx="32">
                    <c:v>2013</c:v>
                  </c:pt>
                  <c:pt idx="33">
                    <c:v>2013</c:v>
                  </c:pt>
                  <c:pt idx="34">
                    <c:v>2013</c:v>
                  </c:pt>
                  <c:pt idx="35">
                    <c:v>2013</c:v>
                  </c:pt>
                  <c:pt idx="36">
                    <c:v>2013</c:v>
                  </c:pt>
                  <c:pt idx="37">
                    <c:v>2013</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2016</c:v>
                  </c:pt>
                  <c:pt idx="63">
                    <c:v>2016</c:v>
                  </c:pt>
                  <c:pt idx="64">
                    <c:v>2016</c:v>
                  </c:pt>
                  <c:pt idx="65">
                    <c:v>2016</c:v>
                  </c:pt>
                  <c:pt idx="66">
                    <c:v>2016</c:v>
                  </c:pt>
                  <c:pt idx="67">
                    <c:v>2016</c:v>
                  </c:pt>
                  <c:pt idx="68">
                    <c:v>2016</c:v>
                  </c:pt>
                  <c:pt idx="69">
                    <c:v>2016</c:v>
                  </c:pt>
                  <c:pt idx="70">
                    <c:v>2016</c:v>
                  </c:pt>
                  <c:pt idx="71">
                    <c:v>2016</c:v>
                  </c:pt>
                  <c:pt idx="72">
                    <c:v>2016</c:v>
                  </c:pt>
                  <c:pt idx="73">
                    <c:v>2016</c:v>
                  </c:pt>
                  <c:pt idx="74">
                    <c:v>2017</c:v>
                  </c:pt>
                  <c:pt idx="75">
                    <c:v>2017</c:v>
                  </c:pt>
                  <c:pt idx="76">
                    <c:v>2017</c:v>
                  </c:pt>
                  <c:pt idx="77">
                    <c:v>2017</c:v>
                  </c:pt>
                  <c:pt idx="78">
                    <c:v>2017</c:v>
                  </c:pt>
                  <c:pt idx="79">
                    <c:v>2017</c:v>
                  </c:pt>
                  <c:pt idx="80">
                    <c:v>2017</c:v>
                  </c:pt>
                  <c:pt idx="81">
                    <c:v>2017</c:v>
                  </c:pt>
                  <c:pt idx="82">
                    <c:v>2017</c:v>
                  </c:pt>
                  <c:pt idx="83">
                    <c:v>2017</c:v>
                  </c:pt>
                  <c:pt idx="84">
                    <c:v>2017</c:v>
                  </c:pt>
                  <c:pt idx="85">
                    <c:v>2017</c:v>
                  </c:pt>
                  <c:pt idx="86">
                    <c:v>2018</c:v>
                  </c:pt>
                  <c:pt idx="87">
                    <c:v>2018</c:v>
                  </c:pt>
                  <c:pt idx="88">
                    <c:v>2018</c:v>
                  </c:pt>
                  <c:pt idx="89">
                    <c:v>2018</c:v>
                  </c:pt>
                  <c:pt idx="90">
                    <c:v>2018</c:v>
                  </c:pt>
                  <c:pt idx="91">
                    <c:v>2018</c:v>
                  </c:pt>
                  <c:pt idx="92">
                    <c:v>2018</c:v>
                  </c:pt>
                  <c:pt idx="93">
                    <c:v>2018</c:v>
                  </c:pt>
                  <c:pt idx="94">
                    <c:v>2018</c:v>
                  </c:pt>
                  <c:pt idx="95">
                    <c:v>2018</c:v>
                  </c:pt>
                  <c:pt idx="96">
                    <c:v>2018</c:v>
                  </c:pt>
                  <c:pt idx="97">
                    <c:v>2018</c:v>
                  </c:pt>
                  <c:pt idx="98">
                    <c:v>2019</c:v>
                  </c:pt>
                  <c:pt idx="99">
                    <c:v>2019</c:v>
                  </c:pt>
                  <c:pt idx="100">
                    <c:v>2019</c:v>
                  </c:pt>
                  <c:pt idx="101">
                    <c:v>2019</c:v>
                  </c:pt>
                  <c:pt idx="102">
                    <c:v>2019</c:v>
                  </c:pt>
                  <c:pt idx="103">
                    <c:v>2019</c:v>
                  </c:pt>
                  <c:pt idx="104">
                    <c:v>2019</c:v>
                  </c:pt>
                  <c:pt idx="105">
                    <c:v>2019</c:v>
                  </c:pt>
                  <c:pt idx="106">
                    <c:v>2019</c:v>
                  </c:pt>
                  <c:pt idx="107">
                    <c:v>2019</c:v>
                  </c:pt>
                  <c:pt idx="108">
                    <c:v>2019</c:v>
                  </c:pt>
                </c:lvl>
              </c:multiLvlStrCache>
            </c:multiLvlStrRef>
          </c:cat>
          <c:val>
            <c:numRef>
              <c:f>'Datos base 2q jul 2018'!$I$65:$I$173</c:f>
              <c:numCache>
                <c:formatCode>0.00</c:formatCode>
                <c:ptCount val="109"/>
                <c:pt idx="0">
                  <c:v>4.3168804812640253</c:v>
                </c:pt>
                <c:pt idx="1">
                  <c:v>4.4015850903352804</c:v>
                </c:pt>
                <c:pt idx="2">
                  <c:v>3.7820372017969164</c:v>
                </c:pt>
                <c:pt idx="3">
                  <c:v>3.5723311727497773</c:v>
                </c:pt>
                <c:pt idx="4">
                  <c:v>3.0395071163208081</c:v>
                </c:pt>
                <c:pt idx="5">
                  <c:v>3.3606679891096611</c:v>
                </c:pt>
                <c:pt idx="6">
                  <c:v>3.2492890245807029</c:v>
                </c:pt>
                <c:pt idx="7">
                  <c:v>3.276468519968899</c:v>
                </c:pt>
                <c:pt idx="8">
                  <c:v>3.5471623015452378</c:v>
                </c:pt>
                <c:pt idx="9">
                  <c:v>3.4236915404563013</c:v>
                </c:pt>
                <c:pt idx="10">
                  <c:v>3.1367739982804239</c:v>
                </c:pt>
                <c:pt idx="11">
                  <c:v>3.1956472384470684</c:v>
                </c:pt>
                <c:pt idx="12">
                  <c:v>3.4826938218248089</c:v>
                </c:pt>
                <c:pt idx="13">
                  <c:v>3.8187567875879109</c:v>
                </c:pt>
                <c:pt idx="14">
                  <c:v>4.0467733567466455</c:v>
                </c:pt>
                <c:pt idx="15">
                  <c:v>3.8686334539382132</c:v>
                </c:pt>
                <c:pt idx="16">
                  <c:v>3.7292776570731734</c:v>
                </c:pt>
                <c:pt idx="17">
                  <c:v>3.4120786990644083</c:v>
                </c:pt>
                <c:pt idx="18">
                  <c:v>3.8512284349199053</c:v>
                </c:pt>
                <c:pt idx="19">
                  <c:v>4.3352225587509281</c:v>
                </c:pt>
                <c:pt idx="20">
                  <c:v>4.4199719461605227</c:v>
                </c:pt>
                <c:pt idx="21">
                  <c:v>4.5679380214540846</c:v>
                </c:pt>
                <c:pt idx="22">
                  <c:v>4.7717657316674353</c:v>
                </c:pt>
                <c:pt idx="23">
                  <c:v>4.5960947956853309</c:v>
                </c:pt>
                <c:pt idx="24">
                  <c:v>4.1798514220062986</c:v>
                </c:pt>
                <c:pt idx="25">
                  <c:v>3.5682900213421407</c:v>
                </c:pt>
                <c:pt idx="26">
                  <c:v>3.2545740477925587</c:v>
                </c:pt>
                <c:pt idx="27">
                  <c:v>3.5522890828357059</c:v>
                </c:pt>
                <c:pt idx="28">
                  <c:v>4.2522667278778643</c:v>
                </c:pt>
                <c:pt idx="29">
                  <c:v>4.649422420079059</c:v>
                </c:pt>
                <c:pt idx="30">
                  <c:v>4.6314208991424595</c:v>
                </c:pt>
                <c:pt idx="31">
                  <c:v>4.0880262124202291</c:v>
                </c:pt>
                <c:pt idx="32">
                  <c:v>3.4726191837201417</c:v>
                </c:pt>
                <c:pt idx="33">
                  <c:v>3.4565297922662892</c:v>
                </c:pt>
                <c:pt idx="34">
                  <c:v>3.390295338698551</c:v>
                </c:pt>
                <c:pt idx="35">
                  <c:v>3.3591147744594587</c:v>
                </c:pt>
                <c:pt idx="36">
                  <c:v>3.6186915887850466</c:v>
                </c:pt>
                <c:pt idx="37">
                  <c:v>3.974040989873723</c:v>
                </c:pt>
                <c:pt idx="38">
                  <c:v>4.4828098590241172</c:v>
                </c:pt>
                <c:pt idx="39">
                  <c:v>4.2344373798610366</c:v>
                </c:pt>
                <c:pt idx="40">
                  <c:v>3.7586466303370716</c:v>
                </c:pt>
                <c:pt idx="41">
                  <c:v>3.4967086565084369</c:v>
                </c:pt>
                <c:pt idx="42">
                  <c:v>3.5102243563208941</c:v>
                </c:pt>
                <c:pt idx="43">
                  <c:v>3.7525887063371495</c:v>
                </c:pt>
                <c:pt idx="44">
                  <c:v>4.0724065224797199</c:v>
                </c:pt>
                <c:pt idx="45">
                  <c:v>4.1499109421766818</c:v>
                </c:pt>
                <c:pt idx="46">
                  <c:v>4.2175837845748534</c:v>
                </c:pt>
                <c:pt idx="47">
                  <c:v>4.2977569004442557</c:v>
                </c:pt>
                <c:pt idx="48">
                  <c:v>4.1678692546359812</c:v>
                </c:pt>
                <c:pt idx="49">
                  <c:v>4.0813215195322616</c:v>
                </c:pt>
                <c:pt idx="50">
                  <c:v>3.06564152704324</c:v>
                </c:pt>
                <c:pt idx="51">
                  <c:v>3.0002659810266707</c:v>
                </c:pt>
                <c:pt idx="52">
                  <c:v>3.1370745983607202</c:v>
                </c:pt>
                <c:pt idx="53">
                  <c:v>3.0623272624193829</c:v>
                </c:pt>
                <c:pt idx="54">
                  <c:v>2.8766429390279602</c:v>
                </c:pt>
                <c:pt idx="55">
                  <c:v>2.8707794396834565</c:v>
                </c:pt>
                <c:pt idx="56">
                  <c:v>2.7390473494231591</c:v>
                </c:pt>
                <c:pt idx="57">
                  <c:v>2.5873164195419496</c:v>
                </c:pt>
                <c:pt idx="58">
                  <c:v>2.5188916876574323</c:v>
                </c:pt>
                <c:pt idx="59">
                  <c:v>2.479728373294678</c:v>
                </c:pt>
                <c:pt idx="60">
                  <c:v>2.2148528482245649</c:v>
                </c:pt>
                <c:pt idx="61">
                  <c:v>2.1308127762603513</c:v>
                </c:pt>
                <c:pt idx="62">
                  <c:v>2.6131051968884234</c:v>
                </c:pt>
                <c:pt idx="63">
                  <c:v>2.8672508478661238</c:v>
                </c:pt>
                <c:pt idx="64">
                  <c:v>2.6010098845233833</c:v>
                </c:pt>
                <c:pt idx="65">
                  <c:v>2.5415789247496594</c:v>
                </c:pt>
                <c:pt idx="66">
                  <c:v>2.5966621747693539</c:v>
                </c:pt>
                <c:pt idx="67">
                  <c:v>2.5379878921678647</c:v>
                </c:pt>
                <c:pt idx="68">
                  <c:v>2.6548291540369364</c:v>
                </c:pt>
                <c:pt idx="69">
                  <c:v>2.7274367765718939</c:v>
                </c:pt>
                <c:pt idx="70">
                  <c:v>2.9689493104127496</c:v>
                </c:pt>
                <c:pt idx="71">
                  <c:v>3.0636232007495217</c:v>
                </c:pt>
                <c:pt idx="72">
                  <c:v>3.3053510770768644</c:v>
                </c:pt>
                <c:pt idx="73">
                  <c:v>3.3602740188303559</c:v>
                </c:pt>
                <c:pt idx="74">
                  <c:v>4.7182814496066863</c:v>
                </c:pt>
                <c:pt idx="75">
                  <c:v>4.864231622107857</c:v>
                </c:pt>
                <c:pt idx="76">
                  <c:v>5.3525622279225669</c:v>
                </c:pt>
                <c:pt idx="77">
                  <c:v>5.8171698714187592</c:v>
                </c:pt>
                <c:pt idx="78">
                  <c:v>6.1640144817714893</c:v>
                </c:pt>
                <c:pt idx="79">
                  <c:v>6.3136558986047531</c:v>
                </c:pt>
                <c:pt idx="80">
                  <c:v>6.4381642633649552</c:v>
                </c:pt>
                <c:pt idx="81">
                  <c:v>6.6634880005353336</c:v>
                </c:pt>
                <c:pt idx="82">
                  <c:v>6.3478470530525177</c:v>
                </c:pt>
                <c:pt idx="83">
                  <c:v>6.3715322254084645</c:v>
                </c:pt>
                <c:pt idx="84">
                  <c:v>6.6345231359622225</c:v>
                </c:pt>
                <c:pt idx="85">
                  <c:v>6.773048198179799</c:v>
                </c:pt>
                <c:pt idx="86">
                  <c:v>5.5458354066678268</c:v>
                </c:pt>
                <c:pt idx="87">
                  <c:v>5.3392170318709091</c:v>
                </c:pt>
                <c:pt idx="88">
                  <c:v>5.0354120567544696</c:v>
                </c:pt>
                <c:pt idx="89">
                  <c:v>4.5507834159788176</c:v>
                </c:pt>
                <c:pt idx="90">
                  <c:v>4.5062692817092405</c:v>
                </c:pt>
                <c:pt idx="91">
                  <c:v>4.6468577938105033</c:v>
                </c:pt>
                <c:pt idx="92">
                  <c:v>4.8114055136106577</c:v>
                </c:pt>
                <c:pt idx="93">
                  <c:v>4.9045281971250159</c:v>
                </c:pt>
                <c:pt idx="94">
                  <c:v>5.0195736443805039</c:v>
                </c:pt>
                <c:pt idx="95">
                  <c:v>4.9036357279923948</c:v>
                </c:pt>
                <c:pt idx="96">
                  <c:v>4.7165339115991411</c:v>
                </c:pt>
                <c:pt idx="97">
                  <c:v>4.830546199536756</c:v>
                </c:pt>
                <c:pt idx="98">
                  <c:v>4.3656058642820295</c:v>
                </c:pt>
                <c:pt idx="99">
                  <c:v>3.9402756478725154</c:v>
                </c:pt>
                <c:pt idx="100">
                  <c:v>4.0041779576550196</c:v>
                </c:pt>
                <c:pt idx="101">
                  <c:v>4.4134533855607172</c:v>
                </c:pt>
                <c:pt idx="102">
                  <c:v>4.28199324596088</c:v>
                </c:pt>
                <c:pt idx="103">
                  <c:v>3.9471469134122472</c:v>
                </c:pt>
                <c:pt idx="104">
                  <c:v>3.7813381657405332</c:v>
                </c:pt>
                <c:pt idx="105">
                  <c:v>3.1624407913067643</c:v>
                </c:pt>
                <c:pt idx="106">
                  <c:v>2.9975128075547142</c:v>
                </c:pt>
                <c:pt idx="107">
                  <c:v>3.0195189274447864</c:v>
                </c:pt>
                <c:pt idx="108">
                  <c:v>2.9744973265691144</c:v>
                </c:pt>
              </c:numCache>
            </c:numRef>
          </c:val>
          <c:smooth val="0"/>
          <c:extLst>
            <c:ext xmlns:c16="http://schemas.microsoft.com/office/drawing/2014/chart" uri="{C3380CC4-5D6E-409C-BE32-E72D297353CC}">
              <c16:uniqueId val="{00000001-5BE7-4BFF-A916-AACC4F791083}"/>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3.9675014025117458E-7"/>
                  <c:y val="-9.0171928440594996E-3"/>
                </c:manualLayout>
              </c:layout>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E7-4BFF-A916-AACC4F79108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2018'!$A$65:$B$173</c:f>
              <c:multiLvlStrCache>
                <c:ptCount val="109"/>
                <c:lvl>
                  <c:pt idx="0">
                    <c:v>Nov</c:v>
                  </c:pt>
                  <c:pt idx="1">
                    <c:v>Dic</c:v>
                  </c:pt>
                  <c:pt idx="2">
                    <c:v>Ene</c:v>
                  </c:pt>
                  <c:pt idx="3">
                    <c:v>Feb</c:v>
                  </c:pt>
                  <c:pt idx="4">
                    <c:v>Mar</c:v>
                  </c:pt>
                  <c:pt idx="5">
                    <c:v>Abr</c:v>
                  </c:pt>
                  <c:pt idx="6">
                    <c:v>May</c:v>
                  </c:pt>
                  <c:pt idx="7">
                    <c:v>Jun</c:v>
                  </c:pt>
                  <c:pt idx="8">
                    <c:v>Jul</c:v>
                  </c:pt>
                  <c:pt idx="9">
                    <c:v>Ago</c:v>
                  </c:pt>
                  <c:pt idx="10">
                    <c:v>Sep</c:v>
                  </c:pt>
                  <c:pt idx="11">
                    <c:v>Oct</c:v>
                  </c:pt>
                  <c:pt idx="12">
                    <c:v>Nov</c:v>
                  </c:pt>
                  <c:pt idx="13">
                    <c:v>Dic</c:v>
                  </c:pt>
                  <c:pt idx="14">
                    <c:v>Ene</c:v>
                  </c:pt>
                  <c:pt idx="15">
                    <c:v>Feb</c:v>
                  </c:pt>
                  <c:pt idx="16">
                    <c:v>Mar</c:v>
                  </c:pt>
                  <c:pt idx="17">
                    <c:v>Abr</c:v>
                  </c:pt>
                  <c:pt idx="18">
                    <c:v>May</c:v>
                  </c:pt>
                  <c:pt idx="19">
                    <c:v>Jun</c:v>
                  </c:pt>
                  <c:pt idx="20">
                    <c:v>Jul</c:v>
                  </c:pt>
                  <c:pt idx="21">
                    <c:v>Ago</c:v>
                  </c:pt>
                  <c:pt idx="22">
                    <c:v>Sep</c:v>
                  </c:pt>
                  <c:pt idx="23">
                    <c:v>Oct</c:v>
                  </c:pt>
                  <c:pt idx="24">
                    <c:v>Nov</c:v>
                  </c:pt>
                  <c:pt idx="25">
                    <c:v>Dic</c:v>
                  </c:pt>
                  <c:pt idx="26">
                    <c:v>Ene</c:v>
                  </c:pt>
                  <c:pt idx="27">
                    <c:v>Feb</c:v>
                  </c:pt>
                  <c:pt idx="28">
                    <c:v>Mar</c:v>
                  </c:pt>
                  <c:pt idx="29">
                    <c:v>Abr</c:v>
                  </c:pt>
                  <c:pt idx="30">
                    <c:v>May</c:v>
                  </c:pt>
                  <c:pt idx="31">
                    <c:v>Jun</c:v>
                  </c:pt>
                  <c:pt idx="32">
                    <c:v>Jul</c:v>
                  </c:pt>
                  <c:pt idx="33">
                    <c:v>Ago</c:v>
                  </c:pt>
                  <c:pt idx="34">
                    <c:v>Sep</c:v>
                  </c:pt>
                  <c:pt idx="35">
                    <c:v>Oct</c:v>
                  </c:pt>
                  <c:pt idx="36">
                    <c:v>Nov</c:v>
                  </c:pt>
                  <c:pt idx="37">
                    <c:v>Dic</c:v>
                  </c:pt>
                  <c:pt idx="38">
                    <c:v>Ene</c:v>
                  </c:pt>
                  <c:pt idx="39">
                    <c:v>Feb</c:v>
                  </c:pt>
                  <c:pt idx="40">
                    <c:v>Mar</c:v>
                  </c:pt>
                  <c:pt idx="41">
                    <c:v>Abr</c:v>
                  </c:pt>
                  <c:pt idx="42">
                    <c:v>May</c:v>
                  </c:pt>
                  <c:pt idx="43">
                    <c:v>Jun</c:v>
                  </c:pt>
                  <c:pt idx="44">
                    <c:v>Jul</c:v>
                  </c:pt>
                  <c:pt idx="45">
                    <c:v>Ago</c:v>
                  </c:pt>
                  <c:pt idx="46">
                    <c:v>Sep</c:v>
                  </c:pt>
                  <c:pt idx="47">
                    <c:v>Oct</c:v>
                  </c:pt>
                  <c:pt idx="48">
                    <c:v>Nov</c:v>
                  </c:pt>
                  <c:pt idx="49">
                    <c:v>Dic</c:v>
                  </c:pt>
                  <c:pt idx="50">
                    <c:v>Ene</c:v>
                  </c:pt>
                  <c:pt idx="51">
                    <c:v>Feb</c:v>
                  </c:pt>
                  <c:pt idx="52">
                    <c:v>Mar</c:v>
                  </c:pt>
                  <c:pt idx="53">
                    <c:v>Abr</c:v>
                  </c:pt>
                  <c:pt idx="54">
                    <c:v>May</c:v>
                  </c:pt>
                  <c:pt idx="55">
                    <c:v>Jun</c:v>
                  </c:pt>
                  <c:pt idx="56">
                    <c:v>Jul</c:v>
                  </c:pt>
                  <c:pt idx="57">
                    <c:v>Ago</c:v>
                  </c:pt>
                  <c:pt idx="58">
                    <c:v>Sep</c:v>
                  </c:pt>
                  <c:pt idx="59">
                    <c:v>Oct</c:v>
                  </c:pt>
                  <c:pt idx="60">
                    <c:v>Nov</c:v>
                  </c:pt>
                  <c:pt idx="61">
                    <c:v>Dic</c:v>
                  </c:pt>
                  <c:pt idx="62">
                    <c:v>Ene </c:v>
                  </c:pt>
                  <c:pt idx="63">
                    <c:v>Feb</c:v>
                  </c:pt>
                  <c:pt idx="64">
                    <c:v>Mar</c:v>
                  </c:pt>
                  <c:pt idx="65">
                    <c:v>Abr</c:v>
                  </c:pt>
                  <c:pt idx="66">
                    <c:v>May</c:v>
                  </c:pt>
                  <c:pt idx="67">
                    <c:v>Jun</c:v>
                  </c:pt>
                  <c:pt idx="68">
                    <c:v>Jul</c:v>
                  </c:pt>
                  <c:pt idx="69">
                    <c:v>Ago</c:v>
                  </c:pt>
                  <c:pt idx="70">
                    <c:v>Sep</c:v>
                  </c:pt>
                  <c:pt idx="71">
                    <c:v>Oct</c:v>
                  </c:pt>
                  <c:pt idx="72">
                    <c:v>Nov</c:v>
                  </c:pt>
                  <c:pt idx="73">
                    <c:v>Dic</c:v>
                  </c:pt>
                  <c:pt idx="74">
                    <c:v>Ene </c:v>
                  </c:pt>
                  <c:pt idx="75">
                    <c:v>Feb</c:v>
                  </c:pt>
                  <c:pt idx="76">
                    <c:v>Mar</c:v>
                  </c:pt>
                  <c:pt idx="77">
                    <c:v>Abr</c:v>
                  </c:pt>
                  <c:pt idx="78">
                    <c:v>May</c:v>
                  </c:pt>
                  <c:pt idx="79">
                    <c:v>Jun</c:v>
                  </c:pt>
                  <c:pt idx="80">
                    <c:v>Jul</c:v>
                  </c:pt>
                  <c:pt idx="81">
                    <c:v>Ago</c:v>
                  </c:pt>
                  <c:pt idx="82">
                    <c:v>Sep</c:v>
                  </c:pt>
                  <c:pt idx="83">
                    <c:v>Oct</c:v>
                  </c:pt>
                  <c:pt idx="84">
                    <c:v>Nov</c:v>
                  </c:pt>
                  <c:pt idx="85">
                    <c:v>Dic</c:v>
                  </c:pt>
                  <c:pt idx="86">
                    <c:v>Ene </c:v>
                  </c:pt>
                  <c:pt idx="87">
                    <c:v>Feb</c:v>
                  </c:pt>
                  <c:pt idx="88">
                    <c:v>Mar</c:v>
                  </c:pt>
                  <c:pt idx="89">
                    <c:v>Abr</c:v>
                  </c:pt>
                  <c:pt idx="90">
                    <c:v>May</c:v>
                  </c:pt>
                  <c:pt idx="91">
                    <c:v>Jun</c:v>
                  </c:pt>
                  <c:pt idx="92">
                    <c:v>Jul</c:v>
                  </c:pt>
                  <c:pt idx="93">
                    <c:v>Ago</c:v>
                  </c:pt>
                  <c:pt idx="94">
                    <c:v>Sep</c:v>
                  </c:pt>
                  <c:pt idx="95">
                    <c:v>Oct</c:v>
                  </c:pt>
                  <c:pt idx="96">
                    <c:v>Nov</c:v>
                  </c:pt>
                  <c:pt idx="97">
                    <c:v>Dic</c:v>
                  </c:pt>
                  <c:pt idx="98">
                    <c:v>Ene </c:v>
                  </c:pt>
                  <c:pt idx="99">
                    <c:v>Feb</c:v>
                  </c:pt>
                  <c:pt idx="100">
                    <c:v>Mar</c:v>
                  </c:pt>
                  <c:pt idx="101">
                    <c:v>Abr</c:v>
                  </c:pt>
                  <c:pt idx="102">
                    <c:v>May</c:v>
                  </c:pt>
                  <c:pt idx="103">
                    <c:v>Jun</c:v>
                  </c:pt>
                  <c:pt idx="104">
                    <c:v>Jul</c:v>
                  </c:pt>
                  <c:pt idx="105">
                    <c:v>Ago</c:v>
                  </c:pt>
                  <c:pt idx="106">
                    <c:v>Sep</c:v>
                  </c:pt>
                  <c:pt idx="107">
                    <c:v>Oct</c:v>
                  </c:pt>
                  <c:pt idx="108">
                    <c:v>Nov</c:v>
                  </c:pt>
                </c:lvl>
                <c:lvl>
                  <c:pt idx="0">
                    <c:v>2010</c:v>
                  </c:pt>
                  <c:pt idx="1">
                    <c:v>2010</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2013</c:v>
                  </c:pt>
                  <c:pt idx="27">
                    <c:v>2013</c:v>
                  </c:pt>
                  <c:pt idx="28">
                    <c:v>2013</c:v>
                  </c:pt>
                  <c:pt idx="29">
                    <c:v>2013</c:v>
                  </c:pt>
                  <c:pt idx="30">
                    <c:v>2013</c:v>
                  </c:pt>
                  <c:pt idx="31">
                    <c:v>2013</c:v>
                  </c:pt>
                  <c:pt idx="32">
                    <c:v>2013</c:v>
                  </c:pt>
                  <c:pt idx="33">
                    <c:v>2013</c:v>
                  </c:pt>
                  <c:pt idx="34">
                    <c:v>2013</c:v>
                  </c:pt>
                  <c:pt idx="35">
                    <c:v>2013</c:v>
                  </c:pt>
                  <c:pt idx="36">
                    <c:v>2013</c:v>
                  </c:pt>
                  <c:pt idx="37">
                    <c:v>2013</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2016</c:v>
                  </c:pt>
                  <c:pt idx="63">
                    <c:v>2016</c:v>
                  </c:pt>
                  <c:pt idx="64">
                    <c:v>2016</c:v>
                  </c:pt>
                  <c:pt idx="65">
                    <c:v>2016</c:v>
                  </c:pt>
                  <c:pt idx="66">
                    <c:v>2016</c:v>
                  </c:pt>
                  <c:pt idx="67">
                    <c:v>2016</c:v>
                  </c:pt>
                  <c:pt idx="68">
                    <c:v>2016</c:v>
                  </c:pt>
                  <c:pt idx="69">
                    <c:v>2016</c:v>
                  </c:pt>
                  <c:pt idx="70">
                    <c:v>2016</c:v>
                  </c:pt>
                  <c:pt idx="71">
                    <c:v>2016</c:v>
                  </c:pt>
                  <c:pt idx="72">
                    <c:v>2016</c:v>
                  </c:pt>
                  <c:pt idx="73">
                    <c:v>2016</c:v>
                  </c:pt>
                  <c:pt idx="74">
                    <c:v>2017</c:v>
                  </c:pt>
                  <c:pt idx="75">
                    <c:v>2017</c:v>
                  </c:pt>
                  <c:pt idx="76">
                    <c:v>2017</c:v>
                  </c:pt>
                  <c:pt idx="77">
                    <c:v>2017</c:v>
                  </c:pt>
                  <c:pt idx="78">
                    <c:v>2017</c:v>
                  </c:pt>
                  <c:pt idx="79">
                    <c:v>2017</c:v>
                  </c:pt>
                  <c:pt idx="80">
                    <c:v>2017</c:v>
                  </c:pt>
                  <c:pt idx="81">
                    <c:v>2017</c:v>
                  </c:pt>
                  <c:pt idx="82">
                    <c:v>2017</c:v>
                  </c:pt>
                  <c:pt idx="83">
                    <c:v>2017</c:v>
                  </c:pt>
                  <c:pt idx="84">
                    <c:v>2017</c:v>
                  </c:pt>
                  <c:pt idx="85">
                    <c:v>2017</c:v>
                  </c:pt>
                  <c:pt idx="86">
                    <c:v>2018</c:v>
                  </c:pt>
                  <c:pt idx="87">
                    <c:v>2018</c:v>
                  </c:pt>
                  <c:pt idx="88">
                    <c:v>2018</c:v>
                  </c:pt>
                  <c:pt idx="89">
                    <c:v>2018</c:v>
                  </c:pt>
                  <c:pt idx="90">
                    <c:v>2018</c:v>
                  </c:pt>
                  <c:pt idx="91">
                    <c:v>2018</c:v>
                  </c:pt>
                  <c:pt idx="92">
                    <c:v>2018</c:v>
                  </c:pt>
                  <c:pt idx="93">
                    <c:v>2018</c:v>
                  </c:pt>
                  <c:pt idx="94">
                    <c:v>2018</c:v>
                  </c:pt>
                  <c:pt idx="95">
                    <c:v>2018</c:v>
                  </c:pt>
                  <c:pt idx="96">
                    <c:v>2018</c:v>
                  </c:pt>
                  <c:pt idx="97">
                    <c:v>2018</c:v>
                  </c:pt>
                  <c:pt idx="98">
                    <c:v>2019</c:v>
                  </c:pt>
                  <c:pt idx="99">
                    <c:v>2019</c:v>
                  </c:pt>
                  <c:pt idx="100">
                    <c:v>2019</c:v>
                  </c:pt>
                  <c:pt idx="101">
                    <c:v>2019</c:v>
                  </c:pt>
                  <c:pt idx="102">
                    <c:v>2019</c:v>
                  </c:pt>
                  <c:pt idx="103">
                    <c:v>2019</c:v>
                  </c:pt>
                  <c:pt idx="104">
                    <c:v>2019</c:v>
                  </c:pt>
                  <c:pt idx="105">
                    <c:v>2019</c:v>
                  </c:pt>
                  <c:pt idx="106">
                    <c:v>2019</c:v>
                  </c:pt>
                  <c:pt idx="107">
                    <c:v>2019</c:v>
                  </c:pt>
                  <c:pt idx="108">
                    <c:v>2019</c:v>
                  </c:pt>
                </c:lvl>
              </c:multiLvlStrCache>
            </c:multiLvlStrRef>
          </c:cat>
          <c:val>
            <c:numRef>
              <c:f>'Datos base 2q jul 2018'!$J$65:$J$173</c:f>
              <c:numCache>
                <c:formatCode>0.00</c:formatCode>
                <c:ptCount val="109"/>
                <c:pt idx="0">
                  <c:v>3.6111033428523127</c:v>
                </c:pt>
                <c:pt idx="1">
                  <c:v>3.5765316229307973</c:v>
                </c:pt>
                <c:pt idx="2">
                  <c:v>3.2740271032060786</c:v>
                </c:pt>
                <c:pt idx="3">
                  <c:v>3.2630675883391329</c:v>
                </c:pt>
                <c:pt idx="4">
                  <c:v>3.2091217758050599</c:v>
                </c:pt>
                <c:pt idx="5">
                  <c:v>3.1757703324359698</c:v>
                </c:pt>
                <c:pt idx="6">
                  <c:v>3.119019422989187</c:v>
                </c:pt>
                <c:pt idx="7">
                  <c:v>3.1764990231993271</c:v>
                </c:pt>
                <c:pt idx="8">
                  <c:v>3.1932744089474538</c:v>
                </c:pt>
                <c:pt idx="9">
                  <c:v>3.2169767950597743</c:v>
                </c:pt>
                <c:pt idx="10">
                  <c:v>3.1183055023675901</c:v>
                </c:pt>
                <c:pt idx="11">
                  <c:v>3.1883275389076449</c:v>
                </c:pt>
                <c:pt idx="12">
                  <c:v>3.2765420338781643</c:v>
                </c:pt>
                <c:pt idx="13">
                  <c:v>3.3530622204483231</c:v>
                </c:pt>
                <c:pt idx="14">
                  <c:v>3.3436930809268399</c:v>
                </c:pt>
                <c:pt idx="15">
                  <c:v>3.3671046021780144</c:v>
                </c:pt>
                <c:pt idx="16">
                  <c:v>3.3113498039227229</c:v>
                </c:pt>
                <c:pt idx="17">
                  <c:v>3.3889839670201529</c:v>
                </c:pt>
                <c:pt idx="18">
                  <c:v>3.4793422084359085</c:v>
                </c:pt>
                <c:pt idx="19">
                  <c:v>3.5024590654229684</c:v>
                </c:pt>
                <c:pt idx="20">
                  <c:v>3.5920821039862001</c:v>
                </c:pt>
                <c:pt idx="21">
                  <c:v>3.7002444070869589</c:v>
                </c:pt>
                <c:pt idx="22">
                  <c:v>3.6082675568587601</c:v>
                </c:pt>
                <c:pt idx="23">
                  <c:v>3.5757597306912232</c:v>
                </c:pt>
                <c:pt idx="24">
                  <c:v>3.2959752573821817</c:v>
                </c:pt>
                <c:pt idx="25">
                  <c:v>2.900125067472791</c:v>
                </c:pt>
                <c:pt idx="26">
                  <c:v>2.8758972112390766</c:v>
                </c:pt>
                <c:pt idx="27">
                  <c:v>2.9616309791473272</c:v>
                </c:pt>
                <c:pt idx="28">
                  <c:v>3.0196390513881881</c:v>
                </c:pt>
                <c:pt idx="29">
                  <c:v>2.9470356969381024</c:v>
                </c:pt>
                <c:pt idx="30">
                  <c:v>2.877045105571669</c:v>
                </c:pt>
                <c:pt idx="31">
                  <c:v>2.7872047408431238</c:v>
                </c:pt>
                <c:pt idx="32">
                  <c:v>2.5028703370876233</c:v>
                </c:pt>
                <c:pt idx="33">
                  <c:v>2.3658177804721046</c:v>
                </c:pt>
                <c:pt idx="34">
                  <c:v>2.515920717630256</c:v>
                </c:pt>
                <c:pt idx="35">
                  <c:v>2.4794464775631813</c:v>
                </c:pt>
                <c:pt idx="36">
                  <c:v>2.5649870805356052</c:v>
                </c:pt>
                <c:pt idx="37">
                  <c:v>2.7768966976377301</c:v>
                </c:pt>
                <c:pt idx="38">
                  <c:v>3.2149549463724112</c:v>
                </c:pt>
                <c:pt idx="39">
                  <c:v>2.9815992803587128</c:v>
                </c:pt>
                <c:pt idx="40">
                  <c:v>2.8932252163082919</c:v>
                </c:pt>
                <c:pt idx="41">
                  <c:v>3.1101473946244109</c:v>
                </c:pt>
                <c:pt idx="42">
                  <c:v>3.0035274507757586</c:v>
                </c:pt>
                <c:pt idx="43">
                  <c:v>3.0900897382228592</c:v>
                </c:pt>
                <c:pt idx="44">
                  <c:v>3.2487794255958073</c:v>
                </c:pt>
                <c:pt idx="45">
                  <c:v>3.3745783859321801</c:v>
                </c:pt>
                <c:pt idx="46">
                  <c:v>3.3426914882561221</c:v>
                </c:pt>
                <c:pt idx="47">
                  <c:v>3.3163350058599472</c:v>
                </c:pt>
                <c:pt idx="48">
                  <c:v>3.3433053168902909</c:v>
                </c:pt>
                <c:pt idx="49">
                  <c:v>3.2448177346399127</c:v>
                </c:pt>
                <c:pt idx="50">
                  <c:v>2.3383998327657349</c:v>
                </c:pt>
                <c:pt idx="51">
                  <c:v>2.3979106641053143</c:v>
                </c:pt>
                <c:pt idx="52">
                  <c:v>2.4463932612693524</c:v>
                </c:pt>
                <c:pt idx="53">
                  <c:v>2.3081554852986721</c:v>
                </c:pt>
                <c:pt idx="54">
                  <c:v>2.3305900684862193</c:v>
                </c:pt>
                <c:pt idx="55">
                  <c:v>2.3269537481242435</c:v>
                </c:pt>
                <c:pt idx="56">
                  <c:v>2.3112445832250934</c:v>
                </c:pt>
                <c:pt idx="57">
                  <c:v>2.2994746549221601</c:v>
                </c:pt>
                <c:pt idx="58">
                  <c:v>2.3789168680112285</c:v>
                </c:pt>
                <c:pt idx="59">
                  <c:v>2.4656820691800654</c:v>
                </c:pt>
                <c:pt idx="60">
                  <c:v>2.3365787531201514</c:v>
                </c:pt>
                <c:pt idx="61">
                  <c:v>2.4119558744003973</c:v>
                </c:pt>
                <c:pt idx="62">
                  <c:v>2.6434226555474014</c:v>
                </c:pt>
                <c:pt idx="63">
                  <c:v>2.6623814836084652</c:v>
                </c:pt>
                <c:pt idx="64">
                  <c:v>2.760648466857702</c:v>
                </c:pt>
                <c:pt idx="65">
                  <c:v>2.827165397588026</c:v>
                </c:pt>
                <c:pt idx="66">
                  <c:v>2.9277923611219818</c:v>
                </c:pt>
                <c:pt idx="67">
                  <c:v>2.9744353574629447</c:v>
                </c:pt>
                <c:pt idx="68">
                  <c:v>2.9725376004903468</c:v>
                </c:pt>
                <c:pt idx="69">
                  <c:v>2.9609191830223178</c:v>
                </c:pt>
                <c:pt idx="70">
                  <c:v>3.0690587086750285</c:v>
                </c:pt>
                <c:pt idx="71">
                  <c:v>3.0980049382589616</c:v>
                </c:pt>
                <c:pt idx="72">
                  <c:v>3.2930623557082486</c:v>
                </c:pt>
                <c:pt idx="73">
                  <c:v>3.4373659982048181</c:v>
                </c:pt>
                <c:pt idx="74">
                  <c:v>3.8357376467426549</c:v>
                </c:pt>
                <c:pt idx="75">
                  <c:v>4.2555046474677471</c:v>
                </c:pt>
                <c:pt idx="76">
                  <c:v>4.4783374612475164</c:v>
                </c:pt>
                <c:pt idx="77">
                  <c:v>4.7173262046135154</c:v>
                </c:pt>
                <c:pt idx="78">
                  <c:v>4.7815776448548775</c:v>
                </c:pt>
                <c:pt idx="79">
                  <c:v>4.8338438131124217</c:v>
                </c:pt>
                <c:pt idx="80">
                  <c:v>4.935516841380946</c:v>
                </c:pt>
                <c:pt idx="81">
                  <c:v>5.0029580594435865</c:v>
                </c:pt>
                <c:pt idx="82">
                  <c:v>4.8001484368885379</c:v>
                </c:pt>
                <c:pt idx="83">
                  <c:v>4.7718024040299234</c:v>
                </c:pt>
                <c:pt idx="84">
                  <c:v>4.8971034253443557</c:v>
                </c:pt>
                <c:pt idx="85">
                  <c:v>4.868778362354127</c:v>
                </c:pt>
                <c:pt idx="86">
                  <c:v>4.5610867697520128</c:v>
                </c:pt>
                <c:pt idx="87">
                  <c:v>4.2746628168778127</c:v>
                </c:pt>
                <c:pt idx="88">
                  <c:v>4.0228686863965315</c:v>
                </c:pt>
                <c:pt idx="89">
                  <c:v>3.7095644217896755</c:v>
                </c:pt>
                <c:pt idx="90">
                  <c:v>3.6906558377127872</c:v>
                </c:pt>
                <c:pt idx="91">
                  <c:v>3.6152923643841275</c:v>
                </c:pt>
                <c:pt idx="92">
                  <c:v>3.6349156535127221</c:v>
                </c:pt>
                <c:pt idx="93">
                  <c:v>3.6268947226102743</c:v>
                </c:pt>
                <c:pt idx="94">
                  <c:v>3.6697723796647042</c:v>
                </c:pt>
                <c:pt idx="95">
                  <c:v>3.7294081492161624</c:v>
                </c:pt>
                <c:pt idx="96">
                  <c:v>3.6336719347377811</c:v>
                </c:pt>
                <c:pt idx="97">
                  <c:v>3.6830818113137154</c:v>
                </c:pt>
                <c:pt idx="98">
                  <c:v>3.5956327388364739</c:v>
                </c:pt>
                <c:pt idx="99">
                  <c:v>3.5373492702235998</c:v>
                </c:pt>
                <c:pt idx="100">
                  <c:v>3.5522683456014059</c:v>
                </c:pt>
                <c:pt idx="101">
                  <c:v>3.8709212669734594</c:v>
                </c:pt>
                <c:pt idx="102">
                  <c:v>3.7745907093303721</c:v>
                </c:pt>
                <c:pt idx="103">
                  <c:v>3.8492317375587115</c:v>
                </c:pt>
                <c:pt idx="104">
                  <c:v>3.8210955621749809</c:v>
                </c:pt>
                <c:pt idx="105">
                  <c:v>3.7767203638696234</c:v>
                </c:pt>
                <c:pt idx="106">
                  <c:v>3.7497990358150046</c:v>
                </c:pt>
                <c:pt idx="107">
                  <c:v>3.6838383356078586</c:v>
                </c:pt>
                <c:pt idx="108">
                  <c:v>3.6529927423974762</c:v>
                </c:pt>
              </c:numCache>
            </c:numRef>
          </c:val>
          <c:smooth val="0"/>
          <c:extLst>
            <c:ext xmlns:c16="http://schemas.microsoft.com/office/drawing/2014/chart" uri="{C3380CC4-5D6E-409C-BE32-E72D297353CC}">
              <c16:uniqueId val="{00000003-5BE7-4BFF-A916-AACC4F791083}"/>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1.3271292191401789E-4"/>
                  <c:y val="-8.684561020548204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E7-4BFF-A916-AACC4F791083}"/>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2018'!$A$65:$B$173</c:f>
              <c:multiLvlStrCache>
                <c:ptCount val="109"/>
                <c:lvl>
                  <c:pt idx="0">
                    <c:v>Nov</c:v>
                  </c:pt>
                  <c:pt idx="1">
                    <c:v>Dic</c:v>
                  </c:pt>
                  <c:pt idx="2">
                    <c:v>Ene</c:v>
                  </c:pt>
                  <c:pt idx="3">
                    <c:v>Feb</c:v>
                  </c:pt>
                  <c:pt idx="4">
                    <c:v>Mar</c:v>
                  </c:pt>
                  <c:pt idx="5">
                    <c:v>Abr</c:v>
                  </c:pt>
                  <c:pt idx="6">
                    <c:v>May</c:v>
                  </c:pt>
                  <c:pt idx="7">
                    <c:v>Jun</c:v>
                  </c:pt>
                  <c:pt idx="8">
                    <c:v>Jul</c:v>
                  </c:pt>
                  <c:pt idx="9">
                    <c:v>Ago</c:v>
                  </c:pt>
                  <c:pt idx="10">
                    <c:v>Sep</c:v>
                  </c:pt>
                  <c:pt idx="11">
                    <c:v>Oct</c:v>
                  </c:pt>
                  <c:pt idx="12">
                    <c:v>Nov</c:v>
                  </c:pt>
                  <c:pt idx="13">
                    <c:v>Dic</c:v>
                  </c:pt>
                  <c:pt idx="14">
                    <c:v>Ene</c:v>
                  </c:pt>
                  <c:pt idx="15">
                    <c:v>Feb</c:v>
                  </c:pt>
                  <c:pt idx="16">
                    <c:v>Mar</c:v>
                  </c:pt>
                  <c:pt idx="17">
                    <c:v>Abr</c:v>
                  </c:pt>
                  <c:pt idx="18">
                    <c:v>May</c:v>
                  </c:pt>
                  <c:pt idx="19">
                    <c:v>Jun</c:v>
                  </c:pt>
                  <c:pt idx="20">
                    <c:v>Jul</c:v>
                  </c:pt>
                  <c:pt idx="21">
                    <c:v>Ago</c:v>
                  </c:pt>
                  <c:pt idx="22">
                    <c:v>Sep</c:v>
                  </c:pt>
                  <c:pt idx="23">
                    <c:v>Oct</c:v>
                  </c:pt>
                  <c:pt idx="24">
                    <c:v>Nov</c:v>
                  </c:pt>
                  <c:pt idx="25">
                    <c:v>Dic</c:v>
                  </c:pt>
                  <c:pt idx="26">
                    <c:v>Ene</c:v>
                  </c:pt>
                  <c:pt idx="27">
                    <c:v>Feb</c:v>
                  </c:pt>
                  <c:pt idx="28">
                    <c:v>Mar</c:v>
                  </c:pt>
                  <c:pt idx="29">
                    <c:v>Abr</c:v>
                  </c:pt>
                  <c:pt idx="30">
                    <c:v>May</c:v>
                  </c:pt>
                  <c:pt idx="31">
                    <c:v>Jun</c:v>
                  </c:pt>
                  <c:pt idx="32">
                    <c:v>Jul</c:v>
                  </c:pt>
                  <c:pt idx="33">
                    <c:v>Ago</c:v>
                  </c:pt>
                  <c:pt idx="34">
                    <c:v>Sep</c:v>
                  </c:pt>
                  <c:pt idx="35">
                    <c:v>Oct</c:v>
                  </c:pt>
                  <c:pt idx="36">
                    <c:v>Nov</c:v>
                  </c:pt>
                  <c:pt idx="37">
                    <c:v>Dic</c:v>
                  </c:pt>
                  <c:pt idx="38">
                    <c:v>Ene</c:v>
                  </c:pt>
                  <c:pt idx="39">
                    <c:v>Feb</c:v>
                  </c:pt>
                  <c:pt idx="40">
                    <c:v>Mar</c:v>
                  </c:pt>
                  <c:pt idx="41">
                    <c:v>Abr</c:v>
                  </c:pt>
                  <c:pt idx="42">
                    <c:v>May</c:v>
                  </c:pt>
                  <c:pt idx="43">
                    <c:v>Jun</c:v>
                  </c:pt>
                  <c:pt idx="44">
                    <c:v>Jul</c:v>
                  </c:pt>
                  <c:pt idx="45">
                    <c:v>Ago</c:v>
                  </c:pt>
                  <c:pt idx="46">
                    <c:v>Sep</c:v>
                  </c:pt>
                  <c:pt idx="47">
                    <c:v>Oct</c:v>
                  </c:pt>
                  <c:pt idx="48">
                    <c:v>Nov</c:v>
                  </c:pt>
                  <c:pt idx="49">
                    <c:v>Dic</c:v>
                  </c:pt>
                  <c:pt idx="50">
                    <c:v>Ene</c:v>
                  </c:pt>
                  <c:pt idx="51">
                    <c:v>Feb</c:v>
                  </c:pt>
                  <c:pt idx="52">
                    <c:v>Mar</c:v>
                  </c:pt>
                  <c:pt idx="53">
                    <c:v>Abr</c:v>
                  </c:pt>
                  <c:pt idx="54">
                    <c:v>May</c:v>
                  </c:pt>
                  <c:pt idx="55">
                    <c:v>Jun</c:v>
                  </c:pt>
                  <c:pt idx="56">
                    <c:v>Jul</c:v>
                  </c:pt>
                  <c:pt idx="57">
                    <c:v>Ago</c:v>
                  </c:pt>
                  <c:pt idx="58">
                    <c:v>Sep</c:v>
                  </c:pt>
                  <c:pt idx="59">
                    <c:v>Oct</c:v>
                  </c:pt>
                  <c:pt idx="60">
                    <c:v>Nov</c:v>
                  </c:pt>
                  <c:pt idx="61">
                    <c:v>Dic</c:v>
                  </c:pt>
                  <c:pt idx="62">
                    <c:v>Ene </c:v>
                  </c:pt>
                  <c:pt idx="63">
                    <c:v>Feb</c:v>
                  </c:pt>
                  <c:pt idx="64">
                    <c:v>Mar</c:v>
                  </c:pt>
                  <c:pt idx="65">
                    <c:v>Abr</c:v>
                  </c:pt>
                  <c:pt idx="66">
                    <c:v>May</c:v>
                  </c:pt>
                  <c:pt idx="67">
                    <c:v>Jun</c:v>
                  </c:pt>
                  <c:pt idx="68">
                    <c:v>Jul</c:v>
                  </c:pt>
                  <c:pt idx="69">
                    <c:v>Ago</c:v>
                  </c:pt>
                  <c:pt idx="70">
                    <c:v>Sep</c:v>
                  </c:pt>
                  <c:pt idx="71">
                    <c:v>Oct</c:v>
                  </c:pt>
                  <c:pt idx="72">
                    <c:v>Nov</c:v>
                  </c:pt>
                  <c:pt idx="73">
                    <c:v>Dic</c:v>
                  </c:pt>
                  <c:pt idx="74">
                    <c:v>Ene </c:v>
                  </c:pt>
                  <c:pt idx="75">
                    <c:v>Feb</c:v>
                  </c:pt>
                  <c:pt idx="76">
                    <c:v>Mar</c:v>
                  </c:pt>
                  <c:pt idx="77">
                    <c:v>Abr</c:v>
                  </c:pt>
                  <c:pt idx="78">
                    <c:v>May</c:v>
                  </c:pt>
                  <c:pt idx="79">
                    <c:v>Jun</c:v>
                  </c:pt>
                  <c:pt idx="80">
                    <c:v>Jul</c:v>
                  </c:pt>
                  <c:pt idx="81">
                    <c:v>Ago</c:v>
                  </c:pt>
                  <c:pt idx="82">
                    <c:v>Sep</c:v>
                  </c:pt>
                  <c:pt idx="83">
                    <c:v>Oct</c:v>
                  </c:pt>
                  <c:pt idx="84">
                    <c:v>Nov</c:v>
                  </c:pt>
                  <c:pt idx="85">
                    <c:v>Dic</c:v>
                  </c:pt>
                  <c:pt idx="86">
                    <c:v>Ene </c:v>
                  </c:pt>
                  <c:pt idx="87">
                    <c:v>Feb</c:v>
                  </c:pt>
                  <c:pt idx="88">
                    <c:v>Mar</c:v>
                  </c:pt>
                  <c:pt idx="89">
                    <c:v>Abr</c:v>
                  </c:pt>
                  <c:pt idx="90">
                    <c:v>May</c:v>
                  </c:pt>
                  <c:pt idx="91">
                    <c:v>Jun</c:v>
                  </c:pt>
                  <c:pt idx="92">
                    <c:v>Jul</c:v>
                  </c:pt>
                  <c:pt idx="93">
                    <c:v>Ago</c:v>
                  </c:pt>
                  <c:pt idx="94">
                    <c:v>Sep</c:v>
                  </c:pt>
                  <c:pt idx="95">
                    <c:v>Oct</c:v>
                  </c:pt>
                  <c:pt idx="96">
                    <c:v>Nov</c:v>
                  </c:pt>
                  <c:pt idx="97">
                    <c:v>Dic</c:v>
                  </c:pt>
                  <c:pt idx="98">
                    <c:v>Ene </c:v>
                  </c:pt>
                  <c:pt idx="99">
                    <c:v>Feb</c:v>
                  </c:pt>
                  <c:pt idx="100">
                    <c:v>Mar</c:v>
                  </c:pt>
                  <c:pt idx="101">
                    <c:v>Abr</c:v>
                  </c:pt>
                  <c:pt idx="102">
                    <c:v>May</c:v>
                  </c:pt>
                  <c:pt idx="103">
                    <c:v>Jun</c:v>
                  </c:pt>
                  <c:pt idx="104">
                    <c:v>Jul</c:v>
                  </c:pt>
                  <c:pt idx="105">
                    <c:v>Ago</c:v>
                  </c:pt>
                  <c:pt idx="106">
                    <c:v>Sep</c:v>
                  </c:pt>
                  <c:pt idx="107">
                    <c:v>Oct</c:v>
                  </c:pt>
                  <c:pt idx="108">
                    <c:v>Nov</c:v>
                  </c:pt>
                </c:lvl>
                <c:lvl>
                  <c:pt idx="0">
                    <c:v>2010</c:v>
                  </c:pt>
                  <c:pt idx="1">
                    <c:v>2010</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2013</c:v>
                  </c:pt>
                  <c:pt idx="27">
                    <c:v>2013</c:v>
                  </c:pt>
                  <c:pt idx="28">
                    <c:v>2013</c:v>
                  </c:pt>
                  <c:pt idx="29">
                    <c:v>2013</c:v>
                  </c:pt>
                  <c:pt idx="30">
                    <c:v>2013</c:v>
                  </c:pt>
                  <c:pt idx="31">
                    <c:v>2013</c:v>
                  </c:pt>
                  <c:pt idx="32">
                    <c:v>2013</c:v>
                  </c:pt>
                  <c:pt idx="33">
                    <c:v>2013</c:v>
                  </c:pt>
                  <c:pt idx="34">
                    <c:v>2013</c:v>
                  </c:pt>
                  <c:pt idx="35">
                    <c:v>2013</c:v>
                  </c:pt>
                  <c:pt idx="36">
                    <c:v>2013</c:v>
                  </c:pt>
                  <c:pt idx="37">
                    <c:v>2013</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2016</c:v>
                  </c:pt>
                  <c:pt idx="63">
                    <c:v>2016</c:v>
                  </c:pt>
                  <c:pt idx="64">
                    <c:v>2016</c:v>
                  </c:pt>
                  <c:pt idx="65">
                    <c:v>2016</c:v>
                  </c:pt>
                  <c:pt idx="66">
                    <c:v>2016</c:v>
                  </c:pt>
                  <c:pt idx="67">
                    <c:v>2016</c:v>
                  </c:pt>
                  <c:pt idx="68">
                    <c:v>2016</c:v>
                  </c:pt>
                  <c:pt idx="69">
                    <c:v>2016</c:v>
                  </c:pt>
                  <c:pt idx="70">
                    <c:v>2016</c:v>
                  </c:pt>
                  <c:pt idx="71">
                    <c:v>2016</c:v>
                  </c:pt>
                  <c:pt idx="72">
                    <c:v>2016</c:v>
                  </c:pt>
                  <c:pt idx="73">
                    <c:v>2016</c:v>
                  </c:pt>
                  <c:pt idx="74">
                    <c:v>2017</c:v>
                  </c:pt>
                  <c:pt idx="75">
                    <c:v>2017</c:v>
                  </c:pt>
                  <c:pt idx="76">
                    <c:v>2017</c:v>
                  </c:pt>
                  <c:pt idx="77">
                    <c:v>2017</c:v>
                  </c:pt>
                  <c:pt idx="78">
                    <c:v>2017</c:v>
                  </c:pt>
                  <c:pt idx="79">
                    <c:v>2017</c:v>
                  </c:pt>
                  <c:pt idx="80">
                    <c:v>2017</c:v>
                  </c:pt>
                  <c:pt idx="81">
                    <c:v>2017</c:v>
                  </c:pt>
                  <c:pt idx="82">
                    <c:v>2017</c:v>
                  </c:pt>
                  <c:pt idx="83">
                    <c:v>2017</c:v>
                  </c:pt>
                  <c:pt idx="84">
                    <c:v>2017</c:v>
                  </c:pt>
                  <c:pt idx="85">
                    <c:v>2017</c:v>
                  </c:pt>
                  <c:pt idx="86">
                    <c:v>2018</c:v>
                  </c:pt>
                  <c:pt idx="87">
                    <c:v>2018</c:v>
                  </c:pt>
                  <c:pt idx="88">
                    <c:v>2018</c:v>
                  </c:pt>
                  <c:pt idx="89">
                    <c:v>2018</c:v>
                  </c:pt>
                  <c:pt idx="90">
                    <c:v>2018</c:v>
                  </c:pt>
                  <c:pt idx="91">
                    <c:v>2018</c:v>
                  </c:pt>
                  <c:pt idx="92">
                    <c:v>2018</c:v>
                  </c:pt>
                  <c:pt idx="93">
                    <c:v>2018</c:v>
                  </c:pt>
                  <c:pt idx="94">
                    <c:v>2018</c:v>
                  </c:pt>
                  <c:pt idx="95">
                    <c:v>2018</c:v>
                  </c:pt>
                  <c:pt idx="96">
                    <c:v>2018</c:v>
                  </c:pt>
                  <c:pt idx="97">
                    <c:v>2018</c:v>
                  </c:pt>
                  <c:pt idx="98">
                    <c:v>2019</c:v>
                  </c:pt>
                  <c:pt idx="99">
                    <c:v>2019</c:v>
                  </c:pt>
                  <c:pt idx="100">
                    <c:v>2019</c:v>
                  </c:pt>
                  <c:pt idx="101">
                    <c:v>2019</c:v>
                  </c:pt>
                  <c:pt idx="102">
                    <c:v>2019</c:v>
                  </c:pt>
                  <c:pt idx="103">
                    <c:v>2019</c:v>
                  </c:pt>
                  <c:pt idx="104">
                    <c:v>2019</c:v>
                  </c:pt>
                  <c:pt idx="105">
                    <c:v>2019</c:v>
                  </c:pt>
                  <c:pt idx="106">
                    <c:v>2019</c:v>
                  </c:pt>
                  <c:pt idx="107">
                    <c:v>2019</c:v>
                  </c:pt>
                  <c:pt idx="108">
                    <c:v>2019</c:v>
                  </c:pt>
                </c:lvl>
              </c:multiLvlStrCache>
            </c:multiLvlStrRef>
          </c:cat>
          <c:val>
            <c:numRef>
              <c:f>'Datos base 2q jul 2018'!$K$65:$K$173</c:f>
              <c:numCache>
                <c:formatCode>0.00</c:formatCode>
                <c:ptCount val="109"/>
                <c:pt idx="0">
                  <c:v>6.6072760268529676</c:v>
                </c:pt>
                <c:pt idx="1">
                  <c:v>7.0857137144027567</c:v>
                </c:pt>
                <c:pt idx="2">
                  <c:v>5.3939646918608561</c:v>
                </c:pt>
                <c:pt idx="3">
                  <c:v>4.5345641153719685</c:v>
                </c:pt>
                <c:pt idx="4">
                  <c:v>2.4648462234248494</c:v>
                </c:pt>
                <c:pt idx="5">
                  <c:v>3.89639423890348</c:v>
                </c:pt>
                <c:pt idx="6">
                  <c:v>3.4500093610638216</c:v>
                </c:pt>
                <c:pt idx="7">
                  <c:v>3.3413938088757646</c:v>
                </c:pt>
                <c:pt idx="8">
                  <c:v>4.5080335390273563</c:v>
                </c:pt>
                <c:pt idx="9">
                  <c:v>3.8964383552134692</c:v>
                </c:pt>
                <c:pt idx="10">
                  <c:v>2.9817286937933694</c:v>
                </c:pt>
                <c:pt idx="11">
                  <c:v>3.0858071205758351</c:v>
                </c:pt>
                <c:pt idx="12">
                  <c:v>4.1333009967056169</c:v>
                </c:pt>
                <c:pt idx="13">
                  <c:v>5.3411593585055428</c:v>
                </c:pt>
                <c:pt idx="14">
                  <c:v>6.3752939517453839</c:v>
                </c:pt>
                <c:pt idx="15">
                  <c:v>5.5308679142962145</c:v>
                </c:pt>
                <c:pt idx="16">
                  <c:v>5.1231830404691898</c:v>
                </c:pt>
                <c:pt idx="17">
                  <c:v>3.4856017350560009</c:v>
                </c:pt>
                <c:pt idx="18">
                  <c:v>5.1488014748264641</c:v>
                </c:pt>
                <c:pt idx="19">
                  <c:v>7.2616639973355168</c:v>
                </c:pt>
                <c:pt idx="20">
                  <c:v>7.2952114289320082</c:v>
                </c:pt>
                <c:pt idx="21">
                  <c:v>7.578300127544976</c:v>
                </c:pt>
                <c:pt idx="22">
                  <c:v>8.8128831721662895</c:v>
                </c:pt>
                <c:pt idx="23">
                  <c:v>8.0714067682061614</c:v>
                </c:pt>
                <c:pt idx="24">
                  <c:v>7.0935808610731188</c:v>
                </c:pt>
                <c:pt idx="25">
                  <c:v>5.7421467047290484</c:v>
                </c:pt>
                <c:pt idx="26">
                  <c:v>4.4719628150791753</c:v>
                </c:pt>
                <c:pt idx="27">
                  <c:v>5.474391917585435</c:v>
                </c:pt>
                <c:pt idx="28">
                  <c:v>8.291168551724736</c:v>
                </c:pt>
                <c:pt idx="29">
                  <c:v>10.3205668093381</c:v>
                </c:pt>
                <c:pt idx="30">
                  <c:v>10.556592713019041</c:v>
                </c:pt>
                <c:pt idx="31">
                  <c:v>8.3879525922339031</c:v>
                </c:pt>
                <c:pt idx="32">
                  <c:v>6.6047027563408358</c:v>
                </c:pt>
                <c:pt idx="33">
                  <c:v>7.0100062040655855</c:v>
                </c:pt>
                <c:pt idx="34">
                  <c:v>6.1951632005662605</c:v>
                </c:pt>
                <c:pt idx="35">
                  <c:v>6.1824504951925601</c:v>
                </c:pt>
                <c:pt idx="36">
                  <c:v>7.017016415926693</c:v>
                </c:pt>
                <c:pt idx="37">
                  <c:v>7.8424026575887362</c:v>
                </c:pt>
                <c:pt idx="38">
                  <c:v>8.582372700473222</c:v>
                </c:pt>
                <c:pt idx="39">
                  <c:v>8.2824424434665769</c:v>
                </c:pt>
                <c:pt idx="40">
                  <c:v>6.5354997126406733</c:v>
                </c:pt>
                <c:pt idx="41">
                  <c:v>4.7475792496286298</c:v>
                </c:pt>
                <c:pt idx="42">
                  <c:v>5.1863578239874082</c:v>
                </c:pt>
                <c:pt idx="43">
                  <c:v>5.9617265692740871</c:v>
                </c:pt>
                <c:pt idx="44">
                  <c:v>6.8271579641693165</c:v>
                </c:pt>
                <c:pt idx="45">
                  <c:v>6.7182708744115081</c:v>
                </c:pt>
                <c:pt idx="46">
                  <c:v>7.1119588300636041</c:v>
                </c:pt>
                <c:pt idx="47">
                  <c:v>7.5060565081171537</c:v>
                </c:pt>
                <c:pt idx="48">
                  <c:v>6.7763144885481852</c:v>
                </c:pt>
                <c:pt idx="49">
                  <c:v>6.6991037192450129</c:v>
                </c:pt>
                <c:pt idx="50">
                  <c:v>5.338364978916446</c:v>
                </c:pt>
                <c:pt idx="51">
                  <c:v>4.8839859296475376</c:v>
                </c:pt>
                <c:pt idx="52">
                  <c:v>5.2924328408390062</c:v>
                </c:pt>
                <c:pt idx="53">
                  <c:v>5.4633403420644067</c:v>
                </c:pt>
                <c:pt idx="54">
                  <c:v>4.6431485542286817</c:v>
                </c:pt>
                <c:pt idx="55">
                  <c:v>4.6336651275337841</c:v>
                </c:pt>
                <c:pt idx="56">
                  <c:v>4.1241442964936512</c:v>
                </c:pt>
                <c:pt idx="57">
                  <c:v>3.5125321367639772</c:v>
                </c:pt>
                <c:pt idx="58">
                  <c:v>2.963926777529815</c:v>
                </c:pt>
                <c:pt idx="59">
                  <c:v>2.5249797574191013</c:v>
                </c:pt>
                <c:pt idx="60">
                  <c:v>1.843026887014072</c:v>
                </c:pt>
                <c:pt idx="61">
                  <c:v>1.2762511606747</c:v>
                </c:pt>
                <c:pt idx="62">
                  <c:v>2.522246807825427</c:v>
                </c:pt>
                <c:pt idx="63">
                  <c:v>3.4938208536903983</c:v>
                </c:pt>
                <c:pt idx="64">
                  <c:v>2.1164916182627671</c:v>
                </c:pt>
                <c:pt idx="65">
                  <c:v>1.6595743619222199</c:v>
                </c:pt>
                <c:pt idx="66">
                  <c:v>1.5477448099930948</c:v>
                </c:pt>
                <c:pt idx="67">
                  <c:v>1.1555817183581019</c:v>
                </c:pt>
                <c:pt idx="68">
                  <c:v>1.6461385320237307</c:v>
                </c:pt>
                <c:pt idx="69">
                  <c:v>1.9876330916648821</c:v>
                </c:pt>
                <c:pt idx="70">
                  <c:v>2.6526253855259565</c:v>
                </c:pt>
                <c:pt idx="71">
                  <c:v>2.9532598018049154</c:v>
                </c:pt>
                <c:pt idx="72">
                  <c:v>3.3414816660668851</c:v>
                </c:pt>
                <c:pt idx="73">
                  <c:v>3.1263239622002197</c:v>
                </c:pt>
                <c:pt idx="74">
                  <c:v>7.399186009491145</c:v>
                </c:pt>
                <c:pt idx="75">
                  <c:v>6.7088696245197807</c:v>
                </c:pt>
                <c:pt idx="76">
                  <c:v>8.0239017559605941</c:v>
                </c:pt>
                <c:pt idx="77">
                  <c:v>9.2498471387532266</c:v>
                </c:pt>
                <c:pt idx="78">
                  <c:v>10.603551237535402</c:v>
                </c:pt>
                <c:pt idx="79">
                  <c:v>11.0921132755296</c:v>
                </c:pt>
                <c:pt idx="80">
                  <c:v>11.271739327633481</c:v>
                </c:pt>
                <c:pt idx="81">
                  <c:v>11.984296254130735</c:v>
                </c:pt>
                <c:pt idx="82">
                  <c:v>11.27940701705263</c:v>
                </c:pt>
                <c:pt idx="83">
                  <c:v>11.401788332337997</c:v>
                </c:pt>
                <c:pt idx="84">
                  <c:v>11.9730078319096</c:v>
                </c:pt>
                <c:pt idx="85">
                  <c:v>12.621131109032941</c:v>
                </c:pt>
                <c:pt idx="86">
                  <c:v>8.4396254977826892</c:v>
                </c:pt>
                <c:pt idx="87">
                  <c:v>8.491229033565558</c:v>
                </c:pt>
                <c:pt idx="88">
                  <c:v>8.0270896801162657</c:v>
                </c:pt>
                <c:pt idx="89">
                  <c:v>7.0713450732142382</c:v>
                </c:pt>
                <c:pt idx="90">
                  <c:v>6.9879395591619682</c:v>
                </c:pt>
                <c:pt idx="91">
                  <c:v>7.7916771163987235</c:v>
                </c:pt>
                <c:pt idx="92">
                  <c:v>8.381461263852346</c:v>
                </c:pt>
                <c:pt idx="93">
                  <c:v>8.8021172100991283</c:v>
                </c:pt>
                <c:pt idx="94">
                  <c:v>9.1504116117487211</c:v>
                </c:pt>
                <c:pt idx="95">
                  <c:v>8.4990813438131205</c:v>
                </c:pt>
                <c:pt idx="96">
                  <c:v>8.0727173955203568</c:v>
                </c:pt>
                <c:pt idx="97">
                  <c:v>8.3985017457426814</c:v>
                </c:pt>
                <c:pt idx="98">
                  <c:v>6.8077764553492903</c:v>
                </c:pt>
                <c:pt idx="99">
                  <c:v>5.2529539129089642</c:v>
                </c:pt>
                <c:pt idx="100">
                  <c:v>5.4665367537646503</c:v>
                </c:pt>
                <c:pt idx="101">
                  <c:v>6.0820526568256206</c:v>
                </c:pt>
                <c:pt idx="102">
                  <c:v>5.7798859220474119</c:v>
                </c:pt>
                <c:pt idx="103">
                  <c:v>4.1879028979615152</c:v>
                </c:pt>
                <c:pt idx="104">
                  <c:v>3.6443895185500175</c:v>
                </c:pt>
                <c:pt idx="105">
                  <c:v>1.2826704768500674</c:v>
                </c:pt>
                <c:pt idx="106">
                  <c:v>0.70609573204361009</c:v>
                </c:pt>
                <c:pt idx="107">
                  <c:v>1.0130453924242833</c:v>
                </c:pt>
                <c:pt idx="108">
                  <c:v>0.97682795762952246</c:v>
                </c:pt>
              </c:numCache>
            </c:numRef>
          </c:val>
          <c:smooth val="0"/>
          <c:extLst>
            <c:ext xmlns:c16="http://schemas.microsoft.com/office/drawing/2014/chart" uri="{C3380CC4-5D6E-409C-BE32-E72D297353CC}">
              <c16:uniqueId val="{00000005-5BE7-4BFF-A916-AACC4F791083}"/>
            </c:ext>
          </c:extLst>
        </c:ser>
        <c:dLbls>
          <c:showLegendKey val="0"/>
          <c:showVal val="0"/>
          <c:showCatName val="0"/>
          <c:showSerName val="0"/>
          <c:showPercent val="0"/>
          <c:showBubbleSize val="0"/>
        </c:dLbls>
        <c:smooth val="0"/>
        <c:axId val="449609528"/>
        <c:axId val="449610312"/>
      </c:lineChart>
      <c:catAx>
        <c:axId val="449609528"/>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9610312"/>
        <c:crosses val="autoZero"/>
        <c:auto val="0"/>
        <c:lblAlgn val="ctr"/>
        <c:lblOffset val="100"/>
        <c:tickLblSkip val="12"/>
        <c:tickMarkSkip val="12"/>
        <c:noMultiLvlLbl val="1"/>
      </c:catAx>
      <c:valAx>
        <c:axId val="449610312"/>
        <c:scaling>
          <c:orientation val="minMax"/>
          <c:max val="14"/>
          <c:min val="0"/>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9609528"/>
        <c:crossesAt val="1"/>
        <c:crossBetween val="midCat"/>
        <c:majorUnit val="2"/>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A9E6-A1C2-40F6-8560-E11D3419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786</TotalTime>
  <Pages>9</Pages>
  <Words>1496</Words>
  <Characters>8198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COMUNICADO DE PRENSA. INDICE NACIONAL DE PRECIOS AL CONSUMIDOR</vt:lpstr>
    </vt:vector>
  </TitlesOfParts>
  <Company>INEGI</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GUILLEN MEDINA MOISES</cp:lastModifiedBy>
  <cp:revision>83</cp:revision>
  <cp:lastPrinted>2019-12-04T17:38:00Z</cp:lastPrinted>
  <dcterms:created xsi:type="dcterms:W3CDTF">2019-04-05T19:16:00Z</dcterms:created>
  <dcterms:modified xsi:type="dcterms:W3CDTF">2019-12-06T22:53:00Z</dcterms:modified>
  <cp:category>ÍNDICES DE PRECIOS</cp:category>
  <cp:version>1</cp:version>
</cp:coreProperties>
</file>