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D5" w:rsidRDefault="001B08D5" w:rsidP="001B08D5">
      <w:pPr>
        <w:tabs>
          <w:tab w:val="left" w:pos="8789"/>
        </w:tabs>
        <w:ind w:left="-284" w:right="51"/>
        <w:jc w:val="center"/>
        <w:rPr>
          <w:b/>
          <w:sz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79CE4A" wp14:editId="0AEBDC9B">
                <wp:simplePos x="0" y="0"/>
                <wp:positionH relativeFrom="column">
                  <wp:posOffset>2893695</wp:posOffset>
                </wp:positionH>
                <wp:positionV relativeFrom="paragraph">
                  <wp:posOffset>635</wp:posOffset>
                </wp:positionV>
                <wp:extent cx="3249930" cy="266700"/>
                <wp:effectExtent l="0" t="0" r="762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0F8" w:rsidRPr="00265B8C" w:rsidRDefault="002F50F8" w:rsidP="001B08D5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9 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septiembre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79CE4A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27.85pt;margin-top:.05pt;width:255.9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" stroked="f">
                <v:textbox>
                  <w:txbxContent>
                    <w:p w:rsidR="002F50F8" w:rsidRPr="00265B8C" w:rsidRDefault="002F50F8" w:rsidP="001B08D5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9 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septiembre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08D5" w:rsidRDefault="001B08D5" w:rsidP="001B08D5">
      <w:pPr>
        <w:pStyle w:val="Profesin"/>
      </w:pPr>
      <w:r w:rsidRPr="009E234E">
        <w:t xml:space="preserve"> </w:t>
      </w:r>
      <w:r>
        <w:t xml:space="preserve">   </w:t>
      </w:r>
    </w:p>
    <w:p w:rsidR="001B08D5" w:rsidRPr="004F04F0" w:rsidRDefault="001B08D5" w:rsidP="001B08D5">
      <w:pPr>
        <w:pStyle w:val="Profesin"/>
        <w:spacing w:before="200"/>
        <w:rPr>
          <w:b w:val="0"/>
        </w:rPr>
      </w:pPr>
      <w:r w:rsidRPr="0092783E">
        <w:t>ÍNDICE NACIONAL DE PRECIOS productor</w:t>
      </w:r>
    </w:p>
    <w:p w:rsidR="001B08D5" w:rsidRPr="0092783E" w:rsidRDefault="00877170" w:rsidP="001B08D5">
      <w:pPr>
        <w:pStyle w:val="Profesin"/>
        <w:ind w:left="708" w:hanging="708"/>
      </w:pPr>
      <w:r>
        <w:t xml:space="preserve">      </w:t>
      </w:r>
      <w:r w:rsidR="001B08D5">
        <w:t>JUlIO DE 2019</w:t>
      </w:r>
    </w:p>
    <w:p w:rsidR="001B08D5" w:rsidRPr="00821552" w:rsidRDefault="001B08D5" w:rsidP="001B08D5">
      <w:pPr>
        <w:spacing w:before="200"/>
        <w:ind w:left="-284" w:right="-738"/>
        <w:rPr>
          <w:bCs/>
        </w:rPr>
      </w:pPr>
      <w:r w:rsidRPr="00821552">
        <w:rPr>
          <w:bCs/>
        </w:rPr>
        <w:t>El Instituto Nacional de Estadística y Geografía (INEGI) informa que durante julio de 2019 el Índice Nacional de Precios Productor (INPP) Total, excluyendo petróleo, presentó un aumento de 0.21% mensual, alcanzando una tasa anual de 3.38 por ciento. En igual mes de 2018 disminuyó (</w:t>
      </w:r>
      <w:r w:rsidRPr="00821552">
        <w:rPr>
          <w:bCs/>
        </w:rPr>
        <w:noBreakHyphen/>
        <w:t>)0.66% mensual y se incrementó 6.51% anual.</w:t>
      </w:r>
    </w:p>
    <w:p w:rsidR="001B08D5" w:rsidRPr="00821552" w:rsidRDefault="001B08D5" w:rsidP="001B08D5">
      <w:pPr>
        <w:spacing w:before="160"/>
        <w:ind w:left="-284" w:right="-738"/>
        <w:rPr>
          <w:bCs/>
        </w:rPr>
      </w:pPr>
      <w:r w:rsidRPr="00821552">
        <w:rPr>
          <w:bCs/>
        </w:rPr>
        <w:t>Por grupos de actividades económicas, los precios de las Actividades Primarias crecieron 0.20%, los de las Actividades Secundarias 0.11% y los de las Actividades Terciarias 0.39% a tasa mensual.</w:t>
      </w:r>
    </w:p>
    <w:p w:rsidR="001B08D5" w:rsidRPr="00821552" w:rsidRDefault="001B08D5" w:rsidP="001B08D5">
      <w:pPr>
        <w:spacing w:before="160"/>
        <w:ind w:left="-284" w:right="-738"/>
        <w:rPr>
          <w:bCs/>
        </w:rPr>
      </w:pPr>
      <w:r w:rsidRPr="00821552">
        <w:rPr>
          <w:bCs/>
        </w:rPr>
        <w:t>El Índice de Mercancías y Servicios de Uso Intermedio, excluyendo petróleo, mostró una variación mensual de 0.38%, ubicando su tasa anual en 2.90 por ciento.</w:t>
      </w:r>
    </w:p>
    <w:p w:rsidR="001B08D5" w:rsidRPr="00821552" w:rsidRDefault="001B08D5" w:rsidP="001B08D5">
      <w:pPr>
        <w:spacing w:before="160"/>
        <w:ind w:left="-284" w:right="-738"/>
        <w:rPr>
          <w:bCs/>
        </w:rPr>
      </w:pPr>
      <w:r w:rsidRPr="00821552">
        <w:rPr>
          <w:bCs/>
        </w:rPr>
        <w:t>Por su parte, el Índice de Mercancías y Servicios Finales, excluyendo petróleo, registró un alza mensual de 0.14% y anual de 3.60 por ciento.</w:t>
      </w:r>
    </w:p>
    <w:p w:rsidR="001B08D5" w:rsidRPr="002D3D3F" w:rsidRDefault="001B08D5" w:rsidP="001B08D5">
      <w:pPr>
        <w:spacing w:before="480"/>
        <w:jc w:val="center"/>
        <w:rPr>
          <w:snapToGrid w:val="0"/>
          <w:sz w:val="20"/>
          <w:szCs w:val="20"/>
        </w:rPr>
      </w:pPr>
      <w:r w:rsidRPr="002D3D3F">
        <w:rPr>
          <w:snapToGrid w:val="0"/>
          <w:sz w:val="20"/>
          <w:szCs w:val="20"/>
        </w:rPr>
        <w:t>Cuadro 1</w:t>
      </w:r>
    </w:p>
    <w:p w:rsidR="001B08D5" w:rsidRPr="002D3D3F" w:rsidRDefault="001B08D5" w:rsidP="001B08D5">
      <w:pPr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 w:rsidRPr="002D3D3F">
        <w:rPr>
          <w:b/>
          <w:snapToGrid w:val="0"/>
          <w:sz w:val="22"/>
          <w:szCs w:val="22"/>
        </w:rPr>
        <w:t xml:space="preserve">ÍNDICE NACIONAL DE PRECIOS PRODUCTOR </w:t>
      </w:r>
    </w:p>
    <w:p w:rsidR="001B08D5" w:rsidRPr="002D3D3F" w:rsidRDefault="001B08D5" w:rsidP="001B08D5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2D3D3F">
        <w:rPr>
          <w:b/>
          <w:snapToGrid w:val="0"/>
          <w:sz w:val="22"/>
          <w:szCs w:val="22"/>
        </w:rPr>
        <w:t xml:space="preserve">MERCANCÍAS Y SERVICIOS INTERMEDIOS, FINALES Y PRODUCCIÓN TOTAL, </w:t>
      </w:r>
      <w:r w:rsidRPr="002D3D3F">
        <w:rPr>
          <w:b/>
          <w:snapToGrid w:val="0"/>
          <w:sz w:val="22"/>
          <w:szCs w:val="22"/>
        </w:rPr>
        <w:br/>
        <w:t xml:space="preserve">EXCLUYENDO PETRÓLEO, DURANTE </w:t>
      </w:r>
      <w:r>
        <w:rPr>
          <w:b/>
          <w:snapToGrid w:val="0"/>
          <w:sz w:val="22"/>
          <w:szCs w:val="22"/>
        </w:rPr>
        <w:t>JULIO</w:t>
      </w:r>
      <w:r w:rsidRPr="002D3D3F">
        <w:rPr>
          <w:b/>
          <w:snapToGrid w:val="0"/>
          <w:sz w:val="22"/>
          <w:szCs w:val="22"/>
        </w:rPr>
        <w:t xml:space="preserve"> DE 201</w:t>
      </w:r>
      <w:r>
        <w:rPr>
          <w:b/>
          <w:snapToGrid w:val="0"/>
          <w:sz w:val="22"/>
          <w:szCs w:val="22"/>
        </w:rPr>
        <w:t>9</w:t>
      </w:r>
    </w:p>
    <w:p w:rsidR="001B08D5" w:rsidRPr="002D3D3F" w:rsidRDefault="001B08D5" w:rsidP="001B08D5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2D3D3F">
        <w:rPr>
          <w:snapToGrid w:val="0"/>
          <w:sz w:val="22"/>
          <w:szCs w:val="22"/>
        </w:rPr>
        <w:t>Clasificación por origen</w:t>
      </w:r>
    </w:p>
    <w:p w:rsidR="001B08D5" w:rsidRPr="002D3D3F" w:rsidRDefault="001B08D5" w:rsidP="001B08D5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2D3D3F">
        <w:rPr>
          <w:snapToGrid w:val="0"/>
          <w:sz w:val="18"/>
          <w:szCs w:val="18"/>
        </w:rPr>
        <w:t>Variación porcentual</w:t>
      </w:r>
    </w:p>
    <w:tbl>
      <w:tblPr>
        <w:tblW w:w="4950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6"/>
        <w:gridCol w:w="732"/>
        <w:gridCol w:w="732"/>
        <w:gridCol w:w="734"/>
        <w:gridCol w:w="732"/>
        <w:gridCol w:w="732"/>
        <w:gridCol w:w="734"/>
      </w:tblGrid>
      <w:tr w:rsidR="001B08D5" w:rsidRPr="00A9663B" w:rsidTr="001B08D5">
        <w:trPr>
          <w:trHeight w:val="247"/>
        </w:trPr>
        <w:tc>
          <w:tcPr>
            <w:tcW w:w="4512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390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390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anual</w:t>
            </w:r>
          </w:p>
        </w:tc>
      </w:tr>
      <w:tr w:rsidR="001B08D5" w:rsidRPr="00A9663B" w:rsidTr="001B08D5">
        <w:trPr>
          <w:trHeight w:val="384"/>
        </w:trPr>
        <w:tc>
          <w:tcPr>
            <w:tcW w:w="4512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:rsidR="001B08D5" w:rsidRPr="00A9663B" w:rsidRDefault="001B08D5" w:rsidP="001B08D5">
            <w:pPr>
              <w:jc w:val="center"/>
              <w:rPr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796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79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79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9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79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79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1B08D5" w:rsidRPr="00841586" w:rsidTr="001B08D5">
        <w:trPr>
          <w:trHeight w:val="220"/>
        </w:trPr>
        <w:tc>
          <w:tcPr>
            <w:tcW w:w="4512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796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79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79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79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2.90</w:t>
            </w:r>
          </w:p>
        </w:tc>
        <w:tc>
          <w:tcPr>
            <w:tcW w:w="79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3.60</w:t>
            </w:r>
          </w:p>
        </w:tc>
        <w:tc>
          <w:tcPr>
            <w:tcW w:w="79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3.38</w:t>
            </w:r>
          </w:p>
        </w:tc>
      </w:tr>
      <w:tr w:rsidR="001B08D5" w:rsidRPr="00841586" w:rsidTr="001B08D5">
        <w:trPr>
          <w:trHeight w:val="220"/>
        </w:trPr>
        <w:tc>
          <w:tcPr>
            <w:tcW w:w="451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796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10.08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11.95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10.98</w:t>
            </w:r>
          </w:p>
        </w:tc>
      </w:tr>
      <w:tr w:rsidR="001B08D5" w:rsidRPr="00841586" w:rsidTr="001B08D5">
        <w:trPr>
          <w:trHeight w:val="220"/>
        </w:trPr>
        <w:tc>
          <w:tcPr>
            <w:tcW w:w="451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796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0.50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2.01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2.76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2.52</w:t>
            </w:r>
          </w:p>
        </w:tc>
      </w:tr>
      <w:tr w:rsidR="001B08D5" w:rsidRPr="00841586" w:rsidTr="001B08D5">
        <w:trPr>
          <w:trHeight w:val="220"/>
        </w:trPr>
        <w:tc>
          <w:tcPr>
            <w:tcW w:w="451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796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-0.40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-1.02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-0.71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-2.58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-1.12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-1.86</w:t>
            </w:r>
          </w:p>
        </w:tc>
      </w:tr>
      <w:tr w:rsidR="001B08D5" w:rsidRPr="00841586" w:rsidTr="001B08D5">
        <w:trPr>
          <w:trHeight w:val="220"/>
        </w:trPr>
        <w:tc>
          <w:tcPr>
            <w:tcW w:w="451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1B08D5" w:rsidRPr="00841586" w:rsidRDefault="001B08D5" w:rsidP="001B08D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796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3.74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2.08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3.40</w:t>
            </w:r>
          </w:p>
        </w:tc>
      </w:tr>
      <w:tr w:rsidR="001B08D5" w:rsidRPr="00841586" w:rsidTr="001B08D5">
        <w:trPr>
          <w:trHeight w:val="220"/>
        </w:trPr>
        <w:tc>
          <w:tcPr>
            <w:tcW w:w="451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1/</w:t>
            </w:r>
          </w:p>
        </w:tc>
        <w:tc>
          <w:tcPr>
            <w:tcW w:w="796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2.01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2.01</w:t>
            </w:r>
          </w:p>
        </w:tc>
      </w:tr>
      <w:tr w:rsidR="001B08D5" w:rsidRPr="00841586" w:rsidTr="001B08D5">
        <w:trPr>
          <w:trHeight w:val="220"/>
        </w:trPr>
        <w:tc>
          <w:tcPr>
            <w:tcW w:w="451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796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2.17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3.11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2.80</w:t>
            </w:r>
          </w:p>
        </w:tc>
      </w:tr>
      <w:tr w:rsidR="001B08D5" w:rsidRPr="00841586" w:rsidTr="001B08D5">
        <w:trPr>
          <w:trHeight w:val="220"/>
        </w:trPr>
        <w:tc>
          <w:tcPr>
            <w:tcW w:w="4512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796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2.82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4.24</w:t>
            </w:r>
          </w:p>
        </w:tc>
        <w:tc>
          <w:tcPr>
            <w:tcW w:w="79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3.83</w:t>
            </w:r>
          </w:p>
        </w:tc>
      </w:tr>
    </w:tbl>
    <w:p w:rsidR="001B08D5" w:rsidRPr="003F5E65" w:rsidRDefault="001B08D5" w:rsidP="001B08D5">
      <w:pPr>
        <w:widowControl w:val="0"/>
        <w:tabs>
          <w:tab w:val="left" w:pos="364"/>
        </w:tabs>
        <w:autoSpaceDE w:val="0"/>
        <w:autoSpaceDN w:val="0"/>
        <w:adjustRightInd w:val="0"/>
        <w:ind w:left="283" w:right="113" w:hanging="170"/>
        <w:jc w:val="left"/>
        <w:rPr>
          <w:color w:val="000000"/>
          <w:sz w:val="14"/>
          <w:szCs w:val="14"/>
        </w:rPr>
      </w:pPr>
      <w:r w:rsidRPr="003F5E65">
        <w:rPr>
          <w:sz w:val="16"/>
          <w:szCs w:val="14"/>
          <w:vertAlign w:val="superscript"/>
        </w:rPr>
        <w:t>1/</w:t>
      </w:r>
      <w:r w:rsidRPr="003F5E65">
        <w:rPr>
          <w:color w:val="000000"/>
          <w:sz w:val="14"/>
          <w:szCs w:val="14"/>
          <w:vertAlign w:val="superscript"/>
        </w:rPr>
        <w:tab/>
      </w:r>
      <w:r w:rsidRPr="003F5E65">
        <w:rPr>
          <w:color w:val="000000"/>
          <w:sz w:val="14"/>
          <w:szCs w:val="14"/>
        </w:rPr>
        <w:t>Esta actividad no genera bienes de uso intermedio.</w:t>
      </w:r>
    </w:p>
    <w:p w:rsidR="001B08D5" w:rsidRDefault="001B08D5" w:rsidP="001B08D5">
      <w:pPr>
        <w:jc w:val="left"/>
        <w:rPr>
          <w:b/>
          <w:noProof/>
          <w:lang w:val="es-MX" w:eastAsia="es-MX"/>
        </w:rPr>
      </w:pPr>
      <w:r>
        <w:rPr>
          <w:b/>
          <w:noProof/>
          <w:lang w:val="es-MX" w:eastAsia="es-MX"/>
        </w:rPr>
        <w:br w:type="page"/>
      </w:r>
    </w:p>
    <w:p w:rsidR="001B08D5" w:rsidRDefault="001B08D5" w:rsidP="001B08D5">
      <w:pPr>
        <w:jc w:val="left"/>
        <w:rPr>
          <w:snapToGrid w:val="0"/>
          <w:sz w:val="20"/>
          <w:szCs w:val="20"/>
        </w:rPr>
      </w:pPr>
    </w:p>
    <w:p w:rsidR="001B08D5" w:rsidRPr="00A51DE4" w:rsidRDefault="001B08D5" w:rsidP="001B08D5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 w:rsidRPr="00A51DE4">
        <w:rPr>
          <w:snapToGrid w:val="0"/>
          <w:sz w:val="20"/>
          <w:szCs w:val="20"/>
        </w:rPr>
        <w:t>Cuadro 2</w:t>
      </w:r>
    </w:p>
    <w:p w:rsidR="001B08D5" w:rsidRPr="00875DDC" w:rsidRDefault="001B08D5" w:rsidP="001B08D5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:rsidR="001B08D5" w:rsidRPr="00875DDC" w:rsidRDefault="001B08D5" w:rsidP="001B08D5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PRODUCCIÓN TOTAL,</w:t>
      </w:r>
      <w:r>
        <w:rPr>
          <w:b/>
          <w:snapToGrid w:val="0"/>
          <w:sz w:val="22"/>
          <w:szCs w:val="22"/>
        </w:rPr>
        <w:t xml:space="preserve"> </w:t>
      </w:r>
      <w:r w:rsidRPr="00875DDC">
        <w:rPr>
          <w:b/>
          <w:snapToGrid w:val="0"/>
          <w:sz w:val="22"/>
          <w:szCs w:val="22"/>
        </w:rPr>
        <w:t xml:space="preserve">EXCLUYENDO PETRÓLEO, DURANTE </w:t>
      </w:r>
      <w:r>
        <w:rPr>
          <w:b/>
          <w:snapToGrid w:val="0"/>
          <w:sz w:val="22"/>
          <w:szCs w:val="22"/>
        </w:rPr>
        <w:t>JULIO</w:t>
      </w:r>
    </w:p>
    <w:p w:rsidR="001B08D5" w:rsidRDefault="001B08D5" w:rsidP="001B08D5">
      <w:pPr>
        <w:widowControl w:val="0"/>
        <w:autoSpaceDE w:val="0"/>
        <w:autoSpaceDN w:val="0"/>
        <w:adjustRightInd w:val="0"/>
        <w:jc w:val="center"/>
        <w:rPr>
          <w:noProof/>
          <w:lang w:val="es-MX" w:eastAsia="es-MX"/>
        </w:rPr>
      </w:pPr>
      <w:r>
        <w:rPr>
          <w:snapToGrid w:val="0"/>
          <w:sz w:val="18"/>
          <w:szCs w:val="18"/>
        </w:rPr>
        <w:t xml:space="preserve">Variación porcentual durante julio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497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8"/>
        <w:gridCol w:w="736"/>
        <w:gridCol w:w="736"/>
        <w:gridCol w:w="737"/>
        <w:gridCol w:w="737"/>
        <w:gridCol w:w="737"/>
        <w:gridCol w:w="737"/>
      </w:tblGrid>
      <w:tr w:rsidR="001B08D5" w:rsidRPr="00A9663B" w:rsidTr="001B08D5">
        <w:trPr>
          <w:trHeight w:val="255"/>
          <w:jc w:val="center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Actividad económica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Variación mensual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A9663B" w:rsidRDefault="001B08D5" w:rsidP="001B08D5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Variación anual</w:t>
            </w:r>
          </w:p>
        </w:tc>
      </w:tr>
      <w:tr w:rsidR="001B08D5" w:rsidRPr="00A9663B" w:rsidTr="001B08D5">
        <w:trPr>
          <w:trHeight w:val="255"/>
          <w:jc w:val="center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:rsidR="001B08D5" w:rsidRPr="00A9663B" w:rsidRDefault="001B08D5" w:rsidP="001B08D5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01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FA5D21" w:rsidRDefault="001B08D5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FA5D21" w:rsidRDefault="001B08D5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FA5D21" w:rsidRDefault="001B08D5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FA5D21" w:rsidRDefault="001B08D5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FA5D21" w:rsidRDefault="001B08D5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1B08D5" w:rsidRPr="00FA5D21" w:rsidRDefault="001B08D5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A5D21">
              <w:rPr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1B08D5" w:rsidRPr="00841586" w:rsidTr="001B08D5">
        <w:trPr>
          <w:trHeight w:val="227"/>
          <w:jc w:val="center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1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-0.25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-0.66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5.92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3.38</w:t>
            </w:r>
          </w:p>
        </w:tc>
      </w:tr>
      <w:tr w:rsidR="001B08D5" w:rsidRPr="00841586" w:rsidTr="001B08D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-2.72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10.54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-2.83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10.98</w:t>
            </w:r>
          </w:p>
        </w:tc>
      </w:tr>
      <w:tr w:rsidR="001B08D5" w:rsidRPr="00841586" w:rsidTr="001B08D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-0.62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-0.95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6.70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8.92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2.52</w:t>
            </w:r>
          </w:p>
        </w:tc>
      </w:tr>
      <w:tr w:rsidR="001B08D5" w:rsidRPr="00841586" w:rsidTr="001B08D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-1.21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-5.24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-0.71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2.06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12.59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-1.86</w:t>
            </w:r>
          </w:p>
        </w:tc>
      </w:tr>
      <w:tr w:rsidR="001B08D5" w:rsidRPr="00841586" w:rsidTr="001B08D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1B08D5" w:rsidRPr="00841586" w:rsidRDefault="001B08D5" w:rsidP="001B08D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-0.14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2.34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17.98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10.64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3.40</w:t>
            </w:r>
          </w:p>
        </w:tc>
      </w:tr>
      <w:tr w:rsidR="001B08D5" w:rsidRPr="00841586" w:rsidTr="001B08D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0.80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10.30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10.04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2.01</w:t>
            </w:r>
          </w:p>
        </w:tc>
      </w:tr>
      <w:tr w:rsidR="001B08D5" w:rsidRPr="00841586" w:rsidTr="001B08D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-0.74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-1.17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5.85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8.45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A254C4">
              <w:rPr>
                <w:bCs/>
                <w:color w:val="000000"/>
                <w:sz w:val="14"/>
                <w:szCs w:val="14"/>
              </w:rPr>
              <w:t>2.80</w:t>
            </w:r>
          </w:p>
        </w:tc>
      </w:tr>
      <w:tr w:rsidR="001B08D5" w:rsidRPr="00841586" w:rsidTr="001B08D5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841586" w:rsidRDefault="001B08D5" w:rsidP="001B08D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0.29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4.09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3.97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1B08D5" w:rsidRPr="00A254C4" w:rsidRDefault="001B08D5" w:rsidP="001B08D5">
            <w:pPr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254C4">
              <w:rPr>
                <w:b/>
                <w:bCs/>
                <w:color w:val="000000"/>
                <w:sz w:val="14"/>
                <w:szCs w:val="14"/>
              </w:rPr>
              <w:t>3.83</w:t>
            </w:r>
          </w:p>
        </w:tc>
      </w:tr>
    </w:tbl>
    <w:p w:rsidR="001B08D5" w:rsidRDefault="001B08D5" w:rsidP="001B08D5">
      <w:pPr>
        <w:pStyle w:val="parr2"/>
        <w:keepNext/>
        <w:keepLines/>
        <w:spacing w:before="360"/>
        <w:ind w:left="-284" w:right="584"/>
        <w:rPr>
          <w:b/>
          <w:i/>
        </w:rPr>
      </w:pPr>
      <w:r w:rsidRPr="00C43601">
        <w:rPr>
          <w:b/>
          <w:i/>
        </w:rPr>
        <w:t>Nota al usuario</w:t>
      </w:r>
    </w:p>
    <w:p w:rsidR="008B34FC" w:rsidRPr="008B34FC" w:rsidRDefault="008B34FC" w:rsidP="008B34FC">
      <w:pPr>
        <w:autoSpaceDE w:val="0"/>
        <w:autoSpaceDN w:val="0"/>
        <w:adjustRightInd w:val="0"/>
        <w:spacing w:before="180"/>
        <w:ind w:left="-284" w:right="-738"/>
        <w:rPr>
          <w:snapToGrid w:val="0"/>
          <w:sz w:val="22"/>
          <w:szCs w:val="22"/>
        </w:rPr>
      </w:pPr>
      <w:r w:rsidRPr="008B34FC">
        <w:rPr>
          <w:snapToGrid w:val="0"/>
          <w:sz w:val="22"/>
          <w:szCs w:val="22"/>
        </w:rPr>
        <w:t xml:space="preserve">El INEGI con el propósito de mantener actualizada la metodología que permita reflejar la variación de los precios de una canasta fija de bienes y servicios representativa de la producción nacional, llevará a cabo un conjunto de actualizaciones para continuar reflejando la dinámica de la económica mexicana, así como de la participación de los distintos sectores de la producción. </w:t>
      </w:r>
    </w:p>
    <w:p w:rsidR="008B34FC" w:rsidRPr="008B34FC" w:rsidRDefault="008B34FC" w:rsidP="008B34FC">
      <w:pPr>
        <w:autoSpaceDE w:val="0"/>
        <w:autoSpaceDN w:val="0"/>
        <w:adjustRightInd w:val="0"/>
        <w:spacing w:before="120"/>
        <w:ind w:left="-284" w:right="-738"/>
        <w:rPr>
          <w:snapToGrid w:val="0"/>
          <w:sz w:val="22"/>
          <w:szCs w:val="22"/>
        </w:rPr>
      </w:pPr>
      <w:r w:rsidRPr="008B34FC">
        <w:rPr>
          <w:snapToGrid w:val="0"/>
          <w:sz w:val="22"/>
          <w:szCs w:val="22"/>
        </w:rPr>
        <w:t xml:space="preserve">Por lo anterior, se informa que cambiará la base del Índice Nacional de Precios Productor (INPP) de junio 2012=100, a julio 2019=100.  La nueva canasta pasa de 567 a 560 productos y servicios; la estructura de ponderaciones será publicada con la canasta; se actualiza la muestra de empresas y productos que se siguen para la elaboración del índice. El primer mes calculado con la nueva metodología será agosto de 2019 y se publicará el 9 de septiembre de este año. Lo anterior sigue las mejores prácticas internacionales para la elaboración del INPP. </w:t>
      </w:r>
    </w:p>
    <w:p w:rsidR="008B34FC" w:rsidRDefault="008B34FC" w:rsidP="008B34FC">
      <w:pPr>
        <w:autoSpaceDE w:val="0"/>
        <w:autoSpaceDN w:val="0"/>
        <w:adjustRightInd w:val="0"/>
        <w:spacing w:before="120"/>
        <w:ind w:left="-284" w:right="-738"/>
        <w:rPr>
          <w:snapToGrid w:val="0"/>
          <w:sz w:val="22"/>
          <w:szCs w:val="22"/>
        </w:rPr>
      </w:pPr>
      <w:r w:rsidRPr="00C50863"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57AD332" wp14:editId="2404D113">
            <wp:simplePos x="0" y="0"/>
            <wp:positionH relativeFrom="margin">
              <wp:posOffset>2331085</wp:posOffset>
            </wp:positionH>
            <wp:positionV relativeFrom="margin">
              <wp:posOffset>5173980</wp:posOffset>
            </wp:positionV>
            <wp:extent cx="3630930" cy="1310005"/>
            <wp:effectExtent l="0" t="0" r="7620" b="4445"/>
            <wp:wrapSquare wrapText="bothSides"/>
            <wp:docPr id="1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4FC">
        <w:rPr>
          <w:snapToGrid w:val="0"/>
          <w:sz w:val="22"/>
          <w:szCs w:val="22"/>
        </w:rPr>
        <w:t>Las consideraciones metodológicas de dicha actualización podrán ser consultadas en el ‘Documento metodológico del INPP base julio 2019=100’, el cual se dará a conocer en la misma fecha de publicación.</w:t>
      </w:r>
    </w:p>
    <w:p w:rsidR="008B34FC" w:rsidRPr="008B34FC" w:rsidRDefault="008B34FC" w:rsidP="008B34FC">
      <w:pPr>
        <w:autoSpaceDE w:val="0"/>
        <w:autoSpaceDN w:val="0"/>
        <w:adjustRightInd w:val="0"/>
        <w:spacing w:before="180"/>
        <w:ind w:left="-284" w:right="-738"/>
        <w:rPr>
          <w:b/>
          <w:i/>
          <w:sz w:val="22"/>
          <w:szCs w:val="22"/>
        </w:rPr>
      </w:pPr>
    </w:p>
    <w:p w:rsidR="001B08D5" w:rsidRDefault="001B08D5" w:rsidP="001B08D5">
      <w:pPr>
        <w:pStyle w:val="p01"/>
        <w:keepLines w:val="0"/>
        <w:tabs>
          <w:tab w:val="left" w:pos="3261"/>
        </w:tabs>
        <w:spacing w:before="0"/>
        <w:ind w:left="1418"/>
        <w:outlineLvl w:val="0"/>
        <w:rPr>
          <w:rFonts w:ascii="Arial" w:hAnsi="Arial" w:cs="Arial"/>
          <w:b/>
          <w:color w:val="000000"/>
          <w:szCs w:val="24"/>
        </w:rPr>
      </w:pPr>
    </w:p>
    <w:p w:rsidR="001B08D5" w:rsidRDefault="001B08D5" w:rsidP="001B08D5">
      <w:pPr>
        <w:pStyle w:val="p01"/>
        <w:keepLines w:val="0"/>
        <w:tabs>
          <w:tab w:val="left" w:pos="3261"/>
        </w:tabs>
        <w:spacing w:before="0"/>
        <w:ind w:left="1418"/>
        <w:outlineLvl w:val="0"/>
        <w:rPr>
          <w:rFonts w:ascii="Arial" w:hAnsi="Arial" w:cs="Arial"/>
          <w:b/>
          <w:color w:val="000000"/>
          <w:szCs w:val="24"/>
        </w:rPr>
      </w:pPr>
    </w:p>
    <w:p w:rsidR="001B08D5" w:rsidRDefault="001B08D5" w:rsidP="001B08D5">
      <w:pPr>
        <w:pStyle w:val="p01"/>
        <w:keepLines w:val="0"/>
        <w:tabs>
          <w:tab w:val="left" w:pos="3261"/>
        </w:tabs>
        <w:spacing w:before="0"/>
        <w:ind w:left="1418"/>
        <w:outlineLvl w:val="0"/>
        <w:rPr>
          <w:rFonts w:ascii="Arial" w:hAnsi="Arial" w:cs="Arial"/>
          <w:b/>
          <w:color w:val="000000"/>
          <w:szCs w:val="24"/>
        </w:rPr>
      </w:pPr>
    </w:p>
    <w:p w:rsidR="001B08D5" w:rsidRDefault="001B08D5" w:rsidP="001B08D5">
      <w:pPr>
        <w:pStyle w:val="p01"/>
        <w:keepLines w:val="0"/>
        <w:tabs>
          <w:tab w:val="left" w:pos="3261"/>
        </w:tabs>
        <w:spacing w:before="0"/>
        <w:ind w:left="1418"/>
        <w:outlineLvl w:val="0"/>
        <w:rPr>
          <w:rFonts w:ascii="Arial" w:hAnsi="Arial" w:cs="Arial"/>
          <w:b/>
          <w:color w:val="000000"/>
          <w:szCs w:val="24"/>
        </w:rPr>
      </w:pPr>
    </w:p>
    <w:p w:rsidR="001B08D5" w:rsidRDefault="001B08D5" w:rsidP="001B08D5">
      <w:pPr>
        <w:pStyle w:val="p01"/>
        <w:keepLines w:val="0"/>
        <w:tabs>
          <w:tab w:val="left" w:pos="3261"/>
        </w:tabs>
        <w:spacing w:before="0"/>
        <w:ind w:left="1418"/>
        <w:outlineLvl w:val="0"/>
        <w:rPr>
          <w:rFonts w:ascii="Arial" w:hAnsi="Arial" w:cs="Arial"/>
          <w:b/>
          <w:color w:val="000000"/>
          <w:szCs w:val="24"/>
        </w:rPr>
      </w:pPr>
    </w:p>
    <w:p w:rsidR="001B08D5" w:rsidRDefault="001B08D5" w:rsidP="001B08D5">
      <w:pPr>
        <w:pStyle w:val="p01"/>
        <w:keepLines w:val="0"/>
        <w:tabs>
          <w:tab w:val="left" w:pos="3261"/>
        </w:tabs>
        <w:spacing w:before="0"/>
        <w:ind w:left="1418"/>
        <w:outlineLvl w:val="0"/>
        <w:rPr>
          <w:rFonts w:ascii="Arial" w:hAnsi="Arial" w:cs="Arial"/>
          <w:b/>
          <w:color w:val="000000"/>
          <w:szCs w:val="24"/>
        </w:rPr>
      </w:pPr>
    </w:p>
    <w:p w:rsidR="001B08D5" w:rsidRPr="008B34FC" w:rsidRDefault="001B08D5" w:rsidP="001B08D5">
      <w:pPr>
        <w:pStyle w:val="p01"/>
        <w:keepLines w:val="0"/>
        <w:tabs>
          <w:tab w:val="left" w:pos="3261"/>
        </w:tabs>
        <w:spacing w:before="0"/>
        <w:ind w:left="1418"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  <w:r w:rsidRPr="008B34FC">
        <w:rPr>
          <w:rFonts w:ascii="Arial" w:hAnsi="Arial" w:cs="Arial"/>
          <w:b/>
          <w:color w:val="000000"/>
          <w:szCs w:val="24"/>
        </w:rPr>
        <w:t>Se anexa Nota Técnica</w:t>
      </w:r>
    </w:p>
    <w:p w:rsidR="001B08D5" w:rsidRDefault="001B08D5" w:rsidP="001B08D5">
      <w:pPr>
        <w:tabs>
          <w:tab w:val="left" w:pos="8789"/>
        </w:tabs>
        <w:ind w:right="51"/>
        <w:jc w:val="center"/>
        <w:rPr>
          <w:b/>
          <w:sz w:val="28"/>
        </w:rPr>
      </w:pPr>
    </w:p>
    <w:p w:rsidR="001B08D5" w:rsidRPr="00E64C62" w:rsidRDefault="001B08D5" w:rsidP="001B08D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8"/>
          <w:szCs w:val="18"/>
        </w:rPr>
      </w:pPr>
      <w:r w:rsidRPr="00E64C62">
        <w:rPr>
          <w:rFonts w:ascii="Arial" w:hAnsi="Arial" w:cs="Arial"/>
          <w:sz w:val="18"/>
          <w:szCs w:val="18"/>
        </w:rPr>
        <w:t xml:space="preserve">Para consultas de medios y periodistas, contactar a: </w:t>
      </w:r>
      <w:hyperlink r:id="rId9" w:history="1">
        <w:r w:rsidRPr="00E64C62">
          <w:rPr>
            <w:rStyle w:val="Hipervnculo"/>
            <w:rFonts w:ascii="Arial" w:hAnsi="Arial" w:cs="Arial"/>
            <w:sz w:val="18"/>
            <w:szCs w:val="18"/>
          </w:rPr>
          <w:t>comunicacionsocial@inegi.org.mx</w:t>
        </w:r>
      </w:hyperlink>
      <w:r w:rsidRPr="00E64C62">
        <w:rPr>
          <w:rFonts w:ascii="Arial" w:hAnsi="Arial" w:cs="Arial"/>
          <w:sz w:val="18"/>
          <w:szCs w:val="18"/>
        </w:rPr>
        <w:t xml:space="preserve"> </w:t>
      </w:r>
    </w:p>
    <w:p w:rsidR="001B08D5" w:rsidRPr="00E64C62" w:rsidRDefault="001B08D5" w:rsidP="001B08D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8"/>
          <w:szCs w:val="18"/>
        </w:rPr>
      </w:pPr>
      <w:r w:rsidRPr="00E64C62">
        <w:rPr>
          <w:rFonts w:ascii="Arial" w:hAnsi="Arial" w:cs="Arial"/>
          <w:sz w:val="18"/>
          <w:szCs w:val="18"/>
        </w:rPr>
        <w:t xml:space="preserve">o llamar al teléfono (55) 52-78-10-00, </w:t>
      </w:r>
      <w:proofErr w:type="spellStart"/>
      <w:r w:rsidRPr="00E64C62">
        <w:rPr>
          <w:rFonts w:ascii="Arial" w:hAnsi="Arial" w:cs="Arial"/>
          <w:sz w:val="18"/>
          <w:szCs w:val="18"/>
        </w:rPr>
        <w:t>exts</w:t>
      </w:r>
      <w:proofErr w:type="spellEnd"/>
      <w:r w:rsidRPr="00E64C62">
        <w:rPr>
          <w:rFonts w:ascii="Arial" w:hAnsi="Arial" w:cs="Arial"/>
          <w:sz w:val="18"/>
          <w:szCs w:val="18"/>
        </w:rPr>
        <w:t>. 1134, 1260 y 1241.</w:t>
      </w:r>
    </w:p>
    <w:p w:rsidR="001B08D5" w:rsidRPr="00E64C62" w:rsidRDefault="001B08D5" w:rsidP="001B08D5">
      <w:pPr>
        <w:ind w:left="-426" w:right="-518"/>
        <w:contextualSpacing/>
        <w:jc w:val="center"/>
        <w:rPr>
          <w:sz w:val="18"/>
          <w:szCs w:val="18"/>
        </w:rPr>
      </w:pPr>
    </w:p>
    <w:p w:rsidR="001B08D5" w:rsidRPr="00E64C62" w:rsidRDefault="001B08D5" w:rsidP="001B08D5">
      <w:pPr>
        <w:ind w:left="-426" w:right="-518"/>
        <w:contextualSpacing/>
        <w:jc w:val="center"/>
        <w:rPr>
          <w:sz w:val="18"/>
          <w:szCs w:val="18"/>
        </w:rPr>
      </w:pPr>
      <w:r w:rsidRPr="00E64C62">
        <w:rPr>
          <w:sz w:val="18"/>
          <w:szCs w:val="18"/>
        </w:rPr>
        <w:t>Dirección de Atención a Medios / Dirección General Adjunta de Comunicación</w:t>
      </w:r>
    </w:p>
    <w:p w:rsidR="001B08D5" w:rsidRPr="00866D46" w:rsidRDefault="001B08D5" w:rsidP="001B08D5">
      <w:pPr>
        <w:ind w:left="-426" w:right="-518"/>
        <w:contextualSpacing/>
        <w:jc w:val="center"/>
        <w:rPr>
          <w:sz w:val="22"/>
          <w:szCs w:val="22"/>
        </w:rPr>
      </w:pPr>
    </w:p>
    <w:p w:rsidR="001B08D5" w:rsidRPr="00AC7545" w:rsidRDefault="001B08D5" w:rsidP="008B34FC">
      <w:pPr>
        <w:ind w:left="-425" w:right="-516"/>
        <w:contextualSpacing/>
        <w:jc w:val="center"/>
        <w:rPr>
          <w:sz w:val="18"/>
          <w:szCs w:val="18"/>
        </w:rPr>
      </w:pPr>
      <w:r w:rsidRPr="00FF1218">
        <w:rPr>
          <w:noProof/>
          <w:lang w:val="es-MX" w:eastAsia="es-MX"/>
        </w:rPr>
        <w:drawing>
          <wp:inline distT="0" distB="0" distL="0" distR="0" wp14:anchorId="67D58A4F" wp14:editId="0627F2B0">
            <wp:extent cx="274320" cy="365760"/>
            <wp:effectExtent l="0" t="0" r="0" b="0"/>
            <wp:docPr id="15" name="Imagen 15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595F253" wp14:editId="247E3052">
            <wp:extent cx="365760" cy="365760"/>
            <wp:effectExtent l="0" t="0" r="0" b="0"/>
            <wp:docPr id="16" name="Imagen 16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8108F49" wp14:editId="4E55A0A9">
            <wp:extent cx="365760" cy="365760"/>
            <wp:effectExtent l="0" t="0" r="0" b="0"/>
            <wp:docPr id="17" name="Imagen 17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60155A0" wp14:editId="3C3EB9FC">
            <wp:extent cx="365760" cy="365760"/>
            <wp:effectExtent l="0" t="0" r="0" b="0"/>
            <wp:docPr id="18" name="Imagen 18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D71D0BD" wp14:editId="2261B47C">
            <wp:extent cx="2286000" cy="274320"/>
            <wp:effectExtent l="0" t="0" r="0" b="0"/>
            <wp:docPr id="19" name="Imagen 19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D5" w:rsidRPr="00AC7545" w:rsidRDefault="001B08D5" w:rsidP="001B08D5">
      <w:pPr>
        <w:pStyle w:val="bullet"/>
        <w:tabs>
          <w:tab w:val="left" w:pos="8789"/>
        </w:tabs>
        <w:spacing w:before="0"/>
        <w:ind w:left="0" w:right="51" w:firstLine="0"/>
        <w:jc w:val="center"/>
        <w:rPr>
          <w:rFonts w:cs="Arial"/>
          <w:sz w:val="18"/>
          <w:szCs w:val="18"/>
        </w:rPr>
        <w:sectPr w:rsidR="001B08D5" w:rsidRPr="00AC7545" w:rsidSect="001B08D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 w:code="1"/>
          <w:pgMar w:top="1" w:right="2034" w:bottom="0" w:left="1588" w:header="510" w:footer="510" w:gutter="0"/>
          <w:cols w:space="720"/>
          <w:docGrid w:linePitch="272"/>
        </w:sectPr>
      </w:pPr>
    </w:p>
    <w:p w:rsidR="001B08D5" w:rsidRPr="00A8585B" w:rsidRDefault="001B08D5" w:rsidP="009276D2">
      <w:pPr>
        <w:jc w:val="center"/>
        <w:rPr>
          <w:b/>
          <w:sz w:val="28"/>
          <w:szCs w:val="28"/>
        </w:rPr>
      </w:pPr>
      <w:r w:rsidRPr="00885869">
        <w:rPr>
          <w:b/>
          <w:sz w:val="28"/>
          <w:szCs w:val="28"/>
        </w:rPr>
        <w:lastRenderedPageBreak/>
        <w:t xml:space="preserve">    </w:t>
      </w:r>
      <w:r w:rsidRPr="00A8585B">
        <w:rPr>
          <w:b/>
          <w:sz w:val="28"/>
          <w:szCs w:val="28"/>
        </w:rPr>
        <w:t>NOTA TÉCNICA</w:t>
      </w:r>
    </w:p>
    <w:p w:rsidR="00C6515A" w:rsidRPr="009276D2" w:rsidRDefault="00C6515A" w:rsidP="007F3D2E">
      <w:pPr>
        <w:pStyle w:val="Profesin"/>
        <w:spacing w:before="200"/>
        <w:rPr>
          <w:b w:val="0"/>
        </w:rPr>
      </w:pPr>
      <w:r w:rsidRPr="009276D2">
        <w:t>ÍNDICE NACIONAL DE PRECIOS productor</w:t>
      </w:r>
    </w:p>
    <w:p w:rsidR="00C6515A" w:rsidRPr="009276D2" w:rsidRDefault="009276D2" w:rsidP="00C6515A">
      <w:pPr>
        <w:pStyle w:val="Profesin"/>
        <w:ind w:left="708" w:hanging="708"/>
      </w:pPr>
      <w:r w:rsidRPr="009276D2">
        <w:t xml:space="preserve">    </w:t>
      </w:r>
      <w:r w:rsidR="00437844" w:rsidRPr="009276D2">
        <w:t>JU</w:t>
      </w:r>
      <w:r w:rsidR="00395990" w:rsidRPr="009276D2">
        <w:t>l</w:t>
      </w:r>
      <w:r w:rsidR="00437844" w:rsidRPr="009276D2">
        <w:t>I</w:t>
      </w:r>
      <w:r w:rsidR="00DA6177" w:rsidRPr="009276D2">
        <w:t>O</w:t>
      </w:r>
      <w:r w:rsidR="0098436A" w:rsidRPr="009276D2">
        <w:t xml:space="preserve"> </w:t>
      </w:r>
      <w:r w:rsidR="00593F5D" w:rsidRPr="009276D2">
        <w:t>DE 201</w:t>
      </w:r>
      <w:r w:rsidR="007E5159" w:rsidRPr="009276D2">
        <w:t>9</w:t>
      </w:r>
    </w:p>
    <w:p w:rsidR="0098436A" w:rsidRPr="00302483" w:rsidRDefault="0098436A" w:rsidP="000A5092">
      <w:pPr>
        <w:autoSpaceDE w:val="0"/>
        <w:autoSpaceDN w:val="0"/>
        <w:adjustRightInd w:val="0"/>
        <w:spacing w:before="360"/>
        <w:rPr>
          <w:b/>
          <w:snapToGrid w:val="0"/>
          <w:u w:val="single"/>
        </w:rPr>
      </w:pPr>
      <w:r w:rsidRPr="00302483">
        <w:rPr>
          <w:b/>
          <w:snapToGrid w:val="0"/>
          <w:u w:val="single"/>
        </w:rPr>
        <w:t>PRODUCCIÓN TOTAL</w:t>
      </w:r>
    </w:p>
    <w:p w:rsidR="002D3D3F" w:rsidRDefault="00395990" w:rsidP="000A5092">
      <w:pPr>
        <w:pStyle w:val="n01"/>
        <w:keepLines w:val="0"/>
        <w:spacing w:before="360"/>
        <w:ind w:left="0" w:firstLine="0"/>
        <w:rPr>
          <w:rFonts w:ascii="Arial" w:hAnsi="Arial"/>
          <w:color w:val="auto"/>
        </w:rPr>
      </w:pPr>
      <w:r w:rsidRPr="00395990">
        <w:rPr>
          <w:rFonts w:ascii="Arial" w:hAnsi="Arial"/>
          <w:color w:val="auto"/>
        </w:rPr>
        <w:t>El INPP Total, excluyendo petróleo, reportó durante julio de 2019 un incremento mensual de 0.21% y anual de 3.38 por ciento. En el mismo mes de un año antes se redujo (</w:t>
      </w:r>
      <w:r>
        <w:rPr>
          <w:rFonts w:ascii="Arial" w:hAnsi="Arial"/>
          <w:color w:val="auto"/>
        </w:rPr>
        <w:noBreakHyphen/>
      </w:r>
      <w:r w:rsidRPr="00395990">
        <w:rPr>
          <w:rFonts w:ascii="Arial" w:hAnsi="Arial"/>
          <w:color w:val="auto"/>
        </w:rPr>
        <w:t>)0.66% mensual y aumentó 6.51% anual</w:t>
      </w:r>
      <w:r w:rsidR="002D3D3F" w:rsidRPr="00CC582D">
        <w:rPr>
          <w:rFonts w:ascii="Arial" w:hAnsi="Arial"/>
          <w:color w:val="auto"/>
        </w:rPr>
        <w:t>.</w:t>
      </w:r>
    </w:p>
    <w:p w:rsidR="002D3D3F" w:rsidRPr="00EE234A" w:rsidRDefault="002D3D3F" w:rsidP="000A5092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</w:rPr>
      </w:pPr>
      <w:r w:rsidRPr="00EE234A">
        <w:rPr>
          <w:rFonts w:ascii="Arial" w:hAnsi="Arial"/>
          <w:color w:val="auto"/>
          <w:sz w:val="20"/>
        </w:rPr>
        <w:t>Gráfica 1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PRODUCCIÓN TOTAL, ACTIVIDADES PRIMARIAS, SECUNDARIAS Y TERCIARIAS,</w:t>
      </w:r>
    </w:p>
    <w:p w:rsidR="002D3D3F" w:rsidRPr="00801B18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EXCLUYENDO PETRÓLEO, DURANTE </w:t>
      </w:r>
      <w:r w:rsidR="00437844">
        <w:rPr>
          <w:b/>
          <w:snapToGrid w:val="0"/>
          <w:sz w:val="22"/>
          <w:szCs w:val="22"/>
        </w:rPr>
        <w:t>JU</w:t>
      </w:r>
      <w:r w:rsidR="00395990">
        <w:rPr>
          <w:b/>
          <w:snapToGrid w:val="0"/>
          <w:sz w:val="22"/>
          <w:szCs w:val="22"/>
        </w:rPr>
        <w:t>L</w:t>
      </w:r>
      <w:r w:rsidR="00437844">
        <w:rPr>
          <w:b/>
          <w:snapToGrid w:val="0"/>
          <w:sz w:val="22"/>
          <w:szCs w:val="22"/>
        </w:rPr>
        <w:t>I</w:t>
      </w:r>
      <w:r w:rsidR="00DA6177">
        <w:rPr>
          <w:b/>
          <w:snapToGrid w:val="0"/>
          <w:sz w:val="22"/>
          <w:szCs w:val="22"/>
        </w:rPr>
        <w:t>O</w:t>
      </w:r>
    </w:p>
    <w:p w:rsidR="002D3D3F" w:rsidRPr="00B55CC5" w:rsidRDefault="002D3D3F" w:rsidP="002D3D3F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92783E">
        <w:rPr>
          <w:snapToGrid w:val="0"/>
          <w:color w:val="000000"/>
          <w:sz w:val="18"/>
          <w:szCs w:val="18"/>
        </w:rPr>
        <w:t>Variación porcentual anual</w:t>
      </w:r>
      <w:r>
        <w:rPr>
          <w:snapToGrid w:val="0"/>
          <w:color w:val="000000"/>
          <w:sz w:val="18"/>
          <w:szCs w:val="18"/>
        </w:rPr>
        <w:t xml:space="preserve"> </w:t>
      </w:r>
      <w:r w:rsidR="00DF7F5A">
        <w:rPr>
          <w:snapToGrid w:val="0"/>
          <w:color w:val="000000"/>
          <w:sz w:val="18"/>
          <w:szCs w:val="18"/>
        </w:rPr>
        <w:t>durante</w:t>
      </w:r>
      <w:r w:rsidR="0034757D">
        <w:rPr>
          <w:snapToGrid w:val="0"/>
          <w:color w:val="000000"/>
          <w:sz w:val="18"/>
          <w:szCs w:val="18"/>
        </w:rPr>
        <w:t xml:space="preserve"> </w:t>
      </w:r>
      <w:r w:rsidR="00437844">
        <w:rPr>
          <w:snapToGrid w:val="0"/>
          <w:color w:val="000000"/>
          <w:sz w:val="18"/>
          <w:szCs w:val="18"/>
        </w:rPr>
        <w:t>ju</w:t>
      </w:r>
      <w:r w:rsidR="00395990">
        <w:rPr>
          <w:snapToGrid w:val="0"/>
          <w:color w:val="000000"/>
          <w:sz w:val="18"/>
          <w:szCs w:val="18"/>
        </w:rPr>
        <w:t>l</w:t>
      </w:r>
      <w:r w:rsidR="00437844">
        <w:rPr>
          <w:snapToGrid w:val="0"/>
          <w:color w:val="000000"/>
          <w:sz w:val="18"/>
          <w:szCs w:val="18"/>
        </w:rPr>
        <w:t>i</w:t>
      </w:r>
      <w:r w:rsidR="00DA6177">
        <w:rPr>
          <w:snapToGrid w:val="0"/>
          <w:color w:val="000000"/>
          <w:sz w:val="18"/>
          <w:szCs w:val="18"/>
        </w:rPr>
        <w:t>o</w:t>
      </w:r>
      <w:r>
        <w:rPr>
          <w:snapToGrid w:val="0"/>
          <w:color w:val="000000"/>
          <w:sz w:val="18"/>
          <w:szCs w:val="18"/>
        </w:rPr>
        <w:t xml:space="preserve"> </w:t>
      </w:r>
      <w:r w:rsidRPr="0092783E">
        <w:rPr>
          <w:snapToGrid w:val="0"/>
          <w:color w:val="000000"/>
          <w:sz w:val="18"/>
          <w:szCs w:val="18"/>
        </w:rPr>
        <w:t>de los años que se indican</w:t>
      </w:r>
    </w:p>
    <w:p w:rsidR="002D3D3F" w:rsidRDefault="0070417B" w:rsidP="002D3D3F">
      <w:pPr>
        <w:widowControl w:val="0"/>
        <w:autoSpaceDE w:val="0"/>
        <w:autoSpaceDN w:val="0"/>
        <w:adjustRightInd w:val="0"/>
        <w:jc w:val="center"/>
        <w:rPr>
          <w:snapToGrid w:val="0"/>
          <w:color w:val="000000"/>
          <w:sz w:val="18"/>
          <w:szCs w:val="18"/>
        </w:rPr>
      </w:pPr>
      <w:r>
        <w:rPr>
          <w:noProof/>
          <w:lang w:val="es-MX" w:eastAsia="es-MX"/>
        </w:rPr>
        <w:drawing>
          <wp:inline distT="0" distB="0" distL="0" distR="0">
            <wp:extent cx="5040000" cy="2880000"/>
            <wp:effectExtent l="0" t="0" r="27305" b="349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A2A93" w:rsidRDefault="000A2A93" w:rsidP="004B2FEB">
      <w:pPr>
        <w:ind w:left="284" w:right="-119"/>
        <w:rPr>
          <w:bCs/>
        </w:rPr>
      </w:pPr>
      <w:bookmarkStart w:id="1" w:name="OLE_LINK1"/>
    </w:p>
    <w:p w:rsidR="000A2A93" w:rsidRDefault="000A2A93" w:rsidP="004B2FEB">
      <w:pPr>
        <w:ind w:left="284" w:right="-119"/>
        <w:rPr>
          <w:bCs/>
        </w:rPr>
      </w:pPr>
    </w:p>
    <w:p w:rsidR="000A2A93" w:rsidRDefault="000A2A93" w:rsidP="004B2FEB">
      <w:pPr>
        <w:ind w:left="284" w:right="-119"/>
        <w:rPr>
          <w:bCs/>
        </w:rPr>
      </w:pPr>
    </w:p>
    <w:p w:rsidR="002D3D3F" w:rsidRPr="00C24A3F" w:rsidRDefault="00395990" w:rsidP="004B2FEB">
      <w:pPr>
        <w:ind w:left="284" w:right="-119"/>
        <w:rPr>
          <w:bCs/>
        </w:rPr>
      </w:pPr>
      <w:r w:rsidRPr="00395990">
        <w:rPr>
          <w:bCs/>
        </w:rPr>
        <w:t>Por grupos de actividades económicas, los precios de las Actividades Primarias crecieron 0.20%, los de las Actividades Secundarias 0.11% y los de las Actividades Terciarias 0.39% a tasa mensual</w:t>
      </w:r>
      <w:r w:rsidR="002D3D3F" w:rsidRPr="00C24A3F">
        <w:rPr>
          <w:bCs/>
        </w:rPr>
        <w:t>.</w:t>
      </w:r>
    </w:p>
    <w:p w:rsidR="000A2A93" w:rsidRDefault="000A2A93" w:rsidP="00546E7B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</w:p>
    <w:p w:rsidR="000A2A93" w:rsidRDefault="000A2A93" w:rsidP="00546E7B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</w:p>
    <w:p w:rsidR="002D3D3F" w:rsidRPr="00A51DE4" w:rsidRDefault="002D3D3F" w:rsidP="00546E7B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 w:rsidRPr="00A51DE4">
        <w:rPr>
          <w:snapToGrid w:val="0"/>
          <w:sz w:val="20"/>
          <w:szCs w:val="20"/>
        </w:rPr>
        <w:lastRenderedPageBreak/>
        <w:t>Cuadro 3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INTERMEDIOS, FINALES Y PRODUCCIÓN TOTAL,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EXCLUYENDO PETRÓLEO, DURANTE </w:t>
      </w:r>
      <w:r w:rsidR="0010647A">
        <w:rPr>
          <w:b/>
          <w:snapToGrid w:val="0"/>
          <w:sz w:val="22"/>
          <w:szCs w:val="22"/>
        </w:rPr>
        <w:t>JU</w:t>
      </w:r>
      <w:r w:rsidR="00395990">
        <w:rPr>
          <w:b/>
          <w:snapToGrid w:val="0"/>
          <w:sz w:val="22"/>
          <w:szCs w:val="22"/>
        </w:rPr>
        <w:t>L</w:t>
      </w:r>
      <w:r w:rsidR="0010647A">
        <w:rPr>
          <w:b/>
          <w:snapToGrid w:val="0"/>
          <w:sz w:val="22"/>
          <w:szCs w:val="22"/>
        </w:rPr>
        <w:t>I</w:t>
      </w:r>
      <w:r w:rsidR="00DA6177">
        <w:rPr>
          <w:b/>
          <w:snapToGrid w:val="0"/>
          <w:sz w:val="22"/>
          <w:szCs w:val="22"/>
        </w:rPr>
        <w:t>O</w:t>
      </w:r>
      <w:r>
        <w:rPr>
          <w:b/>
          <w:snapToGrid w:val="0"/>
          <w:sz w:val="22"/>
          <w:szCs w:val="22"/>
        </w:rPr>
        <w:t xml:space="preserve"> DE 201</w:t>
      </w:r>
      <w:r w:rsidR="0034757D">
        <w:rPr>
          <w:b/>
          <w:snapToGrid w:val="0"/>
          <w:sz w:val="22"/>
          <w:szCs w:val="22"/>
        </w:rPr>
        <w:t>9</w:t>
      </w:r>
    </w:p>
    <w:p w:rsidR="002D3D3F" w:rsidRPr="00910135" w:rsidRDefault="002D3D3F" w:rsidP="002D3D3F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910135">
        <w:rPr>
          <w:snapToGrid w:val="0"/>
          <w:sz w:val="22"/>
          <w:szCs w:val="22"/>
        </w:rPr>
        <w:t>Clasificación por origen</w:t>
      </w:r>
    </w:p>
    <w:p w:rsidR="002D3D3F" w:rsidRDefault="002D3D3F" w:rsidP="002D3D3F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8"/>
        <w:gridCol w:w="599"/>
        <w:gridCol w:w="600"/>
        <w:gridCol w:w="602"/>
        <w:gridCol w:w="600"/>
        <w:gridCol w:w="599"/>
        <w:gridCol w:w="602"/>
        <w:gridCol w:w="600"/>
        <w:gridCol w:w="600"/>
        <w:gridCol w:w="600"/>
        <w:gridCol w:w="6"/>
      </w:tblGrid>
      <w:tr w:rsidR="00F10544" w:rsidRPr="00841586" w:rsidTr="00546E7B">
        <w:trPr>
          <w:trHeight w:val="254"/>
          <w:jc w:val="center"/>
        </w:trPr>
        <w:tc>
          <w:tcPr>
            <w:tcW w:w="4009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4"/>
                <w:lang w:eastAsia="es-MX"/>
              </w:rPr>
            </w:pPr>
            <w:bookmarkStart w:id="2" w:name="_Hlk2757803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Actividad económica</w:t>
            </w:r>
          </w:p>
        </w:tc>
        <w:tc>
          <w:tcPr>
            <w:tcW w:w="181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 mensual</w:t>
            </w:r>
          </w:p>
        </w:tc>
        <w:tc>
          <w:tcPr>
            <w:tcW w:w="181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 anual</w:t>
            </w:r>
          </w:p>
        </w:tc>
        <w:tc>
          <w:tcPr>
            <w:tcW w:w="1814" w:type="dxa"/>
            <w:gridSpan w:val="4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Incidencia mensual</w:t>
            </w:r>
            <w:r w:rsidRPr="00841586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 xml:space="preserve"> </w:t>
            </w:r>
            <w:r w:rsidRPr="00841586"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1/</w:t>
            </w:r>
          </w:p>
        </w:tc>
      </w:tr>
      <w:tr w:rsidR="00F10544" w:rsidRPr="00841586" w:rsidTr="00546E7B">
        <w:trPr>
          <w:gridAfter w:val="1"/>
          <w:wAfter w:w="6" w:type="dxa"/>
          <w:trHeight w:val="395"/>
          <w:jc w:val="center"/>
        </w:trPr>
        <w:tc>
          <w:tcPr>
            <w:tcW w:w="4009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:rsidR="00F10544" w:rsidRPr="00841586" w:rsidRDefault="00F10544" w:rsidP="00F10544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603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60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60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604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60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60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604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60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604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841586" w:rsidRDefault="00F10544" w:rsidP="00F10544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</w:p>
        </w:tc>
        <w:tc>
          <w:tcPr>
            <w:tcW w:w="603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60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60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60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2.90</w:t>
            </w:r>
          </w:p>
        </w:tc>
        <w:tc>
          <w:tcPr>
            <w:tcW w:w="60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3.60</w:t>
            </w:r>
          </w:p>
        </w:tc>
        <w:tc>
          <w:tcPr>
            <w:tcW w:w="60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3.38</w:t>
            </w:r>
          </w:p>
        </w:tc>
        <w:tc>
          <w:tcPr>
            <w:tcW w:w="60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0.380</w:t>
            </w:r>
          </w:p>
        </w:tc>
        <w:tc>
          <w:tcPr>
            <w:tcW w:w="60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0.140</w:t>
            </w:r>
          </w:p>
        </w:tc>
        <w:tc>
          <w:tcPr>
            <w:tcW w:w="604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0.214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10.08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11.95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10.98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-0.004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0.010</w:t>
            </w:r>
          </w:p>
        </w:tc>
      </w:tr>
      <w:tr w:rsidR="00F10544" w:rsidRPr="000556C8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0556C8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0556C8">
              <w:rPr>
                <w:color w:val="000000"/>
                <w:sz w:val="14"/>
                <w:szCs w:val="14"/>
                <w:lang w:eastAsia="es-MX"/>
              </w:rPr>
              <w:t>Agricultura, cría y explotación de animales, aprovechamiento forestal, pesca y caza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10.08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11.95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10.98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-0.004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0.010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secundarias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0.50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2.01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2.76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2.52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0.293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-0.037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0.065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-0.40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-1.02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-0.71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-2.58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-1.12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-1.86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-0.015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-0.017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-0.017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3.74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2.08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3.40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-0.001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2.01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2.01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-0.026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-0.018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2.17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3.11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2.80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0.304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0.099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2.82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4.24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3.83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0.091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0.161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71E81">
              <w:rPr>
                <w:b/>
                <w:bCs/>
                <w:color w:val="000000"/>
                <w:sz w:val="14"/>
                <w:szCs w:val="14"/>
              </w:rPr>
              <w:t>0.139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Transportes, correos y almacenamiento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4.52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4.91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4.80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0.047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0.070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0.063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Información en medios masivos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1.40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2.34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2.00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0.007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inmobiliarios y de alquiler de bienes muebles e intangibles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2.23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2.64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2.53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0.017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0.015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profesionales, científicos y técnicos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2.57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4.62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3.16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0.013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0.006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de apoyo a los negocios y manejo de desechos y servicios de remediación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0.09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3.28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0.50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2.05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2.83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2.16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0.009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educativos 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4.99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4.99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0.008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salud y de asistencia social 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4.56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4.56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0.007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esparcimiento culturales y deportivos, y otros servicios recreativos 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0.45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4.93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4.93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de alojamiento temporal y de preparación de alimentos y bebidas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0.88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0.82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2.61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4.69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0.027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0.021</w:t>
            </w:r>
          </w:p>
        </w:tc>
      </w:tr>
      <w:tr w:rsidR="00F10544" w:rsidRPr="00841586" w:rsidTr="00546E7B">
        <w:trPr>
          <w:gridAfter w:val="1"/>
          <w:wAfter w:w="6" w:type="dxa"/>
          <w:trHeight w:val="197"/>
          <w:jc w:val="center"/>
        </w:trPr>
        <w:tc>
          <w:tcPr>
            <w:tcW w:w="400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Otros servicios excepto actividades gubernamentales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2.02</w:t>
            </w:r>
          </w:p>
        </w:tc>
        <w:tc>
          <w:tcPr>
            <w:tcW w:w="60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4.34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3.44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604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71E81" w:rsidRDefault="00F10544" w:rsidP="00F10544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71E81">
              <w:rPr>
                <w:bCs/>
                <w:color w:val="000000"/>
                <w:sz w:val="14"/>
                <w:szCs w:val="14"/>
              </w:rPr>
              <w:t>0.003</w:t>
            </w:r>
          </w:p>
        </w:tc>
      </w:tr>
    </w:tbl>
    <w:bookmarkEnd w:id="2"/>
    <w:p w:rsidR="002D3D3F" w:rsidRPr="003F5E65" w:rsidRDefault="002D3D3F" w:rsidP="002D3D3F">
      <w:pPr>
        <w:autoSpaceDE w:val="0"/>
        <w:autoSpaceDN w:val="0"/>
        <w:adjustRightInd w:val="0"/>
        <w:ind w:left="283" w:right="113" w:hanging="170"/>
        <w:rPr>
          <w:sz w:val="14"/>
          <w:szCs w:val="14"/>
        </w:rPr>
      </w:pPr>
      <w:r w:rsidRPr="003F5E65">
        <w:rPr>
          <w:sz w:val="16"/>
          <w:szCs w:val="14"/>
          <w:vertAlign w:val="superscript"/>
        </w:rPr>
        <w:t>1/</w:t>
      </w:r>
      <w:r w:rsidRPr="003F5E65">
        <w:rPr>
          <w:sz w:val="14"/>
          <w:szCs w:val="14"/>
          <w:vertAlign w:val="superscript"/>
        </w:rPr>
        <w:tab/>
      </w:r>
      <w:r w:rsidR="00395990" w:rsidRPr="00395990">
        <w:rPr>
          <w:sz w:val="14"/>
          <w:szCs w:val="14"/>
        </w:rPr>
        <w:t>La incidencia se refiere a la contribución en puntos porcentuales de cada componente del INPP en la variación porcentual del índice general. Ésta se calcula utilizando los ponderadores de cada subíndice, así como los precios relativos y sus respectivas variaciones. En ciertos casos, la suma de los componentes de algún grupo de subíndices puede tener alguna discrepancia por efectos de redondeo</w:t>
      </w:r>
      <w:r w:rsidRPr="003F5E65">
        <w:rPr>
          <w:sz w:val="14"/>
          <w:szCs w:val="14"/>
        </w:rPr>
        <w:t>.</w:t>
      </w:r>
    </w:p>
    <w:p w:rsidR="002D3D3F" w:rsidRPr="003F5E65" w:rsidRDefault="002D3D3F" w:rsidP="002D3D3F">
      <w:pPr>
        <w:autoSpaceDE w:val="0"/>
        <w:autoSpaceDN w:val="0"/>
        <w:adjustRightInd w:val="0"/>
        <w:ind w:left="283" w:right="113" w:hanging="170"/>
        <w:rPr>
          <w:sz w:val="14"/>
          <w:szCs w:val="14"/>
        </w:rPr>
      </w:pPr>
      <w:r w:rsidRPr="003F5E65">
        <w:rPr>
          <w:sz w:val="16"/>
          <w:szCs w:val="14"/>
          <w:vertAlign w:val="superscript"/>
        </w:rPr>
        <w:t>2/</w:t>
      </w:r>
      <w:r w:rsidRPr="003F5E65">
        <w:rPr>
          <w:sz w:val="14"/>
          <w:szCs w:val="14"/>
        </w:rPr>
        <w:tab/>
      </w:r>
      <w:r w:rsidR="00395990" w:rsidRPr="00395990">
        <w:rPr>
          <w:sz w:val="14"/>
          <w:szCs w:val="14"/>
        </w:rPr>
        <w:t>Estas actividades no registran información ya que no generan bienes de uso intermedio</w:t>
      </w:r>
      <w:r w:rsidRPr="003F5E65">
        <w:rPr>
          <w:sz w:val="14"/>
          <w:szCs w:val="14"/>
        </w:rPr>
        <w:t>.</w:t>
      </w:r>
    </w:p>
    <w:p w:rsidR="00297DAE" w:rsidRDefault="003E6340" w:rsidP="00546E7B">
      <w:pPr>
        <w:pStyle w:val="n01"/>
        <w:keepLines w:val="0"/>
        <w:spacing w:before="360"/>
        <w:ind w:left="0" w:right="-176" w:firstLine="0"/>
        <w:rPr>
          <w:rFonts w:ascii="Arial" w:hAnsi="Arial"/>
          <w:color w:val="auto"/>
        </w:rPr>
      </w:pPr>
      <w:r w:rsidRPr="007F0AE0">
        <w:rPr>
          <w:rFonts w:ascii="Arial" w:hAnsi="Arial"/>
          <w:bCs/>
          <w:color w:val="auto"/>
        </w:rPr>
        <w:t>Por tipo de bien, los precios de las Mercancías y Servicios de Uso Intermedio, excluyendo petróleo, mostrar</w:t>
      </w:r>
      <w:r>
        <w:rPr>
          <w:rFonts w:ascii="Arial" w:hAnsi="Arial"/>
          <w:bCs/>
          <w:color w:val="auto"/>
        </w:rPr>
        <w:t>on un incremento mensual de 0.38</w:t>
      </w:r>
      <w:r w:rsidRPr="007F0AE0">
        <w:rPr>
          <w:rFonts w:ascii="Arial" w:hAnsi="Arial"/>
          <w:bCs/>
          <w:color w:val="auto"/>
        </w:rPr>
        <w:t xml:space="preserve">%, ubicando su tasa anual en </w:t>
      </w:r>
      <w:r>
        <w:rPr>
          <w:rFonts w:ascii="Arial" w:hAnsi="Arial"/>
          <w:bCs/>
          <w:color w:val="auto"/>
        </w:rPr>
        <w:t>2.90</w:t>
      </w:r>
      <w:r w:rsidRPr="007F0AE0">
        <w:rPr>
          <w:rFonts w:ascii="Arial" w:hAnsi="Arial"/>
          <w:bCs/>
          <w:color w:val="auto"/>
        </w:rPr>
        <w:t xml:space="preserve"> por ciento. Por su parte, los precios de las Mercancías y</w:t>
      </w:r>
      <w:r>
        <w:rPr>
          <w:rFonts w:ascii="Arial" w:hAnsi="Arial"/>
          <w:bCs/>
          <w:color w:val="auto"/>
        </w:rPr>
        <w:t xml:space="preserve"> Servicios Finales subieron 0.14% a tasa mensual y 3.60</w:t>
      </w:r>
      <w:r w:rsidRPr="007F0AE0">
        <w:rPr>
          <w:rFonts w:ascii="Arial" w:hAnsi="Arial"/>
          <w:bCs/>
          <w:color w:val="auto"/>
        </w:rPr>
        <w:t>% anual (véase cuadro 3)</w:t>
      </w:r>
      <w:r>
        <w:rPr>
          <w:rFonts w:ascii="Arial" w:hAnsi="Arial"/>
          <w:bCs/>
          <w:color w:val="auto"/>
        </w:rPr>
        <w:t>.</w:t>
      </w:r>
    </w:p>
    <w:p w:rsidR="002D3D3F" w:rsidRPr="009028F8" w:rsidRDefault="002D3D3F" w:rsidP="004B2FEB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 w:rsidRPr="009028F8">
        <w:rPr>
          <w:snapToGrid w:val="0"/>
          <w:sz w:val="20"/>
          <w:szCs w:val="20"/>
        </w:rPr>
        <w:lastRenderedPageBreak/>
        <w:t>Gráfica 2</w:t>
      </w:r>
    </w:p>
    <w:p w:rsidR="002D3D3F" w:rsidRPr="00875DDC" w:rsidRDefault="002D3D3F" w:rsidP="002D3D3F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:rsidR="002D3D3F" w:rsidRPr="00875DDC" w:rsidRDefault="002D3D3F" w:rsidP="002D3D3F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INTERMEDIOS, FINALES Y PRODUCCIÓN TOTAL,</w:t>
      </w:r>
    </w:p>
    <w:p w:rsidR="002D3D3F" w:rsidRPr="00875DDC" w:rsidRDefault="002D3D3F" w:rsidP="002D3D3F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EXCLUYENDO PETRÓLEO, </w:t>
      </w:r>
      <w:r>
        <w:rPr>
          <w:b/>
          <w:snapToGrid w:val="0"/>
          <w:sz w:val="22"/>
          <w:szCs w:val="22"/>
        </w:rPr>
        <w:t>A</w:t>
      </w:r>
      <w:r w:rsidR="00DA6177">
        <w:rPr>
          <w:b/>
          <w:snapToGrid w:val="0"/>
          <w:sz w:val="22"/>
          <w:szCs w:val="22"/>
        </w:rPr>
        <w:t xml:space="preserve"> </w:t>
      </w:r>
      <w:r w:rsidR="0010647A">
        <w:rPr>
          <w:b/>
          <w:snapToGrid w:val="0"/>
          <w:sz w:val="22"/>
          <w:szCs w:val="22"/>
        </w:rPr>
        <w:t>JU</w:t>
      </w:r>
      <w:r w:rsidR="003E6340">
        <w:rPr>
          <w:b/>
          <w:snapToGrid w:val="0"/>
          <w:sz w:val="22"/>
          <w:szCs w:val="22"/>
        </w:rPr>
        <w:t>L</w:t>
      </w:r>
      <w:r w:rsidR="0010647A">
        <w:rPr>
          <w:b/>
          <w:snapToGrid w:val="0"/>
          <w:sz w:val="22"/>
          <w:szCs w:val="22"/>
        </w:rPr>
        <w:t>I</w:t>
      </w:r>
      <w:r w:rsidR="00DA6177">
        <w:rPr>
          <w:b/>
          <w:snapToGrid w:val="0"/>
          <w:sz w:val="22"/>
          <w:szCs w:val="22"/>
        </w:rPr>
        <w:t>O</w:t>
      </w:r>
      <w:r>
        <w:rPr>
          <w:b/>
          <w:snapToGrid w:val="0"/>
          <w:sz w:val="22"/>
          <w:szCs w:val="22"/>
        </w:rPr>
        <w:t xml:space="preserve"> DE 201</w:t>
      </w:r>
      <w:r w:rsidR="0034757D">
        <w:rPr>
          <w:b/>
          <w:snapToGrid w:val="0"/>
          <w:sz w:val="22"/>
          <w:szCs w:val="22"/>
        </w:rPr>
        <w:t>9</w:t>
      </w:r>
    </w:p>
    <w:p w:rsidR="002D3D3F" w:rsidRPr="00910135" w:rsidRDefault="002D3D3F" w:rsidP="002D3D3F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910135">
        <w:rPr>
          <w:snapToGrid w:val="0"/>
          <w:sz w:val="22"/>
          <w:szCs w:val="22"/>
        </w:rPr>
        <w:t xml:space="preserve">Clasificación por origen </w:t>
      </w:r>
    </w:p>
    <w:p w:rsidR="002D3D3F" w:rsidRDefault="002D3D3F" w:rsidP="002D3D3F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 anual</w:t>
      </w:r>
    </w:p>
    <w:p w:rsidR="002D3D3F" w:rsidRDefault="005A2B7A" w:rsidP="002D3D3F">
      <w:pPr>
        <w:keepNext/>
        <w:keepLines/>
        <w:widowControl w:val="0"/>
        <w:autoSpaceDE w:val="0"/>
        <w:autoSpaceDN w:val="0"/>
        <w:adjustRightInd w:val="0"/>
        <w:jc w:val="center"/>
      </w:pPr>
      <w:r>
        <w:rPr>
          <w:noProof/>
          <w:lang w:val="es-MX" w:eastAsia="es-MX"/>
        </w:rPr>
        <w:drawing>
          <wp:inline distT="0" distB="0" distL="0" distR="0">
            <wp:extent cx="5040000" cy="2880000"/>
            <wp:effectExtent l="0" t="0" r="27305" b="349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D3D3F" w:rsidRPr="007E353A" w:rsidRDefault="002D3D3F" w:rsidP="002D3D3F">
      <w:pPr>
        <w:pStyle w:val="n01"/>
        <w:keepLines w:val="0"/>
        <w:spacing w:before="36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>Actividades Primarias</w:t>
      </w:r>
    </w:p>
    <w:p w:rsidR="002D3D3F" w:rsidRPr="0098397B" w:rsidRDefault="0010647A" w:rsidP="002D3D3F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10647A">
        <w:rPr>
          <w:rFonts w:ascii="Arial" w:hAnsi="Arial"/>
          <w:color w:val="auto"/>
        </w:rPr>
        <w:t xml:space="preserve">Los precios de las Actividades Primarias reportaron un alza mensual de </w:t>
      </w:r>
      <w:r w:rsidR="003E6340">
        <w:rPr>
          <w:rFonts w:ascii="Arial" w:hAnsi="Arial"/>
          <w:color w:val="auto"/>
        </w:rPr>
        <w:t>0.20</w:t>
      </w:r>
      <w:r w:rsidRPr="0010647A">
        <w:rPr>
          <w:rFonts w:ascii="Arial" w:hAnsi="Arial"/>
          <w:color w:val="auto"/>
        </w:rPr>
        <w:t xml:space="preserve">% y una tasa anual de </w:t>
      </w:r>
      <w:r w:rsidR="003E6340">
        <w:rPr>
          <w:rFonts w:ascii="Arial" w:hAnsi="Arial"/>
          <w:color w:val="auto"/>
        </w:rPr>
        <w:t>10.98</w:t>
      </w:r>
      <w:r w:rsidRPr="0010647A">
        <w:rPr>
          <w:rFonts w:ascii="Arial" w:hAnsi="Arial"/>
          <w:color w:val="auto"/>
        </w:rPr>
        <w:t>% durante ju</w:t>
      </w:r>
      <w:r w:rsidR="003E6340">
        <w:rPr>
          <w:rFonts w:ascii="Arial" w:hAnsi="Arial"/>
          <w:color w:val="auto"/>
        </w:rPr>
        <w:t>l</w:t>
      </w:r>
      <w:r w:rsidRPr="0010647A">
        <w:rPr>
          <w:rFonts w:ascii="Arial" w:hAnsi="Arial"/>
          <w:color w:val="auto"/>
        </w:rPr>
        <w:t xml:space="preserve">io de este año. </w:t>
      </w:r>
      <w:r w:rsidR="003E6340" w:rsidRPr="003E6340">
        <w:rPr>
          <w:rFonts w:ascii="Arial" w:hAnsi="Arial"/>
          <w:color w:val="auto"/>
        </w:rPr>
        <w:t>El producto genérico con la contribución más significativa en el índice total de dichas actividades fue</w:t>
      </w:r>
      <w:r w:rsidR="0070417B">
        <w:rPr>
          <w:rFonts w:ascii="Arial" w:hAnsi="Arial"/>
          <w:color w:val="auto"/>
        </w:rPr>
        <w:t xml:space="preserve"> el</w:t>
      </w:r>
      <w:r w:rsidRPr="0010647A">
        <w:rPr>
          <w:rFonts w:ascii="Arial" w:hAnsi="Arial"/>
          <w:color w:val="auto"/>
        </w:rPr>
        <w:t xml:space="preserve"> </w:t>
      </w:r>
      <w:r w:rsidR="003E6340" w:rsidRPr="003F3251">
        <w:rPr>
          <w:rFonts w:ascii="Arial" w:hAnsi="Arial"/>
          <w:color w:val="auto"/>
        </w:rPr>
        <w:t>Aguacate</w:t>
      </w:r>
      <w:r w:rsidR="0070417B">
        <w:rPr>
          <w:rFonts w:ascii="Arial" w:hAnsi="Arial"/>
          <w:color w:val="auto"/>
        </w:rPr>
        <w:t>,</w:t>
      </w:r>
      <w:r w:rsidRPr="0010647A">
        <w:rPr>
          <w:rFonts w:ascii="Arial" w:hAnsi="Arial"/>
          <w:color w:val="auto"/>
        </w:rPr>
        <w:t xml:space="preserve"> con una variación mensual de 1</w:t>
      </w:r>
      <w:r w:rsidR="003E6340">
        <w:rPr>
          <w:rFonts w:ascii="Arial" w:hAnsi="Arial"/>
          <w:color w:val="auto"/>
        </w:rPr>
        <w:t>2.</w:t>
      </w:r>
      <w:r w:rsidRPr="0010647A">
        <w:rPr>
          <w:rFonts w:ascii="Arial" w:hAnsi="Arial"/>
          <w:color w:val="auto"/>
        </w:rPr>
        <w:t>6</w:t>
      </w:r>
      <w:r w:rsidR="003E6340">
        <w:rPr>
          <w:rFonts w:ascii="Arial" w:hAnsi="Arial"/>
          <w:color w:val="auto"/>
        </w:rPr>
        <w:t>2 por ciento</w:t>
      </w:r>
      <w:r w:rsidR="002D3D3F" w:rsidRPr="0046515B">
        <w:rPr>
          <w:rFonts w:ascii="Arial" w:hAnsi="Arial"/>
          <w:color w:val="auto"/>
        </w:rPr>
        <w:t>.</w:t>
      </w:r>
    </w:p>
    <w:p w:rsidR="002D3D3F" w:rsidRPr="007E353A" w:rsidRDefault="002D3D3F" w:rsidP="002D3D3F">
      <w:pPr>
        <w:pStyle w:val="n01"/>
        <w:keepLines w:val="0"/>
        <w:spacing w:before="36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>Actividades Secundarias</w:t>
      </w:r>
    </w:p>
    <w:p w:rsidR="002D3D3F" w:rsidRDefault="003E6340" w:rsidP="002D3D3F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3E6340">
        <w:rPr>
          <w:rFonts w:ascii="Arial" w:hAnsi="Arial"/>
          <w:color w:val="auto"/>
        </w:rPr>
        <w:t>Los precios de las Actividades Secundarias, excluyendo petróleo, registraron un aumento mensual de 0.11% en el séptimo mes de 2019; este resultado obedeció a</w:t>
      </w:r>
      <w:r w:rsidR="0070417B">
        <w:rPr>
          <w:rFonts w:ascii="Arial" w:hAnsi="Arial"/>
          <w:color w:val="auto"/>
        </w:rPr>
        <w:t xml:space="preserve"> </w:t>
      </w:r>
      <w:r w:rsidRPr="003E6340">
        <w:rPr>
          <w:rFonts w:ascii="Arial" w:hAnsi="Arial"/>
          <w:color w:val="auto"/>
        </w:rPr>
        <w:t>l</w:t>
      </w:r>
      <w:r w:rsidR="0070417B">
        <w:rPr>
          <w:rFonts w:ascii="Arial" w:hAnsi="Arial"/>
          <w:color w:val="auto"/>
        </w:rPr>
        <w:t>os</w:t>
      </w:r>
      <w:r w:rsidRPr="003E6340">
        <w:rPr>
          <w:rFonts w:ascii="Arial" w:hAnsi="Arial"/>
          <w:color w:val="auto"/>
        </w:rPr>
        <w:t xml:space="preserve"> </w:t>
      </w:r>
      <w:r w:rsidR="0070417B">
        <w:rPr>
          <w:rFonts w:ascii="Arial" w:hAnsi="Arial"/>
          <w:color w:val="auto"/>
        </w:rPr>
        <w:t>in</w:t>
      </w:r>
      <w:r w:rsidR="001E4D9A">
        <w:rPr>
          <w:rFonts w:ascii="Arial" w:hAnsi="Arial"/>
          <w:color w:val="auto"/>
        </w:rPr>
        <w:t>cre</w:t>
      </w:r>
      <w:r w:rsidR="0070417B">
        <w:rPr>
          <w:rFonts w:ascii="Arial" w:hAnsi="Arial"/>
          <w:color w:val="auto"/>
        </w:rPr>
        <w:t>m</w:t>
      </w:r>
      <w:r w:rsidRPr="003E6340">
        <w:rPr>
          <w:rFonts w:ascii="Arial" w:hAnsi="Arial"/>
          <w:color w:val="auto"/>
        </w:rPr>
        <w:t>ento</w:t>
      </w:r>
      <w:r w:rsidR="0070417B">
        <w:rPr>
          <w:rFonts w:ascii="Arial" w:hAnsi="Arial"/>
          <w:color w:val="auto"/>
        </w:rPr>
        <w:t>s</w:t>
      </w:r>
      <w:r w:rsidRPr="003E6340">
        <w:rPr>
          <w:rFonts w:ascii="Arial" w:hAnsi="Arial"/>
          <w:color w:val="auto"/>
        </w:rPr>
        <w:t xml:space="preserve"> en los precios de la Generación, transmisión y distribución de energía eléctrica, suministro de agua y de gas por ductos al consumidor final de 0.03% y e</w:t>
      </w:r>
      <w:r w:rsidR="0070417B">
        <w:rPr>
          <w:rFonts w:ascii="Arial" w:hAnsi="Arial"/>
          <w:color w:val="auto"/>
        </w:rPr>
        <w:t>n</w:t>
      </w:r>
      <w:r w:rsidRPr="003E6340">
        <w:rPr>
          <w:rFonts w:ascii="Arial" w:hAnsi="Arial"/>
          <w:color w:val="auto"/>
        </w:rPr>
        <w:t xml:space="preserve"> las Industrias manufactureras de 0.21%, mientras que </w:t>
      </w:r>
      <w:r w:rsidR="0070417B">
        <w:rPr>
          <w:rFonts w:ascii="Arial" w:hAnsi="Arial"/>
          <w:color w:val="auto"/>
        </w:rPr>
        <w:t xml:space="preserve">en </w:t>
      </w:r>
      <w:r w:rsidRPr="003E6340">
        <w:rPr>
          <w:rFonts w:ascii="Arial" w:hAnsi="Arial"/>
          <w:color w:val="auto"/>
        </w:rPr>
        <w:t>la Minería mostr</w:t>
      </w:r>
      <w:r w:rsidR="0070417B">
        <w:rPr>
          <w:rFonts w:ascii="Arial" w:hAnsi="Arial"/>
          <w:color w:val="auto"/>
        </w:rPr>
        <w:t>aron</w:t>
      </w:r>
      <w:r w:rsidRPr="003E6340">
        <w:rPr>
          <w:rFonts w:ascii="Arial" w:hAnsi="Arial"/>
          <w:color w:val="auto"/>
        </w:rPr>
        <w:t xml:space="preserve"> una reducción de (</w:t>
      </w:r>
      <w:r>
        <w:rPr>
          <w:rFonts w:ascii="Arial" w:hAnsi="Arial"/>
          <w:color w:val="auto"/>
        </w:rPr>
        <w:noBreakHyphen/>
      </w:r>
      <w:r w:rsidRPr="003E6340">
        <w:rPr>
          <w:rFonts w:ascii="Arial" w:hAnsi="Arial"/>
          <w:color w:val="auto"/>
        </w:rPr>
        <w:t xml:space="preserve">)0.71% y </w:t>
      </w:r>
      <w:r w:rsidR="0070417B">
        <w:rPr>
          <w:rFonts w:ascii="Arial" w:hAnsi="Arial"/>
          <w:color w:val="auto"/>
        </w:rPr>
        <w:t xml:space="preserve">de </w:t>
      </w:r>
      <w:r w:rsidRPr="003E6340">
        <w:rPr>
          <w:rFonts w:ascii="Arial" w:hAnsi="Arial"/>
          <w:color w:val="auto"/>
        </w:rPr>
        <w:t>(</w:t>
      </w:r>
      <w:r w:rsidR="001E4D9A">
        <w:rPr>
          <w:rFonts w:ascii="Arial" w:hAnsi="Arial"/>
          <w:color w:val="auto"/>
        </w:rPr>
        <w:noBreakHyphen/>
      </w:r>
      <w:r w:rsidRPr="003E6340">
        <w:rPr>
          <w:rFonts w:ascii="Arial" w:hAnsi="Arial"/>
          <w:color w:val="auto"/>
        </w:rPr>
        <w:t>)0.22% en la Construcción</w:t>
      </w:r>
      <w:r w:rsidR="002D3D3F">
        <w:rPr>
          <w:rFonts w:ascii="Arial" w:hAnsi="Arial"/>
          <w:color w:val="auto"/>
        </w:rPr>
        <w:t>.</w:t>
      </w:r>
    </w:p>
    <w:p w:rsidR="002D3D3F" w:rsidRDefault="001E4D9A" w:rsidP="004B2FEB">
      <w:pPr>
        <w:pStyle w:val="p0"/>
        <w:keepNext/>
        <w:spacing w:before="0"/>
        <w:rPr>
          <w:rFonts w:ascii="Arial" w:hAnsi="Arial"/>
          <w:color w:val="auto"/>
        </w:rPr>
      </w:pPr>
      <w:r w:rsidRPr="0010647A">
        <w:rPr>
          <w:rFonts w:ascii="Arial" w:hAnsi="Arial"/>
          <w:color w:val="auto"/>
        </w:rPr>
        <w:lastRenderedPageBreak/>
        <w:t>En su comparación anual, los precios de las Actividades Secundarias, ex</w:t>
      </w:r>
      <w:r>
        <w:rPr>
          <w:rFonts w:ascii="Arial" w:hAnsi="Arial"/>
          <w:color w:val="auto"/>
        </w:rPr>
        <w:t>cluyendo petróleo, subieron 2.52%, producto de ascensos de 3.40</w:t>
      </w:r>
      <w:r w:rsidRPr="0010647A">
        <w:rPr>
          <w:rFonts w:ascii="Arial" w:hAnsi="Arial"/>
          <w:color w:val="auto"/>
        </w:rPr>
        <w:t>% en la Generación, transmisión y distribución de energía eléctrica, suministro de agua y de gas por duc</w:t>
      </w:r>
      <w:r>
        <w:rPr>
          <w:rFonts w:ascii="Arial" w:hAnsi="Arial"/>
          <w:color w:val="auto"/>
        </w:rPr>
        <w:t>tos al consumidor final, de 2.01% en la Construcción y de 2.80</w:t>
      </w:r>
      <w:r w:rsidRPr="0010647A">
        <w:rPr>
          <w:rFonts w:ascii="Arial" w:hAnsi="Arial"/>
          <w:color w:val="auto"/>
        </w:rPr>
        <w:t xml:space="preserve">% en las Industrias manufactureras, </w:t>
      </w:r>
      <w:r w:rsidR="0070417B">
        <w:rPr>
          <w:rFonts w:ascii="Arial" w:hAnsi="Arial"/>
          <w:color w:val="auto"/>
        </w:rPr>
        <w:t>en tanto</w:t>
      </w:r>
      <w:r w:rsidRPr="0010647A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que en la Minería disminuyeron (</w:t>
      </w:r>
      <w:r>
        <w:rPr>
          <w:rFonts w:ascii="Arial" w:hAnsi="Arial"/>
          <w:color w:val="auto"/>
        </w:rPr>
        <w:noBreakHyphen/>
        <w:t>)1.86</w:t>
      </w:r>
      <w:r w:rsidRPr="0010647A">
        <w:rPr>
          <w:rFonts w:ascii="Arial" w:hAnsi="Arial"/>
          <w:color w:val="auto"/>
        </w:rPr>
        <w:t xml:space="preserve"> por ciento</w:t>
      </w:r>
      <w:r w:rsidR="007F0AE0" w:rsidRPr="007F0AE0">
        <w:rPr>
          <w:rFonts w:ascii="Arial" w:hAnsi="Arial"/>
          <w:color w:val="auto"/>
        </w:rPr>
        <w:t>.</w:t>
      </w:r>
    </w:p>
    <w:p w:rsidR="002D3D3F" w:rsidRPr="00CD6E5C" w:rsidRDefault="002D3D3F" w:rsidP="0034757D">
      <w:pPr>
        <w:pStyle w:val="n01"/>
        <w:keepLines w:val="0"/>
        <w:spacing w:before="48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CD6E5C">
        <w:rPr>
          <w:rFonts w:ascii="Arial" w:hAnsi="Arial"/>
          <w:b/>
          <w:i/>
          <w:snapToGrid w:val="0"/>
          <w:color w:val="000000"/>
        </w:rPr>
        <w:t>Industrias Manufactureras</w:t>
      </w:r>
    </w:p>
    <w:bookmarkEnd w:id="1"/>
    <w:p w:rsidR="002D3D3F" w:rsidRDefault="001E4D9A" w:rsidP="002D3D3F">
      <w:pPr>
        <w:pStyle w:val="p0"/>
        <w:keepNext/>
        <w:rPr>
          <w:rFonts w:ascii="Arial" w:hAnsi="Arial"/>
          <w:color w:val="auto"/>
        </w:rPr>
      </w:pPr>
      <w:r w:rsidRPr="001E4D9A">
        <w:rPr>
          <w:rFonts w:ascii="Arial" w:hAnsi="Arial"/>
          <w:color w:val="auto"/>
        </w:rPr>
        <w:t>Los precios de las Industrias manufactureras crecieron 0.21% a tasa mensual, ubicando su tasa anual en 2.80 por ciento. Los subsectores que destacaron por el alza mensual en los precios fueron el de Fabricación de productos derivados del petróleo y del carbón con 1.16%, Industria alimentaria 0.64% y el de Fabricación de prendas de vestir con 0.58 por ciento</w:t>
      </w:r>
      <w:r w:rsidR="00453648">
        <w:rPr>
          <w:rFonts w:ascii="Arial" w:hAnsi="Arial"/>
          <w:color w:val="auto"/>
        </w:rPr>
        <w:t>.</w:t>
      </w:r>
    </w:p>
    <w:p w:rsidR="002D3D3F" w:rsidRPr="00E35E14" w:rsidRDefault="002D3D3F" w:rsidP="002D3D3F">
      <w:pPr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E35E14">
        <w:rPr>
          <w:snapToGrid w:val="0"/>
          <w:sz w:val="20"/>
          <w:szCs w:val="20"/>
        </w:rPr>
        <w:t>Cuadro 4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:rsidR="002D3D3F" w:rsidRPr="0002523A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EXCLUYENDO PETRÓLEO, DURANTE</w:t>
      </w:r>
      <w:r>
        <w:rPr>
          <w:b/>
          <w:snapToGrid w:val="0"/>
          <w:sz w:val="22"/>
          <w:szCs w:val="22"/>
        </w:rPr>
        <w:t xml:space="preserve"> </w:t>
      </w:r>
      <w:r w:rsidR="0010647A">
        <w:rPr>
          <w:b/>
          <w:snapToGrid w:val="0"/>
          <w:sz w:val="22"/>
          <w:szCs w:val="22"/>
        </w:rPr>
        <w:t>JU</w:t>
      </w:r>
      <w:r w:rsidR="001E4D9A">
        <w:rPr>
          <w:b/>
          <w:snapToGrid w:val="0"/>
          <w:sz w:val="22"/>
          <w:szCs w:val="22"/>
        </w:rPr>
        <w:t>L</w:t>
      </w:r>
      <w:r w:rsidR="0010647A">
        <w:rPr>
          <w:b/>
          <w:snapToGrid w:val="0"/>
          <w:sz w:val="22"/>
          <w:szCs w:val="22"/>
        </w:rPr>
        <w:t>I</w:t>
      </w:r>
      <w:r w:rsidR="000F08E7">
        <w:rPr>
          <w:b/>
          <w:snapToGrid w:val="0"/>
          <w:sz w:val="22"/>
          <w:szCs w:val="22"/>
        </w:rPr>
        <w:t>O</w:t>
      </w:r>
      <w:r>
        <w:rPr>
          <w:b/>
          <w:bCs/>
          <w:color w:val="000000"/>
          <w:spacing w:val="1"/>
          <w:sz w:val="22"/>
          <w:szCs w:val="22"/>
        </w:rPr>
        <w:t xml:space="preserve"> DE 201</w:t>
      </w:r>
      <w:r w:rsidR="0034757D">
        <w:rPr>
          <w:b/>
          <w:bCs/>
          <w:color w:val="000000"/>
          <w:spacing w:val="1"/>
          <w:sz w:val="22"/>
          <w:szCs w:val="22"/>
        </w:rPr>
        <w:t>9</w:t>
      </w:r>
    </w:p>
    <w:p w:rsidR="002D3D3F" w:rsidRPr="00910135" w:rsidRDefault="002D3D3F" w:rsidP="002D3D3F">
      <w:pPr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910135">
        <w:rPr>
          <w:snapToGrid w:val="0"/>
          <w:sz w:val="22"/>
          <w:szCs w:val="22"/>
        </w:rPr>
        <w:t>Industrias Manufactureras</w:t>
      </w:r>
    </w:p>
    <w:p w:rsidR="002D3D3F" w:rsidRDefault="002D3D3F" w:rsidP="002D3D3F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3"/>
        <w:gridCol w:w="805"/>
        <w:gridCol w:w="806"/>
        <w:gridCol w:w="805"/>
        <w:gridCol w:w="806"/>
        <w:gridCol w:w="805"/>
        <w:gridCol w:w="806"/>
      </w:tblGrid>
      <w:tr w:rsidR="00F10544" w:rsidRPr="00A9663B" w:rsidTr="00546E7B">
        <w:trPr>
          <w:trHeight w:val="308"/>
          <w:jc w:val="center"/>
        </w:trPr>
        <w:tc>
          <w:tcPr>
            <w:tcW w:w="4553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A9663B" w:rsidRDefault="00F10544" w:rsidP="00F10544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bookmarkStart w:id="3" w:name="_Hlk2757840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A9663B" w:rsidRDefault="00F10544" w:rsidP="00F10544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41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A9663B" w:rsidRDefault="00F10544" w:rsidP="00F10544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Variación anual</w:t>
            </w:r>
          </w:p>
        </w:tc>
      </w:tr>
      <w:tr w:rsidR="00F10544" w:rsidRPr="00A9663B" w:rsidTr="00546E7B">
        <w:trPr>
          <w:trHeight w:val="480"/>
          <w:jc w:val="center"/>
        </w:trPr>
        <w:tc>
          <w:tcPr>
            <w:tcW w:w="4553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:rsidR="00F10544" w:rsidRPr="00A9663B" w:rsidRDefault="00F10544" w:rsidP="00F10544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A9663B" w:rsidRDefault="00F10544" w:rsidP="00F10544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A9663B" w:rsidRDefault="00F10544" w:rsidP="00F10544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A9663B" w:rsidRDefault="00F10544" w:rsidP="00F10544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A9663B" w:rsidRDefault="00F10544" w:rsidP="00F10544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A9663B" w:rsidRDefault="00F10544" w:rsidP="00F10544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F10544" w:rsidRPr="00A9663B" w:rsidRDefault="00F10544" w:rsidP="00F10544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2.90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3.60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3.38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2.17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3.11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16F1B">
              <w:rPr>
                <w:b/>
                <w:bCs/>
                <w:color w:val="000000"/>
                <w:sz w:val="14"/>
                <w:szCs w:val="14"/>
              </w:rPr>
              <w:t>2.80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alimentaria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1.85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5.26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6.59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las bebidas y del tabaco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0.16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0.15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4.24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4.08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insumos textiles y acabado de textiles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3.69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3.92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3.83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textiles, excepto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-0.19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-0.16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3.93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4.24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4.16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0.52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0.59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0.58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6.30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5.76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5.79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-0.18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1.17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0.78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 madera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4.53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4.66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4.55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papel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4.05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4.59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4.32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Impresión e industrias conexas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-0.65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-0.65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-0.65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4.78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4.78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4.78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derivados del petróleo y del carbón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1.64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-0.27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1.16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-0.27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-2.12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-0.74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química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-0.45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-0.24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2.39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1.46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plástico y del hule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5.49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5.68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5.58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a base de minerales no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2.01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2.43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metálicas básicas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0.82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-6.05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-1.25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-4.08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-0.29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-0.16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3.59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3.57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3.58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maquinaria y equipo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-0.29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-0.29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-0.29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3.02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1.97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2.06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-0.33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-0.31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3.90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1.69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1.86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accesorios, aparatos eléctricos y equipo de generación de energía eléctrica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0.15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7.39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4.66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4.95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transporte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-0.48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-0.23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1.57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2.00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1.96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muebles, colchones y persianas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20.54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5.44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5.45</w:t>
            </w:r>
          </w:p>
        </w:tc>
      </w:tr>
      <w:tr w:rsidR="00F10544" w:rsidRPr="00841586" w:rsidTr="00546E7B">
        <w:trPr>
          <w:trHeight w:val="205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841586" w:rsidRDefault="00F10544" w:rsidP="00F10544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Otras 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-0.19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-0.15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4.82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4.13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F10544" w:rsidRPr="00016F1B" w:rsidRDefault="00F10544" w:rsidP="00F10544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016F1B">
              <w:rPr>
                <w:bCs/>
                <w:color w:val="000000"/>
                <w:sz w:val="14"/>
                <w:szCs w:val="14"/>
              </w:rPr>
              <w:t>4.20</w:t>
            </w:r>
          </w:p>
        </w:tc>
      </w:tr>
    </w:tbl>
    <w:bookmarkEnd w:id="3"/>
    <w:p w:rsidR="002D3D3F" w:rsidRDefault="002D3D3F" w:rsidP="004B2FEB">
      <w:pPr>
        <w:pStyle w:val="n01"/>
        <w:keepNext/>
        <w:spacing w:before="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D8762C">
        <w:rPr>
          <w:rFonts w:ascii="Arial" w:hAnsi="Arial"/>
          <w:b/>
          <w:i/>
          <w:snapToGrid w:val="0"/>
          <w:color w:val="000000"/>
        </w:rPr>
        <w:lastRenderedPageBreak/>
        <w:t>Actividades Terciarias</w:t>
      </w:r>
    </w:p>
    <w:p w:rsidR="002D3D3F" w:rsidRPr="00D8762C" w:rsidRDefault="001E4D9A" w:rsidP="002D3D3F">
      <w:pPr>
        <w:keepNext/>
        <w:keepLines/>
        <w:autoSpaceDE w:val="0"/>
        <w:autoSpaceDN w:val="0"/>
        <w:adjustRightInd w:val="0"/>
        <w:spacing w:before="240"/>
      </w:pPr>
      <w:r w:rsidRPr="001E4D9A">
        <w:t xml:space="preserve">Los precios de las Actividades Terciarias presentaron un incremento mensual de 0.39% y anual </w:t>
      </w:r>
      <w:r w:rsidR="0070417B">
        <w:t>de</w:t>
      </w:r>
      <w:r w:rsidRPr="001E4D9A">
        <w:t xml:space="preserve"> 3.83% durante julio del año en curso. Los sectores económicos que registraron la mayor variación mensual fueron: Servicios de alojamiento temporal y de preparación de alimentos y bebidas con 0.82%, Transportes, correos y almacenamiento 0.64% y el de Servicios de apoyo a los negocios y manejo de desechos y servicios de remediación con 0.50 por ciento</w:t>
      </w:r>
      <w:r w:rsidR="002D3D3F">
        <w:t>.</w:t>
      </w:r>
    </w:p>
    <w:p w:rsidR="002D3D3F" w:rsidRPr="00875DDC" w:rsidRDefault="002D3D3F" w:rsidP="002D3D3F">
      <w:pPr>
        <w:autoSpaceDE w:val="0"/>
        <w:autoSpaceDN w:val="0"/>
        <w:adjustRightInd w:val="0"/>
        <w:spacing w:before="320"/>
        <w:rPr>
          <w:b/>
          <w:snapToGrid w:val="0"/>
          <w:u w:val="single"/>
        </w:rPr>
      </w:pPr>
      <w:r w:rsidRPr="00875DDC">
        <w:rPr>
          <w:b/>
          <w:snapToGrid w:val="0"/>
          <w:u w:val="single"/>
        </w:rPr>
        <w:t>BIENES INTERMEDIOS</w:t>
      </w:r>
    </w:p>
    <w:p w:rsidR="001E4D9A" w:rsidRPr="0010647A" w:rsidRDefault="001E4D9A" w:rsidP="001E4D9A">
      <w:pPr>
        <w:autoSpaceDE w:val="0"/>
        <w:autoSpaceDN w:val="0"/>
        <w:adjustRightInd w:val="0"/>
        <w:spacing w:before="280"/>
        <w:rPr>
          <w:snapToGrid w:val="0"/>
        </w:rPr>
      </w:pPr>
      <w:r w:rsidRPr="0010647A">
        <w:rPr>
          <w:snapToGrid w:val="0"/>
        </w:rPr>
        <w:t>El Índice de Mercancías y Servicios de Uso Intermedio, excluyendo petróleo, mos</w:t>
      </w:r>
      <w:r>
        <w:rPr>
          <w:snapToGrid w:val="0"/>
        </w:rPr>
        <w:t>tró un crecimiento mensual de 0.38% y anual de 2.90% en el séptimo</w:t>
      </w:r>
      <w:r w:rsidRPr="0010647A">
        <w:rPr>
          <w:snapToGrid w:val="0"/>
        </w:rPr>
        <w:t xml:space="preserve"> mes de 2019.</w:t>
      </w:r>
    </w:p>
    <w:p w:rsidR="002D3D3F" w:rsidRDefault="001E4D9A" w:rsidP="001E4D9A">
      <w:pPr>
        <w:autoSpaceDE w:val="0"/>
        <w:autoSpaceDN w:val="0"/>
        <w:adjustRightInd w:val="0"/>
        <w:spacing w:before="280"/>
        <w:rPr>
          <w:snapToGrid w:val="0"/>
        </w:rPr>
      </w:pPr>
      <w:r w:rsidRPr="0010647A">
        <w:rPr>
          <w:snapToGrid w:val="0"/>
        </w:rPr>
        <w:t>Por grandes grupos de actividades económicas, los precios de las A</w:t>
      </w:r>
      <w:r>
        <w:rPr>
          <w:snapToGrid w:val="0"/>
        </w:rPr>
        <w:t>ctividades Primarias decrecieron (</w:t>
      </w:r>
      <w:r>
        <w:rPr>
          <w:snapToGrid w:val="0"/>
        </w:rPr>
        <w:noBreakHyphen/>
        <w:t>)0.04</w:t>
      </w:r>
      <w:r w:rsidRPr="0010647A">
        <w:rPr>
          <w:snapToGrid w:val="0"/>
        </w:rPr>
        <w:t xml:space="preserve">% mensual y </w:t>
      </w:r>
      <w:r>
        <w:rPr>
          <w:snapToGrid w:val="0"/>
        </w:rPr>
        <w:t>aumentaron 10.08</w:t>
      </w:r>
      <w:r w:rsidRPr="0010647A">
        <w:rPr>
          <w:snapToGrid w:val="0"/>
        </w:rPr>
        <w:t>% anual, los de las Acti</w:t>
      </w:r>
      <w:r>
        <w:rPr>
          <w:snapToGrid w:val="0"/>
        </w:rPr>
        <w:t>vidades Secundarias ascendieron 0.50% mensual y 2.01</w:t>
      </w:r>
      <w:r w:rsidRPr="0010647A">
        <w:rPr>
          <w:snapToGrid w:val="0"/>
        </w:rPr>
        <w:t>% a tasa anual y los de las Activi</w:t>
      </w:r>
      <w:r>
        <w:rPr>
          <w:snapToGrid w:val="0"/>
        </w:rPr>
        <w:t xml:space="preserve">dades Terciarias </w:t>
      </w:r>
      <w:r w:rsidR="0070417B">
        <w:rPr>
          <w:snapToGrid w:val="0"/>
        </w:rPr>
        <w:t>subie</w:t>
      </w:r>
      <w:r>
        <w:rPr>
          <w:snapToGrid w:val="0"/>
        </w:rPr>
        <w:t>ron 0.28</w:t>
      </w:r>
      <w:r w:rsidRPr="0010647A">
        <w:rPr>
          <w:snapToGrid w:val="0"/>
        </w:rPr>
        <w:t>% a tasa me</w:t>
      </w:r>
      <w:r>
        <w:rPr>
          <w:snapToGrid w:val="0"/>
        </w:rPr>
        <w:t>nsual y 2.82</w:t>
      </w:r>
      <w:r w:rsidRPr="0010647A">
        <w:rPr>
          <w:snapToGrid w:val="0"/>
        </w:rPr>
        <w:t>% anual</w:t>
      </w:r>
      <w:r w:rsidR="002D3D3F">
        <w:rPr>
          <w:snapToGrid w:val="0"/>
        </w:rPr>
        <w:t xml:space="preserve">. </w:t>
      </w:r>
    </w:p>
    <w:p w:rsidR="002D3D3F" w:rsidRPr="00E35E14" w:rsidRDefault="002D3D3F" w:rsidP="002D3D3F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 w:rsidRPr="00E35E14">
        <w:rPr>
          <w:snapToGrid w:val="0"/>
          <w:sz w:val="20"/>
          <w:szCs w:val="20"/>
        </w:rPr>
        <w:t>Cuadro 5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DE USO INTERMEDIO,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EXCLUYENDO PETRÓLEO, DURANTE </w:t>
      </w:r>
      <w:r w:rsidR="0010647A">
        <w:rPr>
          <w:b/>
          <w:bCs/>
          <w:color w:val="000000"/>
          <w:spacing w:val="1"/>
          <w:sz w:val="22"/>
          <w:szCs w:val="22"/>
        </w:rPr>
        <w:t>JU</w:t>
      </w:r>
      <w:r w:rsidR="001E4D9A">
        <w:rPr>
          <w:b/>
          <w:bCs/>
          <w:color w:val="000000"/>
          <w:spacing w:val="1"/>
          <w:sz w:val="22"/>
          <w:szCs w:val="22"/>
        </w:rPr>
        <w:t>L</w:t>
      </w:r>
      <w:r w:rsidR="0010647A">
        <w:rPr>
          <w:b/>
          <w:bCs/>
          <w:color w:val="000000"/>
          <w:spacing w:val="1"/>
          <w:sz w:val="22"/>
          <w:szCs w:val="22"/>
        </w:rPr>
        <w:t>I</w:t>
      </w:r>
      <w:r w:rsidR="000F08E7">
        <w:rPr>
          <w:b/>
          <w:bCs/>
          <w:color w:val="000000"/>
          <w:spacing w:val="1"/>
          <w:sz w:val="22"/>
          <w:szCs w:val="22"/>
        </w:rPr>
        <w:t>O</w:t>
      </w:r>
    </w:p>
    <w:p w:rsidR="002D3D3F" w:rsidRDefault="002D3D3F" w:rsidP="002D3D3F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92783E">
        <w:rPr>
          <w:snapToGrid w:val="0"/>
          <w:sz w:val="18"/>
          <w:szCs w:val="18"/>
        </w:rPr>
        <w:t xml:space="preserve">Variación porcentual </w:t>
      </w:r>
      <w:r w:rsidR="00196542">
        <w:rPr>
          <w:snapToGrid w:val="0"/>
          <w:sz w:val="18"/>
          <w:szCs w:val="18"/>
        </w:rPr>
        <w:t>durante</w:t>
      </w:r>
      <w:r w:rsidR="0034757D">
        <w:rPr>
          <w:snapToGrid w:val="0"/>
          <w:sz w:val="18"/>
          <w:szCs w:val="18"/>
        </w:rPr>
        <w:t xml:space="preserve"> </w:t>
      </w:r>
      <w:r w:rsidR="0010647A">
        <w:rPr>
          <w:snapToGrid w:val="0"/>
          <w:sz w:val="18"/>
          <w:szCs w:val="18"/>
        </w:rPr>
        <w:t>ju</w:t>
      </w:r>
      <w:r w:rsidR="001E4D9A">
        <w:rPr>
          <w:snapToGrid w:val="0"/>
          <w:sz w:val="18"/>
          <w:szCs w:val="18"/>
        </w:rPr>
        <w:t>l</w:t>
      </w:r>
      <w:r w:rsidR="0010647A">
        <w:rPr>
          <w:snapToGrid w:val="0"/>
          <w:sz w:val="18"/>
          <w:szCs w:val="18"/>
        </w:rPr>
        <w:t>i</w:t>
      </w:r>
      <w:r w:rsidR="000F08E7">
        <w:rPr>
          <w:snapToGrid w:val="0"/>
          <w:sz w:val="18"/>
          <w:szCs w:val="18"/>
        </w:rPr>
        <w:t>o</w:t>
      </w:r>
      <w:r>
        <w:rPr>
          <w:snapToGrid w:val="0"/>
          <w:sz w:val="18"/>
          <w:szCs w:val="18"/>
        </w:rPr>
        <w:t xml:space="preserve">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804"/>
        <w:gridCol w:w="805"/>
        <w:gridCol w:w="805"/>
        <w:gridCol w:w="805"/>
        <w:gridCol w:w="805"/>
        <w:gridCol w:w="805"/>
      </w:tblGrid>
      <w:tr w:rsidR="003D32E8" w:rsidRPr="00A9663B" w:rsidTr="001B08D5">
        <w:trPr>
          <w:trHeight w:val="255"/>
          <w:jc w:val="center"/>
        </w:trPr>
        <w:tc>
          <w:tcPr>
            <w:tcW w:w="455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88173A">
            <w:pPr>
              <w:autoSpaceDE w:val="0"/>
              <w:autoSpaceDN w:val="0"/>
              <w:adjustRightInd w:val="0"/>
              <w:ind w:left="227"/>
              <w:jc w:val="left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4" w:name="_Hlk2757867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4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415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anual</w:t>
            </w:r>
          </w:p>
        </w:tc>
      </w:tr>
      <w:tr w:rsidR="003D32E8" w:rsidRPr="00A9663B" w:rsidTr="001B08D5">
        <w:trPr>
          <w:trHeight w:val="255"/>
          <w:jc w:val="center"/>
        </w:trPr>
        <w:tc>
          <w:tcPr>
            <w:tcW w:w="455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:rsidR="003D32E8" w:rsidRPr="00A9663B" w:rsidRDefault="003D32E8" w:rsidP="0088173A">
            <w:pPr>
              <w:jc w:val="left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4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455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88173A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4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-0.60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-0.72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8.25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2.90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88173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-0.48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-3.07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8.84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-1.60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10.08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88173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-1.08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-0.68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0.50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10.44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12.42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2.01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88173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-1.01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-4.91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-0.40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14.04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16.67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-2.58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3D32E8" w:rsidRPr="00841586" w:rsidRDefault="003D32E8" w:rsidP="0088173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-0.21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2.80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21.72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12.46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3.74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88173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-1.19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-0.73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8.95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824FDF">
              <w:rPr>
                <w:bCs/>
                <w:color w:val="000000"/>
                <w:sz w:val="14"/>
                <w:szCs w:val="14"/>
              </w:rPr>
              <w:t>2.17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88173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3.54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3.72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24FDF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24FDF">
              <w:rPr>
                <w:b/>
                <w:bCs/>
                <w:color w:val="000000"/>
                <w:sz w:val="14"/>
                <w:szCs w:val="14"/>
              </w:rPr>
              <w:t>2.82</w:t>
            </w:r>
          </w:p>
        </w:tc>
      </w:tr>
    </w:tbl>
    <w:bookmarkEnd w:id="4"/>
    <w:p w:rsidR="002D3D3F" w:rsidRDefault="002D3D3F" w:rsidP="004B2FEB">
      <w:pPr>
        <w:keepNext/>
        <w:keepLines/>
        <w:autoSpaceDE w:val="0"/>
        <w:autoSpaceDN w:val="0"/>
        <w:adjustRightInd w:val="0"/>
        <w:rPr>
          <w:b/>
          <w:snapToGrid w:val="0"/>
          <w:u w:val="single"/>
        </w:rPr>
      </w:pPr>
      <w:r w:rsidRPr="00875DDC">
        <w:rPr>
          <w:b/>
          <w:snapToGrid w:val="0"/>
          <w:u w:val="single"/>
        </w:rPr>
        <w:lastRenderedPageBreak/>
        <w:t>BIENES FINALES</w:t>
      </w:r>
    </w:p>
    <w:p w:rsidR="002D3D3F" w:rsidRDefault="001E4D9A" w:rsidP="002D3D3F">
      <w:pPr>
        <w:keepNext/>
        <w:keepLines/>
        <w:autoSpaceDE w:val="0"/>
        <w:autoSpaceDN w:val="0"/>
        <w:adjustRightInd w:val="0"/>
        <w:spacing w:before="240"/>
        <w:rPr>
          <w:snapToGrid w:val="0"/>
        </w:rPr>
      </w:pPr>
      <w:r w:rsidRPr="0010647A">
        <w:rPr>
          <w:snapToGrid w:val="0"/>
        </w:rPr>
        <w:t>El Índice de precios de Mercancías y Servicios Finales, excluyendo petróleo, regist</w:t>
      </w:r>
      <w:r>
        <w:rPr>
          <w:snapToGrid w:val="0"/>
        </w:rPr>
        <w:t>ró una variación mensual de 0.14% y anual de 3.60% durante julio</w:t>
      </w:r>
      <w:r w:rsidRPr="0010647A">
        <w:rPr>
          <w:snapToGrid w:val="0"/>
        </w:rPr>
        <w:t xml:space="preserve"> de este año</w:t>
      </w:r>
      <w:r>
        <w:rPr>
          <w:snapToGrid w:val="0"/>
        </w:rPr>
        <w:t>.</w:t>
      </w:r>
    </w:p>
    <w:p w:rsidR="002D3D3F" w:rsidRDefault="002D3D3F" w:rsidP="002D3D3F">
      <w:pPr>
        <w:pStyle w:val="n01"/>
        <w:keepNext/>
        <w:spacing w:before="360"/>
        <w:ind w:left="0" w:firstLine="709"/>
        <w:rPr>
          <w:b/>
          <w:i/>
          <w:snapToGrid w:val="0"/>
          <w:color w:val="000000"/>
        </w:rPr>
      </w:pPr>
      <w:r w:rsidRPr="006C0439">
        <w:rPr>
          <w:b/>
          <w:i/>
          <w:snapToGrid w:val="0"/>
          <w:color w:val="000000"/>
        </w:rPr>
        <w:t xml:space="preserve">Por </w:t>
      </w:r>
      <w:r>
        <w:rPr>
          <w:b/>
          <w:i/>
          <w:snapToGrid w:val="0"/>
          <w:color w:val="000000"/>
        </w:rPr>
        <w:t>o</w:t>
      </w:r>
      <w:r w:rsidRPr="006C0439">
        <w:rPr>
          <w:b/>
          <w:i/>
          <w:snapToGrid w:val="0"/>
          <w:color w:val="000000"/>
        </w:rPr>
        <w:t>rigen de la producción</w:t>
      </w:r>
      <w:r w:rsidRPr="005356AC">
        <w:rPr>
          <w:b/>
          <w:i/>
          <w:snapToGrid w:val="0"/>
          <w:color w:val="000000"/>
        </w:rPr>
        <w:t xml:space="preserve"> </w:t>
      </w:r>
    </w:p>
    <w:p w:rsidR="001E4D9A" w:rsidRPr="001E4D9A" w:rsidRDefault="001E4D9A" w:rsidP="001E4D9A">
      <w:pPr>
        <w:keepNext/>
        <w:keepLines/>
        <w:autoSpaceDE w:val="0"/>
        <w:autoSpaceDN w:val="0"/>
        <w:adjustRightInd w:val="0"/>
        <w:spacing w:before="240"/>
        <w:rPr>
          <w:snapToGrid w:val="0"/>
        </w:rPr>
      </w:pPr>
      <w:r w:rsidRPr="001E4D9A">
        <w:rPr>
          <w:snapToGrid w:val="0"/>
        </w:rPr>
        <w:t>Por grandes grupos de actividades económicas, los precios de las Actividades Primarias se acrecentaron 0.46% y los de las Terciarias 0.43%, mientras que los de las Actividades Secundarias disminuyeron (</w:t>
      </w:r>
      <w:r>
        <w:rPr>
          <w:snapToGrid w:val="0"/>
        </w:rPr>
        <w:noBreakHyphen/>
      </w:r>
      <w:r w:rsidRPr="001E4D9A">
        <w:rPr>
          <w:snapToGrid w:val="0"/>
        </w:rPr>
        <w:t>)0.06% a tasa mensual.</w:t>
      </w:r>
    </w:p>
    <w:p w:rsidR="002D3D3F" w:rsidRDefault="001E4D9A" w:rsidP="001E4D9A">
      <w:pPr>
        <w:keepNext/>
        <w:keepLines/>
        <w:autoSpaceDE w:val="0"/>
        <w:autoSpaceDN w:val="0"/>
        <w:adjustRightInd w:val="0"/>
        <w:spacing w:before="240"/>
        <w:rPr>
          <w:snapToGrid w:val="0"/>
        </w:rPr>
      </w:pPr>
      <w:r w:rsidRPr="001E4D9A">
        <w:rPr>
          <w:snapToGrid w:val="0"/>
        </w:rPr>
        <w:t>En su comparación anual, los precios de las Actividades Primarias crecieron 11.95%, los de las Secundarias 2.76% y los de las Actividades Terciarias 4.24 por ciento</w:t>
      </w:r>
      <w:r w:rsidR="002D3D3F" w:rsidRPr="00875DDC">
        <w:rPr>
          <w:snapToGrid w:val="0"/>
        </w:rPr>
        <w:t>.</w:t>
      </w:r>
    </w:p>
    <w:p w:rsidR="002D3D3F" w:rsidRPr="00E35E14" w:rsidRDefault="002D3D3F" w:rsidP="002D3D3F">
      <w:pPr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E35E14">
        <w:rPr>
          <w:snapToGrid w:val="0"/>
          <w:sz w:val="20"/>
          <w:szCs w:val="20"/>
        </w:rPr>
        <w:t>Cuadro 6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:rsidR="002D3D3F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FINALES,</w:t>
      </w:r>
      <w:r>
        <w:rPr>
          <w:b/>
          <w:snapToGrid w:val="0"/>
          <w:sz w:val="22"/>
          <w:szCs w:val="22"/>
        </w:rPr>
        <w:t xml:space="preserve"> </w:t>
      </w:r>
    </w:p>
    <w:p w:rsidR="002D3D3F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EXCLUYENDO PETRÓLEO,</w:t>
      </w:r>
      <w:r w:rsidRPr="00110149">
        <w:rPr>
          <w:b/>
          <w:snapToGrid w:val="0"/>
          <w:sz w:val="22"/>
          <w:szCs w:val="22"/>
        </w:rPr>
        <w:t xml:space="preserve"> </w:t>
      </w:r>
      <w:r w:rsidRPr="00875DDC">
        <w:rPr>
          <w:b/>
          <w:snapToGrid w:val="0"/>
          <w:sz w:val="22"/>
          <w:szCs w:val="22"/>
        </w:rPr>
        <w:t xml:space="preserve">DURANTE </w:t>
      </w:r>
      <w:r w:rsidR="0010647A">
        <w:rPr>
          <w:b/>
          <w:bCs/>
          <w:color w:val="000000"/>
          <w:spacing w:val="1"/>
          <w:sz w:val="22"/>
          <w:szCs w:val="22"/>
        </w:rPr>
        <w:t>JU</w:t>
      </w:r>
      <w:r w:rsidR="001E4D9A">
        <w:rPr>
          <w:b/>
          <w:bCs/>
          <w:color w:val="000000"/>
          <w:spacing w:val="1"/>
          <w:sz w:val="22"/>
          <w:szCs w:val="22"/>
        </w:rPr>
        <w:t>L</w:t>
      </w:r>
      <w:r w:rsidR="0010647A">
        <w:rPr>
          <w:b/>
          <w:bCs/>
          <w:color w:val="000000"/>
          <w:spacing w:val="1"/>
          <w:sz w:val="22"/>
          <w:szCs w:val="22"/>
        </w:rPr>
        <w:t>I</w:t>
      </w:r>
      <w:r w:rsidR="000F08E7">
        <w:rPr>
          <w:b/>
          <w:bCs/>
          <w:color w:val="000000"/>
          <w:spacing w:val="1"/>
          <w:sz w:val="22"/>
          <w:szCs w:val="22"/>
        </w:rPr>
        <w:t>O</w:t>
      </w:r>
    </w:p>
    <w:p w:rsidR="002D3D3F" w:rsidRDefault="002D3D3F" w:rsidP="002D3D3F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</w:t>
      </w:r>
      <w:r w:rsidR="0034757D">
        <w:rPr>
          <w:snapToGrid w:val="0"/>
          <w:sz w:val="18"/>
          <w:szCs w:val="18"/>
        </w:rPr>
        <w:t xml:space="preserve">durante </w:t>
      </w:r>
      <w:r w:rsidR="0010647A">
        <w:rPr>
          <w:snapToGrid w:val="0"/>
          <w:sz w:val="18"/>
          <w:szCs w:val="18"/>
        </w:rPr>
        <w:t>ju</w:t>
      </w:r>
      <w:r w:rsidR="001E4D9A">
        <w:rPr>
          <w:snapToGrid w:val="0"/>
          <w:sz w:val="18"/>
          <w:szCs w:val="18"/>
        </w:rPr>
        <w:t>l</w:t>
      </w:r>
      <w:r w:rsidR="0010647A">
        <w:rPr>
          <w:snapToGrid w:val="0"/>
          <w:sz w:val="18"/>
          <w:szCs w:val="18"/>
        </w:rPr>
        <w:t>i</w:t>
      </w:r>
      <w:r w:rsidR="000F08E7">
        <w:rPr>
          <w:snapToGrid w:val="0"/>
          <w:sz w:val="18"/>
          <w:szCs w:val="18"/>
        </w:rPr>
        <w:t>o</w:t>
      </w:r>
      <w:r w:rsidRPr="0092783E">
        <w:rPr>
          <w:snapToGrid w:val="0"/>
          <w:sz w:val="18"/>
          <w:szCs w:val="18"/>
        </w:rPr>
        <w:t xml:space="preserve"> de los años que se indican</w:t>
      </w:r>
    </w:p>
    <w:tbl>
      <w:tblPr>
        <w:tblW w:w="4981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802"/>
        <w:gridCol w:w="802"/>
        <w:gridCol w:w="802"/>
        <w:gridCol w:w="802"/>
        <w:gridCol w:w="802"/>
        <w:gridCol w:w="803"/>
      </w:tblGrid>
      <w:tr w:rsidR="003D32E8" w:rsidRPr="00A9663B" w:rsidTr="001B08D5">
        <w:trPr>
          <w:trHeight w:val="255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5" w:name="_Hlk2757904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6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mensual</w:t>
            </w:r>
          </w:p>
        </w:tc>
        <w:tc>
          <w:tcPr>
            <w:tcW w:w="240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Variación anual</w:t>
            </w:r>
          </w:p>
        </w:tc>
      </w:tr>
      <w:tr w:rsidR="003D32E8" w:rsidRPr="00A9663B" w:rsidTr="001B08D5">
        <w:trPr>
          <w:trHeight w:val="255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2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0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3D32E8" w:rsidRPr="00625A20" w:rsidTr="001B08D5">
        <w:trPr>
          <w:trHeight w:val="227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2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-0.63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5.09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5.75</w:t>
            </w:r>
          </w:p>
        </w:tc>
        <w:tc>
          <w:tcPr>
            <w:tcW w:w="80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3.60</w:t>
            </w:r>
          </w:p>
        </w:tc>
      </w:tr>
      <w:tr w:rsidR="003D32E8" w:rsidRPr="00841586" w:rsidTr="001B08D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-2.35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12.38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-4.11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11.95</w:t>
            </w:r>
          </w:p>
        </w:tc>
      </w:tr>
      <w:tr w:rsidR="003D32E8" w:rsidRPr="00841586" w:rsidTr="001B08D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-0.42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-1.07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5.18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7.42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2.76</w:t>
            </w:r>
          </w:p>
        </w:tc>
      </w:tr>
      <w:tr w:rsidR="003D32E8" w:rsidRPr="00841586" w:rsidTr="001B08D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-1.40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-5.57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-1.02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-7.23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-1.12</w:t>
            </w:r>
          </w:p>
        </w:tc>
      </w:tr>
      <w:tr w:rsidR="003D32E8" w:rsidRPr="00841586" w:rsidTr="001B08D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:rsidR="003D32E8" w:rsidRPr="00841586" w:rsidRDefault="003D32E8" w:rsidP="003D32E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-0.10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4.17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2.08</w:t>
            </w:r>
          </w:p>
        </w:tc>
      </w:tr>
      <w:tr w:rsidR="003D32E8" w:rsidRPr="00841586" w:rsidTr="001B08D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841586" w:rsidRDefault="003D32E8" w:rsidP="003D32E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0.80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-0.22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10.30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10.04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2.01</w:t>
            </w:r>
          </w:p>
        </w:tc>
      </w:tr>
      <w:tr w:rsidR="003D32E8" w:rsidRPr="00841586" w:rsidTr="001B08D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-0.53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-1.39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4.46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6.75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Cs/>
                <w:color w:val="000000"/>
                <w:sz w:val="14"/>
                <w:szCs w:val="14"/>
              </w:rPr>
            </w:pPr>
            <w:r w:rsidRPr="00625A20">
              <w:rPr>
                <w:bCs/>
                <w:color w:val="000000"/>
                <w:sz w:val="14"/>
                <w:szCs w:val="14"/>
              </w:rPr>
              <w:t>3.11</w:t>
            </w:r>
          </w:p>
        </w:tc>
      </w:tr>
      <w:tr w:rsidR="003D32E8" w:rsidRPr="00841586" w:rsidTr="001B08D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4.07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625A20" w:rsidRDefault="003D32E8" w:rsidP="001B08D5">
            <w:pPr>
              <w:autoSpaceDE w:val="0"/>
              <w:autoSpaceDN w:val="0"/>
              <w:adjustRightInd w:val="0"/>
              <w:ind w:right="227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25A20">
              <w:rPr>
                <w:b/>
                <w:bCs/>
                <w:color w:val="000000"/>
                <w:sz w:val="14"/>
                <w:szCs w:val="14"/>
              </w:rPr>
              <w:t>4.24</w:t>
            </w:r>
          </w:p>
        </w:tc>
      </w:tr>
    </w:tbl>
    <w:bookmarkEnd w:id="5"/>
    <w:p w:rsidR="002D3D3F" w:rsidRPr="006C0439" w:rsidRDefault="002D3D3F" w:rsidP="002D3D3F">
      <w:pPr>
        <w:pStyle w:val="n01"/>
        <w:keepLines w:val="0"/>
        <w:widowControl w:val="0"/>
        <w:spacing w:before="360"/>
        <w:ind w:left="0" w:firstLine="709"/>
        <w:rPr>
          <w:rFonts w:ascii="Arial" w:hAnsi="Arial"/>
          <w:b/>
          <w:i/>
          <w:snapToGrid w:val="0"/>
          <w:color w:val="000000"/>
        </w:rPr>
      </w:pPr>
      <w:r w:rsidRPr="006C0439">
        <w:rPr>
          <w:rFonts w:ascii="Arial" w:hAnsi="Arial"/>
          <w:b/>
          <w:i/>
          <w:snapToGrid w:val="0"/>
          <w:color w:val="000000"/>
        </w:rPr>
        <w:t xml:space="preserve">Por </w:t>
      </w:r>
      <w:r>
        <w:rPr>
          <w:rFonts w:ascii="Arial" w:hAnsi="Arial"/>
          <w:b/>
          <w:i/>
          <w:snapToGrid w:val="0"/>
          <w:color w:val="000000"/>
        </w:rPr>
        <w:t>d</w:t>
      </w:r>
      <w:r w:rsidRPr="006C0439">
        <w:rPr>
          <w:rFonts w:ascii="Arial" w:hAnsi="Arial"/>
          <w:b/>
          <w:i/>
          <w:snapToGrid w:val="0"/>
          <w:color w:val="000000"/>
        </w:rPr>
        <w:t>estino de la producción</w:t>
      </w:r>
    </w:p>
    <w:p w:rsidR="001E4D9A" w:rsidRPr="001E4D9A" w:rsidRDefault="001E4D9A" w:rsidP="001E4D9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1E4D9A">
        <w:rPr>
          <w:snapToGrid w:val="0"/>
        </w:rPr>
        <w:t xml:space="preserve">Por destino de la producción, los precios de los bienes finales de Demanda interna presentaron un incremento mensual de 0.22%, ubicando su tasa anual en 4.02 por ciento. A su interior, los precios de los bienes de Consumo se elevaron 0.34% mensual y 4.72% anual y los destinados a la Formación de capital reportaron una </w:t>
      </w:r>
      <w:r w:rsidR="006F020B">
        <w:rPr>
          <w:snapToGrid w:val="0"/>
        </w:rPr>
        <w:t>caída</w:t>
      </w:r>
      <w:r w:rsidRPr="001E4D9A">
        <w:rPr>
          <w:snapToGrid w:val="0"/>
        </w:rPr>
        <w:t xml:space="preserve"> mensual de (</w:t>
      </w:r>
      <w:r>
        <w:rPr>
          <w:snapToGrid w:val="0"/>
        </w:rPr>
        <w:noBreakHyphen/>
      </w:r>
      <w:r w:rsidRPr="001E4D9A">
        <w:rPr>
          <w:snapToGrid w:val="0"/>
        </w:rPr>
        <w:t>)0.13% y un alza de 2.05% anual.</w:t>
      </w:r>
    </w:p>
    <w:p w:rsidR="00970E13" w:rsidRDefault="001E4D9A" w:rsidP="001E4D9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1E4D9A">
        <w:rPr>
          <w:snapToGrid w:val="0"/>
        </w:rPr>
        <w:t>Los precios de los bienes orientados a la Exportación decrecieron (</w:t>
      </w:r>
      <w:r>
        <w:rPr>
          <w:snapToGrid w:val="0"/>
        </w:rPr>
        <w:noBreakHyphen/>
      </w:r>
      <w:r w:rsidRPr="001E4D9A">
        <w:rPr>
          <w:snapToGrid w:val="0"/>
        </w:rPr>
        <w:t>)0.12% en julio de 2019 respecto al mes previo y aumentaron 2.29% a tasa anual</w:t>
      </w:r>
      <w:r w:rsidR="00970E13">
        <w:rPr>
          <w:snapToGrid w:val="0"/>
        </w:rPr>
        <w:t>.</w:t>
      </w:r>
    </w:p>
    <w:p w:rsidR="002D3D3F" w:rsidRPr="00742534" w:rsidRDefault="002D3D3F" w:rsidP="004B2FEB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lastRenderedPageBreak/>
        <w:t xml:space="preserve">Cuadro </w:t>
      </w:r>
      <w:r>
        <w:rPr>
          <w:snapToGrid w:val="0"/>
          <w:sz w:val="20"/>
          <w:szCs w:val="20"/>
        </w:rPr>
        <w:t>7</w:t>
      </w:r>
    </w:p>
    <w:p w:rsidR="002D3D3F" w:rsidRPr="00875DDC" w:rsidRDefault="002D3D3F" w:rsidP="002D3D3F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:rsidR="002D3D3F" w:rsidRPr="00875DDC" w:rsidRDefault="002D3D3F" w:rsidP="002D3D3F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MERCANCÍAS Y SERVICIOS FINALES,</w:t>
      </w:r>
      <w:r>
        <w:rPr>
          <w:b/>
          <w:snapToGrid w:val="0"/>
          <w:sz w:val="22"/>
          <w:szCs w:val="22"/>
        </w:rPr>
        <w:t xml:space="preserve"> </w:t>
      </w:r>
    </w:p>
    <w:p w:rsidR="002D3D3F" w:rsidRDefault="002D3D3F" w:rsidP="002D3D3F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EXCLUYENDO PETRÓLEO, DURANTE </w:t>
      </w:r>
      <w:r w:rsidR="0010647A">
        <w:rPr>
          <w:b/>
          <w:bCs/>
          <w:color w:val="000000"/>
          <w:spacing w:val="1"/>
          <w:sz w:val="22"/>
          <w:szCs w:val="22"/>
        </w:rPr>
        <w:t>JU</w:t>
      </w:r>
      <w:r w:rsidR="001E4D9A">
        <w:rPr>
          <w:b/>
          <w:bCs/>
          <w:color w:val="000000"/>
          <w:spacing w:val="1"/>
          <w:sz w:val="22"/>
          <w:szCs w:val="22"/>
        </w:rPr>
        <w:t>L</w:t>
      </w:r>
      <w:r w:rsidR="0010647A">
        <w:rPr>
          <w:b/>
          <w:bCs/>
          <w:color w:val="000000"/>
          <w:spacing w:val="1"/>
          <w:sz w:val="22"/>
          <w:szCs w:val="22"/>
        </w:rPr>
        <w:t>I</w:t>
      </w:r>
      <w:r w:rsidR="000F08E7">
        <w:rPr>
          <w:b/>
          <w:bCs/>
          <w:color w:val="000000"/>
          <w:spacing w:val="1"/>
          <w:sz w:val="22"/>
          <w:szCs w:val="22"/>
        </w:rPr>
        <w:t>O</w:t>
      </w:r>
      <w:r>
        <w:rPr>
          <w:b/>
          <w:bCs/>
          <w:color w:val="000000"/>
          <w:spacing w:val="1"/>
          <w:sz w:val="22"/>
          <w:szCs w:val="22"/>
        </w:rPr>
        <w:t xml:space="preserve"> DE 201</w:t>
      </w:r>
      <w:r w:rsidR="00D17997">
        <w:rPr>
          <w:b/>
          <w:bCs/>
          <w:color w:val="000000"/>
          <w:spacing w:val="1"/>
          <w:sz w:val="22"/>
          <w:szCs w:val="22"/>
        </w:rPr>
        <w:t>9</w:t>
      </w:r>
    </w:p>
    <w:p w:rsidR="002D3D3F" w:rsidRPr="00910135" w:rsidRDefault="002D3D3F" w:rsidP="002D3D3F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C</w:t>
      </w:r>
      <w:r w:rsidRPr="00910135">
        <w:rPr>
          <w:snapToGrid w:val="0"/>
          <w:sz w:val="22"/>
          <w:szCs w:val="22"/>
        </w:rPr>
        <w:t>lasificación por destino</w:t>
      </w:r>
    </w:p>
    <w:p w:rsidR="002D3D3F" w:rsidRDefault="002D3D3F" w:rsidP="002D3D3F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9"/>
        <w:gridCol w:w="1003"/>
        <w:gridCol w:w="1006"/>
        <w:gridCol w:w="1006"/>
        <w:gridCol w:w="1004"/>
        <w:gridCol w:w="1006"/>
        <w:gridCol w:w="1006"/>
        <w:gridCol w:w="1006"/>
      </w:tblGrid>
      <w:tr w:rsidR="003D32E8" w:rsidRPr="00A9663B" w:rsidTr="001B08D5">
        <w:trPr>
          <w:trHeight w:val="255"/>
          <w:jc w:val="center"/>
        </w:trPr>
        <w:tc>
          <w:tcPr>
            <w:tcW w:w="234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6" w:name="_Hlk2757940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3015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mensual</w:t>
            </w:r>
          </w:p>
        </w:tc>
        <w:tc>
          <w:tcPr>
            <w:tcW w:w="1004" w:type="dxa"/>
            <w:vMerge w:val="restart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Incidencia mensual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br/>
            </w: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018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anual</w:t>
            </w:r>
          </w:p>
        </w:tc>
      </w:tr>
      <w:tr w:rsidR="003D32E8" w:rsidRPr="00A9663B" w:rsidTr="001B08D5">
        <w:trPr>
          <w:trHeight w:val="255"/>
          <w:jc w:val="center"/>
        </w:trPr>
        <w:tc>
          <w:tcPr>
            <w:tcW w:w="234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4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234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INPP </w:t>
            </w:r>
          </w:p>
        </w:tc>
        <w:tc>
          <w:tcPr>
            <w:tcW w:w="1003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-0.01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0.38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100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0.140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3.33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4.04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3.60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Demanda interna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0.09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0.37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0.169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4.03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4.02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4.02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  <w:vertAlign w:val="superscript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Consumo 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2/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0.34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0.194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5.48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4.24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4.72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Formación de capital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-0.06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-0.80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-0.13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-0.024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2.26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Cs/>
                <w:color w:val="000000"/>
                <w:sz w:val="14"/>
                <w:szCs w:val="14"/>
              </w:rPr>
            </w:pPr>
            <w:r w:rsidRPr="00725B85">
              <w:rPr>
                <w:bCs/>
                <w:color w:val="000000"/>
                <w:sz w:val="14"/>
                <w:szCs w:val="14"/>
              </w:rPr>
              <w:t>2.05</w:t>
            </w:r>
          </w:p>
        </w:tc>
      </w:tr>
      <w:tr w:rsidR="003D32E8" w:rsidRPr="00841586" w:rsidTr="001B08D5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841586" w:rsidRDefault="003D32E8" w:rsidP="003D32E8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Exportaciones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-0.19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0.61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-0.029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2.10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4.34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:rsidR="003D32E8" w:rsidRPr="00725B85" w:rsidRDefault="003D32E8" w:rsidP="003D32E8">
            <w:pPr>
              <w:autoSpaceDE w:val="0"/>
              <w:autoSpaceDN w:val="0"/>
              <w:adjustRightInd w:val="0"/>
              <w:ind w:right="340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25B85">
              <w:rPr>
                <w:b/>
                <w:bCs/>
                <w:color w:val="000000"/>
                <w:sz w:val="14"/>
                <w:szCs w:val="14"/>
              </w:rPr>
              <w:t>2.29</w:t>
            </w:r>
          </w:p>
        </w:tc>
      </w:tr>
    </w:tbl>
    <w:bookmarkEnd w:id="6"/>
    <w:p w:rsidR="002D3D3F" w:rsidRPr="003F5E65" w:rsidRDefault="002D3D3F" w:rsidP="002D3D3F">
      <w:pPr>
        <w:widowControl w:val="0"/>
        <w:autoSpaceDE w:val="0"/>
        <w:autoSpaceDN w:val="0"/>
        <w:adjustRightInd w:val="0"/>
        <w:ind w:left="283" w:right="113" w:hanging="170"/>
        <w:rPr>
          <w:sz w:val="14"/>
          <w:szCs w:val="16"/>
        </w:rPr>
      </w:pPr>
      <w:r w:rsidRPr="003F5E65">
        <w:rPr>
          <w:sz w:val="16"/>
          <w:szCs w:val="18"/>
          <w:vertAlign w:val="superscript"/>
        </w:rPr>
        <w:t>1/</w:t>
      </w:r>
      <w:r w:rsidRPr="003F5E65">
        <w:rPr>
          <w:sz w:val="14"/>
          <w:szCs w:val="16"/>
        </w:rPr>
        <w:tab/>
      </w:r>
      <w:r w:rsidR="001E4D9A" w:rsidRPr="001E4D9A">
        <w:rPr>
          <w:sz w:val="14"/>
          <w:szCs w:val="16"/>
        </w:rPr>
        <w:t>La incidencia se refiere a la contribución en puntos porcentuales de cada componente del INPP en la variación porcentual del índice general. Ésta se calcula utilizando los ponderadores de cada subíndice, así como los precios relativos y sus respectivas variaciones. En ciertos casos, la suma de los componentes de algún grupo de subíndices puede tener alguna discrepancia por efectos de redondeo</w:t>
      </w:r>
      <w:r w:rsidRPr="003F5E65">
        <w:rPr>
          <w:sz w:val="14"/>
          <w:szCs w:val="16"/>
        </w:rPr>
        <w:t>.</w:t>
      </w:r>
    </w:p>
    <w:p w:rsidR="002D3D3F" w:rsidRPr="003F5E65" w:rsidRDefault="002D3D3F" w:rsidP="002D3D3F">
      <w:pPr>
        <w:widowControl w:val="0"/>
        <w:autoSpaceDE w:val="0"/>
        <w:autoSpaceDN w:val="0"/>
        <w:adjustRightInd w:val="0"/>
        <w:ind w:left="283" w:right="113" w:hanging="170"/>
        <w:rPr>
          <w:sz w:val="14"/>
          <w:szCs w:val="16"/>
        </w:rPr>
      </w:pPr>
      <w:r w:rsidRPr="003F5E65">
        <w:rPr>
          <w:sz w:val="16"/>
          <w:szCs w:val="18"/>
          <w:vertAlign w:val="superscript"/>
        </w:rPr>
        <w:t>2/</w:t>
      </w:r>
      <w:r w:rsidRPr="003F5E65">
        <w:rPr>
          <w:sz w:val="14"/>
          <w:szCs w:val="16"/>
        </w:rPr>
        <w:tab/>
      </w:r>
      <w:r w:rsidR="001E4D9A" w:rsidRPr="003F5E65">
        <w:rPr>
          <w:sz w:val="14"/>
          <w:szCs w:val="16"/>
        </w:rPr>
        <w:t>Consumo privado más consumo de gobierno individualizado</w:t>
      </w:r>
      <w:r w:rsidRPr="003F5E65">
        <w:rPr>
          <w:sz w:val="14"/>
          <w:szCs w:val="16"/>
        </w:rPr>
        <w:t>.</w:t>
      </w:r>
    </w:p>
    <w:p w:rsidR="002D3D3F" w:rsidRDefault="002D3D3F" w:rsidP="002D3D3F">
      <w:pPr>
        <w:autoSpaceDE w:val="0"/>
        <w:autoSpaceDN w:val="0"/>
        <w:adjustRightInd w:val="0"/>
        <w:spacing w:before="480"/>
        <w:rPr>
          <w:b/>
          <w:snapToGrid w:val="0"/>
        </w:rPr>
      </w:pPr>
      <w:r>
        <w:rPr>
          <w:b/>
          <w:snapToGrid w:val="0"/>
        </w:rPr>
        <w:t>Ge</w:t>
      </w:r>
      <w:r w:rsidRPr="00362589">
        <w:rPr>
          <w:b/>
          <w:snapToGrid w:val="0"/>
        </w:rPr>
        <w:t xml:space="preserve">néricos que </w:t>
      </w:r>
      <w:r>
        <w:rPr>
          <w:b/>
          <w:snapToGrid w:val="0"/>
        </w:rPr>
        <w:t xml:space="preserve">más </w:t>
      </w:r>
      <w:r w:rsidRPr="00362589">
        <w:rPr>
          <w:b/>
          <w:snapToGrid w:val="0"/>
        </w:rPr>
        <w:t xml:space="preserve">influyeron en el </w:t>
      </w:r>
      <w:r>
        <w:rPr>
          <w:b/>
          <w:snapToGrid w:val="0"/>
        </w:rPr>
        <w:t xml:space="preserve">resultado del </w:t>
      </w:r>
      <w:r w:rsidRPr="00362589">
        <w:rPr>
          <w:b/>
          <w:snapToGrid w:val="0"/>
        </w:rPr>
        <w:t xml:space="preserve">INPP </w:t>
      </w:r>
      <w:r>
        <w:rPr>
          <w:b/>
          <w:snapToGrid w:val="0"/>
        </w:rPr>
        <w:t xml:space="preserve">Total, excluyendo petróleo </w:t>
      </w:r>
    </w:p>
    <w:p w:rsidR="002D3D3F" w:rsidRPr="00875DDC" w:rsidRDefault="000F08E7" w:rsidP="002D3D3F">
      <w:pPr>
        <w:widowControl w:val="0"/>
        <w:autoSpaceDE w:val="0"/>
        <w:autoSpaceDN w:val="0"/>
        <w:adjustRightInd w:val="0"/>
        <w:spacing w:before="120"/>
        <w:rPr>
          <w:snapToGrid w:val="0"/>
        </w:rPr>
      </w:pPr>
      <w:r w:rsidRPr="00970E13">
        <w:rPr>
          <w:snapToGrid w:val="0"/>
        </w:rPr>
        <w:t xml:space="preserve">Las variaciones de precios de los productos genéricos que destacaron por su contribución al comportamiento mensual del INPP Total, excluyendo petróleo, </w:t>
      </w:r>
      <w:r>
        <w:rPr>
          <w:snapToGrid w:val="0"/>
        </w:rPr>
        <w:t>durante</w:t>
      </w:r>
      <w:r w:rsidRPr="00970E13">
        <w:rPr>
          <w:snapToGrid w:val="0"/>
        </w:rPr>
        <w:t xml:space="preserve"> </w:t>
      </w:r>
      <w:r w:rsidR="0010647A">
        <w:rPr>
          <w:snapToGrid w:val="0"/>
        </w:rPr>
        <w:t>ju</w:t>
      </w:r>
      <w:r w:rsidR="001E4D9A">
        <w:rPr>
          <w:snapToGrid w:val="0"/>
        </w:rPr>
        <w:t>l</w:t>
      </w:r>
      <w:r w:rsidR="0010647A">
        <w:rPr>
          <w:snapToGrid w:val="0"/>
        </w:rPr>
        <w:t>i</w:t>
      </w:r>
      <w:r>
        <w:rPr>
          <w:snapToGrid w:val="0"/>
        </w:rPr>
        <w:t>o</w:t>
      </w:r>
      <w:r w:rsidRPr="00970E13">
        <w:rPr>
          <w:snapToGrid w:val="0"/>
        </w:rPr>
        <w:t xml:space="preserve"> de 2019, se muestran en el cuadro siguiente</w:t>
      </w:r>
      <w:r w:rsidR="002D3D3F">
        <w:rPr>
          <w:snapToGrid w:val="0"/>
        </w:rPr>
        <w:t>:</w:t>
      </w:r>
    </w:p>
    <w:p w:rsidR="002D3D3F" w:rsidRPr="00742534" w:rsidRDefault="002D3D3F" w:rsidP="002D3D3F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>
        <w:rPr>
          <w:snapToGrid w:val="0"/>
          <w:sz w:val="20"/>
          <w:szCs w:val="20"/>
        </w:rPr>
        <w:t>8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 xml:space="preserve">ÍNDICE NACIONAL DE PRECIOS PRODUCTOR </w:t>
      </w:r>
    </w:p>
    <w:p w:rsidR="002D3D3F" w:rsidRPr="00875DDC" w:rsidRDefault="002D3D3F" w:rsidP="002D3D3F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2"/>
          <w:szCs w:val="22"/>
        </w:rPr>
      </w:pPr>
      <w:r w:rsidRPr="00875DDC">
        <w:rPr>
          <w:b/>
          <w:snapToGrid w:val="0"/>
          <w:sz w:val="22"/>
          <w:szCs w:val="22"/>
        </w:rPr>
        <w:t>EXCLUYENDO PETRÓLEO, DURANTE</w:t>
      </w:r>
      <w:r w:rsidRPr="00875DDC">
        <w:rPr>
          <w:b/>
          <w:bCs/>
          <w:color w:val="000000"/>
          <w:spacing w:val="1"/>
          <w:sz w:val="22"/>
          <w:szCs w:val="22"/>
        </w:rPr>
        <w:t xml:space="preserve"> </w:t>
      </w:r>
      <w:r w:rsidR="0010647A">
        <w:rPr>
          <w:b/>
          <w:bCs/>
          <w:color w:val="000000"/>
          <w:spacing w:val="1"/>
          <w:sz w:val="22"/>
          <w:szCs w:val="22"/>
        </w:rPr>
        <w:t>JU</w:t>
      </w:r>
      <w:r w:rsidR="001E4D9A">
        <w:rPr>
          <w:b/>
          <w:bCs/>
          <w:color w:val="000000"/>
          <w:spacing w:val="1"/>
          <w:sz w:val="22"/>
          <w:szCs w:val="22"/>
        </w:rPr>
        <w:t>L</w:t>
      </w:r>
      <w:r w:rsidR="0010647A">
        <w:rPr>
          <w:b/>
          <w:bCs/>
          <w:color w:val="000000"/>
          <w:spacing w:val="1"/>
          <w:sz w:val="22"/>
          <w:szCs w:val="22"/>
        </w:rPr>
        <w:t>I</w:t>
      </w:r>
      <w:r w:rsidR="000F08E7">
        <w:rPr>
          <w:b/>
          <w:bCs/>
          <w:color w:val="000000"/>
          <w:spacing w:val="1"/>
          <w:sz w:val="22"/>
          <w:szCs w:val="22"/>
        </w:rPr>
        <w:t>O</w:t>
      </w:r>
      <w:r>
        <w:rPr>
          <w:b/>
          <w:bCs/>
          <w:color w:val="000000"/>
          <w:spacing w:val="1"/>
          <w:sz w:val="22"/>
          <w:szCs w:val="22"/>
        </w:rPr>
        <w:t xml:space="preserve"> DE 201</w:t>
      </w:r>
      <w:r w:rsidR="00D17997">
        <w:rPr>
          <w:b/>
          <w:bCs/>
          <w:color w:val="000000"/>
          <w:spacing w:val="1"/>
          <w:sz w:val="22"/>
          <w:szCs w:val="22"/>
        </w:rPr>
        <w:t>9</w:t>
      </w:r>
    </w:p>
    <w:p w:rsidR="002D3D3F" w:rsidRPr="003F5E65" w:rsidRDefault="002D3D3F" w:rsidP="002D3D3F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3F5E65">
        <w:rPr>
          <w:bCs/>
          <w:color w:val="000000"/>
          <w:sz w:val="22"/>
          <w:szCs w:val="22"/>
        </w:rPr>
        <w:t>Genéricos con mayor incidencia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6"/>
        <w:gridCol w:w="926"/>
        <w:gridCol w:w="925"/>
        <w:gridCol w:w="2825"/>
        <w:gridCol w:w="942"/>
        <w:gridCol w:w="942"/>
      </w:tblGrid>
      <w:tr w:rsidR="003D32E8" w:rsidRPr="00A9663B" w:rsidTr="001B08D5">
        <w:trPr>
          <w:trHeight w:val="454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</w:rPr>
            </w:pPr>
            <w:bookmarkStart w:id="7" w:name="_Hlk2757980"/>
            <w:r w:rsidRPr="00A9663B">
              <w:rPr>
                <w:bCs/>
                <w:color w:val="000000"/>
                <w:sz w:val="16"/>
                <w:szCs w:val="16"/>
              </w:rPr>
              <w:t>Productos con precios al alza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ind w:left="-88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ind w:left="-57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Productos con precios a la baja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vAlign w:val="center"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:rsidR="003D32E8" w:rsidRPr="00A9663B" w:rsidRDefault="003D32E8" w:rsidP="001B08D5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Carne de ave en canal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5.57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0.051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Aves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-5.25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-0.035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Combustóleo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5.37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0.035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Gas natural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-3.18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-0.019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Transporte aéreo de pasajeros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6.72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0.029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Otros petrolíferos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-3.09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-0.013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Diesel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1.93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Huevo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-6.73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-0.012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Aguacate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12.62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0.022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Otros servicios relacionados con la minería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-1.02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-0.010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Hoteles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1.53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Edificación residencial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-0.21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-0.009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Plata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3.48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Computadoras y accesorios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-0.84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-0.008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Transporte ferroviario de carga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2.78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Otras partes y refacciones automotrices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-0.82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-0.007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Renta de vivienda pagada o imputada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Autotransporte de carga general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-0.15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-0.007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Oro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3.24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Edificación no residencial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-0.25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-0.004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Autobús foráneo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Zinc afinado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-7.32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-0.004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Agencias aduanales y otros servicios de intermediación para transporte de carga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2.76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Harinas de trigo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-2.02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-0.004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Agencias de viajes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4.90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Cemento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-0.87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-0.004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Contadores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0.66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Zinc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-7.32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-0.004</w:t>
            </w:r>
          </w:p>
        </w:tc>
      </w:tr>
      <w:tr w:rsidR="003D32E8" w:rsidRPr="00841586" w:rsidTr="001B08D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Azúcar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2.82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3D32E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Asientos para vehículos automotrices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autoSpaceDE w:val="0"/>
              <w:autoSpaceDN w:val="0"/>
              <w:adjustRightInd w:val="0"/>
              <w:ind w:right="284"/>
              <w:jc w:val="right"/>
              <w:rPr>
                <w:bCs/>
                <w:color w:val="000000"/>
                <w:sz w:val="14"/>
                <w:szCs w:val="14"/>
              </w:rPr>
            </w:pPr>
            <w:r w:rsidRPr="00564166">
              <w:rPr>
                <w:bCs/>
                <w:color w:val="000000"/>
                <w:sz w:val="14"/>
                <w:szCs w:val="14"/>
              </w:rPr>
              <w:t>-0.89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:rsidR="003D32E8" w:rsidRPr="00564166" w:rsidRDefault="003D32E8" w:rsidP="001B08D5">
            <w:pPr>
              <w:ind w:left="57"/>
              <w:jc w:val="center"/>
              <w:rPr>
                <w:color w:val="000000"/>
                <w:sz w:val="14"/>
                <w:szCs w:val="14"/>
              </w:rPr>
            </w:pPr>
            <w:r w:rsidRPr="00564166">
              <w:rPr>
                <w:color w:val="000000"/>
                <w:sz w:val="14"/>
                <w:szCs w:val="14"/>
              </w:rPr>
              <w:t>-0.004</w:t>
            </w:r>
          </w:p>
        </w:tc>
      </w:tr>
    </w:tbl>
    <w:bookmarkEnd w:id="7"/>
    <w:p w:rsidR="002D3D3F" w:rsidRPr="003F5E65" w:rsidRDefault="002D3D3F" w:rsidP="002D3D3F">
      <w:pPr>
        <w:autoSpaceDE w:val="0"/>
        <w:autoSpaceDN w:val="0"/>
        <w:adjustRightInd w:val="0"/>
        <w:ind w:left="283" w:right="113" w:hanging="170"/>
        <w:rPr>
          <w:sz w:val="14"/>
          <w:szCs w:val="16"/>
        </w:rPr>
      </w:pPr>
      <w:r w:rsidRPr="003F5E65">
        <w:rPr>
          <w:sz w:val="16"/>
          <w:szCs w:val="18"/>
          <w:vertAlign w:val="superscript"/>
        </w:rPr>
        <w:t>1/</w:t>
      </w:r>
      <w:r w:rsidRPr="003F5E65">
        <w:rPr>
          <w:sz w:val="16"/>
          <w:szCs w:val="18"/>
          <w:vertAlign w:val="superscript"/>
        </w:rPr>
        <w:tab/>
      </w:r>
      <w:r w:rsidRPr="003F5E65">
        <w:rPr>
          <w:sz w:val="14"/>
          <w:szCs w:val="16"/>
        </w:rPr>
        <w:t>Contribución en puntos porcentuales a la variación del INPP Total.</w:t>
      </w:r>
    </w:p>
    <w:p w:rsidR="0010647A" w:rsidRDefault="0010647A" w:rsidP="0010647A">
      <w:pPr>
        <w:pStyle w:val="parr2"/>
        <w:keepNext/>
        <w:keepLines/>
        <w:spacing w:before="240"/>
        <w:ind w:left="0" w:right="584"/>
        <w:rPr>
          <w:b/>
          <w:i/>
        </w:rPr>
      </w:pPr>
      <w:r w:rsidRPr="00C43601">
        <w:rPr>
          <w:b/>
          <w:i/>
        </w:rPr>
        <w:lastRenderedPageBreak/>
        <w:t>Nota al usuario</w:t>
      </w:r>
    </w:p>
    <w:p w:rsidR="0010647A" w:rsidRPr="000A5B0D" w:rsidRDefault="00F10544" w:rsidP="00945488">
      <w:pPr>
        <w:autoSpaceDE w:val="0"/>
        <w:autoSpaceDN w:val="0"/>
        <w:adjustRightInd w:val="0"/>
        <w:spacing w:before="180"/>
        <w:rPr>
          <w:snapToGrid w:val="0"/>
        </w:rPr>
      </w:pPr>
      <w:r w:rsidRPr="00F10544">
        <w:rPr>
          <w:snapToGrid w:val="0"/>
        </w:rPr>
        <w:t>El INEGI con el propósito de mantener actualizada la metodología que permita reflejar la variación de los precios de una canasta fija de bienes y servicios representativa de la producción nacional, llevará a cabo un conjunto de actualizaciones para continuar reflejando la dinámica de la económica mexicana, así como de la participación de los distintos sectores de la producción</w:t>
      </w:r>
      <w:r w:rsidR="0010647A" w:rsidRPr="000A5B0D">
        <w:rPr>
          <w:snapToGrid w:val="0"/>
        </w:rPr>
        <w:t xml:space="preserve">. </w:t>
      </w:r>
    </w:p>
    <w:p w:rsidR="0010647A" w:rsidRPr="000A5B0D" w:rsidRDefault="00F10544" w:rsidP="00945488">
      <w:pPr>
        <w:autoSpaceDE w:val="0"/>
        <w:autoSpaceDN w:val="0"/>
        <w:adjustRightInd w:val="0"/>
        <w:spacing w:before="180"/>
        <w:rPr>
          <w:snapToGrid w:val="0"/>
        </w:rPr>
      </w:pPr>
      <w:r w:rsidRPr="000A5B0D">
        <w:rPr>
          <w:snapToGrid w:val="0"/>
        </w:rPr>
        <w:t>Por lo anterior</w:t>
      </w:r>
      <w:r>
        <w:rPr>
          <w:snapToGrid w:val="0"/>
        </w:rPr>
        <w:t>,</w:t>
      </w:r>
      <w:r w:rsidRPr="000A5B0D">
        <w:rPr>
          <w:snapToGrid w:val="0"/>
        </w:rPr>
        <w:t xml:space="preserve"> se informa que cambiará la base del </w:t>
      </w:r>
      <w:r w:rsidR="006F020B">
        <w:rPr>
          <w:snapToGrid w:val="0"/>
        </w:rPr>
        <w:t>Índice Nacional de Precios Productor (</w:t>
      </w:r>
      <w:r w:rsidRPr="000A5B0D">
        <w:rPr>
          <w:snapToGrid w:val="0"/>
        </w:rPr>
        <w:t>INPP</w:t>
      </w:r>
      <w:r w:rsidR="006F020B">
        <w:rPr>
          <w:snapToGrid w:val="0"/>
        </w:rPr>
        <w:t>)</w:t>
      </w:r>
      <w:r w:rsidRPr="000A5B0D">
        <w:rPr>
          <w:snapToGrid w:val="0"/>
        </w:rPr>
        <w:t xml:space="preserve"> de junio 2012=100, a julio 2019=100.  La nueva canasta pasa de 567 a 560 productos y servicios; la estructura de ponderaciones será publicada con la canasta; se actualiza la muestra de empresas y productos que se</w:t>
      </w:r>
      <w:r>
        <w:rPr>
          <w:snapToGrid w:val="0"/>
        </w:rPr>
        <w:t xml:space="preserve"> si</w:t>
      </w:r>
      <w:r w:rsidRPr="000A5B0D">
        <w:rPr>
          <w:snapToGrid w:val="0"/>
        </w:rPr>
        <w:t>gu</w:t>
      </w:r>
      <w:r>
        <w:rPr>
          <w:snapToGrid w:val="0"/>
        </w:rPr>
        <w:t>en</w:t>
      </w:r>
      <w:r w:rsidRPr="000A5B0D">
        <w:rPr>
          <w:snapToGrid w:val="0"/>
        </w:rPr>
        <w:t xml:space="preserve"> para la elaboración del índice. El primer mes calculado con la nueva metodología será agosto</w:t>
      </w:r>
      <w:r>
        <w:rPr>
          <w:snapToGrid w:val="0"/>
        </w:rPr>
        <w:t xml:space="preserve"> de</w:t>
      </w:r>
      <w:r w:rsidRPr="000A5B0D">
        <w:rPr>
          <w:snapToGrid w:val="0"/>
        </w:rPr>
        <w:t xml:space="preserve"> 2019 y se publicará el 9 de septiembre</w:t>
      </w:r>
      <w:r>
        <w:rPr>
          <w:snapToGrid w:val="0"/>
        </w:rPr>
        <w:t xml:space="preserve"> de este año. L</w:t>
      </w:r>
      <w:r w:rsidRPr="000A5B0D">
        <w:rPr>
          <w:snapToGrid w:val="0"/>
        </w:rPr>
        <w:t>o anterior sigue las mejores prácticas internacionales para la elaboración del INPP</w:t>
      </w:r>
      <w:r w:rsidR="0010647A" w:rsidRPr="000A5B0D">
        <w:rPr>
          <w:snapToGrid w:val="0"/>
        </w:rPr>
        <w:t xml:space="preserve">. </w:t>
      </w:r>
    </w:p>
    <w:p w:rsidR="0010647A" w:rsidRDefault="00F10544" w:rsidP="00945488">
      <w:pPr>
        <w:autoSpaceDE w:val="0"/>
        <w:autoSpaceDN w:val="0"/>
        <w:adjustRightInd w:val="0"/>
        <w:spacing w:before="180"/>
        <w:rPr>
          <w:b/>
          <w:i/>
        </w:rPr>
      </w:pPr>
      <w:r w:rsidRPr="000A5B0D">
        <w:rPr>
          <w:snapToGrid w:val="0"/>
        </w:rPr>
        <w:t>Las consideraciones metodológicas de dicha actualización podrán ser consultadas en el ‘Documento metodológico del INPP base julio 2019=100’, el cual se dará a conocer en la misma fecha de publicación</w:t>
      </w:r>
      <w:r w:rsidR="00412C31" w:rsidRPr="000A5B0D">
        <w:rPr>
          <w:snapToGrid w:val="0"/>
        </w:rPr>
        <w:t>.</w:t>
      </w:r>
    </w:p>
    <w:p w:rsidR="00C6515A" w:rsidRPr="00875DDC" w:rsidRDefault="00C6515A" w:rsidP="00412C31">
      <w:pPr>
        <w:keepNext/>
        <w:keepLines/>
        <w:spacing w:before="240" w:after="240"/>
        <w:jc w:val="left"/>
        <w:rPr>
          <w:b/>
          <w:i/>
        </w:rPr>
      </w:pPr>
      <w:r w:rsidRPr="00875DDC">
        <w:rPr>
          <w:b/>
          <w:i/>
        </w:rPr>
        <w:t>Nota metodológica y fuentes de información</w:t>
      </w:r>
    </w:p>
    <w:p w:rsidR="00F10544" w:rsidRPr="007F0AE0" w:rsidRDefault="00F10544" w:rsidP="00F10544">
      <w:pPr>
        <w:autoSpaceDE w:val="0"/>
        <w:autoSpaceDN w:val="0"/>
        <w:adjustRightInd w:val="0"/>
        <w:spacing w:before="180"/>
        <w:rPr>
          <w:snapToGrid w:val="0"/>
        </w:rPr>
      </w:pPr>
      <w:r w:rsidRPr="007F0AE0">
        <w:rPr>
          <w:snapToGrid w:val="0"/>
        </w:rPr>
        <w:t>Para la elaboración de los cálculos del INPP se recopilan de manera periódica y directa, los precios de los productos específicos más representativos en 46 ciudades y áreas metropolitanas.</w:t>
      </w:r>
    </w:p>
    <w:p w:rsidR="00F10544" w:rsidRPr="007F0AE0" w:rsidRDefault="00F10544" w:rsidP="00F10544">
      <w:pPr>
        <w:autoSpaceDE w:val="0"/>
        <w:autoSpaceDN w:val="0"/>
        <w:adjustRightInd w:val="0"/>
        <w:spacing w:before="180"/>
        <w:rPr>
          <w:snapToGrid w:val="0"/>
        </w:rPr>
      </w:pPr>
      <w:r w:rsidRPr="007F0AE0">
        <w:rPr>
          <w:snapToGrid w:val="0"/>
        </w:rPr>
        <w:t>Para mejorar la cobertura y representatividad del INPP, se conformó el diseño estadístico que incluye la determinación de un marco de muestreo, del cual se han seleccionado a las unidades económicas que se consideran como fuentes de información para realizar las cotizaciones correspondientes, todo esto mediante la utilización de técnicas estadísticas comúnmente aceptadas.</w:t>
      </w:r>
    </w:p>
    <w:p w:rsidR="00F10544" w:rsidRPr="007F0AE0" w:rsidRDefault="00F10544" w:rsidP="00F10544">
      <w:pPr>
        <w:autoSpaceDE w:val="0"/>
        <w:autoSpaceDN w:val="0"/>
        <w:adjustRightInd w:val="0"/>
        <w:spacing w:before="180"/>
        <w:rPr>
          <w:snapToGrid w:val="0"/>
        </w:rPr>
      </w:pPr>
      <w:r w:rsidRPr="007F0AE0">
        <w:rPr>
          <w:snapToGrid w:val="0"/>
        </w:rPr>
        <w:t>A fin de contar con un indicador que sea representativo, se han tomado las siguientes medidas: a) se ha seleccionado una canasta de bienes y servicios integrada por 567 conceptos, de los cuales 69 corresponden al sector primario, 387 al industrial y 111 al de los servicios; b) se ha implementado la utilización del Sistema de Clasificación Industrial de América del Norte 2007 (SCIAN 2007) para la codificación y agrupación de los productos y servicios genéricos que componen la canasta; y, c) se incluyen las mejoras metodológicas del Sistema de Cuentas Nacionales de México (SCNM) introducidas con su base 2003 y una actualización 2010 de la Matriz de Insumo-Producto (MIP) calculada ex profeso para su utilización en la construcción de la estructura de ponderaciones.</w:t>
      </w:r>
    </w:p>
    <w:p w:rsidR="00F10544" w:rsidRPr="007F0AE0" w:rsidRDefault="00F10544" w:rsidP="00F10544">
      <w:pPr>
        <w:autoSpaceDE w:val="0"/>
        <w:autoSpaceDN w:val="0"/>
        <w:adjustRightInd w:val="0"/>
        <w:spacing w:before="180"/>
        <w:rPr>
          <w:snapToGrid w:val="0"/>
        </w:rPr>
      </w:pPr>
      <w:r w:rsidRPr="007F0AE0">
        <w:rPr>
          <w:snapToGrid w:val="0"/>
        </w:rPr>
        <w:t xml:space="preserve">La fórmula del cálculo del INPP es la de ponderaciones fijas de Laspeyres. Con esta fórmula se utiliza una canasta de artículos y una estructura de ponderaciones fijas, que representan los bienes y servicios producidos en el país en el periodo base. </w:t>
      </w:r>
    </w:p>
    <w:p w:rsidR="00F10544" w:rsidRPr="007F0AE0" w:rsidRDefault="00F10544" w:rsidP="00F10544">
      <w:pPr>
        <w:autoSpaceDE w:val="0"/>
        <w:autoSpaceDN w:val="0"/>
        <w:adjustRightInd w:val="0"/>
        <w:spacing w:before="180"/>
        <w:rPr>
          <w:snapToGrid w:val="0"/>
        </w:rPr>
      </w:pPr>
      <w:r w:rsidRPr="007F0AE0">
        <w:rPr>
          <w:snapToGrid w:val="0"/>
        </w:rPr>
        <w:lastRenderedPageBreak/>
        <w:t>El periodo de referencia del INPP corresponde a junio de 2012. El sistema de ponderaciones representa mejor las condiciones económicas de los últimos años, mediante la actualización de la estructura de ponderaciones que refleja la producción y los ingresos de 2010, actualizados vía precios relativos al periodo de referencia del Índice.</w:t>
      </w:r>
    </w:p>
    <w:p w:rsidR="00F10544" w:rsidRPr="007F0AE0" w:rsidRDefault="00F10544" w:rsidP="00F10544">
      <w:pPr>
        <w:autoSpaceDE w:val="0"/>
        <w:autoSpaceDN w:val="0"/>
        <w:adjustRightInd w:val="0"/>
        <w:spacing w:before="180"/>
        <w:rPr>
          <w:snapToGrid w:val="0"/>
        </w:rPr>
      </w:pPr>
      <w:r w:rsidRPr="007F0AE0">
        <w:rPr>
          <w:snapToGrid w:val="0"/>
        </w:rPr>
        <w:t xml:space="preserve">La producción característica de cada actividad para el cálculo del sistema de ponderaciones está valorada a precios básicos y sin considerar la producción para autoconsumo, de tal forma que el valor de la producción en la que se asocia a cada bien o servicio, con el objeto de obtener la estructura de ponderadores de la producción neta. Con esto se evita un “doble-conteo” en la formación de los precios de cada actividad, al no considerar los productos que se generan para usarlos como insumo en la misma actividad. </w:t>
      </w:r>
    </w:p>
    <w:p w:rsidR="00F10544" w:rsidRPr="007F0AE0" w:rsidRDefault="00F10544" w:rsidP="00F10544">
      <w:pPr>
        <w:autoSpaceDE w:val="0"/>
        <w:autoSpaceDN w:val="0"/>
        <w:adjustRightInd w:val="0"/>
        <w:spacing w:before="180"/>
        <w:rPr>
          <w:snapToGrid w:val="0"/>
        </w:rPr>
      </w:pPr>
      <w:r w:rsidRPr="007F0AE0">
        <w:rPr>
          <w:snapToGrid w:val="0"/>
        </w:rPr>
        <w:t>Las recomendaciones internacionales establecen que con la finalidad de apoyar o facilitar el análisis e interpretación de los resultados, el INPP se puede calcular por fase del ciclo de producción; es decir, considerando por separado los productos intermedios y los productos para la demanda final. Lo que permite identificar si las variaciones de los precios se deben a cambios en los costos de los bienes de demanda intermedia o en el valor de los productos finales, además del impacto que cualquiera de ellos puede causar en la producción total.</w:t>
      </w:r>
    </w:p>
    <w:p w:rsidR="00F10544" w:rsidRPr="007F0AE0" w:rsidRDefault="00F10544" w:rsidP="00F10544">
      <w:pPr>
        <w:autoSpaceDE w:val="0"/>
        <w:autoSpaceDN w:val="0"/>
        <w:adjustRightInd w:val="0"/>
        <w:spacing w:before="180"/>
        <w:rPr>
          <w:snapToGrid w:val="0"/>
        </w:rPr>
      </w:pPr>
      <w:r w:rsidRPr="007F0AE0">
        <w:rPr>
          <w:snapToGrid w:val="0"/>
        </w:rPr>
        <w:t>El INPP se presenta con la exclusión del petróleo debido a la volatilidad que implica su incorporación en el cálculo, ya que la determinación del precio se debe más a causas del mercado internacional de los hidrocarburos, que a razones propias del mercado interno. Por lo que distinguir el cálculo sin este componente permite mostrar el impacto del cambio de precios del resto de los bienes y servicios que se determinan en el mercado interno.</w:t>
      </w:r>
    </w:p>
    <w:p w:rsidR="00F10544" w:rsidRPr="007F0AE0" w:rsidRDefault="00F10544" w:rsidP="00F10544">
      <w:pPr>
        <w:autoSpaceDE w:val="0"/>
        <w:autoSpaceDN w:val="0"/>
        <w:adjustRightInd w:val="0"/>
        <w:spacing w:before="180"/>
        <w:rPr>
          <w:snapToGrid w:val="0"/>
        </w:rPr>
      </w:pPr>
      <w:r w:rsidRPr="007F0AE0">
        <w:rPr>
          <w:snapToGrid w:val="0"/>
        </w:rPr>
        <w:t>Cabe señalar, que debido a la naturaleza de los precios utilizados en la elaboración del INPP los resultados del índice son preliminares, en tanto que las fuentes de información consolidan las cifras definitivas.</w:t>
      </w:r>
    </w:p>
    <w:p w:rsidR="00F875DA" w:rsidRPr="007F0AE0" w:rsidRDefault="00F10544" w:rsidP="00F10544">
      <w:pPr>
        <w:autoSpaceDE w:val="0"/>
        <w:autoSpaceDN w:val="0"/>
        <w:adjustRightInd w:val="0"/>
        <w:spacing w:before="180"/>
        <w:rPr>
          <w:snapToGrid w:val="0"/>
        </w:rPr>
      </w:pPr>
      <w:r w:rsidRPr="007F0AE0">
        <w:rPr>
          <w:snapToGrid w:val="0"/>
        </w:rPr>
        <w:t>La información contenida en este documento es generada por el INEGI y se da a conocer en la fecha establecida en el Calendario de difusión de información estadística y geográfica y de Interés Nacional</w:t>
      </w:r>
      <w:r w:rsidR="00F875DA" w:rsidRPr="007F0AE0">
        <w:rPr>
          <w:snapToGrid w:val="0"/>
        </w:rPr>
        <w:t>.</w:t>
      </w:r>
    </w:p>
    <w:p w:rsidR="00412C31" w:rsidRDefault="00F875DA" w:rsidP="00945488">
      <w:pPr>
        <w:autoSpaceDE w:val="0"/>
        <w:autoSpaceDN w:val="0"/>
        <w:adjustRightInd w:val="0"/>
        <w:spacing w:before="180"/>
        <w:rPr>
          <w:rStyle w:val="Hipervnculo"/>
          <w:snapToGrid w:val="0"/>
        </w:rPr>
      </w:pPr>
      <w:r w:rsidRPr="007F0AE0">
        <w:rPr>
          <w:snapToGrid w:val="0"/>
        </w:rPr>
        <w:t>Las cifras aquí mencionadas, podrán ser consultadas en la página del INEGI en Internet</w:t>
      </w:r>
      <w:r w:rsidR="00970E13" w:rsidRPr="00453648">
        <w:rPr>
          <w:snapToGrid w:val="0"/>
        </w:rPr>
        <w:t xml:space="preserve">: </w:t>
      </w:r>
      <w:hyperlink r:id="rId28" w:history="1">
        <w:r w:rsidR="00453648" w:rsidRPr="00453648">
          <w:rPr>
            <w:rStyle w:val="Hipervnculo"/>
            <w:snapToGrid w:val="0"/>
          </w:rPr>
          <w:t>https://www.inegi.org.mx/temas/inpp/</w:t>
        </w:r>
      </w:hyperlink>
    </w:p>
    <w:p w:rsidR="00945488" w:rsidRPr="00412C31" w:rsidRDefault="00945488" w:rsidP="00945488">
      <w:pPr>
        <w:autoSpaceDE w:val="0"/>
        <w:autoSpaceDN w:val="0"/>
        <w:adjustRightInd w:val="0"/>
        <w:spacing w:before="120"/>
        <w:rPr>
          <w:rStyle w:val="Hipervnculo"/>
          <w:snapToGrid w:val="0"/>
        </w:rPr>
      </w:pPr>
      <w:r w:rsidRPr="00C50863"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1D35B501">
            <wp:simplePos x="0" y="0"/>
            <wp:positionH relativeFrom="column">
              <wp:posOffset>1094740</wp:posOffset>
            </wp:positionH>
            <wp:positionV relativeFrom="paragraph">
              <wp:posOffset>73660</wp:posOffset>
            </wp:positionV>
            <wp:extent cx="4695825" cy="1695450"/>
            <wp:effectExtent l="0" t="0" r="9525" b="0"/>
            <wp:wrapNone/>
            <wp:docPr id="2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45488" w:rsidRPr="00412C31" w:rsidSect="008A3BD4">
      <w:headerReference w:type="default" r:id="rId30"/>
      <w:footerReference w:type="default" r:id="rId31"/>
      <w:pgSz w:w="12242" w:h="15842" w:code="1"/>
      <w:pgMar w:top="2552" w:right="1418" w:bottom="1134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664" w:rsidRDefault="003D5664">
      <w:r>
        <w:separator/>
      </w:r>
    </w:p>
  </w:endnote>
  <w:endnote w:type="continuationSeparator" w:id="0">
    <w:p w:rsidR="003D5664" w:rsidRDefault="003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A3" w:rsidRDefault="00DB51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0F8" w:rsidRPr="002C0DF9" w:rsidRDefault="002F50F8" w:rsidP="001B08D5">
    <w:pPr>
      <w:pStyle w:val="Piedepgina"/>
      <w:contextualSpacing/>
      <w:jc w:val="center"/>
      <w:rPr>
        <w:color w:val="002060"/>
        <w:sz w:val="18"/>
        <w:szCs w:val="18"/>
      </w:rPr>
    </w:pPr>
    <w:r w:rsidRPr="002C0DF9">
      <w:rPr>
        <w:b/>
        <w:color w:val="002060"/>
        <w:sz w:val="18"/>
        <w:szCs w:val="18"/>
      </w:rPr>
      <w:t>COMUNICACIÓN SOCIAL</w:t>
    </w:r>
  </w:p>
  <w:p w:rsidR="002F50F8" w:rsidRPr="00BA5C45" w:rsidRDefault="002F50F8" w:rsidP="001B08D5">
    <w:pPr>
      <w:pStyle w:val="Piedepgina"/>
      <w:spacing w:before="60"/>
      <w:contextualSpacing/>
      <w:jc w:val="center"/>
      <w:rPr>
        <w:color w:val="002060"/>
        <w:sz w:val="18"/>
        <w:szCs w:val="18"/>
      </w:rPr>
    </w:pPr>
  </w:p>
  <w:p w:rsidR="002F50F8" w:rsidRPr="00265B8C" w:rsidRDefault="002F50F8" w:rsidP="001B08D5">
    <w:pPr>
      <w:pStyle w:val="Piedepgina"/>
      <w:contextualSpacing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A3" w:rsidRDefault="00DB51A3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0F8" w:rsidRDefault="002F50F8" w:rsidP="003076C4">
    <w:pPr>
      <w:pStyle w:val="Piedepgina"/>
      <w:jc w:val="center"/>
      <w:rPr>
        <w:b/>
        <w:lang w:val="es-MX"/>
      </w:rPr>
    </w:pPr>
    <w:r>
      <w:rPr>
        <w:b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664" w:rsidRDefault="003D5664">
      <w:r>
        <w:separator/>
      </w:r>
    </w:p>
  </w:footnote>
  <w:footnote w:type="continuationSeparator" w:id="0">
    <w:p w:rsidR="003D5664" w:rsidRDefault="003D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A3" w:rsidRDefault="00DB51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0F8" w:rsidRPr="00265B8C" w:rsidRDefault="002F50F8" w:rsidP="00DB51A3">
    <w:pPr>
      <w:pStyle w:val="Encabezado"/>
      <w:framePr w:w="5432" w:hSpace="141" w:wrap="auto" w:vAnchor="text" w:hAnchor="page" w:x="5674" w:y="34"/>
      <w:ind w:left="567" w:hanging="11"/>
      <w:jc w:val="right"/>
      <w:rPr>
        <w:b/>
        <w:color w:val="002060"/>
      </w:rPr>
    </w:pPr>
    <w:bookmarkStart w:id="0" w:name="_GoBack"/>
    <w:r w:rsidRPr="00265B8C">
      <w:rPr>
        <w:b/>
        <w:color w:val="002060"/>
      </w:rPr>
      <w:t xml:space="preserve">COMUNICADO DE PRENSA NÚM. </w:t>
    </w:r>
    <w:r w:rsidR="00DB51A3">
      <w:rPr>
        <w:b/>
        <w:color w:val="002060"/>
      </w:rPr>
      <w:t>395</w:t>
    </w:r>
    <w:r w:rsidRPr="00265B8C">
      <w:rPr>
        <w:b/>
        <w:color w:val="002060"/>
      </w:rPr>
      <w:t>/1</w:t>
    </w:r>
    <w:r>
      <w:rPr>
        <w:b/>
        <w:color w:val="002060"/>
      </w:rPr>
      <w:t>9</w:t>
    </w:r>
  </w:p>
  <w:p w:rsidR="002F50F8" w:rsidRPr="00265B8C" w:rsidRDefault="002F50F8" w:rsidP="00DB51A3">
    <w:pPr>
      <w:pStyle w:val="Encabezado"/>
      <w:framePr w:w="5432" w:hSpace="141" w:wrap="auto" w:vAnchor="text" w:hAnchor="page" w:x="5674" w:y="34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8</w:t>
    </w:r>
    <w:r w:rsidRPr="00265B8C">
      <w:rPr>
        <w:b/>
        <w:color w:val="002060"/>
        <w:lang w:val="pt-BR"/>
      </w:rPr>
      <w:t xml:space="preserve"> DE</w:t>
    </w:r>
    <w:r>
      <w:rPr>
        <w:b/>
        <w:color w:val="002060"/>
        <w:lang w:val="pt-BR"/>
      </w:rPr>
      <w:t xml:space="preserve"> AGOSTO DE 2019</w:t>
    </w:r>
  </w:p>
  <w:p w:rsidR="002F50F8" w:rsidRPr="00265B8C" w:rsidRDefault="002F50F8" w:rsidP="00DB51A3">
    <w:pPr>
      <w:pStyle w:val="Encabezado"/>
      <w:framePr w:w="5432" w:hSpace="141" w:wrap="auto" w:vAnchor="text" w:hAnchor="page" w:x="5674" w:y="34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 w:rsidR="00DB51A3">
      <w:rPr>
        <w:b/>
        <w:noProof/>
        <w:color w:val="002060"/>
        <w:lang w:val="pt-BR"/>
      </w:rPr>
      <w:t>1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/2</w:t>
    </w:r>
  </w:p>
  <w:bookmarkEnd w:id="0"/>
  <w:p w:rsidR="002F50F8" w:rsidRDefault="002F50F8" w:rsidP="001B08D5">
    <w:pPr>
      <w:pStyle w:val="Encabezado"/>
      <w:ind w:left="-993"/>
    </w:pPr>
    <w:r>
      <w:rPr>
        <w:noProof/>
        <w:lang w:val="es-MX" w:eastAsia="es-MX"/>
      </w:rPr>
      <w:drawing>
        <wp:inline distT="0" distB="0" distL="0" distR="0" wp14:anchorId="34775192" wp14:editId="6081252E">
          <wp:extent cx="927615" cy="963545"/>
          <wp:effectExtent l="0" t="0" r="6350" b="825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847" cy="99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A3" w:rsidRDefault="00DB51A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0F8" w:rsidRDefault="002F50F8" w:rsidP="001B08D5">
    <w:pPr>
      <w:pStyle w:val="Encabezado"/>
      <w:tabs>
        <w:tab w:val="clear" w:pos="4320"/>
        <w:tab w:val="clear" w:pos="8640"/>
        <w:tab w:val="center" w:pos="2892"/>
      </w:tabs>
      <w:spacing w:after="240"/>
      <w:jc w:val="center"/>
    </w:pPr>
    <w:r>
      <w:ptab w:relativeTo="margin" w:alignment="left" w:leader="none"/>
    </w:r>
    <w:r>
      <w:rPr>
        <w:noProof/>
        <w:lang w:val="es-MX" w:eastAsia="es-MX"/>
      </w:rPr>
      <w:drawing>
        <wp:inline distT="0" distB="0" distL="0" distR="0">
          <wp:extent cx="928800" cy="964800"/>
          <wp:effectExtent l="0" t="0" r="5080" b="6985"/>
          <wp:docPr id="2" name="Imagen 2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2A79"/>
    <w:multiLevelType w:val="hybridMultilevel"/>
    <w:tmpl w:val="DC36898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73FB1"/>
    <w:multiLevelType w:val="hybridMultilevel"/>
    <w:tmpl w:val="4F9A5D6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15"/>
  </w:num>
  <w:num w:numId="13">
    <w:abstractNumId w:val="16"/>
  </w:num>
  <w:num w:numId="14">
    <w:abstractNumId w:val="11"/>
  </w:num>
  <w:num w:numId="15">
    <w:abstractNumId w:val="8"/>
  </w:num>
  <w:num w:numId="16">
    <w:abstractNumId w:val="13"/>
  </w:num>
  <w:num w:numId="17">
    <w:abstractNumId w:val="10"/>
  </w:num>
  <w:num w:numId="18">
    <w:abstractNumId w:val="12"/>
  </w:num>
  <w:num w:numId="19">
    <w:abstractNumId w:val="5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7E"/>
    <w:rsid w:val="0000043F"/>
    <w:rsid w:val="00000BEA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9E8"/>
    <w:rsid w:val="00006B5A"/>
    <w:rsid w:val="00006DFC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2CF"/>
    <w:rsid w:val="00012A27"/>
    <w:rsid w:val="00012E16"/>
    <w:rsid w:val="0001302A"/>
    <w:rsid w:val="000132A4"/>
    <w:rsid w:val="00013319"/>
    <w:rsid w:val="00013B98"/>
    <w:rsid w:val="00013E55"/>
    <w:rsid w:val="0001447E"/>
    <w:rsid w:val="000144ED"/>
    <w:rsid w:val="00014FBD"/>
    <w:rsid w:val="00015302"/>
    <w:rsid w:val="00015BCE"/>
    <w:rsid w:val="00016590"/>
    <w:rsid w:val="00016B4E"/>
    <w:rsid w:val="00016B7D"/>
    <w:rsid w:val="00016D3A"/>
    <w:rsid w:val="0001718D"/>
    <w:rsid w:val="000176AC"/>
    <w:rsid w:val="00021432"/>
    <w:rsid w:val="00021492"/>
    <w:rsid w:val="000216A3"/>
    <w:rsid w:val="00022562"/>
    <w:rsid w:val="000228C4"/>
    <w:rsid w:val="00022CA3"/>
    <w:rsid w:val="000260EE"/>
    <w:rsid w:val="00026B3C"/>
    <w:rsid w:val="00026B52"/>
    <w:rsid w:val="00026C14"/>
    <w:rsid w:val="00030480"/>
    <w:rsid w:val="0003065F"/>
    <w:rsid w:val="00030D10"/>
    <w:rsid w:val="00031231"/>
    <w:rsid w:val="000314D3"/>
    <w:rsid w:val="00031BCF"/>
    <w:rsid w:val="00031CA9"/>
    <w:rsid w:val="000328B5"/>
    <w:rsid w:val="000328D5"/>
    <w:rsid w:val="00032B16"/>
    <w:rsid w:val="00033603"/>
    <w:rsid w:val="00033A14"/>
    <w:rsid w:val="0003447A"/>
    <w:rsid w:val="00034BC3"/>
    <w:rsid w:val="00034C7A"/>
    <w:rsid w:val="00034FEC"/>
    <w:rsid w:val="000353F3"/>
    <w:rsid w:val="00035600"/>
    <w:rsid w:val="00035B2D"/>
    <w:rsid w:val="00035DA7"/>
    <w:rsid w:val="000362C3"/>
    <w:rsid w:val="00036D72"/>
    <w:rsid w:val="00037089"/>
    <w:rsid w:val="00037177"/>
    <w:rsid w:val="00037A1B"/>
    <w:rsid w:val="00037CC4"/>
    <w:rsid w:val="0004066E"/>
    <w:rsid w:val="00040F75"/>
    <w:rsid w:val="00041FF7"/>
    <w:rsid w:val="0004225C"/>
    <w:rsid w:val="00042F98"/>
    <w:rsid w:val="00043535"/>
    <w:rsid w:val="00043B32"/>
    <w:rsid w:val="00043E2B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47832"/>
    <w:rsid w:val="000501E0"/>
    <w:rsid w:val="00050934"/>
    <w:rsid w:val="00050FB5"/>
    <w:rsid w:val="00051511"/>
    <w:rsid w:val="0005167A"/>
    <w:rsid w:val="00051C72"/>
    <w:rsid w:val="00051D1C"/>
    <w:rsid w:val="00051D9E"/>
    <w:rsid w:val="00052705"/>
    <w:rsid w:val="00052F04"/>
    <w:rsid w:val="00052F1E"/>
    <w:rsid w:val="000536D2"/>
    <w:rsid w:val="00053B2C"/>
    <w:rsid w:val="00053BF4"/>
    <w:rsid w:val="00053EB7"/>
    <w:rsid w:val="00054A4F"/>
    <w:rsid w:val="00055047"/>
    <w:rsid w:val="0005587A"/>
    <w:rsid w:val="00055B54"/>
    <w:rsid w:val="00056F51"/>
    <w:rsid w:val="000573F5"/>
    <w:rsid w:val="00057F37"/>
    <w:rsid w:val="000602B0"/>
    <w:rsid w:val="000603F1"/>
    <w:rsid w:val="0006056C"/>
    <w:rsid w:val="0006211B"/>
    <w:rsid w:val="0006228A"/>
    <w:rsid w:val="00062696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7EA"/>
    <w:rsid w:val="00066EA7"/>
    <w:rsid w:val="00067BD8"/>
    <w:rsid w:val="0007012A"/>
    <w:rsid w:val="0007017F"/>
    <w:rsid w:val="00070431"/>
    <w:rsid w:val="000707FF"/>
    <w:rsid w:val="00070864"/>
    <w:rsid w:val="00070E78"/>
    <w:rsid w:val="000712EF"/>
    <w:rsid w:val="0007145A"/>
    <w:rsid w:val="00071F33"/>
    <w:rsid w:val="000725AC"/>
    <w:rsid w:val="00072B18"/>
    <w:rsid w:val="000730F3"/>
    <w:rsid w:val="00073491"/>
    <w:rsid w:val="000736DB"/>
    <w:rsid w:val="000739D2"/>
    <w:rsid w:val="00073EF4"/>
    <w:rsid w:val="000744A7"/>
    <w:rsid w:val="000753EC"/>
    <w:rsid w:val="0007567F"/>
    <w:rsid w:val="00075B3A"/>
    <w:rsid w:val="00075DEC"/>
    <w:rsid w:val="00076234"/>
    <w:rsid w:val="000767F7"/>
    <w:rsid w:val="00076EE9"/>
    <w:rsid w:val="00077C46"/>
    <w:rsid w:val="0008027F"/>
    <w:rsid w:val="0008084D"/>
    <w:rsid w:val="000814ED"/>
    <w:rsid w:val="0008175A"/>
    <w:rsid w:val="0008195B"/>
    <w:rsid w:val="000826F7"/>
    <w:rsid w:val="00082F11"/>
    <w:rsid w:val="0008325D"/>
    <w:rsid w:val="000834DD"/>
    <w:rsid w:val="00084687"/>
    <w:rsid w:val="000849B5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F4C"/>
    <w:rsid w:val="00094496"/>
    <w:rsid w:val="00094AE9"/>
    <w:rsid w:val="000950E7"/>
    <w:rsid w:val="00095360"/>
    <w:rsid w:val="000955AA"/>
    <w:rsid w:val="000957BC"/>
    <w:rsid w:val="00096737"/>
    <w:rsid w:val="00097C0A"/>
    <w:rsid w:val="000A0344"/>
    <w:rsid w:val="000A0823"/>
    <w:rsid w:val="000A21D6"/>
    <w:rsid w:val="000A2A93"/>
    <w:rsid w:val="000A2F4F"/>
    <w:rsid w:val="000A31EF"/>
    <w:rsid w:val="000A3354"/>
    <w:rsid w:val="000A3733"/>
    <w:rsid w:val="000A43B0"/>
    <w:rsid w:val="000A5092"/>
    <w:rsid w:val="000A53E6"/>
    <w:rsid w:val="000A574B"/>
    <w:rsid w:val="000A5B04"/>
    <w:rsid w:val="000A5B0D"/>
    <w:rsid w:val="000A5E2A"/>
    <w:rsid w:val="000A643B"/>
    <w:rsid w:val="000A6CE9"/>
    <w:rsid w:val="000A707A"/>
    <w:rsid w:val="000A7808"/>
    <w:rsid w:val="000A78BA"/>
    <w:rsid w:val="000B0710"/>
    <w:rsid w:val="000B0D5A"/>
    <w:rsid w:val="000B1C11"/>
    <w:rsid w:val="000B1D13"/>
    <w:rsid w:val="000B26AB"/>
    <w:rsid w:val="000B29B8"/>
    <w:rsid w:val="000B2A27"/>
    <w:rsid w:val="000B42D9"/>
    <w:rsid w:val="000B4A6A"/>
    <w:rsid w:val="000B50FB"/>
    <w:rsid w:val="000B515D"/>
    <w:rsid w:val="000B5A74"/>
    <w:rsid w:val="000B5FA3"/>
    <w:rsid w:val="000B6AF6"/>
    <w:rsid w:val="000B6C67"/>
    <w:rsid w:val="000B7827"/>
    <w:rsid w:val="000C044D"/>
    <w:rsid w:val="000C1051"/>
    <w:rsid w:val="000C1F04"/>
    <w:rsid w:val="000C2892"/>
    <w:rsid w:val="000C2B3C"/>
    <w:rsid w:val="000C30D7"/>
    <w:rsid w:val="000C3105"/>
    <w:rsid w:val="000C34DD"/>
    <w:rsid w:val="000C37BC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6FA"/>
    <w:rsid w:val="000D0826"/>
    <w:rsid w:val="000D0DDA"/>
    <w:rsid w:val="000D0ED5"/>
    <w:rsid w:val="000D113E"/>
    <w:rsid w:val="000D1169"/>
    <w:rsid w:val="000D15C5"/>
    <w:rsid w:val="000D25A3"/>
    <w:rsid w:val="000D28A5"/>
    <w:rsid w:val="000D31C1"/>
    <w:rsid w:val="000D36B2"/>
    <w:rsid w:val="000D39FD"/>
    <w:rsid w:val="000D451F"/>
    <w:rsid w:val="000D4833"/>
    <w:rsid w:val="000D49D2"/>
    <w:rsid w:val="000D4A88"/>
    <w:rsid w:val="000D4BBC"/>
    <w:rsid w:val="000D4D90"/>
    <w:rsid w:val="000D4E26"/>
    <w:rsid w:val="000D5176"/>
    <w:rsid w:val="000D5EDB"/>
    <w:rsid w:val="000D6C0F"/>
    <w:rsid w:val="000D6F1E"/>
    <w:rsid w:val="000D7A95"/>
    <w:rsid w:val="000D7BBD"/>
    <w:rsid w:val="000E03C0"/>
    <w:rsid w:val="000E0654"/>
    <w:rsid w:val="000E08DB"/>
    <w:rsid w:val="000E19B3"/>
    <w:rsid w:val="000E2970"/>
    <w:rsid w:val="000E3CC1"/>
    <w:rsid w:val="000E5331"/>
    <w:rsid w:val="000E5526"/>
    <w:rsid w:val="000E5D6B"/>
    <w:rsid w:val="000E5FE0"/>
    <w:rsid w:val="000E62E2"/>
    <w:rsid w:val="000E6D5D"/>
    <w:rsid w:val="000E75C3"/>
    <w:rsid w:val="000F05D5"/>
    <w:rsid w:val="000F08E7"/>
    <w:rsid w:val="000F17E0"/>
    <w:rsid w:val="000F1DEB"/>
    <w:rsid w:val="000F3491"/>
    <w:rsid w:val="000F3DE6"/>
    <w:rsid w:val="000F44E7"/>
    <w:rsid w:val="000F44F2"/>
    <w:rsid w:val="000F49F1"/>
    <w:rsid w:val="000F4C41"/>
    <w:rsid w:val="000F4FA7"/>
    <w:rsid w:val="000F536A"/>
    <w:rsid w:val="000F541D"/>
    <w:rsid w:val="000F5AD1"/>
    <w:rsid w:val="000F69FA"/>
    <w:rsid w:val="000F7577"/>
    <w:rsid w:val="000F7974"/>
    <w:rsid w:val="000F7ECD"/>
    <w:rsid w:val="000F7FB5"/>
    <w:rsid w:val="00100317"/>
    <w:rsid w:val="001011EC"/>
    <w:rsid w:val="001017C1"/>
    <w:rsid w:val="00101CC3"/>
    <w:rsid w:val="00101E92"/>
    <w:rsid w:val="00101F40"/>
    <w:rsid w:val="00103847"/>
    <w:rsid w:val="00103913"/>
    <w:rsid w:val="00103B21"/>
    <w:rsid w:val="00105234"/>
    <w:rsid w:val="00105E2B"/>
    <w:rsid w:val="0010619C"/>
    <w:rsid w:val="0010647A"/>
    <w:rsid w:val="0010664D"/>
    <w:rsid w:val="00107CAD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2CA"/>
    <w:rsid w:val="0011478A"/>
    <w:rsid w:val="00114B56"/>
    <w:rsid w:val="00114B96"/>
    <w:rsid w:val="00114E47"/>
    <w:rsid w:val="00115A20"/>
    <w:rsid w:val="00116647"/>
    <w:rsid w:val="00116F84"/>
    <w:rsid w:val="00117D7A"/>
    <w:rsid w:val="00120112"/>
    <w:rsid w:val="0012050B"/>
    <w:rsid w:val="00120EA1"/>
    <w:rsid w:val="0012181E"/>
    <w:rsid w:val="00122048"/>
    <w:rsid w:val="001228A0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222E"/>
    <w:rsid w:val="00132507"/>
    <w:rsid w:val="00132940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6CA0"/>
    <w:rsid w:val="00136F09"/>
    <w:rsid w:val="001372CA"/>
    <w:rsid w:val="00137AFD"/>
    <w:rsid w:val="0014012A"/>
    <w:rsid w:val="00140999"/>
    <w:rsid w:val="00140AD8"/>
    <w:rsid w:val="00140BE4"/>
    <w:rsid w:val="001411DE"/>
    <w:rsid w:val="00141399"/>
    <w:rsid w:val="00141A0B"/>
    <w:rsid w:val="00141AF4"/>
    <w:rsid w:val="00142E09"/>
    <w:rsid w:val="0014377B"/>
    <w:rsid w:val="00143D3A"/>
    <w:rsid w:val="00145F65"/>
    <w:rsid w:val="001460E0"/>
    <w:rsid w:val="00146902"/>
    <w:rsid w:val="00146DFA"/>
    <w:rsid w:val="0015018D"/>
    <w:rsid w:val="00150228"/>
    <w:rsid w:val="001502C3"/>
    <w:rsid w:val="001504E8"/>
    <w:rsid w:val="00150536"/>
    <w:rsid w:val="00150E52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9B4"/>
    <w:rsid w:val="00155A36"/>
    <w:rsid w:val="0015755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70C"/>
    <w:rsid w:val="00164CD1"/>
    <w:rsid w:val="001655BD"/>
    <w:rsid w:val="00165810"/>
    <w:rsid w:val="00165A07"/>
    <w:rsid w:val="00165E36"/>
    <w:rsid w:val="0016614B"/>
    <w:rsid w:val="001665FD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0C81"/>
    <w:rsid w:val="001813AB"/>
    <w:rsid w:val="001819C6"/>
    <w:rsid w:val="00181B78"/>
    <w:rsid w:val="0018211C"/>
    <w:rsid w:val="001821F8"/>
    <w:rsid w:val="00182CBE"/>
    <w:rsid w:val="001831B3"/>
    <w:rsid w:val="001845FA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6542"/>
    <w:rsid w:val="001A016C"/>
    <w:rsid w:val="001A0422"/>
    <w:rsid w:val="001A0556"/>
    <w:rsid w:val="001A101D"/>
    <w:rsid w:val="001A102F"/>
    <w:rsid w:val="001A1A27"/>
    <w:rsid w:val="001A1ED0"/>
    <w:rsid w:val="001A35A6"/>
    <w:rsid w:val="001A368A"/>
    <w:rsid w:val="001A3963"/>
    <w:rsid w:val="001A41DF"/>
    <w:rsid w:val="001A43F5"/>
    <w:rsid w:val="001A4E0E"/>
    <w:rsid w:val="001A4E79"/>
    <w:rsid w:val="001A4E8C"/>
    <w:rsid w:val="001A4EF7"/>
    <w:rsid w:val="001A4F6E"/>
    <w:rsid w:val="001A52DD"/>
    <w:rsid w:val="001A5ABD"/>
    <w:rsid w:val="001A5CE0"/>
    <w:rsid w:val="001A60E2"/>
    <w:rsid w:val="001A69F0"/>
    <w:rsid w:val="001A79AA"/>
    <w:rsid w:val="001A7F95"/>
    <w:rsid w:val="001B07B0"/>
    <w:rsid w:val="001B08D5"/>
    <w:rsid w:val="001B0992"/>
    <w:rsid w:val="001B0A70"/>
    <w:rsid w:val="001B0AC4"/>
    <w:rsid w:val="001B1120"/>
    <w:rsid w:val="001B15E2"/>
    <w:rsid w:val="001B163A"/>
    <w:rsid w:val="001B16FD"/>
    <w:rsid w:val="001B253D"/>
    <w:rsid w:val="001B277C"/>
    <w:rsid w:val="001B2C6A"/>
    <w:rsid w:val="001B2F19"/>
    <w:rsid w:val="001B35ED"/>
    <w:rsid w:val="001B369D"/>
    <w:rsid w:val="001B3952"/>
    <w:rsid w:val="001B450E"/>
    <w:rsid w:val="001B46DB"/>
    <w:rsid w:val="001B4F75"/>
    <w:rsid w:val="001B538F"/>
    <w:rsid w:val="001B5DDB"/>
    <w:rsid w:val="001B62D3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6E"/>
    <w:rsid w:val="001C29E7"/>
    <w:rsid w:val="001C32C6"/>
    <w:rsid w:val="001C3893"/>
    <w:rsid w:val="001C3E2D"/>
    <w:rsid w:val="001C48C7"/>
    <w:rsid w:val="001C4A9E"/>
    <w:rsid w:val="001C5256"/>
    <w:rsid w:val="001C6CAB"/>
    <w:rsid w:val="001C6CC1"/>
    <w:rsid w:val="001C7130"/>
    <w:rsid w:val="001C7E70"/>
    <w:rsid w:val="001D0068"/>
    <w:rsid w:val="001D01C6"/>
    <w:rsid w:val="001D0870"/>
    <w:rsid w:val="001D092F"/>
    <w:rsid w:val="001D1471"/>
    <w:rsid w:val="001D1AEF"/>
    <w:rsid w:val="001D244E"/>
    <w:rsid w:val="001D24F1"/>
    <w:rsid w:val="001D3AD1"/>
    <w:rsid w:val="001D478B"/>
    <w:rsid w:val="001D4970"/>
    <w:rsid w:val="001D4BF9"/>
    <w:rsid w:val="001D5F02"/>
    <w:rsid w:val="001D6186"/>
    <w:rsid w:val="001D62AF"/>
    <w:rsid w:val="001D637E"/>
    <w:rsid w:val="001D6652"/>
    <w:rsid w:val="001D69E5"/>
    <w:rsid w:val="001D6B3D"/>
    <w:rsid w:val="001D7104"/>
    <w:rsid w:val="001E0411"/>
    <w:rsid w:val="001E075F"/>
    <w:rsid w:val="001E0933"/>
    <w:rsid w:val="001E09AF"/>
    <w:rsid w:val="001E14E8"/>
    <w:rsid w:val="001E1627"/>
    <w:rsid w:val="001E18BD"/>
    <w:rsid w:val="001E1DBA"/>
    <w:rsid w:val="001E1EF2"/>
    <w:rsid w:val="001E28DE"/>
    <w:rsid w:val="001E290B"/>
    <w:rsid w:val="001E385F"/>
    <w:rsid w:val="001E39E4"/>
    <w:rsid w:val="001E490C"/>
    <w:rsid w:val="001E4C68"/>
    <w:rsid w:val="001E4D9A"/>
    <w:rsid w:val="001E50FD"/>
    <w:rsid w:val="001E5310"/>
    <w:rsid w:val="001E59DC"/>
    <w:rsid w:val="001E5DD7"/>
    <w:rsid w:val="001E5EEE"/>
    <w:rsid w:val="001E7358"/>
    <w:rsid w:val="001E7C72"/>
    <w:rsid w:val="001E7D14"/>
    <w:rsid w:val="001E7EDD"/>
    <w:rsid w:val="001E7F19"/>
    <w:rsid w:val="001F02CD"/>
    <w:rsid w:val="001F0B7F"/>
    <w:rsid w:val="001F0CD0"/>
    <w:rsid w:val="001F0F71"/>
    <w:rsid w:val="001F14ED"/>
    <w:rsid w:val="001F19D1"/>
    <w:rsid w:val="001F1B69"/>
    <w:rsid w:val="001F1D9A"/>
    <w:rsid w:val="001F2740"/>
    <w:rsid w:val="001F2C3A"/>
    <w:rsid w:val="001F3531"/>
    <w:rsid w:val="001F3696"/>
    <w:rsid w:val="001F42FF"/>
    <w:rsid w:val="001F445D"/>
    <w:rsid w:val="001F44B4"/>
    <w:rsid w:val="001F44D3"/>
    <w:rsid w:val="001F4510"/>
    <w:rsid w:val="001F58D3"/>
    <w:rsid w:val="001F65A4"/>
    <w:rsid w:val="001F65E0"/>
    <w:rsid w:val="001F6EE3"/>
    <w:rsid w:val="001F7362"/>
    <w:rsid w:val="001F7AE9"/>
    <w:rsid w:val="001F7CFD"/>
    <w:rsid w:val="001F7D5E"/>
    <w:rsid w:val="002011D5"/>
    <w:rsid w:val="00201203"/>
    <w:rsid w:val="00201C2D"/>
    <w:rsid w:val="00203367"/>
    <w:rsid w:val="00204438"/>
    <w:rsid w:val="00204A44"/>
    <w:rsid w:val="00204CD0"/>
    <w:rsid w:val="00206147"/>
    <w:rsid w:val="002064F3"/>
    <w:rsid w:val="002069A8"/>
    <w:rsid w:val="00206EE7"/>
    <w:rsid w:val="002070C0"/>
    <w:rsid w:val="0020789A"/>
    <w:rsid w:val="00207C83"/>
    <w:rsid w:val="00210869"/>
    <w:rsid w:val="002116AD"/>
    <w:rsid w:val="00211999"/>
    <w:rsid w:val="0021222E"/>
    <w:rsid w:val="002123A4"/>
    <w:rsid w:val="002126CD"/>
    <w:rsid w:val="00213773"/>
    <w:rsid w:val="00213B0E"/>
    <w:rsid w:val="00213CBC"/>
    <w:rsid w:val="002141FB"/>
    <w:rsid w:val="002146CA"/>
    <w:rsid w:val="002147D6"/>
    <w:rsid w:val="0021575B"/>
    <w:rsid w:val="00215783"/>
    <w:rsid w:val="0021669B"/>
    <w:rsid w:val="00216876"/>
    <w:rsid w:val="0022018A"/>
    <w:rsid w:val="00220ADA"/>
    <w:rsid w:val="00220B7B"/>
    <w:rsid w:val="0022180E"/>
    <w:rsid w:val="002220BA"/>
    <w:rsid w:val="002227B3"/>
    <w:rsid w:val="00222CE3"/>
    <w:rsid w:val="002235D7"/>
    <w:rsid w:val="002239C4"/>
    <w:rsid w:val="00223B0D"/>
    <w:rsid w:val="00224617"/>
    <w:rsid w:val="00224922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2AE1"/>
    <w:rsid w:val="00232FF2"/>
    <w:rsid w:val="00233A7D"/>
    <w:rsid w:val="00233BA3"/>
    <w:rsid w:val="0023482B"/>
    <w:rsid w:val="0023482C"/>
    <w:rsid w:val="00234AA4"/>
    <w:rsid w:val="00234C7F"/>
    <w:rsid w:val="00234E62"/>
    <w:rsid w:val="00234F8F"/>
    <w:rsid w:val="002364AC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DF5"/>
    <w:rsid w:val="00240ECB"/>
    <w:rsid w:val="002415DA"/>
    <w:rsid w:val="00241620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097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594"/>
    <w:rsid w:val="00252525"/>
    <w:rsid w:val="002526B9"/>
    <w:rsid w:val="00252DD3"/>
    <w:rsid w:val="00253371"/>
    <w:rsid w:val="0025394F"/>
    <w:rsid w:val="00253B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0CF8"/>
    <w:rsid w:val="002610D8"/>
    <w:rsid w:val="00261A6C"/>
    <w:rsid w:val="002629E2"/>
    <w:rsid w:val="00262BA8"/>
    <w:rsid w:val="00262BC8"/>
    <w:rsid w:val="00263324"/>
    <w:rsid w:val="002641D9"/>
    <w:rsid w:val="002643C5"/>
    <w:rsid w:val="00264917"/>
    <w:rsid w:val="002651EC"/>
    <w:rsid w:val="00265A8D"/>
    <w:rsid w:val="00265DC2"/>
    <w:rsid w:val="0026638C"/>
    <w:rsid w:val="00266F00"/>
    <w:rsid w:val="002670EF"/>
    <w:rsid w:val="002671A2"/>
    <w:rsid w:val="00267A38"/>
    <w:rsid w:val="00267F5F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21D"/>
    <w:rsid w:val="00275F56"/>
    <w:rsid w:val="002765B7"/>
    <w:rsid w:val="00276EAA"/>
    <w:rsid w:val="00277713"/>
    <w:rsid w:val="00277DBC"/>
    <w:rsid w:val="00277F64"/>
    <w:rsid w:val="00280550"/>
    <w:rsid w:val="00281063"/>
    <w:rsid w:val="00281605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0E8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C64"/>
    <w:rsid w:val="00293271"/>
    <w:rsid w:val="00293587"/>
    <w:rsid w:val="00293896"/>
    <w:rsid w:val="00293ED1"/>
    <w:rsid w:val="002940C5"/>
    <w:rsid w:val="0029454A"/>
    <w:rsid w:val="00294A06"/>
    <w:rsid w:val="00294FFB"/>
    <w:rsid w:val="002954FD"/>
    <w:rsid w:val="00295A96"/>
    <w:rsid w:val="00296242"/>
    <w:rsid w:val="0029686B"/>
    <w:rsid w:val="00296CE6"/>
    <w:rsid w:val="002973DF"/>
    <w:rsid w:val="00297D6A"/>
    <w:rsid w:val="00297DAE"/>
    <w:rsid w:val="002A0190"/>
    <w:rsid w:val="002A0983"/>
    <w:rsid w:val="002A0BF5"/>
    <w:rsid w:val="002A1128"/>
    <w:rsid w:val="002A158C"/>
    <w:rsid w:val="002A24EB"/>
    <w:rsid w:val="002A2A83"/>
    <w:rsid w:val="002A2C5E"/>
    <w:rsid w:val="002A2D66"/>
    <w:rsid w:val="002A428E"/>
    <w:rsid w:val="002A46FA"/>
    <w:rsid w:val="002A4920"/>
    <w:rsid w:val="002A5227"/>
    <w:rsid w:val="002A57BC"/>
    <w:rsid w:val="002A581C"/>
    <w:rsid w:val="002B00FE"/>
    <w:rsid w:val="002B0E27"/>
    <w:rsid w:val="002B10B6"/>
    <w:rsid w:val="002B10D3"/>
    <w:rsid w:val="002B1113"/>
    <w:rsid w:val="002B1867"/>
    <w:rsid w:val="002B1EA3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63D3"/>
    <w:rsid w:val="002B6815"/>
    <w:rsid w:val="002B6AB1"/>
    <w:rsid w:val="002B71D1"/>
    <w:rsid w:val="002B76CB"/>
    <w:rsid w:val="002C0144"/>
    <w:rsid w:val="002C0CAC"/>
    <w:rsid w:val="002C1F28"/>
    <w:rsid w:val="002C254B"/>
    <w:rsid w:val="002C25DE"/>
    <w:rsid w:val="002C27E8"/>
    <w:rsid w:val="002C2ACB"/>
    <w:rsid w:val="002C2F60"/>
    <w:rsid w:val="002C41CB"/>
    <w:rsid w:val="002C469D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476"/>
    <w:rsid w:val="002D3CFD"/>
    <w:rsid w:val="002D3D3F"/>
    <w:rsid w:val="002D40A5"/>
    <w:rsid w:val="002D48D7"/>
    <w:rsid w:val="002D48E1"/>
    <w:rsid w:val="002D61C8"/>
    <w:rsid w:val="002D629E"/>
    <w:rsid w:val="002D6E9A"/>
    <w:rsid w:val="002D726B"/>
    <w:rsid w:val="002D75DB"/>
    <w:rsid w:val="002D7D71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CA7"/>
    <w:rsid w:val="002E668B"/>
    <w:rsid w:val="002E6EA4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2133"/>
    <w:rsid w:val="002F3C64"/>
    <w:rsid w:val="002F3D31"/>
    <w:rsid w:val="002F4431"/>
    <w:rsid w:val="002F478D"/>
    <w:rsid w:val="002F47E7"/>
    <w:rsid w:val="002F50F8"/>
    <w:rsid w:val="002F510D"/>
    <w:rsid w:val="002F520A"/>
    <w:rsid w:val="002F5F61"/>
    <w:rsid w:val="00300081"/>
    <w:rsid w:val="0030023E"/>
    <w:rsid w:val="0030059B"/>
    <w:rsid w:val="00300FC5"/>
    <w:rsid w:val="00301277"/>
    <w:rsid w:val="00301837"/>
    <w:rsid w:val="003019CD"/>
    <w:rsid w:val="00301AD7"/>
    <w:rsid w:val="00302483"/>
    <w:rsid w:val="0030341B"/>
    <w:rsid w:val="003034D2"/>
    <w:rsid w:val="0030373E"/>
    <w:rsid w:val="00303A1B"/>
    <w:rsid w:val="003045BE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3221"/>
    <w:rsid w:val="00313367"/>
    <w:rsid w:val="0031354F"/>
    <w:rsid w:val="00314614"/>
    <w:rsid w:val="00314739"/>
    <w:rsid w:val="00314773"/>
    <w:rsid w:val="00314F8A"/>
    <w:rsid w:val="003150A9"/>
    <w:rsid w:val="003151F3"/>
    <w:rsid w:val="003152FA"/>
    <w:rsid w:val="00315384"/>
    <w:rsid w:val="003154DB"/>
    <w:rsid w:val="00316779"/>
    <w:rsid w:val="00317DA5"/>
    <w:rsid w:val="003201D0"/>
    <w:rsid w:val="003205E0"/>
    <w:rsid w:val="00321386"/>
    <w:rsid w:val="00321788"/>
    <w:rsid w:val="00321848"/>
    <w:rsid w:val="00321CB3"/>
    <w:rsid w:val="00322341"/>
    <w:rsid w:val="003226A7"/>
    <w:rsid w:val="00323457"/>
    <w:rsid w:val="0032345B"/>
    <w:rsid w:val="003235FE"/>
    <w:rsid w:val="00324FF5"/>
    <w:rsid w:val="003256A0"/>
    <w:rsid w:val="003265DE"/>
    <w:rsid w:val="00326A08"/>
    <w:rsid w:val="003274C7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3C8"/>
    <w:rsid w:val="00331659"/>
    <w:rsid w:val="003319C5"/>
    <w:rsid w:val="00331A58"/>
    <w:rsid w:val="003320F9"/>
    <w:rsid w:val="003327BD"/>
    <w:rsid w:val="003338EB"/>
    <w:rsid w:val="00334446"/>
    <w:rsid w:val="0033444C"/>
    <w:rsid w:val="00334725"/>
    <w:rsid w:val="00334A38"/>
    <w:rsid w:val="00334AF1"/>
    <w:rsid w:val="00335332"/>
    <w:rsid w:val="003353D5"/>
    <w:rsid w:val="0033598A"/>
    <w:rsid w:val="00335A53"/>
    <w:rsid w:val="00336328"/>
    <w:rsid w:val="003379A4"/>
    <w:rsid w:val="00337BB0"/>
    <w:rsid w:val="00337BDD"/>
    <w:rsid w:val="00337CB6"/>
    <w:rsid w:val="003403AE"/>
    <w:rsid w:val="003409BD"/>
    <w:rsid w:val="00340E3E"/>
    <w:rsid w:val="0034111B"/>
    <w:rsid w:val="00342559"/>
    <w:rsid w:val="00342D1A"/>
    <w:rsid w:val="0034339B"/>
    <w:rsid w:val="00343860"/>
    <w:rsid w:val="00343AB5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57D"/>
    <w:rsid w:val="00347A1B"/>
    <w:rsid w:val="00347CA3"/>
    <w:rsid w:val="00347F9F"/>
    <w:rsid w:val="00351032"/>
    <w:rsid w:val="0035149A"/>
    <w:rsid w:val="00351668"/>
    <w:rsid w:val="00351FA4"/>
    <w:rsid w:val="00352775"/>
    <w:rsid w:val="00352F14"/>
    <w:rsid w:val="003530B3"/>
    <w:rsid w:val="00355317"/>
    <w:rsid w:val="0035546F"/>
    <w:rsid w:val="003554BD"/>
    <w:rsid w:val="003554CE"/>
    <w:rsid w:val="00356586"/>
    <w:rsid w:val="00356792"/>
    <w:rsid w:val="003571E2"/>
    <w:rsid w:val="003576C9"/>
    <w:rsid w:val="00360A82"/>
    <w:rsid w:val="00361062"/>
    <w:rsid w:val="003610F5"/>
    <w:rsid w:val="003616F4"/>
    <w:rsid w:val="00362B5E"/>
    <w:rsid w:val="003638E9"/>
    <w:rsid w:val="003643A5"/>
    <w:rsid w:val="00364D97"/>
    <w:rsid w:val="0036533F"/>
    <w:rsid w:val="00365370"/>
    <w:rsid w:val="0036554C"/>
    <w:rsid w:val="003661C9"/>
    <w:rsid w:val="0036693A"/>
    <w:rsid w:val="00366AFA"/>
    <w:rsid w:val="00366C31"/>
    <w:rsid w:val="00366E38"/>
    <w:rsid w:val="00366E4E"/>
    <w:rsid w:val="003676E5"/>
    <w:rsid w:val="003676EA"/>
    <w:rsid w:val="00367886"/>
    <w:rsid w:val="00367AD9"/>
    <w:rsid w:val="00367CC7"/>
    <w:rsid w:val="00367F73"/>
    <w:rsid w:val="00370219"/>
    <w:rsid w:val="0037051E"/>
    <w:rsid w:val="00370859"/>
    <w:rsid w:val="00370C8A"/>
    <w:rsid w:val="00371208"/>
    <w:rsid w:val="003718D9"/>
    <w:rsid w:val="00371E8D"/>
    <w:rsid w:val="0037207D"/>
    <w:rsid w:val="00372389"/>
    <w:rsid w:val="00372564"/>
    <w:rsid w:val="00372644"/>
    <w:rsid w:val="0037334A"/>
    <w:rsid w:val="003734B3"/>
    <w:rsid w:val="0037443B"/>
    <w:rsid w:val="00374D3E"/>
    <w:rsid w:val="00375820"/>
    <w:rsid w:val="00375B14"/>
    <w:rsid w:val="00375D85"/>
    <w:rsid w:val="00375E72"/>
    <w:rsid w:val="003760FD"/>
    <w:rsid w:val="003769D5"/>
    <w:rsid w:val="00377475"/>
    <w:rsid w:val="00377A8C"/>
    <w:rsid w:val="00377F4C"/>
    <w:rsid w:val="0038054C"/>
    <w:rsid w:val="0038061C"/>
    <w:rsid w:val="0038090C"/>
    <w:rsid w:val="0038116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91"/>
    <w:rsid w:val="00386A21"/>
    <w:rsid w:val="0038735C"/>
    <w:rsid w:val="003874B4"/>
    <w:rsid w:val="00387631"/>
    <w:rsid w:val="00387823"/>
    <w:rsid w:val="00387CB2"/>
    <w:rsid w:val="00390044"/>
    <w:rsid w:val="003903FB"/>
    <w:rsid w:val="00390644"/>
    <w:rsid w:val="0039066F"/>
    <w:rsid w:val="00390809"/>
    <w:rsid w:val="00390D50"/>
    <w:rsid w:val="00390EAD"/>
    <w:rsid w:val="00390EAF"/>
    <w:rsid w:val="003915CD"/>
    <w:rsid w:val="00391CBB"/>
    <w:rsid w:val="00391D90"/>
    <w:rsid w:val="00391DDE"/>
    <w:rsid w:val="0039208E"/>
    <w:rsid w:val="003923A6"/>
    <w:rsid w:val="0039257A"/>
    <w:rsid w:val="00393231"/>
    <w:rsid w:val="0039372B"/>
    <w:rsid w:val="0039383D"/>
    <w:rsid w:val="00394932"/>
    <w:rsid w:val="00394FE8"/>
    <w:rsid w:val="00395069"/>
    <w:rsid w:val="003955AD"/>
    <w:rsid w:val="00395990"/>
    <w:rsid w:val="00395A0A"/>
    <w:rsid w:val="00396C46"/>
    <w:rsid w:val="00397A3A"/>
    <w:rsid w:val="00397BF1"/>
    <w:rsid w:val="003A0A67"/>
    <w:rsid w:val="003A1273"/>
    <w:rsid w:val="003A1596"/>
    <w:rsid w:val="003A1FEA"/>
    <w:rsid w:val="003A27ED"/>
    <w:rsid w:val="003A344A"/>
    <w:rsid w:val="003A3622"/>
    <w:rsid w:val="003A3681"/>
    <w:rsid w:val="003A36D4"/>
    <w:rsid w:val="003A4139"/>
    <w:rsid w:val="003A41B8"/>
    <w:rsid w:val="003A495B"/>
    <w:rsid w:val="003A4B2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42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7A9"/>
    <w:rsid w:val="003B4B26"/>
    <w:rsid w:val="003B4E29"/>
    <w:rsid w:val="003B5306"/>
    <w:rsid w:val="003B5757"/>
    <w:rsid w:val="003B6179"/>
    <w:rsid w:val="003B69D0"/>
    <w:rsid w:val="003B7B4D"/>
    <w:rsid w:val="003C0125"/>
    <w:rsid w:val="003C03F7"/>
    <w:rsid w:val="003C05CD"/>
    <w:rsid w:val="003C0FE5"/>
    <w:rsid w:val="003C1CAF"/>
    <w:rsid w:val="003C22D4"/>
    <w:rsid w:val="003C29AF"/>
    <w:rsid w:val="003C3F73"/>
    <w:rsid w:val="003C40A2"/>
    <w:rsid w:val="003C5519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E0"/>
    <w:rsid w:val="003D22DA"/>
    <w:rsid w:val="003D2706"/>
    <w:rsid w:val="003D32E8"/>
    <w:rsid w:val="003D3779"/>
    <w:rsid w:val="003D425A"/>
    <w:rsid w:val="003D4866"/>
    <w:rsid w:val="003D507A"/>
    <w:rsid w:val="003D5664"/>
    <w:rsid w:val="003D6280"/>
    <w:rsid w:val="003D66CB"/>
    <w:rsid w:val="003D687A"/>
    <w:rsid w:val="003D6A57"/>
    <w:rsid w:val="003D6E45"/>
    <w:rsid w:val="003D79FE"/>
    <w:rsid w:val="003D7A2D"/>
    <w:rsid w:val="003D7C91"/>
    <w:rsid w:val="003E043F"/>
    <w:rsid w:val="003E07F1"/>
    <w:rsid w:val="003E0E8C"/>
    <w:rsid w:val="003E113F"/>
    <w:rsid w:val="003E1418"/>
    <w:rsid w:val="003E4478"/>
    <w:rsid w:val="003E4979"/>
    <w:rsid w:val="003E4B79"/>
    <w:rsid w:val="003E4B85"/>
    <w:rsid w:val="003E581F"/>
    <w:rsid w:val="003E5F16"/>
    <w:rsid w:val="003E6340"/>
    <w:rsid w:val="003E634D"/>
    <w:rsid w:val="003E64BB"/>
    <w:rsid w:val="003E6AC1"/>
    <w:rsid w:val="003E7EEA"/>
    <w:rsid w:val="003F01E7"/>
    <w:rsid w:val="003F1726"/>
    <w:rsid w:val="003F18CF"/>
    <w:rsid w:val="003F1A42"/>
    <w:rsid w:val="003F1EB2"/>
    <w:rsid w:val="003F2BFE"/>
    <w:rsid w:val="003F3A44"/>
    <w:rsid w:val="003F5A7B"/>
    <w:rsid w:val="003F5E65"/>
    <w:rsid w:val="003F5F0A"/>
    <w:rsid w:val="003F6DF4"/>
    <w:rsid w:val="003F7022"/>
    <w:rsid w:val="003F7263"/>
    <w:rsid w:val="003F7D77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100FD"/>
    <w:rsid w:val="0041029D"/>
    <w:rsid w:val="00410347"/>
    <w:rsid w:val="004104BF"/>
    <w:rsid w:val="0041068A"/>
    <w:rsid w:val="00410DEC"/>
    <w:rsid w:val="0041138F"/>
    <w:rsid w:val="004118D5"/>
    <w:rsid w:val="00412C31"/>
    <w:rsid w:val="00412EF3"/>
    <w:rsid w:val="004133CD"/>
    <w:rsid w:val="00413549"/>
    <w:rsid w:val="00414538"/>
    <w:rsid w:val="0041479C"/>
    <w:rsid w:val="00416787"/>
    <w:rsid w:val="00417C7F"/>
    <w:rsid w:val="004203CA"/>
    <w:rsid w:val="004208D7"/>
    <w:rsid w:val="00420CA2"/>
    <w:rsid w:val="004210BA"/>
    <w:rsid w:val="004215FA"/>
    <w:rsid w:val="00421878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01"/>
    <w:rsid w:val="0043104B"/>
    <w:rsid w:val="0043151E"/>
    <w:rsid w:val="0043181D"/>
    <w:rsid w:val="004328E4"/>
    <w:rsid w:val="00432937"/>
    <w:rsid w:val="00433460"/>
    <w:rsid w:val="00433D87"/>
    <w:rsid w:val="00433ECE"/>
    <w:rsid w:val="004343C2"/>
    <w:rsid w:val="004347A7"/>
    <w:rsid w:val="00434800"/>
    <w:rsid w:val="00434F9C"/>
    <w:rsid w:val="00435BEB"/>
    <w:rsid w:val="00435F09"/>
    <w:rsid w:val="00435F6F"/>
    <w:rsid w:val="00436548"/>
    <w:rsid w:val="00436C20"/>
    <w:rsid w:val="004373A1"/>
    <w:rsid w:val="00437844"/>
    <w:rsid w:val="00437FBE"/>
    <w:rsid w:val="00440392"/>
    <w:rsid w:val="00440502"/>
    <w:rsid w:val="00440B8C"/>
    <w:rsid w:val="00441069"/>
    <w:rsid w:val="004412E5"/>
    <w:rsid w:val="004415FC"/>
    <w:rsid w:val="00441989"/>
    <w:rsid w:val="00442112"/>
    <w:rsid w:val="00442822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648"/>
    <w:rsid w:val="00453BF4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8A5"/>
    <w:rsid w:val="00457958"/>
    <w:rsid w:val="0046087C"/>
    <w:rsid w:val="0046115F"/>
    <w:rsid w:val="0046148D"/>
    <w:rsid w:val="00461535"/>
    <w:rsid w:val="004619CF"/>
    <w:rsid w:val="004620E9"/>
    <w:rsid w:val="004627CF"/>
    <w:rsid w:val="00462977"/>
    <w:rsid w:val="00462DBA"/>
    <w:rsid w:val="004635B7"/>
    <w:rsid w:val="00464027"/>
    <w:rsid w:val="004641CB"/>
    <w:rsid w:val="0046443B"/>
    <w:rsid w:val="00464BC7"/>
    <w:rsid w:val="004651B8"/>
    <w:rsid w:val="00465580"/>
    <w:rsid w:val="00465972"/>
    <w:rsid w:val="00465E7E"/>
    <w:rsid w:val="00466BB5"/>
    <w:rsid w:val="004672E8"/>
    <w:rsid w:val="004677E9"/>
    <w:rsid w:val="00470535"/>
    <w:rsid w:val="00470F0D"/>
    <w:rsid w:val="00471183"/>
    <w:rsid w:val="0047123C"/>
    <w:rsid w:val="004714F6"/>
    <w:rsid w:val="0047289C"/>
    <w:rsid w:val="00472E22"/>
    <w:rsid w:val="00472F67"/>
    <w:rsid w:val="004733A8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77B39"/>
    <w:rsid w:val="00481688"/>
    <w:rsid w:val="004820E0"/>
    <w:rsid w:val="004822CA"/>
    <w:rsid w:val="00483F95"/>
    <w:rsid w:val="00484D20"/>
    <w:rsid w:val="004850C1"/>
    <w:rsid w:val="004862A1"/>
    <w:rsid w:val="00486F54"/>
    <w:rsid w:val="004871B4"/>
    <w:rsid w:val="004876DD"/>
    <w:rsid w:val="00490973"/>
    <w:rsid w:val="004915E7"/>
    <w:rsid w:val="0049178A"/>
    <w:rsid w:val="00491C1D"/>
    <w:rsid w:val="00491DF1"/>
    <w:rsid w:val="00492535"/>
    <w:rsid w:val="00493435"/>
    <w:rsid w:val="00494B28"/>
    <w:rsid w:val="00495FFF"/>
    <w:rsid w:val="00496A9F"/>
    <w:rsid w:val="00497358"/>
    <w:rsid w:val="00497FA5"/>
    <w:rsid w:val="004A03B3"/>
    <w:rsid w:val="004A04D5"/>
    <w:rsid w:val="004A1253"/>
    <w:rsid w:val="004A1B07"/>
    <w:rsid w:val="004A2E04"/>
    <w:rsid w:val="004A3226"/>
    <w:rsid w:val="004A399F"/>
    <w:rsid w:val="004A4096"/>
    <w:rsid w:val="004A4692"/>
    <w:rsid w:val="004A669F"/>
    <w:rsid w:val="004A6842"/>
    <w:rsid w:val="004A718C"/>
    <w:rsid w:val="004A76A2"/>
    <w:rsid w:val="004A7DBE"/>
    <w:rsid w:val="004A7F94"/>
    <w:rsid w:val="004B08AC"/>
    <w:rsid w:val="004B097E"/>
    <w:rsid w:val="004B0D88"/>
    <w:rsid w:val="004B1C77"/>
    <w:rsid w:val="004B206E"/>
    <w:rsid w:val="004B229E"/>
    <w:rsid w:val="004B29C2"/>
    <w:rsid w:val="004B29E1"/>
    <w:rsid w:val="004B2C52"/>
    <w:rsid w:val="004B2F46"/>
    <w:rsid w:val="004B2FEB"/>
    <w:rsid w:val="004B395D"/>
    <w:rsid w:val="004B3AE1"/>
    <w:rsid w:val="004B3F34"/>
    <w:rsid w:val="004B4194"/>
    <w:rsid w:val="004B457E"/>
    <w:rsid w:val="004B55F0"/>
    <w:rsid w:val="004B56C3"/>
    <w:rsid w:val="004B6928"/>
    <w:rsid w:val="004B79FA"/>
    <w:rsid w:val="004B7D94"/>
    <w:rsid w:val="004C0FB7"/>
    <w:rsid w:val="004C104B"/>
    <w:rsid w:val="004C1145"/>
    <w:rsid w:val="004C164A"/>
    <w:rsid w:val="004C2E14"/>
    <w:rsid w:val="004C2FE3"/>
    <w:rsid w:val="004C305A"/>
    <w:rsid w:val="004C35EF"/>
    <w:rsid w:val="004C3BCF"/>
    <w:rsid w:val="004C4829"/>
    <w:rsid w:val="004C4C58"/>
    <w:rsid w:val="004C4D30"/>
    <w:rsid w:val="004C4EAB"/>
    <w:rsid w:val="004C5570"/>
    <w:rsid w:val="004C5BD0"/>
    <w:rsid w:val="004C5D52"/>
    <w:rsid w:val="004C5DB0"/>
    <w:rsid w:val="004C60D8"/>
    <w:rsid w:val="004C6197"/>
    <w:rsid w:val="004C62EE"/>
    <w:rsid w:val="004C6A0D"/>
    <w:rsid w:val="004C6DF3"/>
    <w:rsid w:val="004C771C"/>
    <w:rsid w:val="004C7D1D"/>
    <w:rsid w:val="004D1000"/>
    <w:rsid w:val="004D147D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B1A"/>
    <w:rsid w:val="004E0830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6A1"/>
    <w:rsid w:val="004E58EA"/>
    <w:rsid w:val="004E5F65"/>
    <w:rsid w:val="004E6C7A"/>
    <w:rsid w:val="004E7615"/>
    <w:rsid w:val="004E7CDF"/>
    <w:rsid w:val="004F078C"/>
    <w:rsid w:val="004F1324"/>
    <w:rsid w:val="004F1C7D"/>
    <w:rsid w:val="004F1D24"/>
    <w:rsid w:val="004F21D2"/>
    <w:rsid w:val="004F2621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12FC"/>
    <w:rsid w:val="00501EBE"/>
    <w:rsid w:val="0050261A"/>
    <w:rsid w:val="00503551"/>
    <w:rsid w:val="00503F38"/>
    <w:rsid w:val="005043FC"/>
    <w:rsid w:val="00504A55"/>
    <w:rsid w:val="00505F08"/>
    <w:rsid w:val="0050671D"/>
    <w:rsid w:val="0050672C"/>
    <w:rsid w:val="00506C4C"/>
    <w:rsid w:val="0050700E"/>
    <w:rsid w:val="005079D7"/>
    <w:rsid w:val="00507B2A"/>
    <w:rsid w:val="00507EC1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4F12"/>
    <w:rsid w:val="00515BCF"/>
    <w:rsid w:val="00516083"/>
    <w:rsid w:val="0051635A"/>
    <w:rsid w:val="0051646E"/>
    <w:rsid w:val="005166C3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4D2C"/>
    <w:rsid w:val="00525789"/>
    <w:rsid w:val="00525890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142"/>
    <w:rsid w:val="00533EE8"/>
    <w:rsid w:val="0053417D"/>
    <w:rsid w:val="0053490C"/>
    <w:rsid w:val="00535585"/>
    <w:rsid w:val="00536A58"/>
    <w:rsid w:val="00536AB4"/>
    <w:rsid w:val="00536AC6"/>
    <w:rsid w:val="00537127"/>
    <w:rsid w:val="0053764B"/>
    <w:rsid w:val="0054069F"/>
    <w:rsid w:val="00541307"/>
    <w:rsid w:val="00541B60"/>
    <w:rsid w:val="00541DB8"/>
    <w:rsid w:val="00541F9A"/>
    <w:rsid w:val="00542247"/>
    <w:rsid w:val="00542599"/>
    <w:rsid w:val="00542EB4"/>
    <w:rsid w:val="005448B9"/>
    <w:rsid w:val="00545136"/>
    <w:rsid w:val="005452C1"/>
    <w:rsid w:val="00545B42"/>
    <w:rsid w:val="0054612B"/>
    <w:rsid w:val="00546E7B"/>
    <w:rsid w:val="00547753"/>
    <w:rsid w:val="005479F5"/>
    <w:rsid w:val="00547D90"/>
    <w:rsid w:val="00547F76"/>
    <w:rsid w:val="005500F2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500"/>
    <w:rsid w:val="00555FC3"/>
    <w:rsid w:val="00556027"/>
    <w:rsid w:val="00556506"/>
    <w:rsid w:val="0055659A"/>
    <w:rsid w:val="00556616"/>
    <w:rsid w:val="00556731"/>
    <w:rsid w:val="00557401"/>
    <w:rsid w:val="0055747C"/>
    <w:rsid w:val="00557D41"/>
    <w:rsid w:val="00557F5B"/>
    <w:rsid w:val="00557FE2"/>
    <w:rsid w:val="00560729"/>
    <w:rsid w:val="00560A6F"/>
    <w:rsid w:val="00560A86"/>
    <w:rsid w:val="00561C64"/>
    <w:rsid w:val="0056218D"/>
    <w:rsid w:val="00562EAD"/>
    <w:rsid w:val="00563222"/>
    <w:rsid w:val="00563A7C"/>
    <w:rsid w:val="00563AEB"/>
    <w:rsid w:val="00564775"/>
    <w:rsid w:val="00565225"/>
    <w:rsid w:val="00565469"/>
    <w:rsid w:val="00566C28"/>
    <w:rsid w:val="00566EBC"/>
    <w:rsid w:val="00567424"/>
    <w:rsid w:val="00567500"/>
    <w:rsid w:val="0056753D"/>
    <w:rsid w:val="00567811"/>
    <w:rsid w:val="00567CDA"/>
    <w:rsid w:val="00570163"/>
    <w:rsid w:val="005701B3"/>
    <w:rsid w:val="005702BD"/>
    <w:rsid w:val="0057041C"/>
    <w:rsid w:val="005704B1"/>
    <w:rsid w:val="00571005"/>
    <w:rsid w:val="00572749"/>
    <w:rsid w:val="005739F4"/>
    <w:rsid w:val="00573A7F"/>
    <w:rsid w:val="00573EE1"/>
    <w:rsid w:val="0057406C"/>
    <w:rsid w:val="00575051"/>
    <w:rsid w:val="005758E3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C21"/>
    <w:rsid w:val="005874CD"/>
    <w:rsid w:val="00587597"/>
    <w:rsid w:val="00590D18"/>
    <w:rsid w:val="00590EDD"/>
    <w:rsid w:val="00591988"/>
    <w:rsid w:val="00591CA1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D"/>
    <w:rsid w:val="005949FB"/>
    <w:rsid w:val="00594C1A"/>
    <w:rsid w:val="00595106"/>
    <w:rsid w:val="00595692"/>
    <w:rsid w:val="00595B7B"/>
    <w:rsid w:val="00596020"/>
    <w:rsid w:val="0059632F"/>
    <w:rsid w:val="00596436"/>
    <w:rsid w:val="005974CE"/>
    <w:rsid w:val="00597799"/>
    <w:rsid w:val="005977F9"/>
    <w:rsid w:val="00597BA8"/>
    <w:rsid w:val="005A01E7"/>
    <w:rsid w:val="005A02C8"/>
    <w:rsid w:val="005A09E5"/>
    <w:rsid w:val="005A1473"/>
    <w:rsid w:val="005A19FF"/>
    <w:rsid w:val="005A2074"/>
    <w:rsid w:val="005A24AE"/>
    <w:rsid w:val="005A2B7A"/>
    <w:rsid w:val="005A3394"/>
    <w:rsid w:val="005A403A"/>
    <w:rsid w:val="005A43BE"/>
    <w:rsid w:val="005A4624"/>
    <w:rsid w:val="005A5011"/>
    <w:rsid w:val="005A508D"/>
    <w:rsid w:val="005A60BA"/>
    <w:rsid w:val="005A761B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362A"/>
    <w:rsid w:val="005B41B3"/>
    <w:rsid w:val="005B4289"/>
    <w:rsid w:val="005B5841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21B6"/>
    <w:rsid w:val="005C34AE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677E"/>
    <w:rsid w:val="005C6CD0"/>
    <w:rsid w:val="005C7072"/>
    <w:rsid w:val="005C757A"/>
    <w:rsid w:val="005C785E"/>
    <w:rsid w:val="005C78D5"/>
    <w:rsid w:val="005D00B6"/>
    <w:rsid w:val="005D101F"/>
    <w:rsid w:val="005D1247"/>
    <w:rsid w:val="005D1D60"/>
    <w:rsid w:val="005D205D"/>
    <w:rsid w:val="005D2F54"/>
    <w:rsid w:val="005D33D2"/>
    <w:rsid w:val="005D353D"/>
    <w:rsid w:val="005D380F"/>
    <w:rsid w:val="005D3FD5"/>
    <w:rsid w:val="005D593D"/>
    <w:rsid w:val="005D636B"/>
    <w:rsid w:val="005D63A5"/>
    <w:rsid w:val="005D69A4"/>
    <w:rsid w:val="005D79B5"/>
    <w:rsid w:val="005D7BDA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566F"/>
    <w:rsid w:val="005E5774"/>
    <w:rsid w:val="005E64AF"/>
    <w:rsid w:val="005E6BE9"/>
    <w:rsid w:val="005E6D97"/>
    <w:rsid w:val="005E71A5"/>
    <w:rsid w:val="005E777B"/>
    <w:rsid w:val="005E77F8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E7"/>
    <w:rsid w:val="005F5E8E"/>
    <w:rsid w:val="005F60E6"/>
    <w:rsid w:val="005F61DD"/>
    <w:rsid w:val="005F764A"/>
    <w:rsid w:val="0060008E"/>
    <w:rsid w:val="006005C1"/>
    <w:rsid w:val="006011A0"/>
    <w:rsid w:val="00602A78"/>
    <w:rsid w:val="00602BCA"/>
    <w:rsid w:val="0060305F"/>
    <w:rsid w:val="006034C7"/>
    <w:rsid w:val="00603B40"/>
    <w:rsid w:val="00604603"/>
    <w:rsid w:val="00604617"/>
    <w:rsid w:val="00604730"/>
    <w:rsid w:val="006049CE"/>
    <w:rsid w:val="00604AE3"/>
    <w:rsid w:val="00604D1B"/>
    <w:rsid w:val="006052A3"/>
    <w:rsid w:val="006053D8"/>
    <w:rsid w:val="006057CF"/>
    <w:rsid w:val="00605970"/>
    <w:rsid w:val="006059A0"/>
    <w:rsid w:val="00605A1A"/>
    <w:rsid w:val="00606054"/>
    <w:rsid w:val="0060611E"/>
    <w:rsid w:val="006063E0"/>
    <w:rsid w:val="00606906"/>
    <w:rsid w:val="00606EE7"/>
    <w:rsid w:val="00606FAA"/>
    <w:rsid w:val="00607B3C"/>
    <w:rsid w:val="00607C10"/>
    <w:rsid w:val="00607F9D"/>
    <w:rsid w:val="00611BA6"/>
    <w:rsid w:val="00612D19"/>
    <w:rsid w:val="0061330F"/>
    <w:rsid w:val="00613641"/>
    <w:rsid w:val="00614139"/>
    <w:rsid w:val="00614483"/>
    <w:rsid w:val="0061478C"/>
    <w:rsid w:val="00615030"/>
    <w:rsid w:val="0061516E"/>
    <w:rsid w:val="006151BC"/>
    <w:rsid w:val="00615204"/>
    <w:rsid w:val="006154F0"/>
    <w:rsid w:val="00615E77"/>
    <w:rsid w:val="006162A3"/>
    <w:rsid w:val="006165D6"/>
    <w:rsid w:val="00616C7D"/>
    <w:rsid w:val="0061735F"/>
    <w:rsid w:val="006205E1"/>
    <w:rsid w:val="006208EE"/>
    <w:rsid w:val="0062091D"/>
    <w:rsid w:val="00620C44"/>
    <w:rsid w:val="0062100E"/>
    <w:rsid w:val="006211A5"/>
    <w:rsid w:val="006219BC"/>
    <w:rsid w:val="00621DD8"/>
    <w:rsid w:val="00622789"/>
    <w:rsid w:val="006233C1"/>
    <w:rsid w:val="00624649"/>
    <w:rsid w:val="006249A7"/>
    <w:rsid w:val="006249D1"/>
    <w:rsid w:val="00624D4F"/>
    <w:rsid w:val="00625713"/>
    <w:rsid w:val="00625B22"/>
    <w:rsid w:val="00625C53"/>
    <w:rsid w:val="00626415"/>
    <w:rsid w:val="006265B4"/>
    <w:rsid w:val="00626FCF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727"/>
    <w:rsid w:val="006338DA"/>
    <w:rsid w:val="0063390C"/>
    <w:rsid w:val="00633A5E"/>
    <w:rsid w:val="00633F74"/>
    <w:rsid w:val="00635AEB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43B2"/>
    <w:rsid w:val="00644FE8"/>
    <w:rsid w:val="00645210"/>
    <w:rsid w:val="00645933"/>
    <w:rsid w:val="006459B3"/>
    <w:rsid w:val="00645D57"/>
    <w:rsid w:val="006463B7"/>
    <w:rsid w:val="00646761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642"/>
    <w:rsid w:val="00654AF4"/>
    <w:rsid w:val="00654CB8"/>
    <w:rsid w:val="0065561D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4FE"/>
    <w:rsid w:val="00660680"/>
    <w:rsid w:val="00660BFB"/>
    <w:rsid w:val="00660C96"/>
    <w:rsid w:val="00660E23"/>
    <w:rsid w:val="00662A70"/>
    <w:rsid w:val="00662AF9"/>
    <w:rsid w:val="00662C14"/>
    <w:rsid w:val="00662C97"/>
    <w:rsid w:val="00662CBB"/>
    <w:rsid w:val="00662F3E"/>
    <w:rsid w:val="00662FB3"/>
    <w:rsid w:val="0066398B"/>
    <w:rsid w:val="00663F53"/>
    <w:rsid w:val="0066486A"/>
    <w:rsid w:val="006650D2"/>
    <w:rsid w:val="0066527F"/>
    <w:rsid w:val="00666754"/>
    <w:rsid w:val="00666AEA"/>
    <w:rsid w:val="00667FB2"/>
    <w:rsid w:val="00670D2E"/>
    <w:rsid w:val="0067269F"/>
    <w:rsid w:val="006726CB"/>
    <w:rsid w:val="0067272F"/>
    <w:rsid w:val="00673BA4"/>
    <w:rsid w:val="00674C5D"/>
    <w:rsid w:val="00674ED8"/>
    <w:rsid w:val="00675793"/>
    <w:rsid w:val="00675C5E"/>
    <w:rsid w:val="00676F0B"/>
    <w:rsid w:val="006773D1"/>
    <w:rsid w:val="006801BB"/>
    <w:rsid w:val="006802E3"/>
    <w:rsid w:val="00680A87"/>
    <w:rsid w:val="00680CC6"/>
    <w:rsid w:val="0068241B"/>
    <w:rsid w:val="00683889"/>
    <w:rsid w:val="00683CFF"/>
    <w:rsid w:val="00683F41"/>
    <w:rsid w:val="006842A2"/>
    <w:rsid w:val="006848BB"/>
    <w:rsid w:val="00685075"/>
    <w:rsid w:val="00685339"/>
    <w:rsid w:val="00685597"/>
    <w:rsid w:val="00686338"/>
    <w:rsid w:val="00686FB8"/>
    <w:rsid w:val="0068731C"/>
    <w:rsid w:val="006904AD"/>
    <w:rsid w:val="006905F1"/>
    <w:rsid w:val="00690CF4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52"/>
    <w:rsid w:val="006962E6"/>
    <w:rsid w:val="0069644C"/>
    <w:rsid w:val="0069657D"/>
    <w:rsid w:val="00696A8E"/>
    <w:rsid w:val="0069703E"/>
    <w:rsid w:val="006971FD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A19"/>
    <w:rsid w:val="006A3B6E"/>
    <w:rsid w:val="006A3B9E"/>
    <w:rsid w:val="006A3D6D"/>
    <w:rsid w:val="006A3D73"/>
    <w:rsid w:val="006A43EA"/>
    <w:rsid w:val="006A471A"/>
    <w:rsid w:val="006A5290"/>
    <w:rsid w:val="006A777A"/>
    <w:rsid w:val="006A77BF"/>
    <w:rsid w:val="006A7AE9"/>
    <w:rsid w:val="006A7C9D"/>
    <w:rsid w:val="006B0264"/>
    <w:rsid w:val="006B1E59"/>
    <w:rsid w:val="006B2995"/>
    <w:rsid w:val="006B2F13"/>
    <w:rsid w:val="006B3EFD"/>
    <w:rsid w:val="006B40C8"/>
    <w:rsid w:val="006B423F"/>
    <w:rsid w:val="006B472A"/>
    <w:rsid w:val="006B549F"/>
    <w:rsid w:val="006B65CB"/>
    <w:rsid w:val="006B765D"/>
    <w:rsid w:val="006C0867"/>
    <w:rsid w:val="006C12F3"/>
    <w:rsid w:val="006C150F"/>
    <w:rsid w:val="006C215A"/>
    <w:rsid w:val="006C24C7"/>
    <w:rsid w:val="006C273C"/>
    <w:rsid w:val="006C374A"/>
    <w:rsid w:val="006C3A0F"/>
    <w:rsid w:val="006C479E"/>
    <w:rsid w:val="006C57FE"/>
    <w:rsid w:val="006C5AB5"/>
    <w:rsid w:val="006C621D"/>
    <w:rsid w:val="006C6E36"/>
    <w:rsid w:val="006C705E"/>
    <w:rsid w:val="006C7216"/>
    <w:rsid w:val="006C7266"/>
    <w:rsid w:val="006C7C27"/>
    <w:rsid w:val="006D045E"/>
    <w:rsid w:val="006D057A"/>
    <w:rsid w:val="006D0B6D"/>
    <w:rsid w:val="006D1549"/>
    <w:rsid w:val="006D1A5F"/>
    <w:rsid w:val="006D1CEA"/>
    <w:rsid w:val="006D381C"/>
    <w:rsid w:val="006D39EA"/>
    <w:rsid w:val="006D3CE0"/>
    <w:rsid w:val="006D45FF"/>
    <w:rsid w:val="006D4801"/>
    <w:rsid w:val="006D487E"/>
    <w:rsid w:val="006D4A33"/>
    <w:rsid w:val="006D53DF"/>
    <w:rsid w:val="006D54F7"/>
    <w:rsid w:val="006D5604"/>
    <w:rsid w:val="006D5CDA"/>
    <w:rsid w:val="006D6906"/>
    <w:rsid w:val="006D6D04"/>
    <w:rsid w:val="006D7902"/>
    <w:rsid w:val="006D7C9D"/>
    <w:rsid w:val="006D7D85"/>
    <w:rsid w:val="006E045E"/>
    <w:rsid w:val="006E09E9"/>
    <w:rsid w:val="006E0B21"/>
    <w:rsid w:val="006E171B"/>
    <w:rsid w:val="006E1971"/>
    <w:rsid w:val="006E2C6D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020B"/>
    <w:rsid w:val="006F117D"/>
    <w:rsid w:val="006F1195"/>
    <w:rsid w:val="006F13F3"/>
    <w:rsid w:val="006F1DBD"/>
    <w:rsid w:val="006F1E00"/>
    <w:rsid w:val="006F301F"/>
    <w:rsid w:val="006F3D30"/>
    <w:rsid w:val="006F5847"/>
    <w:rsid w:val="006F5B1A"/>
    <w:rsid w:val="006F5F76"/>
    <w:rsid w:val="006F6790"/>
    <w:rsid w:val="00700821"/>
    <w:rsid w:val="007010A7"/>
    <w:rsid w:val="007011D1"/>
    <w:rsid w:val="007011D8"/>
    <w:rsid w:val="00702723"/>
    <w:rsid w:val="0070303A"/>
    <w:rsid w:val="0070328F"/>
    <w:rsid w:val="00703F20"/>
    <w:rsid w:val="0070417B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F11"/>
    <w:rsid w:val="00712020"/>
    <w:rsid w:val="00712026"/>
    <w:rsid w:val="007121C0"/>
    <w:rsid w:val="00712588"/>
    <w:rsid w:val="00712638"/>
    <w:rsid w:val="0071276A"/>
    <w:rsid w:val="00712B22"/>
    <w:rsid w:val="00712D93"/>
    <w:rsid w:val="007139BF"/>
    <w:rsid w:val="00713C11"/>
    <w:rsid w:val="007140C1"/>
    <w:rsid w:val="0071438B"/>
    <w:rsid w:val="00714A38"/>
    <w:rsid w:val="00714B10"/>
    <w:rsid w:val="00714B64"/>
    <w:rsid w:val="00714BA7"/>
    <w:rsid w:val="00714F03"/>
    <w:rsid w:val="007153D0"/>
    <w:rsid w:val="00715C06"/>
    <w:rsid w:val="00716D4E"/>
    <w:rsid w:val="0071717E"/>
    <w:rsid w:val="00717312"/>
    <w:rsid w:val="007176D1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49D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2732"/>
    <w:rsid w:val="00733075"/>
    <w:rsid w:val="0073397C"/>
    <w:rsid w:val="00734051"/>
    <w:rsid w:val="00734519"/>
    <w:rsid w:val="0073458B"/>
    <w:rsid w:val="00734B84"/>
    <w:rsid w:val="00735EBF"/>
    <w:rsid w:val="007365ED"/>
    <w:rsid w:val="00736927"/>
    <w:rsid w:val="00737A4B"/>
    <w:rsid w:val="00740008"/>
    <w:rsid w:val="00741355"/>
    <w:rsid w:val="00741C56"/>
    <w:rsid w:val="00741C83"/>
    <w:rsid w:val="00741E9A"/>
    <w:rsid w:val="00742891"/>
    <w:rsid w:val="00742A70"/>
    <w:rsid w:val="00742C3D"/>
    <w:rsid w:val="00742CD8"/>
    <w:rsid w:val="00742DAD"/>
    <w:rsid w:val="00743455"/>
    <w:rsid w:val="007435B8"/>
    <w:rsid w:val="007444AE"/>
    <w:rsid w:val="007447C6"/>
    <w:rsid w:val="007449FE"/>
    <w:rsid w:val="00744CEC"/>
    <w:rsid w:val="00745A05"/>
    <w:rsid w:val="00745F8E"/>
    <w:rsid w:val="00746564"/>
    <w:rsid w:val="00746721"/>
    <w:rsid w:val="00747741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DA5"/>
    <w:rsid w:val="00754E53"/>
    <w:rsid w:val="0075502B"/>
    <w:rsid w:val="00755633"/>
    <w:rsid w:val="00755979"/>
    <w:rsid w:val="00755B6F"/>
    <w:rsid w:val="00756A17"/>
    <w:rsid w:val="00756B41"/>
    <w:rsid w:val="007576EC"/>
    <w:rsid w:val="00757957"/>
    <w:rsid w:val="00760978"/>
    <w:rsid w:val="00760D42"/>
    <w:rsid w:val="00761B5B"/>
    <w:rsid w:val="00761BBC"/>
    <w:rsid w:val="007623B0"/>
    <w:rsid w:val="00762A7D"/>
    <w:rsid w:val="00763B9E"/>
    <w:rsid w:val="00764588"/>
    <w:rsid w:val="007648FE"/>
    <w:rsid w:val="00764B39"/>
    <w:rsid w:val="007664EA"/>
    <w:rsid w:val="007667C4"/>
    <w:rsid w:val="00767062"/>
    <w:rsid w:val="007670FC"/>
    <w:rsid w:val="0076718D"/>
    <w:rsid w:val="00767282"/>
    <w:rsid w:val="007678B9"/>
    <w:rsid w:val="00767DDD"/>
    <w:rsid w:val="00767F7F"/>
    <w:rsid w:val="007703EA"/>
    <w:rsid w:val="00770C49"/>
    <w:rsid w:val="0077103B"/>
    <w:rsid w:val="0077130E"/>
    <w:rsid w:val="007713D7"/>
    <w:rsid w:val="00771BF6"/>
    <w:rsid w:val="0077249A"/>
    <w:rsid w:val="0077262C"/>
    <w:rsid w:val="00772A29"/>
    <w:rsid w:val="00772EFA"/>
    <w:rsid w:val="00773B3E"/>
    <w:rsid w:val="00773E65"/>
    <w:rsid w:val="007741B0"/>
    <w:rsid w:val="007745D3"/>
    <w:rsid w:val="007746DC"/>
    <w:rsid w:val="0077558B"/>
    <w:rsid w:val="007756E4"/>
    <w:rsid w:val="00776874"/>
    <w:rsid w:val="0077707E"/>
    <w:rsid w:val="0077726C"/>
    <w:rsid w:val="00777AAB"/>
    <w:rsid w:val="00780FF9"/>
    <w:rsid w:val="0078285C"/>
    <w:rsid w:val="00782B30"/>
    <w:rsid w:val="00783A36"/>
    <w:rsid w:val="007845D4"/>
    <w:rsid w:val="00784DF0"/>
    <w:rsid w:val="00785A38"/>
    <w:rsid w:val="00785C2A"/>
    <w:rsid w:val="0078627A"/>
    <w:rsid w:val="0078668F"/>
    <w:rsid w:val="0078700E"/>
    <w:rsid w:val="00787339"/>
    <w:rsid w:val="00787B59"/>
    <w:rsid w:val="007900A9"/>
    <w:rsid w:val="007910C3"/>
    <w:rsid w:val="007910DE"/>
    <w:rsid w:val="00791110"/>
    <w:rsid w:val="00791248"/>
    <w:rsid w:val="00791250"/>
    <w:rsid w:val="0079150D"/>
    <w:rsid w:val="00791DE1"/>
    <w:rsid w:val="00792265"/>
    <w:rsid w:val="00793181"/>
    <w:rsid w:val="007936BD"/>
    <w:rsid w:val="007936C1"/>
    <w:rsid w:val="007936DE"/>
    <w:rsid w:val="00793D45"/>
    <w:rsid w:val="00795E20"/>
    <w:rsid w:val="00796787"/>
    <w:rsid w:val="007975BD"/>
    <w:rsid w:val="00797B7E"/>
    <w:rsid w:val="007A02A6"/>
    <w:rsid w:val="007A05A2"/>
    <w:rsid w:val="007A10D6"/>
    <w:rsid w:val="007A12EE"/>
    <w:rsid w:val="007A138C"/>
    <w:rsid w:val="007A1834"/>
    <w:rsid w:val="007A1856"/>
    <w:rsid w:val="007A1E52"/>
    <w:rsid w:val="007A2A4D"/>
    <w:rsid w:val="007A31B2"/>
    <w:rsid w:val="007A3629"/>
    <w:rsid w:val="007A385C"/>
    <w:rsid w:val="007A38F5"/>
    <w:rsid w:val="007A3D24"/>
    <w:rsid w:val="007A4860"/>
    <w:rsid w:val="007A4CAF"/>
    <w:rsid w:val="007A4F7B"/>
    <w:rsid w:val="007A61E4"/>
    <w:rsid w:val="007A704A"/>
    <w:rsid w:val="007A7242"/>
    <w:rsid w:val="007B12B0"/>
    <w:rsid w:val="007B1392"/>
    <w:rsid w:val="007B1785"/>
    <w:rsid w:val="007B215A"/>
    <w:rsid w:val="007B22DC"/>
    <w:rsid w:val="007B24F0"/>
    <w:rsid w:val="007B34DC"/>
    <w:rsid w:val="007B3A98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0F"/>
    <w:rsid w:val="007C58AB"/>
    <w:rsid w:val="007C5F6F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43D"/>
    <w:rsid w:val="007D14AD"/>
    <w:rsid w:val="007D25B9"/>
    <w:rsid w:val="007D2BE8"/>
    <w:rsid w:val="007D3066"/>
    <w:rsid w:val="007D421B"/>
    <w:rsid w:val="007D4490"/>
    <w:rsid w:val="007D4579"/>
    <w:rsid w:val="007D4CA5"/>
    <w:rsid w:val="007D51EB"/>
    <w:rsid w:val="007D58BB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45CA"/>
    <w:rsid w:val="007E48C0"/>
    <w:rsid w:val="007E5159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AE0"/>
    <w:rsid w:val="007F1160"/>
    <w:rsid w:val="007F21B0"/>
    <w:rsid w:val="007F2DE9"/>
    <w:rsid w:val="007F341B"/>
    <w:rsid w:val="007F3682"/>
    <w:rsid w:val="007F3697"/>
    <w:rsid w:val="007F3AA2"/>
    <w:rsid w:val="007F3B45"/>
    <w:rsid w:val="007F3D2E"/>
    <w:rsid w:val="007F3E3E"/>
    <w:rsid w:val="007F4A9E"/>
    <w:rsid w:val="007F4ABC"/>
    <w:rsid w:val="007F4D45"/>
    <w:rsid w:val="007F510F"/>
    <w:rsid w:val="007F545B"/>
    <w:rsid w:val="007F59B2"/>
    <w:rsid w:val="007F6607"/>
    <w:rsid w:val="007F6D80"/>
    <w:rsid w:val="007F7865"/>
    <w:rsid w:val="007F7892"/>
    <w:rsid w:val="007F7FB3"/>
    <w:rsid w:val="0080026A"/>
    <w:rsid w:val="00800340"/>
    <w:rsid w:val="00800953"/>
    <w:rsid w:val="00801255"/>
    <w:rsid w:val="0080197B"/>
    <w:rsid w:val="00801B18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483"/>
    <w:rsid w:val="0080585D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17DD7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AC6"/>
    <w:rsid w:val="00822CB9"/>
    <w:rsid w:val="00822E2C"/>
    <w:rsid w:val="00823116"/>
    <w:rsid w:val="0082350E"/>
    <w:rsid w:val="00823658"/>
    <w:rsid w:val="008239BF"/>
    <w:rsid w:val="00823A2B"/>
    <w:rsid w:val="00823B36"/>
    <w:rsid w:val="00824886"/>
    <w:rsid w:val="0082488C"/>
    <w:rsid w:val="008251E7"/>
    <w:rsid w:val="00825417"/>
    <w:rsid w:val="008262BC"/>
    <w:rsid w:val="008266A2"/>
    <w:rsid w:val="008267AE"/>
    <w:rsid w:val="00826CF5"/>
    <w:rsid w:val="00826EBE"/>
    <w:rsid w:val="00830B33"/>
    <w:rsid w:val="0083118A"/>
    <w:rsid w:val="00831784"/>
    <w:rsid w:val="00832727"/>
    <w:rsid w:val="00832D4F"/>
    <w:rsid w:val="008337C1"/>
    <w:rsid w:val="00834F23"/>
    <w:rsid w:val="008353B6"/>
    <w:rsid w:val="008360CB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59F"/>
    <w:rsid w:val="00845B67"/>
    <w:rsid w:val="00845FC4"/>
    <w:rsid w:val="008461B0"/>
    <w:rsid w:val="008467E9"/>
    <w:rsid w:val="00846C9F"/>
    <w:rsid w:val="00846D16"/>
    <w:rsid w:val="00846F4C"/>
    <w:rsid w:val="0084761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04"/>
    <w:rsid w:val="008528CF"/>
    <w:rsid w:val="00852FFB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74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DA7"/>
    <w:rsid w:val="008705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F4F"/>
    <w:rsid w:val="008762D8"/>
    <w:rsid w:val="00877170"/>
    <w:rsid w:val="008772D9"/>
    <w:rsid w:val="00877B29"/>
    <w:rsid w:val="008808B9"/>
    <w:rsid w:val="00880B30"/>
    <w:rsid w:val="00880F1D"/>
    <w:rsid w:val="008811DA"/>
    <w:rsid w:val="00881521"/>
    <w:rsid w:val="0088172A"/>
    <w:rsid w:val="0088173A"/>
    <w:rsid w:val="00881F90"/>
    <w:rsid w:val="008851AB"/>
    <w:rsid w:val="008851C4"/>
    <w:rsid w:val="00885696"/>
    <w:rsid w:val="0088570A"/>
    <w:rsid w:val="00885E9D"/>
    <w:rsid w:val="0088636E"/>
    <w:rsid w:val="008864A7"/>
    <w:rsid w:val="0088666A"/>
    <w:rsid w:val="0088688A"/>
    <w:rsid w:val="00886A33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868"/>
    <w:rsid w:val="00895B46"/>
    <w:rsid w:val="00896474"/>
    <w:rsid w:val="00896DBC"/>
    <w:rsid w:val="0089739D"/>
    <w:rsid w:val="0089788F"/>
    <w:rsid w:val="00897B59"/>
    <w:rsid w:val="00897C6C"/>
    <w:rsid w:val="00897D1A"/>
    <w:rsid w:val="008A06E3"/>
    <w:rsid w:val="008A0905"/>
    <w:rsid w:val="008A0B02"/>
    <w:rsid w:val="008A0E0D"/>
    <w:rsid w:val="008A155C"/>
    <w:rsid w:val="008A180E"/>
    <w:rsid w:val="008A197C"/>
    <w:rsid w:val="008A2545"/>
    <w:rsid w:val="008A2636"/>
    <w:rsid w:val="008A2EFB"/>
    <w:rsid w:val="008A35DB"/>
    <w:rsid w:val="008A39F6"/>
    <w:rsid w:val="008A3AF9"/>
    <w:rsid w:val="008A3BD4"/>
    <w:rsid w:val="008A3CC5"/>
    <w:rsid w:val="008A3FBE"/>
    <w:rsid w:val="008A4013"/>
    <w:rsid w:val="008A4C9C"/>
    <w:rsid w:val="008A5C0E"/>
    <w:rsid w:val="008A6041"/>
    <w:rsid w:val="008A60F8"/>
    <w:rsid w:val="008A69FE"/>
    <w:rsid w:val="008A6EC7"/>
    <w:rsid w:val="008A6F36"/>
    <w:rsid w:val="008A7286"/>
    <w:rsid w:val="008A7B50"/>
    <w:rsid w:val="008B0641"/>
    <w:rsid w:val="008B0EB7"/>
    <w:rsid w:val="008B1133"/>
    <w:rsid w:val="008B138E"/>
    <w:rsid w:val="008B1C78"/>
    <w:rsid w:val="008B1F87"/>
    <w:rsid w:val="008B28BD"/>
    <w:rsid w:val="008B2E96"/>
    <w:rsid w:val="008B2F53"/>
    <w:rsid w:val="008B3006"/>
    <w:rsid w:val="008B3139"/>
    <w:rsid w:val="008B34FC"/>
    <w:rsid w:val="008B3B50"/>
    <w:rsid w:val="008B3D47"/>
    <w:rsid w:val="008B44CB"/>
    <w:rsid w:val="008B46D2"/>
    <w:rsid w:val="008B492E"/>
    <w:rsid w:val="008B5253"/>
    <w:rsid w:val="008B53D8"/>
    <w:rsid w:val="008B5E8A"/>
    <w:rsid w:val="008B63BE"/>
    <w:rsid w:val="008B640E"/>
    <w:rsid w:val="008B6505"/>
    <w:rsid w:val="008B688D"/>
    <w:rsid w:val="008B6D48"/>
    <w:rsid w:val="008B70EE"/>
    <w:rsid w:val="008B715C"/>
    <w:rsid w:val="008B75B8"/>
    <w:rsid w:val="008C0EAD"/>
    <w:rsid w:val="008C1442"/>
    <w:rsid w:val="008C1693"/>
    <w:rsid w:val="008C19D9"/>
    <w:rsid w:val="008C1A5E"/>
    <w:rsid w:val="008C1A81"/>
    <w:rsid w:val="008C268C"/>
    <w:rsid w:val="008C29FE"/>
    <w:rsid w:val="008C2E81"/>
    <w:rsid w:val="008C32CA"/>
    <w:rsid w:val="008C3967"/>
    <w:rsid w:val="008C431E"/>
    <w:rsid w:val="008C50D0"/>
    <w:rsid w:val="008C54BD"/>
    <w:rsid w:val="008C54C4"/>
    <w:rsid w:val="008C5A02"/>
    <w:rsid w:val="008C6056"/>
    <w:rsid w:val="008C6628"/>
    <w:rsid w:val="008C69C9"/>
    <w:rsid w:val="008C6E38"/>
    <w:rsid w:val="008C6F75"/>
    <w:rsid w:val="008C7B5F"/>
    <w:rsid w:val="008C7C18"/>
    <w:rsid w:val="008C7CC4"/>
    <w:rsid w:val="008D047D"/>
    <w:rsid w:val="008D0B4C"/>
    <w:rsid w:val="008D0FB8"/>
    <w:rsid w:val="008D14C4"/>
    <w:rsid w:val="008D1964"/>
    <w:rsid w:val="008D221A"/>
    <w:rsid w:val="008D24D6"/>
    <w:rsid w:val="008D24E1"/>
    <w:rsid w:val="008D3E6A"/>
    <w:rsid w:val="008D53E2"/>
    <w:rsid w:val="008D5908"/>
    <w:rsid w:val="008D5AF1"/>
    <w:rsid w:val="008D5D4E"/>
    <w:rsid w:val="008D6A6E"/>
    <w:rsid w:val="008D781F"/>
    <w:rsid w:val="008D7DBE"/>
    <w:rsid w:val="008E02B7"/>
    <w:rsid w:val="008E20BE"/>
    <w:rsid w:val="008E241B"/>
    <w:rsid w:val="008E3096"/>
    <w:rsid w:val="008E330C"/>
    <w:rsid w:val="008E332F"/>
    <w:rsid w:val="008E4114"/>
    <w:rsid w:val="008E45EA"/>
    <w:rsid w:val="008E4A1A"/>
    <w:rsid w:val="008E5084"/>
    <w:rsid w:val="008E5E01"/>
    <w:rsid w:val="008E69A3"/>
    <w:rsid w:val="008E7CC9"/>
    <w:rsid w:val="008F02A1"/>
    <w:rsid w:val="008F0E69"/>
    <w:rsid w:val="008F12FF"/>
    <w:rsid w:val="008F1BEF"/>
    <w:rsid w:val="008F370C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77E"/>
    <w:rsid w:val="008F72E7"/>
    <w:rsid w:val="008F7C28"/>
    <w:rsid w:val="0090034D"/>
    <w:rsid w:val="00900EC7"/>
    <w:rsid w:val="00900FFC"/>
    <w:rsid w:val="009011F9"/>
    <w:rsid w:val="00901244"/>
    <w:rsid w:val="009018CF"/>
    <w:rsid w:val="00901979"/>
    <w:rsid w:val="00902357"/>
    <w:rsid w:val="0090242A"/>
    <w:rsid w:val="00902C85"/>
    <w:rsid w:val="009030F7"/>
    <w:rsid w:val="009034D9"/>
    <w:rsid w:val="009046C9"/>
    <w:rsid w:val="009046F1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B57"/>
    <w:rsid w:val="0091148A"/>
    <w:rsid w:val="00912347"/>
    <w:rsid w:val="0091243E"/>
    <w:rsid w:val="0091268D"/>
    <w:rsid w:val="009129C1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4B1"/>
    <w:rsid w:val="009166CE"/>
    <w:rsid w:val="00916BF5"/>
    <w:rsid w:val="00916CCB"/>
    <w:rsid w:val="00917DB8"/>
    <w:rsid w:val="00917E84"/>
    <w:rsid w:val="00920EC8"/>
    <w:rsid w:val="00921102"/>
    <w:rsid w:val="00921305"/>
    <w:rsid w:val="00921783"/>
    <w:rsid w:val="009217D9"/>
    <w:rsid w:val="00921AC8"/>
    <w:rsid w:val="0092206F"/>
    <w:rsid w:val="0092228D"/>
    <w:rsid w:val="00922482"/>
    <w:rsid w:val="0092284F"/>
    <w:rsid w:val="00922A2B"/>
    <w:rsid w:val="009248F9"/>
    <w:rsid w:val="00924A6C"/>
    <w:rsid w:val="00924ED4"/>
    <w:rsid w:val="00924F63"/>
    <w:rsid w:val="009271AB"/>
    <w:rsid w:val="00927281"/>
    <w:rsid w:val="009273B8"/>
    <w:rsid w:val="009276D2"/>
    <w:rsid w:val="00927A20"/>
    <w:rsid w:val="00930298"/>
    <w:rsid w:val="009302A6"/>
    <w:rsid w:val="0093101B"/>
    <w:rsid w:val="00931325"/>
    <w:rsid w:val="009319DC"/>
    <w:rsid w:val="00931AAD"/>
    <w:rsid w:val="00931E6D"/>
    <w:rsid w:val="009327E0"/>
    <w:rsid w:val="00932D04"/>
    <w:rsid w:val="00932E9E"/>
    <w:rsid w:val="00933B8A"/>
    <w:rsid w:val="00934141"/>
    <w:rsid w:val="009341AA"/>
    <w:rsid w:val="0093429A"/>
    <w:rsid w:val="009352D3"/>
    <w:rsid w:val="0093556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4312"/>
    <w:rsid w:val="009443DC"/>
    <w:rsid w:val="00944AE2"/>
    <w:rsid w:val="0094526B"/>
    <w:rsid w:val="00945488"/>
    <w:rsid w:val="009456EB"/>
    <w:rsid w:val="00945E7E"/>
    <w:rsid w:val="00945E8F"/>
    <w:rsid w:val="009462EC"/>
    <w:rsid w:val="009463FD"/>
    <w:rsid w:val="009467FD"/>
    <w:rsid w:val="00946D2E"/>
    <w:rsid w:val="00946E64"/>
    <w:rsid w:val="009472F6"/>
    <w:rsid w:val="0094783F"/>
    <w:rsid w:val="00950365"/>
    <w:rsid w:val="00950B18"/>
    <w:rsid w:val="00950C55"/>
    <w:rsid w:val="00950CB3"/>
    <w:rsid w:val="0095267E"/>
    <w:rsid w:val="00952EBB"/>
    <w:rsid w:val="00952F24"/>
    <w:rsid w:val="00953100"/>
    <w:rsid w:val="0095370E"/>
    <w:rsid w:val="00953B5D"/>
    <w:rsid w:val="00953D3D"/>
    <w:rsid w:val="00953F68"/>
    <w:rsid w:val="009543D8"/>
    <w:rsid w:val="009545D6"/>
    <w:rsid w:val="00954F67"/>
    <w:rsid w:val="00955504"/>
    <w:rsid w:val="009555E8"/>
    <w:rsid w:val="00955AA9"/>
    <w:rsid w:val="00955AB2"/>
    <w:rsid w:val="00955E60"/>
    <w:rsid w:val="00955EC8"/>
    <w:rsid w:val="0095617B"/>
    <w:rsid w:val="009565D5"/>
    <w:rsid w:val="0095699A"/>
    <w:rsid w:val="00956B34"/>
    <w:rsid w:val="0095702D"/>
    <w:rsid w:val="009571A6"/>
    <w:rsid w:val="0095752A"/>
    <w:rsid w:val="009577C1"/>
    <w:rsid w:val="00957E29"/>
    <w:rsid w:val="009602BA"/>
    <w:rsid w:val="009607B1"/>
    <w:rsid w:val="009615D7"/>
    <w:rsid w:val="00961CAF"/>
    <w:rsid w:val="00962CB0"/>
    <w:rsid w:val="00962D1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886"/>
    <w:rsid w:val="009669CC"/>
    <w:rsid w:val="00967655"/>
    <w:rsid w:val="0097090D"/>
    <w:rsid w:val="00970E13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2DB7"/>
    <w:rsid w:val="00973A35"/>
    <w:rsid w:val="00974A1E"/>
    <w:rsid w:val="00975221"/>
    <w:rsid w:val="0097559A"/>
    <w:rsid w:val="00975D48"/>
    <w:rsid w:val="00976546"/>
    <w:rsid w:val="00976FCF"/>
    <w:rsid w:val="00977809"/>
    <w:rsid w:val="009802F9"/>
    <w:rsid w:val="00980BAC"/>
    <w:rsid w:val="00980DF0"/>
    <w:rsid w:val="00980F3F"/>
    <w:rsid w:val="00981D1C"/>
    <w:rsid w:val="00982214"/>
    <w:rsid w:val="009823D4"/>
    <w:rsid w:val="00982474"/>
    <w:rsid w:val="00983285"/>
    <w:rsid w:val="0098397B"/>
    <w:rsid w:val="00984275"/>
    <w:rsid w:val="0098436A"/>
    <w:rsid w:val="00984672"/>
    <w:rsid w:val="00984F97"/>
    <w:rsid w:val="0098569D"/>
    <w:rsid w:val="00985A09"/>
    <w:rsid w:val="00986277"/>
    <w:rsid w:val="009866A3"/>
    <w:rsid w:val="0098693D"/>
    <w:rsid w:val="0099016D"/>
    <w:rsid w:val="00990343"/>
    <w:rsid w:val="009905E1"/>
    <w:rsid w:val="0099064C"/>
    <w:rsid w:val="0099078A"/>
    <w:rsid w:val="0099097F"/>
    <w:rsid w:val="00992097"/>
    <w:rsid w:val="0099282E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B66"/>
    <w:rsid w:val="00995C16"/>
    <w:rsid w:val="0099625A"/>
    <w:rsid w:val="009965BC"/>
    <w:rsid w:val="0099662E"/>
    <w:rsid w:val="00997258"/>
    <w:rsid w:val="00997C19"/>
    <w:rsid w:val="009A0415"/>
    <w:rsid w:val="009A04CD"/>
    <w:rsid w:val="009A177E"/>
    <w:rsid w:val="009A1AE9"/>
    <w:rsid w:val="009A22E6"/>
    <w:rsid w:val="009A2486"/>
    <w:rsid w:val="009A2690"/>
    <w:rsid w:val="009A277E"/>
    <w:rsid w:val="009A3307"/>
    <w:rsid w:val="009A3520"/>
    <w:rsid w:val="009A3547"/>
    <w:rsid w:val="009A39FF"/>
    <w:rsid w:val="009A3CB5"/>
    <w:rsid w:val="009A3EAF"/>
    <w:rsid w:val="009A3F33"/>
    <w:rsid w:val="009A40AF"/>
    <w:rsid w:val="009A5501"/>
    <w:rsid w:val="009A5AE0"/>
    <w:rsid w:val="009A6621"/>
    <w:rsid w:val="009A69B9"/>
    <w:rsid w:val="009A6AEA"/>
    <w:rsid w:val="009A6CC5"/>
    <w:rsid w:val="009B11C6"/>
    <w:rsid w:val="009B1F3A"/>
    <w:rsid w:val="009B2766"/>
    <w:rsid w:val="009B2A53"/>
    <w:rsid w:val="009B32F0"/>
    <w:rsid w:val="009B3EB4"/>
    <w:rsid w:val="009B3F21"/>
    <w:rsid w:val="009B42BE"/>
    <w:rsid w:val="009B5973"/>
    <w:rsid w:val="009B5B48"/>
    <w:rsid w:val="009B62E6"/>
    <w:rsid w:val="009B67C4"/>
    <w:rsid w:val="009B6A3F"/>
    <w:rsid w:val="009B6C5A"/>
    <w:rsid w:val="009B71E1"/>
    <w:rsid w:val="009C0448"/>
    <w:rsid w:val="009C0615"/>
    <w:rsid w:val="009C0CF8"/>
    <w:rsid w:val="009C125A"/>
    <w:rsid w:val="009C1EB2"/>
    <w:rsid w:val="009C2675"/>
    <w:rsid w:val="009C2839"/>
    <w:rsid w:val="009C2A3D"/>
    <w:rsid w:val="009C2DC4"/>
    <w:rsid w:val="009C3042"/>
    <w:rsid w:val="009C386A"/>
    <w:rsid w:val="009C3E9C"/>
    <w:rsid w:val="009C4A32"/>
    <w:rsid w:val="009C5099"/>
    <w:rsid w:val="009C63AB"/>
    <w:rsid w:val="009C69D0"/>
    <w:rsid w:val="009C69F4"/>
    <w:rsid w:val="009C6E3A"/>
    <w:rsid w:val="009C7163"/>
    <w:rsid w:val="009C77A3"/>
    <w:rsid w:val="009D1082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DF7"/>
    <w:rsid w:val="009D3EDD"/>
    <w:rsid w:val="009D48BA"/>
    <w:rsid w:val="009D4B7E"/>
    <w:rsid w:val="009D4D48"/>
    <w:rsid w:val="009D4DC6"/>
    <w:rsid w:val="009D4EF0"/>
    <w:rsid w:val="009D5106"/>
    <w:rsid w:val="009D66B9"/>
    <w:rsid w:val="009D6B77"/>
    <w:rsid w:val="009D6CE1"/>
    <w:rsid w:val="009D7FF1"/>
    <w:rsid w:val="009E14B2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5013"/>
    <w:rsid w:val="009E56B0"/>
    <w:rsid w:val="009E5917"/>
    <w:rsid w:val="009E6223"/>
    <w:rsid w:val="009E725F"/>
    <w:rsid w:val="009E79CF"/>
    <w:rsid w:val="009E7F2E"/>
    <w:rsid w:val="009F009C"/>
    <w:rsid w:val="009F0345"/>
    <w:rsid w:val="009F04F2"/>
    <w:rsid w:val="009F0A8F"/>
    <w:rsid w:val="009F231C"/>
    <w:rsid w:val="009F2512"/>
    <w:rsid w:val="009F2C7D"/>
    <w:rsid w:val="009F40CE"/>
    <w:rsid w:val="009F4CDA"/>
    <w:rsid w:val="009F59BF"/>
    <w:rsid w:val="009F5F68"/>
    <w:rsid w:val="009F776E"/>
    <w:rsid w:val="00A00F42"/>
    <w:rsid w:val="00A01279"/>
    <w:rsid w:val="00A01519"/>
    <w:rsid w:val="00A0195A"/>
    <w:rsid w:val="00A01990"/>
    <w:rsid w:val="00A02D3C"/>
    <w:rsid w:val="00A032EA"/>
    <w:rsid w:val="00A0408F"/>
    <w:rsid w:val="00A044D1"/>
    <w:rsid w:val="00A04E68"/>
    <w:rsid w:val="00A050D4"/>
    <w:rsid w:val="00A05975"/>
    <w:rsid w:val="00A05EAA"/>
    <w:rsid w:val="00A0608D"/>
    <w:rsid w:val="00A060BE"/>
    <w:rsid w:val="00A0695E"/>
    <w:rsid w:val="00A06F4E"/>
    <w:rsid w:val="00A07D26"/>
    <w:rsid w:val="00A1036E"/>
    <w:rsid w:val="00A104A1"/>
    <w:rsid w:val="00A10D80"/>
    <w:rsid w:val="00A10FC7"/>
    <w:rsid w:val="00A11313"/>
    <w:rsid w:val="00A11671"/>
    <w:rsid w:val="00A1187C"/>
    <w:rsid w:val="00A12CCC"/>
    <w:rsid w:val="00A12D1A"/>
    <w:rsid w:val="00A12E07"/>
    <w:rsid w:val="00A12F3D"/>
    <w:rsid w:val="00A13A4E"/>
    <w:rsid w:val="00A15566"/>
    <w:rsid w:val="00A15B2D"/>
    <w:rsid w:val="00A163CD"/>
    <w:rsid w:val="00A16778"/>
    <w:rsid w:val="00A16B57"/>
    <w:rsid w:val="00A20224"/>
    <w:rsid w:val="00A2081A"/>
    <w:rsid w:val="00A21424"/>
    <w:rsid w:val="00A21997"/>
    <w:rsid w:val="00A23A98"/>
    <w:rsid w:val="00A24217"/>
    <w:rsid w:val="00A244E9"/>
    <w:rsid w:val="00A24530"/>
    <w:rsid w:val="00A24622"/>
    <w:rsid w:val="00A246A3"/>
    <w:rsid w:val="00A24FF0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A17"/>
    <w:rsid w:val="00A27B57"/>
    <w:rsid w:val="00A27BF2"/>
    <w:rsid w:val="00A300D5"/>
    <w:rsid w:val="00A313B3"/>
    <w:rsid w:val="00A31D00"/>
    <w:rsid w:val="00A32051"/>
    <w:rsid w:val="00A32AE0"/>
    <w:rsid w:val="00A32B77"/>
    <w:rsid w:val="00A32BB4"/>
    <w:rsid w:val="00A33CCF"/>
    <w:rsid w:val="00A356DB"/>
    <w:rsid w:val="00A35D65"/>
    <w:rsid w:val="00A36CF6"/>
    <w:rsid w:val="00A36EC5"/>
    <w:rsid w:val="00A37EDA"/>
    <w:rsid w:val="00A4035D"/>
    <w:rsid w:val="00A413A3"/>
    <w:rsid w:val="00A41CE4"/>
    <w:rsid w:val="00A4254C"/>
    <w:rsid w:val="00A43270"/>
    <w:rsid w:val="00A4539E"/>
    <w:rsid w:val="00A46080"/>
    <w:rsid w:val="00A461CB"/>
    <w:rsid w:val="00A46C6C"/>
    <w:rsid w:val="00A46EB1"/>
    <w:rsid w:val="00A46F37"/>
    <w:rsid w:val="00A47A54"/>
    <w:rsid w:val="00A47C59"/>
    <w:rsid w:val="00A50FEC"/>
    <w:rsid w:val="00A51326"/>
    <w:rsid w:val="00A51FC3"/>
    <w:rsid w:val="00A532FC"/>
    <w:rsid w:val="00A53624"/>
    <w:rsid w:val="00A54F72"/>
    <w:rsid w:val="00A55649"/>
    <w:rsid w:val="00A565B6"/>
    <w:rsid w:val="00A567E2"/>
    <w:rsid w:val="00A56806"/>
    <w:rsid w:val="00A57F15"/>
    <w:rsid w:val="00A60066"/>
    <w:rsid w:val="00A60179"/>
    <w:rsid w:val="00A60EE6"/>
    <w:rsid w:val="00A61782"/>
    <w:rsid w:val="00A61FDA"/>
    <w:rsid w:val="00A62B8D"/>
    <w:rsid w:val="00A62B94"/>
    <w:rsid w:val="00A63850"/>
    <w:rsid w:val="00A64787"/>
    <w:rsid w:val="00A648E9"/>
    <w:rsid w:val="00A6654A"/>
    <w:rsid w:val="00A66C0D"/>
    <w:rsid w:val="00A6764D"/>
    <w:rsid w:val="00A67934"/>
    <w:rsid w:val="00A67D4A"/>
    <w:rsid w:val="00A67DE5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B45"/>
    <w:rsid w:val="00A75D3F"/>
    <w:rsid w:val="00A760C0"/>
    <w:rsid w:val="00A768C8"/>
    <w:rsid w:val="00A76C21"/>
    <w:rsid w:val="00A77727"/>
    <w:rsid w:val="00A77A46"/>
    <w:rsid w:val="00A8226A"/>
    <w:rsid w:val="00A82941"/>
    <w:rsid w:val="00A82D0D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3738"/>
    <w:rsid w:val="00A94084"/>
    <w:rsid w:val="00A9446E"/>
    <w:rsid w:val="00A96852"/>
    <w:rsid w:val="00A96C21"/>
    <w:rsid w:val="00A9791D"/>
    <w:rsid w:val="00A97D4A"/>
    <w:rsid w:val="00A97DB8"/>
    <w:rsid w:val="00AA0209"/>
    <w:rsid w:val="00AA03A6"/>
    <w:rsid w:val="00AA1128"/>
    <w:rsid w:val="00AA1A7C"/>
    <w:rsid w:val="00AA1ADA"/>
    <w:rsid w:val="00AA1D69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4CD3"/>
    <w:rsid w:val="00AA5515"/>
    <w:rsid w:val="00AA567F"/>
    <w:rsid w:val="00AA583C"/>
    <w:rsid w:val="00AA6136"/>
    <w:rsid w:val="00AA65CF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221D"/>
    <w:rsid w:val="00AB32C1"/>
    <w:rsid w:val="00AB3552"/>
    <w:rsid w:val="00AB39CB"/>
    <w:rsid w:val="00AB481B"/>
    <w:rsid w:val="00AB49C3"/>
    <w:rsid w:val="00AB55F8"/>
    <w:rsid w:val="00AB5DF2"/>
    <w:rsid w:val="00AB6C4D"/>
    <w:rsid w:val="00AB7212"/>
    <w:rsid w:val="00AB7866"/>
    <w:rsid w:val="00AC0768"/>
    <w:rsid w:val="00AC1D3B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613C"/>
    <w:rsid w:val="00AC617D"/>
    <w:rsid w:val="00AC7042"/>
    <w:rsid w:val="00AC752F"/>
    <w:rsid w:val="00AC7B8D"/>
    <w:rsid w:val="00AC7E49"/>
    <w:rsid w:val="00AD099F"/>
    <w:rsid w:val="00AD1C10"/>
    <w:rsid w:val="00AD2E7B"/>
    <w:rsid w:val="00AD2F8F"/>
    <w:rsid w:val="00AD3685"/>
    <w:rsid w:val="00AD3966"/>
    <w:rsid w:val="00AD3F4F"/>
    <w:rsid w:val="00AD403C"/>
    <w:rsid w:val="00AD4153"/>
    <w:rsid w:val="00AD4838"/>
    <w:rsid w:val="00AD5420"/>
    <w:rsid w:val="00AD54E6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46A"/>
    <w:rsid w:val="00AE05BF"/>
    <w:rsid w:val="00AE0D8D"/>
    <w:rsid w:val="00AE23C8"/>
    <w:rsid w:val="00AE265A"/>
    <w:rsid w:val="00AE308D"/>
    <w:rsid w:val="00AE36D1"/>
    <w:rsid w:val="00AE3DDB"/>
    <w:rsid w:val="00AE4A64"/>
    <w:rsid w:val="00AE54BD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3D9"/>
    <w:rsid w:val="00AF290E"/>
    <w:rsid w:val="00AF29FA"/>
    <w:rsid w:val="00AF37D5"/>
    <w:rsid w:val="00AF381B"/>
    <w:rsid w:val="00AF3F63"/>
    <w:rsid w:val="00AF4345"/>
    <w:rsid w:val="00AF463B"/>
    <w:rsid w:val="00AF4CC5"/>
    <w:rsid w:val="00AF5319"/>
    <w:rsid w:val="00AF608B"/>
    <w:rsid w:val="00AF6A59"/>
    <w:rsid w:val="00AF7BDD"/>
    <w:rsid w:val="00B00F8C"/>
    <w:rsid w:val="00B00FEC"/>
    <w:rsid w:val="00B01277"/>
    <w:rsid w:val="00B017B2"/>
    <w:rsid w:val="00B02145"/>
    <w:rsid w:val="00B02F0C"/>
    <w:rsid w:val="00B0307C"/>
    <w:rsid w:val="00B03776"/>
    <w:rsid w:val="00B03ED8"/>
    <w:rsid w:val="00B0401D"/>
    <w:rsid w:val="00B042D2"/>
    <w:rsid w:val="00B04E8D"/>
    <w:rsid w:val="00B04F50"/>
    <w:rsid w:val="00B0542F"/>
    <w:rsid w:val="00B05A05"/>
    <w:rsid w:val="00B05DFC"/>
    <w:rsid w:val="00B06495"/>
    <w:rsid w:val="00B064F1"/>
    <w:rsid w:val="00B06DA3"/>
    <w:rsid w:val="00B109DF"/>
    <w:rsid w:val="00B118E1"/>
    <w:rsid w:val="00B11A39"/>
    <w:rsid w:val="00B11A5F"/>
    <w:rsid w:val="00B11A9A"/>
    <w:rsid w:val="00B11BDA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DB9"/>
    <w:rsid w:val="00B17366"/>
    <w:rsid w:val="00B1780E"/>
    <w:rsid w:val="00B200D3"/>
    <w:rsid w:val="00B2060E"/>
    <w:rsid w:val="00B20DCF"/>
    <w:rsid w:val="00B20F8A"/>
    <w:rsid w:val="00B215EB"/>
    <w:rsid w:val="00B2173E"/>
    <w:rsid w:val="00B22522"/>
    <w:rsid w:val="00B2288A"/>
    <w:rsid w:val="00B230A6"/>
    <w:rsid w:val="00B24D66"/>
    <w:rsid w:val="00B258AF"/>
    <w:rsid w:val="00B264B0"/>
    <w:rsid w:val="00B26CDB"/>
    <w:rsid w:val="00B26D2E"/>
    <w:rsid w:val="00B26ECF"/>
    <w:rsid w:val="00B27444"/>
    <w:rsid w:val="00B27734"/>
    <w:rsid w:val="00B27771"/>
    <w:rsid w:val="00B27787"/>
    <w:rsid w:val="00B278D7"/>
    <w:rsid w:val="00B3091E"/>
    <w:rsid w:val="00B30FC3"/>
    <w:rsid w:val="00B31602"/>
    <w:rsid w:val="00B319FE"/>
    <w:rsid w:val="00B3232C"/>
    <w:rsid w:val="00B331B8"/>
    <w:rsid w:val="00B33786"/>
    <w:rsid w:val="00B337A4"/>
    <w:rsid w:val="00B34212"/>
    <w:rsid w:val="00B34725"/>
    <w:rsid w:val="00B355F0"/>
    <w:rsid w:val="00B3578C"/>
    <w:rsid w:val="00B36D9E"/>
    <w:rsid w:val="00B37311"/>
    <w:rsid w:val="00B373FB"/>
    <w:rsid w:val="00B37975"/>
    <w:rsid w:val="00B4106F"/>
    <w:rsid w:val="00B41BE7"/>
    <w:rsid w:val="00B424F7"/>
    <w:rsid w:val="00B42568"/>
    <w:rsid w:val="00B4316E"/>
    <w:rsid w:val="00B4339F"/>
    <w:rsid w:val="00B4381B"/>
    <w:rsid w:val="00B4383C"/>
    <w:rsid w:val="00B4403D"/>
    <w:rsid w:val="00B4423D"/>
    <w:rsid w:val="00B45847"/>
    <w:rsid w:val="00B460A1"/>
    <w:rsid w:val="00B46275"/>
    <w:rsid w:val="00B464C7"/>
    <w:rsid w:val="00B4658A"/>
    <w:rsid w:val="00B4733F"/>
    <w:rsid w:val="00B4758E"/>
    <w:rsid w:val="00B47CBB"/>
    <w:rsid w:val="00B503D0"/>
    <w:rsid w:val="00B5083E"/>
    <w:rsid w:val="00B50ADB"/>
    <w:rsid w:val="00B51519"/>
    <w:rsid w:val="00B51604"/>
    <w:rsid w:val="00B51F64"/>
    <w:rsid w:val="00B53B4E"/>
    <w:rsid w:val="00B53C5F"/>
    <w:rsid w:val="00B54BD8"/>
    <w:rsid w:val="00B55933"/>
    <w:rsid w:val="00B5596C"/>
    <w:rsid w:val="00B55CC5"/>
    <w:rsid w:val="00B565A9"/>
    <w:rsid w:val="00B569B2"/>
    <w:rsid w:val="00B56FBD"/>
    <w:rsid w:val="00B5715A"/>
    <w:rsid w:val="00B57327"/>
    <w:rsid w:val="00B6002D"/>
    <w:rsid w:val="00B6010B"/>
    <w:rsid w:val="00B61262"/>
    <w:rsid w:val="00B6210A"/>
    <w:rsid w:val="00B6220A"/>
    <w:rsid w:val="00B629F3"/>
    <w:rsid w:val="00B640CF"/>
    <w:rsid w:val="00B65828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0AFC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589"/>
    <w:rsid w:val="00B87EBC"/>
    <w:rsid w:val="00B87FF0"/>
    <w:rsid w:val="00B90825"/>
    <w:rsid w:val="00B9084F"/>
    <w:rsid w:val="00B90862"/>
    <w:rsid w:val="00B90DD5"/>
    <w:rsid w:val="00B912EC"/>
    <w:rsid w:val="00B916C0"/>
    <w:rsid w:val="00B917AC"/>
    <w:rsid w:val="00B91F77"/>
    <w:rsid w:val="00B926AC"/>
    <w:rsid w:val="00B92E6B"/>
    <w:rsid w:val="00B93043"/>
    <w:rsid w:val="00B93431"/>
    <w:rsid w:val="00B93500"/>
    <w:rsid w:val="00B93D97"/>
    <w:rsid w:val="00B94392"/>
    <w:rsid w:val="00B9439B"/>
    <w:rsid w:val="00B94AE4"/>
    <w:rsid w:val="00B955F5"/>
    <w:rsid w:val="00B95663"/>
    <w:rsid w:val="00B95A36"/>
    <w:rsid w:val="00B95CCC"/>
    <w:rsid w:val="00B95F44"/>
    <w:rsid w:val="00B96D3C"/>
    <w:rsid w:val="00B97577"/>
    <w:rsid w:val="00BA0FE9"/>
    <w:rsid w:val="00BA139F"/>
    <w:rsid w:val="00BA1A0B"/>
    <w:rsid w:val="00BA1E85"/>
    <w:rsid w:val="00BA1EA6"/>
    <w:rsid w:val="00BA25F7"/>
    <w:rsid w:val="00BA359B"/>
    <w:rsid w:val="00BA3A93"/>
    <w:rsid w:val="00BA4D05"/>
    <w:rsid w:val="00BA5165"/>
    <w:rsid w:val="00BA5599"/>
    <w:rsid w:val="00BA5A40"/>
    <w:rsid w:val="00BA5A84"/>
    <w:rsid w:val="00BA5FD5"/>
    <w:rsid w:val="00BA62AB"/>
    <w:rsid w:val="00BA7E0B"/>
    <w:rsid w:val="00BB0DE3"/>
    <w:rsid w:val="00BB0EA0"/>
    <w:rsid w:val="00BB10CD"/>
    <w:rsid w:val="00BB10F0"/>
    <w:rsid w:val="00BB122E"/>
    <w:rsid w:val="00BB25BB"/>
    <w:rsid w:val="00BB2CEC"/>
    <w:rsid w:val="00BB4A6F"/>
    <w:rsid w:val="00BB4D81"/>
    <w:rsid w:val="00BB4EBC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964"/>
    <w:rsid w:val="00BC3112"/>
    <w:rsid w:val="00BC3776"/>
    <w:rsid w:val="00BC3D8E"/>
    <w:rsid w:val="00BC3E7F"/>
    <w:rsid w:val="00BC41B5"/>
    <w:rsid w:val="00BC4C63"/>
    <w:rsid w:val="00BC54D1"/>
    <w:rsid w:val="00BC5912"/>
    <w:rsid w:val="00BC6050"/>
    <w:rsid w:val="00BC6308"/>
    <w:rsid w:val="00BC63FE"/>
    <w:rsid w:val="00BC666D"/>
    <w:rsid w:val="00BC67A4"/>
    <w:rsid w:val="00BC6B4D"/>
    <w:rsid w:val="00BC6C4F"/>
    <w:rsid w:val="00BC76AA"/>
    <w:rsid w:val="00BD1290"/>
    <w:rsid w:val="00BD1CFB"/>
    <w:rsid w:val="00BD255F"/>
    <w:rsid w:val="00BD2B8F"/>
    <w:rsid w:val="00BD2FEE"/>
    <w:rsid w:val="00BD35B9"/>
    <w:rsid w:val="00BD36EC"/>
    <w:rsid w:val="00BD4A52"/>
    <w:rsid w:val="00BD51CA"/>
    <w:rsid w:val="00BD5CD2"/>
    <w:rsid w:val="00BD7288"/>
    <w:rsid w:val="00BD77DE"/>
    <w:rsid w:val="00BD79C2"/>
    <w:rsid w:val="00BD7C97"/>
    <w:rsid w:val="00BE1F2E"/>
    <w:rsid w:val="00BE1FA7"/>
    <w:rsid w:val="00BE2AD7"/>
    <w:rsid w:val="00BE2BAA"/>
    <w:rsid w:val="00BE49CC"/>
    <w:rsid w:val="00BE4F8D"/>
    <w:rsid w:val="00BE54E8"/>
    <w:rsid w:val="00BE590A"/>
    <w:rsid w:val="00BE5EF9"/>
    <w:rsid w:val="00BE706D"/>
    <w:rsid w:val="00BE770F"/>
    <w:rsid w:val="00BE778C"/>
    <w:rsid w:val="00BF01D4"/>
    <w:rsid w:val="00BF077D"/>
    <w:rsid w:val="00BF20FB"/>
    <w:rsid w:val="00BF2997"/>
    <w:rsid w:val="00BF4C22"/>
    <w:rsid w:val="00BF4CD1"/>
    <w:rsid w:val="00BF4DD7"/>
    <w:rsid w:val="00BF51E4"/>
    <w:rsid w:val="00BF6043"/>
    <w:rsid w:val="00BF76ED"/>
    <w:rsid w:val="00C00156"/>
    <w:rsid w:val="00C003C3"/>
    <w:rsid w:val="00C00560"/>
    <w:rsid w:val="00C006F6"/>
    <w:rsid w:val="00C00838"/>
    <w:rsid w:val="00C008C6"/>
    <w:rsid w:val="00C00BE6"/>
    <w:rsid w:val="00C00F80"/>
    <w:rsid w:val="00C01250"/>
    <w:rsid w:val="00C01398"/>
    <w:rsid w:val="00C01619"/>
    <w:rsid w:val="00C02A19"/>
    <w:rsid w:val="00C03041"/>
    <w:rsid w:val="00C03815"/>
    <w:rsid w:val="00C041F4"/>
    <w:rsid w:val="00C049FA"/>
    <w:rsid w:val="00C04C59"/>
    <w:rsid w:val="00C0524E"/>
    <w:rsid w:val="00C05428"/>
    <w:rsid w:val="00C058A3"/>
    <w:rsid w:val="00C05E05"/>
    <w:rsid w:val="00C0711F"/>
    <w:rsid w:val="00C077E1"/>
    <w:rsid w:val="00C07E8E"/>
    <w:rsid w:val="00C1077D"/>
    <w:rsid w:val="00C107BE"/>
    <w:rsid w:val="00C10BD0"/>
    <w:rsid w:val="00C10C03"/>
    <w:rsid w:val="00C112F7"/>
    <w:rsid w:val="00C1161D"/>
    <w:rsid w:val="00C12B5F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CA5"/>
    <w:rsid w:val="00C15BE1"/>
    <w:rsid w:val="00C15EDA"/>
    <w:rsid w:val="00C160D9"/>
    <w:rsid w:val="00C16B32"/>
    <w:rsid w:val="00C16FF1"/>
    <w:rsid w:val="00C17089"/>
    <w:rsid w:val="00C1715B"/>
    <w:rsid w:val="00C1757F"/>
    <w:rsid w:val="00C17B74"/>
    <w:rsid w:val="00C17BCC"/>
    <w:rsid w:val="00C20358"/>
    <w:rsid w:val="00C2071F"/>
    <w:rsid w:val="00C209E6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6495"/>
    <w:rsid w:val="00C26B72"/>
    <w:rsid w:val="00C273ED"/>
    <w:rsid w:val="00C27447"/>
    <w:rsid w:val="00C27891"/>
    <w:rsid w:val="00C27D45"/>
    <w:rsid w:val="00C300F5"/>
    <w:rsid w:val="00C30AED"/>
    <w:rsid w:val="00C31073"/>
    <w:rsid w:val="00C314B5"/>
    <w:rsid w:val="00C31AC3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947"/>
    <w:rsid w:val="00C36001"/>
    <w:rsid w:val="00C36FFE"/>
    <w:rsid w:val="00C375DD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D4"/>
    <w:rsid w:val="00C4445E"/>
    <w:rsid w:val="00C44846"/>
    <w:rsid w:val="00C4530D"/>
    <w:rsid w:val="00C45A51"/>
    <w:rsid w:val="00C45BA9"/>
    <w:rsid w:val="00C469E3"/>
    <w:rsid w:val="00C47155"/>
    <w:rsid w:val="00C47987"/>
    <w:rsid w:val="00C47CD2"/>
    <w:rsid w:val="00C47D56"/>
    <w:rsid w:val="00C510DE"/>
    <w:rsid w:val="00C536E4"/>
    <w:rsid w:val="00C538AE"/>
    <w:rsid w:val="00C53C32"/>
    <w:rsid w:val="00C53E7A"/>
    <w:rsid w:val="00C54492"/>
    <w:rsid w:val="00C544B6"/>
    <w:rsid w:val="00C54601"/>
    <w:rsid w:val="00C54E26"/>
    <w:rsid w:val="00C5671C"/>
    <w:rsid w:val="00C56A84"/>
    <w:rsid w:val="00C575E8"/>
    <w:rsid w:val="00C5777E"/>
    <w:rsid w:val="00C57EB0"/>
    <w:rsid w:val="00C60984"/>
    <w:rsid w:val="00C60E33"/>
    <w:rsid w:val="00C6111A"/>
    <w:rsid w:val="00C61402"/>
    <w:rsid w:val="00C61801"/>
    <w:rsid w:val="00C618DF"/>
    <w:rsid w:val="00C65030"/>
    <w:rsid w:val="00C6515A"/>
    <w:rsid w:val="00C652A1"/>
    <w:rsid w:val="00C655E4"/>
    <w:rsid w:val="00C65738"/>
    <w:rsid w:val="00C6590A"/>
    <w:rsid w:val="00C65FFB"/>
    <w:rsid w:val="00C6650D"/>
    <w:rsid w:val="00C66663"/>
    <w:rsid w:val="00C668D8"/>
    <w:rsid w:val="00C66BCD"/>
    <w:rsid w:val="00C66E74"/>
    <w:rsid w:val="00C67029"/>
    <w:rsid w:val="00C70B38"/>
    <w:rsid w:val="00C70B43"/>
    <w:rsid w:val="00C70B6D"/>
    <w:rsid w:val="00C71A56"/>
    <w:rsid w:val="00C730CC"/>
    <w:rsid w:val="00C74485"/>
    <w:rsid w:val="00C7532A"/>
    <w:rsid w:val="00C75721"/>
    <w:rsid w:val="00C760A6"/>
    <w:rsid w:val="00C762B7"/>
    <w:rsid w:val="00C76825"/>
    <w:rsid w:val="00C77C4B"/>
    <w:rsid w:val="00C77D50"/>
    <w:rsid w:val="00C80DC6"/>
    <w:rsid w:val="00C815E4"/>
    <w:rsid w:val="00C8177D"/>
    <w:rsid w:val="00C8290C"/>
    <w:rsid w:val="00C83BAE"/>
    <w:rsid w:val="00C83FA7"/>
    <w:rsid w:val="00C8512B"/>
    <w:rsid w:val="00C858C8"/>
    <w:rsid w:val="00C85A79"/>
    <w:rsid w:val="00C86242"/>
    <w:rsid w:val="00C86D64"/>
    <w:rsid w:val="00C86DA1"/>
    <w:rsid w:val="00C87CDD"/>
    <w:rsid w:val="00C909EE"/>
    <w:rsid w:val="00C90AD2"/>
    <w:rsid w:val="00C90E27"/>
    <w:rsid w:val="00C910ED"/>
    <w:rsid w:val="00C914C9"/>
    <w:rsid w:val="00C9156F"/>
    <w:rsid w:val="00C91E57"/>
    <w:rsid w:val="00C922E8"/>
    <w:rsid w:val="00C93188"/>
    <w:rsid w:val="00C939E3"/>
    <w:rsid w:val="00C94EF3"/>
    <w:rsid w:val="00C952A9"/>
    <w:rsid w:val="00C9534F"/>
    <w:rsid w:val="00C95E98"/>
    <w:rsid w:val="00C95F67"/>
    <w:rsid w:val="00C9600C"/>
    <w:rsid w:val="00C961C0"/>
    <w:rsid w:val="00C965E4"/>
    <w:rsid w:val="00C9739A"/>
    <w:rsid w:val="00C9794D"/>
    <w:rsid w:val="00CA05E2"/>
    <w:rsid w:val="00CA0B7E"/>
    <w:rsid w:val="00CA13BF"/>
    <w:rsid w:val="00CA13F7"/>
    <w:rsid w:val="00CA1463"/>
    <w:rsid w:val="00CA14DE"/>
    <w:rsid w:val="00CA2A57"/>
    <w:rsid w:val="00CA2C4B"/>
    <w:rsid w:val="00CA30A9"/>
    <w:rsid w:val="00CA35EC"/>
    <w:rsid w:val="00CA3D36"/>
    <w:rsid w:val="00CA3EC4"/>
    <w:rsid w:val="00CA4249"/>
    <w:rsid w:val="00CA4EF3"/>
    <w:rsid w:val="00CA575F"/>
    <w:rsid w:val="00CA6F7C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4759"/>
    <w:rsid w:val="00CB4DA4"/>
    <w:rsid w:val="00CB54FD"/>
    <w:rsid w:val="00CB557A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D11"/>
    <w:rsid w:val="00CC4AB9"/>
    <w:rsid w:val="00CC566D"/>
    <w:rsid w:val="00CC6AA6"/>
    <w:rsid w:val="00CC6ACF"/>
    <w:rsid w:val="00CC722F"/>
    <w:rsid w:val="00CC726E"/>
    <w:rsid w:val="00CC7476"/>
    <w:rsid w:val="00CC75EE"/>
    <w:rsid w:val="00CC7F3D"/>
    <w:rsid w:val="00CD0BAE"/>
    <w:rsid w:val="00CD1017"/>
    <w:rsid w:val="00CD129C"/>
    <w:rsid w:val="00CD12BA"/>
    <w:rsid w:val="00CD181E"/>
    <w:rsid w:val="00CD2C45"/>
    <w:rsid w:val="00CD385F"/>
    <w:rsid w:val="00CD387C"/>
    <w:rsid w:val="00CD474C"/>
    <w:rsid w:val="00CD5589"/>
    <w:rsid w:val="00CD5CCC"/>
    <w:rsid w:val="00CD6B16"/>
    <w:rsid w:val="00CD6B5E"/>
    <w:rsid w:val="00CD7422"/>
    <w:rsid w:val="00CE0950"/>
    <w:rsid w:val="00CE0FC5"/>
    <w:rsid w:val="00CE11D8"/>
    <w:rsid w:val="00CE1648"/>
    <w:rsid w:val="00CE1921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463"/>
    <w:rsid w:val="00CE3F49"/>
    <w:rsid w:val="00CE49B0"/>
    <w:rsid w:val="00CE4EA8"/>
    <w:rsid w:val="00CE5261"/>
    <w:rsid w:val="00CE584B"/>
    <w:rsid w:val="00CE5A0A"/>
    <w:rsid w:val="00CE6C5C"/>
    <w:rsid w:val="00CE72F6"/>
    <w:rsid w:val="00CE7FF2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6FF"/>
    <w:rsid w:val="00CF39B2"/>
    <w:rsid w:val="00CF3C22"/>
    <w:rsid w:val="00CF3E3D"/>
    <w:rsid w:val="00CF4060"/>
    <w:rsid w:val="00CF52EB"/>
    <w:rsid w:val="00CF585D"/>
    <w:rsid w:val="00CF5CA8"/>
    <w:rsid w:val="00CF72BD"/>
    <w:rsid w:val="00CF767E"/>
    <w:rsid w:val="00CF78C0"/>
    <w:rsid w:val="00D009C4"/>
    <w:rsid w:val="00D0115F"/>
    <w:rsid w:val="00D015A8"/>
    <w:rsid w:val="00D024F9"/>
    <w:rsid w:val="00D027F9"/>
    <w:rsid w:val="00D032AA"/>
    <w:rsid w:val="00D03A3E"/>
    <w:rsid w:val="00D03B1A"/>
    <w:rsid w:val="00D03E97"/>
    <w:rsid w:val="00D040BB"/>
    <w:rsid w:val="00D04920"/>
    <w:rsid w:val="00D054D1"/>
    <w:rsid w:val="00D05548"/>
    <w:rsid w:val="00D056E9"/>
    <w:rsid w:val="00D05CB6"/>
    <w:rsid w:val="00D06071"/>
    <w:rsid w:val="00D06325"/>
    <w:rsid w:val="00D070DA"/>
    <w:rsid w:val="00D07684"/>
    <w:rsid w:val="00D076A6"/>
    <w:rsid w:val="00D07F59"/>
    <w:rsid w:val="00D104B2"/>
    <w:rsid w:val="00D10986"/>
    <w:rsid w:val="00D114BB"/>
    <w:rsid w:val="00D118DA"/>
    <w:rsid w:val="00D11BB2"/>
    <w:rsid w:val="00D12F1F"/>
    <w:rsid w:val="00D13207"/>
    <w:rsid w:val="00D13358"/>
    <w:rsid w:val="00D1342C"/>
    <w:rsid w:val="00D142FA"/>
    <w:rsid w:val="00D14873"/>
    <w:rsid w:val="00D14C06"/>
    <w:rsid w:val="00D14DAF"/>
    <w:rsid w:val="00D14DE6"/>
    <w:rsid w:val="00D1564A"/>
    <w:rsid w:val="00D156E5"/>
    <w:rsid w:val="00D15792"/>
    <w:rsid w:val="00D15AF0"/>
    <w:rsid w:val="00D16747"/>
    <w:rsid w:val="00D172BA"/>
    <w:rsid w:val="00D175C7"/>
    <w:rsid w:val="00D17997"/>
    <w:rsid w:val="00D17E09"/>
    <w:rsid w:val="00D20886"/>
    <w:rsid w:val="00D223F2"/>
    <w:rsid w:val="00D22E00"/>
    <w:rsid w:val="00D23853"/>
    <w:rsid w:val="00D24137"/>
    <w:rsid w:val="00D251E6"/>
    <w:rsid w:val="00D259B0"/>
    <w:rsid w:val="00D26097"/>
    <w:rsid w:val="00D261C5"/>
    <w:rsid w:val="00D26391"/>
    <w:rsid w:val="00D2699D"/>
    <w:rsid w:val="00D27747"/>
    <w:rsid w:val="00D27BF7"/>
    <w:rsid w:val="00D30729"/>
    <w:rsid w:val="00D30EAF"/>
    <w:rsid w:val="00D314F6"/>
    <w:rsid w:val="00D318F8"/>
    <w:rsid w:val="00D31A4F"/>
    <w:rsid w:val="00D31C7E"/>
    <w:rsid w:val="00D31D6C"/>
    <w:rsid w:val="00D31D99"/>
    <w:rsid w:val="00D32CDD"/>
    <w:rsid w:val="00D32E0D"/>
    <w:rsid w:val="00D3326D"/>
    <w:rsid w:val="00D33977"/>
    <w:rsid w:val="00D33C97"/>
    <w:rsid w:val="00D34097"/>
    <w:rsid w:val="00D3544C"/>
    <w:rsid w:val="00D3719F"/>
    <w:rsid w:val="00D371C8"/>
    <w:rsid w:val="00D40548"/>
    <w:rsid w:val="00D4061B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DBF"/>
    <w:rsid w:val="00D46F26"/>
    <w:rsid w:val="00D47591"/>
    <w:rsid w:val="00D50F4A"/>
    <w:rsid w:val="00D51089"/>
    <w:rsid w:val="00D5228C"/>
    <w:rsid w:val="00D52E06"/>
    <w:rsid w:val="00D53650"/>
    <w:rsid w:val="00D553C7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817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52F6"/>
    <w:rsid w:val="00D6616F"/>
    <w:rsid w:val="00D6699B"/>
    <w:rsid w:val="00D7009E"/>
    <w:rsid w:val="00D70C63"/>
    <w:rsid w:val="00D710C5"/>
    <w:rsid w:val="00D71606"/>
    <w:rsid w:val="00D71705"/>
    <w:rsid w:val="00D71888"/>
    <w:rsid w:val="00D71B45"/>
    <w:rsid w:val="00D722C1"/>
    <w:rsid w:val="00D7231E"/>
    <w:rsid w:val="00D72437"/>
    <w:rsid w:val="00D726A5"/>
    <w:rsid w:val="00D727AC"/>
    <w:rsid w:val="00D72AC2"/>
    <w:rsid w:val="00D72CAE"/>
    <w:rsid w:val="00D73BE5"/>
    <w:rsid w:val="00D74660"/>
    <w:rsid w:val="00D74797"/>
    <w:rsid w:val="00D74968"/>
    <w:rsid w:val="00D749D2"/>
    <w:rsid w:val="00D74D9B"/>
    <w:rsid w:val="00D74DC3"/>
    <w:rsid w:val="00D750A2"/>
    <w:rsid w:val="00D75650"/>
    <w:rsid w:val="00D756E8"/>
    <w:rsid w:val="00D75E77"/>
    <w:rsid w:val="00D76619"/>
    <w:rsid w:val="00D768AE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43D6"/>
    <w:rsid w:val="00D850DC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833"/>
    <w:rsid w:val="00D94E5E"/>
    <w:rsid w:val="00D94F2C"/>
    <w:rsid w:val="00D96138"/>
    <w:rsid w:val="00D965AB"/>
    <w:rsid w:val="00D96B07"/>
    <w:rsid w:val="00D96BD2"/>
    <w:rsid w:val="00D974EC"/>
    <w:rsid w:val="00D97594"/>
    <w:rsid w:val="00D976A0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1A1"/>
    <w:rsid w:val="00DA3CF1"/>
    <w:rsid w:val="00DA4844"/>
    <w:rsid w:val="00DA4B0E"/>
    <w:rsid w:val="00DA4C73"/>
    <w:rsid w:val="00DA50E4"/>
    <w:rsid w:val="00DA5BEB"/>
    <w:rsid w:val="00DA6177"/>
    <w:rsid w:val="00DA6BFD"/>
    <w:rsid w:val="00DA7645"/>
    <w:rsid w:val="00DA7E15"/>
    <w:rsid w:val="00DA7FC8"/>
    <w:rsid w:val="00DB02FF"/>
    <w:rsid w:val="00DB10BD"/>
    <w:rsid w:val="00DB1433"/>
    <w:rsid w:val="00DB197C"/>
    <w:rsid w:val="00DB1AAF"/>
    <w:rsid w:val="00DB26B5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1A3"/>
    <w:rsid w:val="00DB5386"/>
    <w:rsid w:val="00DB5ABE"/>
    <w:rsid w:val="00DB6292"/>
    <w:rsid w:val="00DB67E7"/>
    <w:rsid w:val="00DB68BB"/>
    <w:rsid w:val="00DB7F10"/>
    <w:rsid w:val="00DC1524"/>
    <w:rsid w:val="00DC1889"/>
    <w:rsid w:val="00DC1CA3"/>
    <w:rsid w:val="00DC2A33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EBE"/>
    <w:rsid w:val="00DD12EF"/>
    <w:rsid w:val="00DD158F"/>
    <w:rsid w:val="00DD16FB"/>
    <w:rsid w:val="00DD235A"/>
    <w:rsid w:val="00DD2381"/>
    <w:rsid w:val="00DD2B1D"/>
    <w:rsid w:val="00DD3821"/>
    <w:rsid w:val="00DD391B"/>
    <w:rsid w:val="00DD3B9C"/>
    <w:rsid w:val="00DD45D3"/>
    <w:rsid w:val="00DD48F3"/>
    <w:rsid w:val="00DD4E0C"/>
    <w:rsid w:val="00DD5A2A"/>
    <w:rsid w:val="00DD5DD6"/>
    <w:rsid w:val="00DD662B"/>
    <w:rsid w:val="00DD68EF"/>
    <w:rsid w:val="00DD6C92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3F20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F0A8D"/>
    <w:rsid w:val="00DF0E97"/>
    <w:rsid w:val="00DF11F0"/>
    <w:rsid w:val="00DF1956"/>
    <w:rsid w:val="00DF1AD2"/>
    <w:rsid w:val="00DF1D62"/>
    <w:rsid w:val="00DF2170"/>
    <w:rsid w:val="00DF2FC2"/>
    <w:rsid w:val="00DF3508"/>
    <w:rsid w:val="00DF3D62"/>
    <w:rsid w:val="00DF572E"/>
    <w:rsid w:val="00DF596A"/>
    <w:rsid w:val="00DF6DA6"/>
    <w:rsid w:val="00DF6F29"/>
    <w:rsid w:val="00DF708D"/>
    <w:rsid w:val="00DF738E"/>
    <w:rsid w:val="00DF7B4C"/>
    <w:rsid w:val="00DF7EB8"/>
    <w:rsid w:val="00DF7F5A"/>
    <w:rsid w:val="00E0031E"/>
    <w:rsid w:val="00E00FD5"/>
    <w:rsid w:val="00E01166"/>
    <w:rsid w:val="00E01956"/>
    <w:rsid w:val="00E02047"/>
    <w:rsid w:val="00E023E5"/>
    <w:rsid w:val="00E02837"/>
    <w:rsid w:val="00E0443C"/>
    <w:rsid w:val="00E04B4F"/>
    <w:rsid w:val="00E062AA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2EFE"/>
    <w:rsid w:val="00E13D2C"/>
    <w:rsid w:val="00E13EE3"/>
    <w:rsid w:val="00E148CD"/>
    <w:rsid w:val="00E14E22"/>
    <w:rsid w:val="00E14FF5"/>
    <w:rsid w:val="00E15713"/>
    <w:rsid w:val="00E164F7"/>
    <w:rsid w:val="00E16682"/>
    <w:rsid w:val="00E1678A"/>
    <w:rsid w:val="00E17549"/>
    <w:rsid w:val="00E17BAE"/>
    <w:rsid w:val="00E17E85"/>
    <w:rsid w:val="00E17E99"/>
    <w:rsid w:val="00E2002A"/>
    <w:rsid w:val="00E2055A"/>
    <w:rsid w:val="00E20DFC"/>
    <w:rsid w:val="00E21504"/>
    <w:rsid w:val="00E21F2D"/>
    <w:rsid w:val="00E22A26"/>
    <w:rsid w:val="00E22DD9"/>
    <w:rsid w:val="00E2336E"/>
    <w:rsid w:val="00E23655"/>
    <w:rsid w:val="00E23AB9"/>
    <w:rsid w:val="00E23AC4"/>
    <w:rsid w:val="00E23ED2"/>
    <w:rsid w:val="00E244DC"/>
    <w:rsid w:val="00E256F7"/>
    <w:rsid w:val="00E25995"/>
    <w:rsid w:val="00E25D57"/>
    <w:rsid w:val="00E26257"/>
    <w:rsid w:val="00E264AD"/>
    <w:rsid w:val="00E27074"/>
    <w:rsid w:val="00E27E1C"/>
    <w:rsid w:val="00E300F2"/>
    <w:rsid w:val="00E31966"/>
    <w:rsid w:val="00E3203D"/>
    <w:rsid w:val="00E32AE4"/>
    <w:rsid w:val="00E32D6A"/>
    <w:rsid w:val="00E33396"/>
    <w:rsid w:val="00E335C5"/>
    <w:rsid w:val="00E33ADE"/>
    <w:rsid w:val="00E33D24"/>
    <w:rsid w:val="00E33E8E"/>
    <w:rsid w:val="00E34706"/>
    <w:rsid w:val="00E34ED4"/>
    <w:rsid w:val="00E35580"/>
    <w:rsid w:val="00E36DD5"/>
    <w:rsid w:val="00E3751A"/>
    <w:rsid w:val="00E377A6"/>
    <w:rsid w:val="00E4005E"/>
    <w:rsid w:val="00E40A1E"/>
    <w:rsid w:val="00E41CF2"/>
    <w:rsid w:val="00E41D23"/>
    <w:rsid w:val="00E4297F"/>
    <w:rsid w:val="00E438F7"/>
    <w:rsid w:val="00E43E29"/>
    <w:rsid w:val="00E43EE5"/>
    <w:rsid w:val="00E44ACD"/>
    <w:rsid w:val="00E44CB9"/>
    <w:rsid w:val="00E44FF6"/>
    <w:rsid w:val="00E45343"/>
    <w:rsid w:val="00E45B97"/>
    <w:rsid w:val="00E466D1"/>
    <w:rsid w:val="00E46852"/>
    <w:rsid w:val="00E46AB1"/>
    <w:rsid w:val="00E479FF"/>
    <w:rsid w:val="00E5057C"/>
    <w:rsid w:val="00E51392"/>
    <w:rsid w:val="00E515B1"/>
    <w:rsid w:val="00E51662"/>
    <w:rsid w:val="00E5269A"/>
    <w:rsid w:val="00E52756"/>
    <w:rsid w:val="00E52ADF"/>
    <w:rsid w:val="00E52EA2"/>
    <w:rsid w:val="00E535D1"/>
    <w:rsid w:val="00E536FC"/>
    <w:rsid w:val="00E539F2"/>
    <w:rsid w:val="00E53AA6"/>
    <w:rsid w:val="00E53C6C"/>
    <w:rsid w:val="00E53CB2"/>
    <w:rsid w:val="00E53D6A"/>
    <w:rsid w:val="00E54438"/>
    <w:rsid w:val="00E54584"/>
    <w:rsid w:val="00E54898"/>
    <w:rsid w:val="00E55558"/>
    <w:rsid w:val="00E55BB8"/>
    <w:rsid w:val="00E56344"/>
    <w:rsid w:val="00E57E87"/>
    <w:rsid w:val="00E60DE1"/>
    <w:rsid w:val="00E61076"/>
    <w:rsid w:val="00E61812"/>
    <w:rsid w:val="00E62CF0"/>
    <w:rsid w:val="00E62E5D"/>
    <w:rsid w:val="00E65073"/>
    <w:rsid w:val="00E65E8C"/>
    <w:rsid w:val="00E6670E"/>
    <w:rsid w:val="00E66800"/>
    <w:rsid w:val="00E66D78"/>
    <w:rsid w:val="00E673C1"/>
    <w:rsid w:val="00E67C5C"/>
    <w:rsid w:val="00E67E55"/>
    <w:rsid w:val="00E70504"/>
    <w:rsid w:val="00E70DA4"/>
    <w:rsid w:val="00E71198"/>
    <w:rsid w:val="00E71C3F"/>
    <w:rsid w:val="00E71E4F"/>
    <w:rsid w:val="00E72486"/>
    <w:rsid w:val="00E724EF"/>
    <w:rsid w:val="00E7264E"/>
    <w:rsid w:val="00E72651"/>
    <w:rsid w:val="00E73957"/>
    <w:rsid w:val="00E73A8E"/>
    <w:rsid w:val="00E73C90"/>
    <w:rsid w:val="00E73D3A"/>
    <w:rsid w:val="00E7412C"/>
    <w:rsid w:val="00E743A1"/>
    <w:rsid w:val="00E74BC5"/>
    <w:rsid w:val="00E74F05"/>
    <w:rsid w:val="00E7518B"/>
    <w:rsid w:val="00E7593F"/>
    <w:rsid w:val="00E76497"/>
    <w:rsid w:val="00E76C33"/>
    <w:rsid w:val="00E8011B"/>
    <w:rsid w:val="00E801FE"/>
    <w:rsid w:val="00E80768"/>
    <w:rsid w:val="00E80E1E"/>
    <w:rsid w:val="00E82135"/>
    <w:rsid w:val="00E82862"/>
    <w:rsid w:val="00E82CA0"/>
    <w:rsid w:val="00E82E17"/>
    <w:rsid w:val="00E844F7"/>
    <w:rsid w:val="00E84AD4"/>
    <w:rsid w:val="00E8534F"/>
    <w:rsid w:val="00E854EA"/>
    <w:rsid w:val="00E85EC9"/>
    <w:rsid w:val="00E85F95"/>
    <w:rsid w:val="00E86BAE"/>
    <w:rsid w:val="00E876A3"/>
    <w:rsid w:val="00E87DC5"/>
    <w:rsid w:val="00E903A5"/>
    <w:rsid w:val="00E90A19"/>
    <w:rsid w:val="00E90DC9"/>
    <w:rsid w:val="00E91460"/>
    <w:rsid w:val="00E915F1"/>
    <w:rsid w:val="00E91C42"/>
    <w:rsid w:val="00E92341"/>
    <w:rsid w:val="00E92B3B"/>
    <w:rsid w:val="00E93635"/>
    <w:rsid w:val="00E936EA"/>
    <w:rsid w:val="00E945B4"/>
    <w:rsid w:val="00E94F06"/>
    <w:rsid w:val="00E95243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49C"/>
    <w:rsid w:val="00EA4F1E"/>
    <w:rsid w:val="00EA4F7D"/>
    <w:rsid w:val="00EA5B06"/>
    <w:rsid w:val="00EA5F9C"/>
    <w:rsid w:val="00EA633B"/>
    <w:rsid w:val="00EA659C"/>
    <w:rsid w:val="00EA7206"/>
    <w:rsid w:val="00EB0A68"/>
    <w:rsid w:val="00EB0E6A"/>
    <w:rsid w:val="00EB0FE6"/>
    <w:rsid w:val="00EB14C8"/>
    <w:rsid w:val="00EB16EB"/>
    <w:rsid w:val="00EB182C"/>
    <w:rsid w:val="00EB19D9"/>
    <w:rsid w:val="00EB2287"/>
    <w:rsid w:val="00EB269D"/>
    <w:rsid w:val="00EB30E8"/>
    <w:rsid w:val="00EB33E3"/>
    <w:rsid w:val="00EB344E"/>
    <w:rsid w:val="00EB45D7"/>
    <w:rsid w:val="00EB47B3"/>
    <w:rsid w:val="00EB4926"/>
    <w:rsid w:val="00EB4B58"/>
    <w:rsid w:val="00EB4E5F"/>
    <w:rsid w:val="00EB5197"/>
    <w:rsid w:val="00EB5629"/>
    <w:rsid w:val="00EB5734"/>
    <w:rsid w:val="00EB74DE"/>
    <w:rsid w:val="00EB75EB"/>
    <w:rsid w:val="00EB7605"/>
    <w:rsid w:val="00EB76CB"/>
    <w:rsid w:val="00EC089D"/>
    <w:rsid w:val="00EC0DD3"/>
    <w:rsid w:val="00EC101A"/>
    <w:rsid w:val="00EC10C0"/>
    <w:rsid w:val="00EC1394"/>
    <w:rsid w:val="00EC1CB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B93"/>
    <w:rsid w:val="00EC774B"/>
    <w:rsid w:val="00ED0A53"/>
    <w:rsid w:val="00ED13EB"/>
    <w:rsid w:val="00ED1462"/>
    <w:rsid w:val="00ED14A1"/>
    <w:rsid w:val="00ED17FA"/>
    <w:rsid w:val="00ED1856"/>
    <w:rsid w:val="00ED1BCA"/>
    <w:rsid w:val="00ED2324"/>
    <w:rsid w:val="00ED24B6"/>
    <w:rsid w:val="00ED25D2"/>
    <w:rsid w:val="00ED35C0"/>
    <w:rsid w:val="00ED3F38"/>
    <w:rsid w:val="00ED4124"/>
    <w:rsid w:val="00ED5030"/>
    <w:rsid w:val="00ED547D"/>
    <w:rsid w:val="00ED596C"/>
    <w:rsid w:val="00ED5ACF"/>
    <w:rsid w:val="00EE0174"/>
    <w:rsid w:val="00EE01D1"/>
    <w:rsid w:val="00EE083C"/>
    <w:rsid w:val="00EE0D6A"/>
    <w:rsid w:val="00EE12E9"/>
    <w:rsid w:val="00EE13A7"/>
    <w:rsid w:val="00EE234A"/>
    <w:rsid w:val="00EE2B55"/>
    <w:rsid w:val="00EE3341"/>
    <w:rsid w:val="00EE3445"/>
    <w:rsid w:val="00EE4436"/>
    <w:rsid w:val="00EE4BBE"/>
    <w:rsid w:val="00EE546C"/>
    <w:rsid w:val="00EE563D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541D"/>
    <w:rsid w:val="00EF54F2"/>
    <w:rsid w:val="00EF571F"/>
    <w:rsid w:val="00EF579C"/>
    <w:rsid w:val="00EF57BB"/>
    <w:rsid w:val="00EF585C"/>
    <w:rsid w:val="00EF5B95"/>
    <w:rsid w:val="00EF60B7"/>
    <w:rsid w:val="00EF613D"/>
    <w:rsid w:val="00F00922"/>
    <w:rsid w:val="00F0102C"/>
    <w:rsid w:val="00F0106B"/>
    <w:rsid w:val="00F0137B"/>
    <w:rsid w:val="00F0139C"/>
    <w:rsid w:val="00F01A26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6454"/>
    <w:rsid w:val="00F0681F"/>
    <w:rsid w:val="00F06CB2"/>
    <w:rsid w:val="00F06E72"/>
    <w:rsid w:val="00F07C8A"/>
    <w:rsid w:val="00F07D8B"/>
    <w:rsid w:val="00F104D0"/>
    <w:rsid w:val="00F10544"/>
    <w:rsid w:val="00F10840"/>
    <w:rsid w:val="00F116E1"/>
    <w:rsid w:val="00F11E4F"/>
    <w:rsid w:val="00F1272B"/>
    <w:rsid w:val="00F12C7E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5EC"/>
    <w:rsid w:val="00F22EE2"/>
    <w:rsid w:val="00F232DA"/>
    <w:rsid w:val="00F23613"/>
    <w:rsid w:val="00F24874"/>
    <w:rsid w:val="00F24980"/>
    <w:rsid w:val="00F24B20"/>
    <w:rsid w:val="00F24EF6"/>
    <w:rsid w:val="00F25C36"/>
    <w:rsid w:val="00F26145"/>
    <w:rsid w:val="00F26345"/>
    <w:rsid w:val="00F2634C"/>
    <w:rsid w:val="00F264A6"/>
    <w:rsid w:val="00F26D6D"/>
    <w:rsid w:val="00F30616"/>
    <w:rsid w:val="00F319F9"/>
    <w:rsid w:val="00F32AF9"/>
    <w:rsid w:val="00F33B96"/>
    <w:rsid w:val="00F346B1"/>
    <w:rsid w:val="00F3484E"/>
    <w:rsid w:val="00F34E84"/>
    <w:rsid w:val="00F34FB3"/>
    <w:rsid w:val="00F35350"/>
    <w:rsid w:val="00F36323"/>
    <w:rsid w:val="00F36F16"/>
    <w:rsid w:val="00F37507"/>
    <w:rsid w:val="00F40042"/>
    <w:rsid w:val="00F415F2"/>
    <w:rsid w:val="00F42037"/>
    <w:rsid w:val="00F423F6"/>
    <w:rsid w:val="00F42415"/>
    <w:rsid w:val="00F424D3"/>
    <w:rsid w:val="00F4284C"/>
    <w:rsid w:val="00F443B0"/>
    <w:rsid w:val="00F444E7"/>
    <w:rsid w:val="00F447EA"/>
    <w:rsid w:val="00F44943"/>
    <w:rsid w:val="00F453DF"/>
    <w:rsid w:val="00F46462"/>
    <w:rsid w:val="00F4737E"/>
    <w:rsid w:val="00F47D5F"/>
    <w:rsid w:val="00F47E5F"/>
    <w:rsid w:val="00F50623"/>
    <w:rsid w:val="00F511EE"/>
    <w:rsid w:val="00F51D28"/>
    <w:rsid w:val="00F51DF3"/>
    <w:rsid w:val="00F51E4D"/>
    <w:rsid w:val="00F533F9"/>
    <w:rsid w:val="00F534EB"/>
    <w:rsid w:val="00F53867"/>
    <w:rsid w:val="00F539AC"/>
    <w:rsid w:val="00F53D94"/>
    <w:rsid w:val="00F5420D"/>
    <w:rsid w:val="00F54768"/>
    <w:rsid w:val="00F54ADC"/>
    <w:rsid w:val="00F553E8"/>
    <w:rsid w:val="00F55630"/>
    <w:rsid w:val="00F55AA3"/>
    <w:rsid w:val="00F55DFC"/>
    <w:rsid w:val="00F56C88"/>
    <w:rsid w:val="00F5757F"/>
    <w:rsid w:val="00F57BDA"/>
    <w:rsid w:val="00F57F43"/>
    <w:rsid w:val="00F60058"/>
    <w:rsid w:val="00F600E8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0F5"/>
    <w:rsid w:val="00F64176"/>
    <w:rsid w:val="00F643C2"/>
    <w:rsid w:val="00F64A0B"/>
    <w:rsid w:val="00F6557B"/>
    <w:rsid w:val="00F666B5"/>
    <w:rsid w:val="00F66B92"/>
    <w:rsid w:val="00F6708D"/>
    <w:rsid w:val="00F67275"/>
    <w:rsid w:val="00F67EF9"/>
    <w:rsid w:val="00F70B36"/>
    <w:rsid w:val="00F713E2"/>
    <w:rsid w:val="00F7187B"/>
    <w:rsid w:val="00F718A4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808F0"/>
    <w:rsid w:val="00F80927"/>
    <w:rsid w:val="00F819E1"/>
    <w:rsid w:val="00F822A0"/>
    <w:rsid w:val="00F83A8B"/>
    <w:rsid w:val="00F83B2E"/>
    <w:rsid w:val="00F84099"/>
    <w:rsid w:val="00F8412E"/>
    <w:rsid w:val="00F843F7"/>
    <w:rsid w:val="00F8476D"/>
    <w:rsid w:val="00F85501"/>
    <w:rsid w:val="00F856DE"/>
    <w:rsid w:val="00F85851"/>
    <w:rsid w:val="00F86769"/>
    <w:rsid w:val="00F8676D"/>
    <w:rsid w:val="00F86C16"/>
    <w:rsid w:val="00F875DA"/>
    <w:rsid w:val="00F8763D"/>
    <w:rsid w:val="00F8798B"/>
    <w:rsid w:val="00F87A60"/>
    <w:rsid w:val="00F9034D"/>
    <w:rsid w:val="00F90624"/>
    <w:rsid w:val="00F907AF"/>
    <w:rsid w:val="00F90E09"/>
    <w:rsid w:val="00F91CBC"/>
    <w:rsid w:val="00F91E36"/>
    <w:rsid w:val="00F922ED"/>
    <w:rsid w:val="00F92A03"/>
    <w:rsid w:val="00F93A0A"/>
    <w:rsid w:val="00F94A71"/>
    <w:rsid w:val="00F94CCA"/>
    <w:rsid w:val="00F9535C"/>
    <w:rsid w:val="00F9576D"/>
    <w:rsid w:val="00F95780"/>
    <w:rsid w:val="00F95EFB"/>
    <w:rsid w:val="00F9624E"/>
    <w:rsid w:val="00F96923"/>
    <w:rsid w:val="00F96E26"/>
    <w:rsid w:val="00F970DB"/>
    <w:rsid w:val="00F9766C"/>
    <w:rsid w:val="00F97A08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D13"/>
    <w:rsid w:val="00FA3F41"/>
    <w:rsid w:val="00FA4A3B"/>
    <w:rsid w:val="00FA5783"/>
    <w:rsid w:val="00FA62C1"/>
    <w:rsid w:val="00FA6360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306B"/>
    <w:rsid w:val="00FB3784"/>
    <w:rsid w:val="00FB50C2"/>
    <w:rsid w:val="00FB529D"/>
    <w:rsid w:val="00FB56C5"/>
    <w:rsid w:val="00FB57EF"/>
    <w:rsid w:val="00FB59E5"/>
    <w:rsid w:val="00FB59FA"/>
    <w:rsid w:val="00FB5FB0"/>
    <w:rsid w:val="00FB6B86"/>
    <w:rsid w:val="00FB6F0E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4398"/>
    <w:rsid w:val="00FC44BC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982"/>
    <w:rsid w:val="00FC6E6C"/>
    <w:rsid w:val="00FC6E74"/>
    <w:rsid w:val="00FC7186"/>
    <w:rsid w:val="00FC742F"/>
    <w:rsid w:val="00FC7C89"/>
    <w:rsid w:val="00FD0917"/>
    <w:rsid w:val="00FD0F61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5F99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FC"/>
    <w:rsid w:val="00FE235B"/>
    <w:rsid w:val="00FE27FE"/>
    <w:rsid w:val="00FE2852"/>
    <w:rsid w:val="00FE2F5F"/>
    <w:rsid w:val="00FE393B"/>
    <w:rsid w:val="00FE4608"/>
    <w:rsid w:val="00FE4826"/>
    <w:rsid w:val="00FE5DD2"/>
    <w:rsid w:val="00FE66DF"/>
    <w:rsid w:val="00FE6845"/>
    <w:rsid w:val="00FE6AD1"/>
    <w:rsid w:val="00FE78FD"/>
    <w:rsid w:val="00FE7BA2"/>
    <w:rsid w:val="00FE7D77"/>
    <w:rsid w:val="00FF0586"/>
    <w:rsid w:val="00FF09BD"/>
    <w:rsid w:val="00FF1744"/>
    <w:rsid w:val="00FF2265"/>
    <w:rsid w:val="00FF2CC4"/>
    <w:rsid w:val="00FF3496"/>
    <w:rsid w:val="00FF3CA1"/>
    <w:rsid w:val="00FF4177"/>
    <w:rsid w:val="00FF4675"/>
    <w:rsid w:val="00FF48C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DB1793"/>
  <w15:docId w15:val="{7852BEF1-67F8-4A31-A8EA-C0359A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link w:val="Textoindependiente"/>
    <w:rsid w:val="003915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050B"/>
    <w:rPr>
      <w:color w:val="808080"/>
      <w:shd w:val="clear" w:color="auto" w:fill="E6E6E6"/>
    </w:rPr>
  </w:style>
  <w:style w:type="paragraph" w:customStyle="1" w:styleId="parr2">
    <w:name w:val="parr2"/>
    <w:basedOn w:val="Normal"/>
    <w:rsid w:val="0010647A"/>
    <w:pPr>
      <w:spacing w:before="600"/>
      <w:ind w:left="567" w:right="15"/>
    </w:pPr>
    <w:rPr>
      <w:rFonts w:cs="Times New Roman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08D5"/>
    <w:rPr>
      <w:rFonts w:ascii="Arial" w:hAnsi="Arial" w:cs="Arial"/>
      <w:sz w:val="24"/>
      <w:szCs w:val="24"/>
      <w:lang w:val="es-ES_tradnl" w:eastAsia="es-ES"/>
    </w:rPr>
  </w:style>
  <w:style w:type="paragraph" w:customStyle="1" w:styleId="p01">
    <w:name w:val="p01"/>
    <w:basedOn w:val="Normal"/>
    <w:next w:val="p0"/>
    <w:rsid w:val="001B08D5"/>
    <w:pPr>
      <w:keepLines/>
      <w:spacing w:before="240"/>
    </w:pPr>
    <w:rPr>
      <w:rFonts w:ascii="Univers" w:hAnsi="Univers" w:cs="Times New Roman"/>
      <w:color w:val="0000F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28" Type="http://schemas.openxmlformats.org/officeDocument/2006/relationships/hyperlink" Target="https://www.inegi.org.mx/temas/inpp/" TargetMode="Externa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footer" Target="footer1.xml"/><Relationship Id="rId27" Type="http://schemas.openxmlformats.org/officeDocument/2006/relationships/chart" Target="charts/chart2.xml"/><Relationship Id="rId30" Type="http://schemas.openxmlformats.org/officeDocument/2006/relationships/header" Target="header4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898412698412692E-2"/>
          <c:y val="4.8670531508681961E-2"/>
          <c:w val="0.90638333333333332"/>
          <c:h val="0.8140497813406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Datos!$U$76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8EB4E3"/>
            </a:solidFill>
            <a:ln w="6350"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Datos!$X$77:$Z$77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Datos!$X$84:$Z$84</c:f>
              <c:numCache>
                <c:formatCode>0.00</c:formatCode>
                <c:ptCount val="3"/>
                <c:pt idx="0">
                  <c:v>5.9187624165516484</c:v>
                </c:pt>
                <c:pt idx="1">
                  <c:v>6.5149602481252566</c:v>
                </c:pt>
                <c:pt idx="2">
                  <c:v>3.3819951338199594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9-4F05-B640-AA04526CC8EA}"/>
            </c:ext>
          </c:extLst>
        </c:ser>
        <c:ser>
          <c:idx val="1"/>
          <c:order val="1"/>
          <c:tx>
            <c:strRef>
              <c:f>Datos!$AA$76</c:f>
              <c:strCache>
                <c:ptCount val="1"/>
                <c:pt idx="0">
                  <c:v>Actividades Primarias </c:v>
                </c:pt>
              </c:strCache>
            </c:strRef>
          </c:tx>
          <c:spPr>
            <a:pattFill prst="smCheck">
              <a:fgClr>
                <a:srgbClr val="B4CDE5"/>
              </a:fgClr>
              <a:bgClr>
                <a:srgbClr val="FFFFFF"/>
              </a:bgClr>
            </a:pattFill>
            <a:ln>
              <a:solidFill>
                <a:srgbClr val="8EB4E3"/>
              </a:solidFill>
            </a:ln>
          </c:spPr>
          <c:invertIfNegative val="0"/>
          <c:dLbls>
            <c:dLbl>
              <c:idx val="1"/>
              <c:layout>
                <c:manualLayout>
                  <c:x val="0"/>
                  <c:y val="4.4101433296582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035-4F55-9407-6976C446FD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Datos!$X$77:$Z$77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Datos!$AD$84:$AF$84</c:f>
              <c:numCache>
                <c:formatCode>0.00</c:formatCode>
                <c:ptCount val="3"/>
                <c:pt idx="0">
                  <c:v>10.539825510681379</c:v>
                </c:pt>
                <c:pt idx="1">
                  <c:v>-2.8303415078183458</c:v>
                </c:pt>
                <c:pt idx="2">
                  <c:v>10.981089534939104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79-4F05-B640-AA04526CC8EA}"/>
            </c:ext>
          </c:extLst>
        </c:ser>
        <c:ser>
          <c:idx val="2"/>
          <c:order val="2"/>
          <c:tx>
            <c:strRef>
              <c:f>Datos!$AG$76</c:f>
              <c:strCache>
                <c:ptCount val="1"/>
                <c:pt idx="0">
                  <c:v>Actividades Secundarias</c:v>
                </c:pt>
              </c:strCache>
            </c:strRef>
          </c:tx>
          <c:spPr>
            <a:solidFill>
              <a:srgbClr val="37609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Datos!$X$77:$Z$77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Datos!$AJ$84:$AL$84</c:f>
              <c:numCache>
                <c:formatCode>0.00</c:formatCode>
                <c:ptCount val="3"/>
                <c:pt idx="0">
                  <c:v>6.7028383161341187</c:v>
                </c:pt>
                <c:pt idx="1">
                  <c:v>8.9183826374766397</c:v>
                </c:pt>
                <c:pt idx="2">
                  <c:v>2.5247753025572806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D79-4F05-B640-AA04526CC8EA}"/>
            </c:ext>
          </c:extLst>
        </c:ser>
        <c:ser>
          <c:idx val="3"/>
          <c:order val="3"/>
          <c:tx>
            <c:strRef>
              <c:f>Datos!$AM$76</c:f>
              <c:strCache>
                <c:ptCount val="1"/>
                <c:pt idx="0">
                  <c:v>Actividades Terciarias</c:v>
                </c:pt>
              </c:strCache>
            </c:strRef>
          </c:tx>
          <c:spPr>
            <a:pattFill prst="dkUpDiag">
              <a:fgClr>
                <a:srgbClr val="4BACC6"/>
              </a:fgClr>
              <a:bgClr>
                <a:srgbClr val="FFFFFF"/>
              </a:bgClr>
            </a:pattFill>
            <a:ln w="3175">
              <a:solidFill>
                <a:srgbClr val="8EB4E3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Datos!$X$77:$Z$77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Datos!$AP$84:$AR$84</c:f>
              <c:numCache>
                <c:formatCode>0.00</c:formatCode>
                <c:ptCount val="3"/>
                <c:pt idx="0">
                  <c:v>4.086462167587058</c:v>
                </c:pt>
                <c:pt idx="1">
                  <c:v>3.9708223729752206</c:v>
                </c:pt>
                <c:pt idx="2">
                  <c:v>3.8308213420774564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79-4F05-B640-AA04526CC8E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6"/>
        <c:axId val="296070752"/>
        <c:axId val="296086040"/>
      </c:barChart>
      <c:catAx>
        <c:axId val="2960707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anchor="t" anchorCtr="1"/>
          <a:lstStyle/>
          <a:p>
            <a:pPr>
              <a:defRPr sz="800" b="1"/>
            </a:pPr>
            <a:endParaRPr lang="es-MX"/>
          </a:p>
        </c:txPr>
        <c:crossAx val="296086040"/>
        <c:crosses val="autoZero"/>
        <c:auto val="1"/>
        <c:lblAlgn val="ctr"/>
        <c:lblOffset val="100"/>
        <c:tickLblSkip val="1"/>
        <c:noMultiLvlLbl val="0"/>
      </c:catAx>
      <c:valAx>
        <c:axId val="296086040"/>
        <c:scaling>
          <c:orientation val="minMax"/>
          <c:max val="14"/>
          <c:min val="-4"/>
        </c:scaling>
        <c:delete val="0"/>
        <c:axPos val="l"/>
        <c:majorGridlines>
          <c:spPr>
            <a:ln>
              <a:noFill/>
            </a:ln>
          </c:spPr>
        </c:majorGridlines>
        <c:numFmt formatCode="0.0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700" b="1"/>
            </a:pPr>
            <a:endParaRPr lang="es-MX"/>
          </a:p>
        </c:txPr>
        <c:crossAx val="296070752"/>
        <c:crossesAt val="1"/>
        <c:crossBetween val="between"/>
        <c:majorUnit val="2"/>
      </c:valAx>
      <c:spPr>
        <a:noFill/>
        <a:ln w="6350">
          <a:noFill/>
        </a:ln>
      </c:spPr>
    </c:plotArea>
    <c:legend>
      <c:legendPos val="b"/>
      <c:layout>
        <c:manualLayout>
          <c:xMode val="edge"/>
          <c:yMode val="edge"/>
          <c:x val="5.1540476190476178E-2"/>
          <c:y val="0.93010416666666662"/>
          <c:w val="0.89187936507936505"/>
          <c:h val="6.56857075169319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ysClr val="windowText" lastClr="000000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69642857142851E-2"/>
          <c:y val="4.8506944444444443E-2"/>
          <c:w val="0.8828732142857143"/>
          <c:h val="0.79411423611111132"/>
        </c:manualLayout>
      </c:layout>
      <c:lineChart>
        <c:grouping val="standard"/>
        <c:varyColors val="0"/>
        <c:ser>
          <c:idx val="0"/>
          <c:order val="0"/>
          <c:tx>
            <c:strRef>
              <c:f>Datos!$O$5</c:f>
              <c:strCache>
                <c:ptCount val="1"/>
                <c:pt idx="0">
                  <c:v>Producción Total</c:v>
                </c:pt>
              </c:strCache>
            </c:strRef>
          </c:tx>
          <c:spPr>
            <a:ln w="25400">
              <a:solidFill>
                <a:srgbClr val="009E00"/>
              </a:solidFill>
            </a:ln>
          </c:spPr>
          <c:marker>
            <c:symbol val="none"/>
          </c:marker>
          <c:dLbls>
            <c:dLbl>
              <c:idx val="32"/>
              <c:layout>
                <c:manualLayout>
                  <c:x val="7.8115079365079179E-2"/>
                  <c:y val="4.45982638888888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F7D-40B5-9446-2F6D8AF15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Datos!$A$60:$B$96</c:f>
              <c:multiLvlStrCache>
                <c:ptCount val="37"/>
                <c:lvl>
                  <c:pt idx="0">
                    <c:v>J</c:v>
                  </c:pt>
                  <c:pt idx="1">
                    <c:v>A</c:v>
                  </c:pt>
                  <c:pt idx="2">
                    <c:v>S</c:v>
                  </c:pt>
                  <c:pt idx="3">
                    <c:v>O</c:v>
                  </c:pt>
                  <c:pt idx="4">
                    <c:v>N</c:v>
                  </c:pt>
                  <c:pt idx="5">
                    <c:v>D</c:v>
                  </c:pt>
                  <c:pt idx="6">
                    <c:v>E</c:v>
                  </c:pt>
                  <c:pt idx="7">
                    <c:v>F</c:v>
                  </c:pt>
                  <c:pt idx="8">
                    <c:v>M</c:v>
                  </c:pt>
                  <c:pt idx="9">
                    <c:v>A</c:v>
                  </c:pt>
                  <c:pt idx="10">
                    <c:v>M</c:v>
                  </c:pt>
                  <c:pt idx="11">
                    <c:v>J</c:v>
                  </c:pt>
                  <c:pt idx="12">
                    <c:v>J</c:v>
                  </c:pt>
                  <c:pt idx="13">
                    <c:v>A</c:v>
                  </c:pt>
                  <c:pt idx="14">
                    <c:v>S</c:v>
                  </c:pt>
                  <c:pt idx="15">
                    <c:v>O</c:v>
                  </c:pt>
                  <c:pt idx="16">
                    <c:v>N</c:v>
                  </c:pt>
                  <c:pt idx="17">
                    <c:v>D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  <c:pt idx="30">
                    <c:v>E</c:v>
                  </c:pt>
                  <c:pt idx="31">
                    <c:v>F</c:v>
                  </c:pt>
                  <c:pt idx="32">
                    <c:v>M</c:v>
                  </c:pt>
                  <c:pt idx="33">
                    <c:v>A</c:v>
                  </c:pt>
                  <c:pt idx="34">
                    <c:v>M</c:v>
                  </c:pt>
                  <c:pt idx="35">
                    <c:v>J</c:v>
                  </c:pt>
                  <c:pt idx="36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Datos!$O$60:$O$96</c:f>
              <c:numCache>
                <c:formatCode>0.00</c:formatCode>
                <c:ptCount val="37"/>
                <c:pt idx="0">
                  <c:v>5.5020217845593189</c:v>
                </c:pt>
                <c:pt idx="1">
                  <c:v>5.5037959897803468</c:v>
                </c:pt>
                <c:pt idx="2">
                  <c:v>6.4012068525407084</c:v>
                </c:pt>
                <c:pt idx="3">
                  <c:v>6.7034941533355763</c:v>
                </c:pt>
                <c:pt idx="4">
                  <c:v>7.8709566363056371</c:v>
                </c:pt>
                <c:pt idx="5" formatCode="0.000">
                  <c:v>8.5165557230050268</c:v>
                </c:pt>
                <c:pt idx="6">
                  <c:v>9.8100341040285635</c:v>
                </c:pt>
                <c:pt idx="7">
                  <c:v>9.4608135334097732</c:v>
                </c:pt>
                <c:pt idx="8">
                  <c:v>9.4462413475094653</c:v>
                </c:pt>
                <c:pt idx="9">
                  <c:v>8.75</c:v>
                </c:pt>
                <c:pt idx="10">
                  <c:v>8.0981742150184832</c:v>
                </c:pt>
                <c:pt idx="11">
                  <c:v>6.6863568450850508</c:v>
                </c:pt>
                <c:pt idx="12">
                  <c:v>5.9187624165516484</c:v>
                </c:pt>
                <c:pt idx="13">
                  <c:v>5.6352623049199968</c:v>
                </c:pt>
                <c:pt idx="14">
                  <c:v>4.5035493640650959</c:v>
                </c:pt>
                <c:pt idx="15">
                  <c:v>5.2703225390332786</c:v>
                </c:pt>
                <c:pt idx="16">
                  <c:v>5.1899058309049284</c:v>
                </c:pt>
                <c:pt idx="17">
                  <c:v>4.6514229349195579</c:v>
                </c:pt>
                <c:pt idx="18">
                  <c:v>3.3843744339696613</c:v>
                </c:pt>
                <c:pt idx="19">
                  <c:v>3.2444851439998423</c:v>
                </c:pt>
                <c:pt idx="20">
                  <c:v>3.6444921802519348</c:v>
                </c:pt>
                <c:pt idx="21">
                  <c:v>4.0023959468565629</c:v>
                </c:pt>
                <c:pt idx="22">
                  <c:v>5.4096944116718504</c:v>
                </c:pt>
                <c:pt idx="23">
                  <c:v>6.9496910414529767</c:v>
                </c:pt>
                <c:pt idx="24">
                  <c:v>6.5149602481252566</c:v>
                </c:pt>
                <c:pt idx="25">
                  <c:v>6.3833959528106776</c:v>
                </c:pt>
                <c:pt idx="26">
                  <c:v>6.8621733519628858</c:v>
                </c:pt>
                <c:pt idx="27">
                  <c:v>6.2602859107411479</c:v>
                </c:pt>
                <c:pt idx="28">
                  <c:v>6.5102542659376761</c:v>
                </c:pt>
                <c:pt idx="29">
                  <c:v>6.4179959519626406</c:v>
                </c:pt>
                <c:pt idx="30">
                  <c:v>4.9663151637337588</c:v>
                </c:pt>
                <c:pt idx="31">
                  <c:v>4.5224052229890788</c:v>
                </c:pt>
                <c:pt idx="32">
                  <c:v>4.2455511804734725</c:v>
                </c:pt>
                <c:pt idx="33">
                  <c:v>4.6263124547930801</c:v>
                </c:pt>
                <c:pt idx="34">
                  <c:v>3.1780663975029544</c:v>
                </c:pt>
                <c:pt idx="35">
                  <c:v>2.4833727086305935</c:v>
                </c:pt>
                <c:pt idx="36">
                  <c:v>3.3819951338199594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BE6-4889-B459-9B03ABACE406}"/>
            </c:ext>
          </c:extLst>
        </c:ser>
        <c:ser>
          <c:idx val="2"/>
          <c:order val="1"/>
          <c:tx>
            <c:strRef>
              <c:f>Datos!$Q$5</c:f>
              <c:strCache>
                <c:ptCount val="1"/>
                <c:pt idx="0">
                  <c:v>Bienes Intermedios</c:v>
                </c:pt>
              </c:strCache>
            </c:strRef>
          </c:tx>
          <c:spPr>
            <a:ln w="15875">
              <a:solidFill>
                <a:srgbClr val="002060"/>
              </a:solidFill>
            </a:ln>
          </c:spPr>
          <c:marker>
            <c:symbol val="none"/>
          </c:marker>
          <c:dLbls>
            <c:dLbl>
              <c:idx val="32"/>
              <c:layout>
                <c:manualLayout>
                  <c:x val="7.8115079365079179E-2"/>
                  <c:y val="6.60447916666667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F7D-40B5-9446-2F6D8AF15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Datos!$A$60:$B$96</c:f>
              <c:multiLvlStrCache>
                <c:ptCount val="37"/>
                <c:lvl>
                  <c:pt idx="0">
                    <c:v>J</c:v>
                  </c:pt>
                  <c:pt idx="1">
                    <c:v>A</c:v>
                  </c:pt>
                  <c:pt idx="2">
                    <c:v>S</c:v>
                  </c:pt>
                  <c:pt idx="3">
                    <c:v>O</c:v>
                  </c:pt>
                  <c:pt idx="4">
                    <c:v>N</c:v>
                  </c:pt>
                  <c:pt idx="5">
                    <c:v>D</c:v>
                  </c:pt>
                  <c:pt idx="6">
                    <c:v>E</c:v>
                  </c:pt>
                  <c:pt idx="7">
                    <c:v>F</c:v>
                  </c:pt>
                  <c:pt idx="8">
                    <c:v>M</c:v>
                  </c:pt>
                  <c:pt idx="9">
                    <c:v>A</c:v>
                  </c:pt>
                  <c:pt idx="10">
                    <c:v>M</c:v>
                  </c:pt>
                  <c:pt idx="11">
                    <c:v>J</c:v>
                  </c:pt>
                  <c:pt idx="12">
                    <c:v>J</c:v>
                  </c:pt>
                  <c:pt idx="13">
                    <c:v>A</c:v>
                  </c:pt>
                  <c:pt idx="14">
                    <c:v>S</c:v>
                  </c:pt>
                  <c:pt idx="15">
                    <c:v>O</c:v>
                  </c:pt>
                  <c:pt idx="16">
                    <c:v>N</c:v>
                  </c:pt>
                  <c:pt idx="17">
                    <c:v>D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  <c:pt idx="30">
                    <c:v>E</c:v>
                  </c:pt>
                  <c:pt idx="31">
                    <c:v>F</c:v>
                  </c:pt>
                  <c:pt idx="32">
                    <c:v>M</c:v>
                  </c:pt>
                  <c:pt idx="33">
                    <c:v>A</c:v>
                  </c:pt>
                  <c:pt idx="34">
                    <c:v>M</c:v>
                  </c:pt>
                  <c:pt idx="35">
                    <c:v>J</c:v>
                  </c:pt>
                  <c:pt idx="36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Datos!$Q$60:$Q$96</c:f>
              <c:numCache>
                <c:formatCode>0.00</c:formatCode>
                <c:ptCount val="37"/>
                <c:pt idx="0">
                  <c:v>4.253446744112499</c:v>
                </c:pt>
                <c:pt idx="1">
                  <c:v>5.1808039247817961</c:v>
                </c:pt>
                <c:pt idx="2">
                  <c:v>6.8192957050951408</c:v>
                </c:pt>
                <c:pt idx="3">
                  <c:v>7.6747684085211709</c:v>
                </c:pt>
                <c:pt idx="4">
                  <c:v>9.1865387632503506</c:v>
                </c:pt>
                <c:pt idx="5" formatCode="0.000">
                  <c:v>10.358242828492713</c:v>
                </c:pt>
                <c:pt idx="6">
                  <c:v>13.141995428328791</c:v>
                </c:pt>
                <c:pt idx="7">
                  <c:v>13.182026927073952</c:v>
                </c:pt>
                <c:pt idx="8">
                  <c:v>13.398623903711272</c:v>
                </c:pt>
                <c:pt idx="9">
                  <c:v>11.89835941774251</c:v>
                </c:pt>
                <c:pt idx="10">
                  <c:v>10.973469030373707</c:v>
                </c:pt>
                <c:pt idx="11">
                  <c:v>9.2022827046944311</c:v>
                </c:pt>
                <c:pt idx="12">
                  <c:v>7.8380102488570191</c:v>
                </c:pt>
                <c:pt idx="13">
                  <c:v>6.8213352161980101</c:v>
                </c:pt>
                <c:pt idx="14">
                  <c:v>5.2539504458558817</c:v>
                </c:pt>
                <c:pt idx="15">
                  <c:v>5.8271665052918253</c:v>
                </c:pt>
                <c:pt idx="16">
                  <c:v>6.0511817684783864</c:v>
                </c:pt>
                <c:pt idx="17">
                  <c:v>5.58384389716855</c:v>
                </c:pt>
                <c:pt idx="18">
                  <c:v>3.8882320605676535</c:v>
                </c:pt>
                <c:pt idx="19">
                  <c:v>3.8283116747880985</c:v>
                </c:pt>
                <c:pt idx="20">
                  <c:v>3.7935648793838705</c:v>
                </c:pt>
                <c:pt idx="21">
                  <c:v>4.6059877841193586</c:v>
                </c:pt>
                <c:pt idx="22">
                  <c:v>6.6776277353986835</c:v>
                </c:pt>
                <c:pt idx="23">
                  <c:v>8.3760626379436154</c:v>
                </c:pt>
                <c:pt idx="24">
                  <c:v>8.25</c:v>
                </c:pt>
                <c:pt idx="25">
                  <c:v>8.2633587724726176</c:v>
                </c:pt>
                <c:pt idx="26">
                  <c:v>8.8242922822970637</c:v>
                </c:pt>
                <c:pt idx="27">
                  <c:v>8.4420656789585315</c:v>
                </c:pt>
                <c:pt idx="28">
                  <c:v>8.1118386766086061</c:v>
                </c:pt>
                <c:pt idx="29">
                  <c:v>7.4937347768190943</c:v>
                </c:pt>
                <c:pt idx="30">
                  <c:v>5.4167505606432798</c:v>
                </c:pt>
                <c:pt idx="31">
                  <c:v>4.5083317854513139</c:v>
                </c:pt>
                <c:pt idx="32">
                  <c:v>4.0935999574604365</c:v>
                </c:pt>
                <c:pt idx="33">
                  <c:v>4.4817146408753894</c:v>
                </c:pt>
                <c:pt idx="34">
                  <c:v>2.6628089487697348</c:v>
                </c:pt>
                <c:pt idx="35">
                  <c:v>1.7709188335320869</c:v>
                </c:pt>
                <c:pt idx="36">
                  <c:v>2.8967195470073426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BE6-4889-B459-9B03ABACE406}"/>
            </c:ext>
          </c:extLst>
        </c:ser>
        <c:ser>
          <c:idx val="1"/>
          <c:order val="2"/>
          <c:tx>
            <c:strRef>
              <c:f>Datos!$P$5</c:f>
              <c:strCache>
                <c:ptCount val="1"/>
                <c:pt idx="0">
                  <c:v>Bienes Finales</c:v>
                </c:pt>
              </c:strCache>
            </c:strRef>
          </c:tx>
          <c:spPr>
            <a:ln w="15875">
              <a:solidFill>
                <a:srgbClr val="FF0000"/>
              </a:solidFill>
              <a:prstDash val="sysDash"/>
            </a:ln>
          </c:spPr>
          <c:marker>
            <c:symbol val="none"/>
          </c:marker>
          <c:dLbls>
            <c:dLbl>
              <c:idx val="32"/>
              <c:layout>
                <c:manualLayout>
                  <c:x val="7.8115079365079179E-2"/>
                  <c:y val="1.93857638888888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F7D-40B5-9446-2F6D8AF15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Datos!$A$60:$B$96</c:f>
              <c:multiLvlStrCache>
                <c:ptCount val="37"/>
                <c:lvl>
                  <c:pt idx="0">
                    <c:v>J</c:v>
                  </c:pt>
                  <c:pt idx="1">
                    <c:v>A</c:v>
                  </c:pt>
                  <c:pt idx="2">
                    <c:v>S</c:v>
                  </c:pt>
                  <c:pt idx="3">
                    <c:v>O</c:v>
                  </c:pt>
                  <c:pt idx="4">
                    <c:v>N</c:v>
                  </c:pt>
                  <c:pt idx="5">
                    <c:v>D</c:v>
                  </c:pt>
                  <c:pt idx="6">
                    <c:v>E</c:v>
                  </c:pt>
                  <c:pt idx="7">
                    <c:v>F</c:v>
                  </c:pt>
                  <c:pt idx="8">
                    <c:v>M</c:v>
                  </c:pt>
                  <c:pt idx="9">
                    <c:v>A</c:v>
                  </c:pt>
                  <c:pt idx="10">
                    <c:v>M</c:v>
                  </c:pt>
                  <c:pt idx="11">
                    <c:v>J</c:v>
                  </c:pt>
                  <c:pt idx="12">
                    <c:v>J</c:v>
                  </c:pt>
                  <c:pt idx="13">
                    <c:v>A</c:v>
                  </c:pt>
                  <c:pt idx="14">
                    <c:v>S</c:v>
                  </c:pt>
                  <c:pt idx="15">
                    <c:v>O</c:v>
                  </c:pt>
                  <c:pt idx="16">
                    <c:v>N</c:v>
                  </c:pt>
                  <c:pt idx="17">
                    <c:v>D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  <c:pt idx="30">
                    <c:v>E</c:v>
                  </c:pt>
                  <c:pt idx="31">
                    <c:v>F</c:v>
                  </c:pt>
                  <c:pt idx="32">
                    <c:v>M</c:v>
                  </c:pt>
                  <c:pt idx="33">
                    <c:v>A</c:v>
                  </c:pt>
                  <c:pt idx="34">
                    <c:v>M</c:v>
                  </c:pt>
                  <c:pt idx="35">
                    <c:v>J</c:v>
                  </c:pt>
                  <c:pt idx="36">
                    <c:v>J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Datos!$P$60:$P$96</c:f>
              <c:numCache>
                <c:formatCode>0.00</c:formatCode>
                <c:ptCount val="37"/>
                <c:pt idx="0">
                  <c:v>6.0478954690184938</c:v>
                </c:pt>
                <c:pt idx="1">
                  <c:v>5.6440639099555767</c:v>
                </c:pt>
                <c:pt idx="2">
                  <c:v>6.2205056489929245</c:v>
                </c:pt>
                <c:pt idx="3">
                  <c:v>6.2863699227773129</c:v>
                </c:pt>
                <c:pt idx="4">
                  <c:v>7.3066010525926206</c:v>
                </c:pt>
                <c:pt idx="5" formatCode="0.000">
                  <c:v>7.7313747316199777</c:v>
                </c:pt>
                <c:pt idx="6">
                  <c:v>8.3970675308656872</c:v>
                </c:pt>
                <c:pt idx="7">
                  <c:v>7.8826512524287295</c:v>
                </c:pt>
                <c:pt idx="8">
                  <c:v>7.764730664064845</c:v>
                </c:pt>
                <c:pt idx="9">
                  <c:v>7.3973050402442064</c:v>
                </c:pt>
                <c:pt idx="10">
                  <c:v>6.8671155307256093</c:v>
                </c:pt>
                <c:pt idx="11">
                  <c:v>5.6069614079913066</c:v>
                </c:pt>
                <c:pt idx="12">
                  <c:v>5.0939415181366909</c:v>
                </c:pt>
                <c:pt idx="13">
                  <c:v>5.1224056634959769</c:v>
                </c:pt>
                <c:pt idx="14">
                  <c:v>4.1776354670062688</c:v>
                </c:pt>
                <c:pt idx="15">
                  <c:v>5.028101073417135</c:v>
                </c:pt>
                <c:pt idx="16">
                  <c:v>4.8133115866807685</c:v>
                </c:pt>
                <c:pt idx="17">
                  <c:v>4.2449970602707721</c:v>
                </c:pt>
                <c:pt idx="18">
                  <c:v>3.1612774974449032</c:v>
                </c:pt>
                <c:pt idx="19">
                  <c:v>2.9845606409755199</c:v>
                </c:pt>
                <c:pt idx="20">
                  <c:v>3.577614117222816</c:v>
                </c:pt>
                <c:pt idx="21">
                  <c:v>3.7328437074208187</c:v>
                </c:pt>
                <c:pt idx="22">
                  <c:v>4.84746971367922</c:v>
                </c:pt>
                <c:pt idx="23">
                  <c:v>6.3181353268416895</c:v>
                </c:pt>
                <c:pt idx="24">
                  <c:v>5.7516231063758916</c:v>
                </c:pt>
                <c:pt idx="25">
                  <c:v>5.5574472372469819</c:v>
                </c:pt>
                <c:pt idx="26">
                  <c:v>6.000289140617765</c:v>
                </c:pt>
                <c:pt idx="27">
                  <c:v>5.3037898561909547</c:v>
                </c:pt>
                <c:pt idx="28">
                  <c:v>5.803580881523418</c:v>
                </c:pt>
                <c:pt idx="29">
                  <c:v>5.9413407216901692</c:v>
                </c:pt>
                <c:pt idx="30">
                  <c:v>4.7656122912666188</c:v>
                </c:pt>
                <c:pt idx="31">
                  <c:v>4.5288824707218733</c:v>
                </c:pt>
                <c:pt idx="32">
                  <c:v>4.3138606486428088</c:v>
                </c:pt>
                <c:pt idx="33">
                  <c:v>4.6916233775121219</c:v>
                </c:pt>
                <c:pt idx="34">
                  <c:v>3.4102770114911474</c:v>
                </c:pt>
                <c:pt idx="35">
                  <c:v>2.8055218802549797</c:v>
                </c:pt>
                <c:pt idx="36">
                  <c:v>3.6017316017316059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BE6-4889-B459-9B03ABACE4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8733952"/>
        <c:axId val="298741400"/>
      </c:lineChart>
      <c:valAx>
        <c:axId val="298741400"/>
        <c:scaling>
          <c:orientation val="minMax"/>
          <c:max val="15"/>
          <c:min val="0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es-MX"/>
          </a:p>
        </c:txPr>
        <c:crossAx val="298733952"/>
        <c:crossesAt val="1"/>
        <c:crossBetween val="midCat"/>
      </c:valAx>
      <c:catAx>
        <c:axId val="298733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ctr" anchorCtr="0"/>
          <a:lstStyle/>
          <a:p>
            <a:pPr>
              <a:defRPr sz="700" b="1"/>
            </a:pPr>
            <a:endParaRPr lang="es-MX"/>
          </a:p>
        </c:txPr>
        <c:crossAx val="298741400"/>
        <c:crossesAt val="0"/>
        <c:auto val="1"/>
        <c:lblAlgn val="ctr"/>
        <c:lblOffset val="100"/>
        <c:tickLblSkip val="1"/>
        <c:tickMarkSkip val="1"/>
        <c:noMultiLvlLbl val="1"/>
      </c:catAx>
      <c:spPr>
        <a:noFill/>
        <a:ln w="3175">
          <a:noFill/>
        </a:ln>
      </c:spPr>
    </c:plotArea>
    <c:legend>
      <c:legendPos val="b"/>
      <c:layout>
        <c:manualLayout>
          <c:xMode val="edge"/>
          <c:yMode val="edge"/>
          <c:x val="6.7183730158730165E-2"/>
          <c:y val="0.93491266277289053"/>
          <c:w val="0.87920221746994454"/>
          <c:h val="6.318868965387804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  <a:scene3d>
      <a:camera prst="orthographicFront"/>
      <a:lightRig rig="threePt" dir="t"/>
    </a:scene3d>
    <a:sp3d>
      <a:bevelT w="0" h="0"/>
    </a:sp3d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AB62-E2C1-4C73-9997-757CE364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36</TotalTime>
  <Pages>11</Pages>
  <Words>3518</Words>
  <Characters>19558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Productor</vt:lpstr>
    </vt:vector>
  </TitlesOfParts>
  <Company>INEGI</Company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Productor</dc:title>
  <dc:creator>INEGI</dc:creator>
  <cp:keywords>PRECIOS PRODUCTOR INTERMEDIOS FINALES</cp:keywords>
  <cp:lastModifiedBy>SALA DE PRENSA</cp:lastModifiedBy>
  <cp:revision>15</cp:revision>
  <cp:lastPrinted>2019-08-05T18:23:00Z</cp:lastPrinted>
  <dcterms:created xsi:type="dcterms:W3CDTF">2019-08-05T19:26:00Z</dcterms:created>
  <dcterms:modified xsi:type="dcterms:W3CDTF">2019-08-07T23:05:00Z</dcterms:modified>
  <cp:category>INDICES DE PRECIOS</cp:category>
  <cp:version>1</cp:version>
</cp:coreProperties>
</file>