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C6D8" w14:textId="77777777" w:rsidR="009D6B5F" w:rsidRDefault="009D6B5F" w:rsidP="009D6B5F">
      <w:pPr>
        <w:tabs>
          <w:tab w:val="left" w:pos="8789"/>
        </w:tabs>
        <w:ind w:left="-284" w:right="51"/>
        <w:jc w:val="center"/>
        <w:rPr>
          <w:b/>
          <w:sz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ED99E" wp14:editId="0E2F4982">
                <wp:simplePos x="0" y="0"/>
                <wp:positionH relativeFrom="column">
                  <wp:posOffset>2893695</wp:posOffset>
                </wp:positionH>
                <wp:positionV relativeFrom="paragraph">
                  <wp:posOffset>635</wp:posOffset>
                </wp:positionV>
                <wp:extent cx="3249930" cy="266700"/>
                <wp:effectExtent l="0" t="0" r="762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FB55" w14:textId="77777777" w:rsidR="00DC48F6" w:rsidRPr="00265B8C" w:rsidRDefault="00DC48F6" w:rsidP="009D6B5F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7 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83ED99E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27.85pt;margin-top:.05pt;width:255.9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" stroked="f">
                <v:textbox>
                  <w:txbxContent>
                    <w:p w14:paraId="3879FB55" w14:textId="77777777" w:rsidR="00DC48F6" w:rsidRPr="00265B8C" w:rsidRDefault="00DC48F6" w:rsidP="009D6B5F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7 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noviembre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834FF" w14:textId="77777777" w:rsidR="009D6B5F" w:rsidRDefault="009D6B5F" w:rsidP="009D6B5F">
      <w:pPr>
        <w:pStyle w:val="Profesin"/>
      </w:pPr>
      <w:r w:rsidRPr="009E234E">
        <w:t xml:space="preserve"> </w:t>
      </w:r>
      <w:r>
        <w:t xml:space="preserve">   </w:t>
      </w:r>
    </w:p>
    <w:p w14:paraId="0AB5DD07" w14:textId="77777777" w:rsidR="009D6B5F" w:rsidRDefault="009D6B5F" w:rsidP="009D6B5F">
      <w:pPr>
        <w:pStyle w:val="Profesin"/>
      </w:pPr>
      <w:r w:rsidRPr="009E234E">
        <w:t xml:space="preserve"> </w:t>
      </w:r>
      <w:r>
        <w:t xml:space="preserve">   </w:t>
      </w:r>
    </w:p>
    <w:p w14:paraId="7DED0678" w14:textId="77777777" w:rsidR="009D6B5F" w:rsidRPr="004F04F0" w:rsidRDefault="009D6B5F" w:rsidP="009D6B5F">
      <w:pPr>
        <w:pStyle w:val="Profesin"/>
        <w:rPr>
          <w:b w:val="0"/>
        </w:rPr>
      </w:pPr>
      <w:r w:rsidRPr="0092783E">
        <w:t>ÍNDICE NACIONAL DE PRECIOS productor</w:t>
      </w:r>
    </w:p>
    <w:p w14:paraId="091E1AE4" w14:textId="711EE576" w:rsidR="009D6B5F" w:rsidRPr="0092783E" w:rsidRDefault="00151D04" w:rsidP="009D6B5F">
      <w:pPr>
        <w:pStyle w:val="Profesin"/>
        <w:ind w:left="708" w:hanging="708"/>
      </w:pPr>
      <w:r>
        <w:t xml:space="preserve">      </w:t>
      </w:r>
      <w:r w:rsidR="009D6B5F">
        <w:t>SEPTIEMBRE DE 2019</w:t>
      </w:r>
    </w:p>
    <w:p w14:paraId="62FA4284" w14:textId="77777777" w:rsidR="009D6B5F" w:rsidRPr="00E469B6" w:rsidRDefault="009D6B5F" w:rsidP="009D6B5F">
      <w:pPr>
        <w:pStyle w:val="Profesin"/>
        <w:ind w:left="708" w:hanging="708"/>
        <w:rPr>
          <w:b w:val="0"/>
          <w:sz w:val="24"/>
          <w:szCs w:val="24"/>
        </w:rPr>
      </w:pPr>
    </w:p>
    <w:p w14:paraId="35D6A9CE" w14:textId="77777777" w:rsidR="009D6B5F" w:rsidRPr="00E469B6" w:rsidRDefault="009D6B5F" w:rsidP="009D6B5F">
      <w:pPr>
        <w:ind w:left="-426" w:right="-738"/>
        <w:rPr>
          <w:bCs/>
        </w:rPr>
      </w:pPr>
      <w:r w:rsidRPr="00E469B6">
        <w:rPr>
          <w:bCs/>
        </w:rPr>
        <w:t>El Instituto Nacional de Estadística y Geografía (INEGI) informa que durante septiembre de 2019 el Índice Nacional de Precios Productor (INPP) Total, incluyendo petróleo, presentó un incremento de 0.85% mensual, alcanzando una tasa anual de 1.88 por ciento</w:t>
      </w:r>
      <w:r w:rsidRPr="00E469B6">
        <w:rPr>
          <w:vertAlign w:val="superscript"/>
        </w:rPr>
        <w:footnoteReference w:id="1"/>
      </w:r>
      <w:r w:rsidRPr="00E469B6">
        <w:rPr>
          <w:bCs/>
        </w:rPr>
        <w:t>. En igual mes de 2018 creció 0.94% mensual y 8.57% anual.</w:t>
      </w:r>
    </w:p>
    <w:p w14:paraId="073D143D" w14:textId="77777777" w:rsidR="009D6B5F" w:rsidRPr="00E469B6" w:rsidRDefault="009D6B5F" w:rsidP="009D6B5F">
      <w:pPr>
        <w:spacing w:before="240"/>
        <w:ind w:left="-426" w:right="-738"/>
        <w:rPr>
          <w:bCs/>
        </w:rPr>
      </w:pPr>
      <w:r w:rsidRPr="00E469B6">
        <w:rPr>
          <w:bCs/>
        </w:rPr>
        <w:t>Por grupos de actividades económicas, los precios de las Actividades Primarias aumentaron 5.03%, los de las Secundarias 0.82% y los de las Actividades Terciarias 0.30%, a tasa mensual.</w:t>
      </w:r>
    </w:p>
    <w:p w14:paraId="4D3E17D0" w14:textId="77777777" w:rsidR="009D6B5F" w:rsidRPr="00E469B6" w:rsidRDefault="009D6B5F" w:rsidP="009D6B5F">
      <w:pPr>
        <w:spacing w:before="240"/>
        <w:ind w:left="-426" w:right="-738"/>
        <w:rPr>
          <w:bCs/>
        </w:rPr>
      </w:pPr>
      <w:r w:rsidRPr="00E469B6">
        <w:rPr>
          <w:bCs/>
        </w:rPr>
        <w:t>El Índice de Mercancías y Servicios de Uso Intermedio, incluyendo petróleo, mostró una variación mensual de 1.15%, ubicando su tasa anual en (-)0.13 por ciento.</w:t>
      </w:r>
    </w:p>
    <w:p w14:paraId="6224747B" w14:textId="77777777" w:rsidR="009D6B5F" w:rsidRPr="00E469B6" w:rsidRDefault="009D6B5F" w:rsidP="009D6B5F">
      <w:pPr>
        <w:spacing w:before="240"/>
        <w:ind w:left="-426" w:right="-738"/>
        <w:rPr>
          <w:bCs/>
        </w:rPr>
      </w:pPr>
      <w:r w:rsidRPr="00E469B6">
        <w:rPr>
          <w:bCs/>
        </w:rPr>
        <w:t>Por su parte, el Índice de Mercancías y Servicios Finales, incluyendo petróleo, registró un alza mensual de 0.73% y anual de 2.74 por ciento.</w:t>
      </w:r>
    </w:p>
    <w:p w14:paraId="2B957E6F" w14:textId="77777777" w:rsidR="009D6B5F" w:rsidRDefault="009D6B5F" w:rsidP="009D6B5F">
      <w:pPr>
        <w:pStyle w:val="Prrafodelista"/>
        <w:spacing w:before="160"/>
        <w:ind w:left="0"/>
        <w:jc w:val="center"/>
        <w:rPr>
          <w:snapToGrid w:val="0"/>
          <w:sz w:val="20"/>
          <w:szCs w:val="20"/>
        </w:rPr>
      </w:pPr>
    </w:p>
    <w:p w14:paraId="21202372" w14:textId="77777777" w:rsidR="009D6B5F" w:rsidRPr="00171176" w:rsidRDefault="009D6B5F" w:rsidP="009D6B5F">
      <w:pPr>
        <w:pStyle w:val="Prrafodelista"/>
        <w:spacing w:before="160"/>
        <w:ind w:left="0"/>
        <w:jc w:val="center"/>
        <w:rPr>
          <w:snapToGrid w:val="0"/>
          <w:sz w:val="20"/>
          <w:szCs w:val="20"/>
        </w:rPr>
      </w:pPr>
      <w:r w:rsidRPr="00171176">
        <w:rPr>
          <w:snapToGrid w:val="0"/>
          <w:sz w:val="20"/>
          <w:szCs w:val="20"/>
        </w:rPr>
        <w:t>Cuadro 1</w:t>
      </w:r>
    </w:p>
    <w:p w14:paraId="68FC8BF3" w14:textId="77777777" w:rsidR="009D6B5F" w:rsidRPr="002D3D3F" w:rsidRDefault="009D6B5F" w:rsidP="009D6B5F">
      <w:pPr>
        <w:widowControl w:val="0"/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 w:rsidRPr="002D3D3F">
        <w:rPr>
          <w:b/>
          <w:snapToGrid w:val="0"/>
          <w:sz w:val="22"/>
          <w:szCs w:val="22"/>
        </w:rPr>
        <w:t xml:space="preserve">ÍNDICE NACIONAL DE PRECIOS PRODUCTOR </w:t>
      </w:r>
    </w:p>
    <w:p w14:paraId="3B91EAAE" w14:textId="77777777" w:rsidR="009D6B5F" w:rsidRPr="002D3D3F" w:rsidRDefault="009D6B5F" w:rsidP="009D6B5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2D3D3F">
        <w:rPr>
          <w:b/>
          <w:snapToGrid w:val="0"/>
          <w:sz w:val="22"/>
          <w:szCs w:val="22"/>
        </w:rPr>
        <w:t>MERCANCÍAS Y SERVICIOS INTERMEDIOS,</w:t>
      </w:r>
      <w:r>
        <w:rPr>
          <w:b/>
          <w:snapToGrid w:val="0"/>
          <w:sz w:val="22"/>
          <w:szCs w:val="22"/>
        </w:rPr>
        <w:t xml:space="preserve"> FINALES Y PRODUCCIÓN TOTAL, </w:t>
      </w:r>
      <w:r>
        <w:rPr>
          <w:b/>
          <w:snapToGrid w:val="0"/>
          <w:sz w:val="22"/>
          <w:szCs w:val="22"/>
        </w:rPr>
        <w:br/>
      </w:r>
      <w:r w:rsidRPr="0036387A">
        <w:rPr>
          <w:b/>
          <w:snapToGrid w:val="0"/>
          <w:sz w:val="22"/>
          <w:szCs w:val="22"/>
          <w:u w:val="single"/>
        </w:rPr>
        <w:t>INCLUYENDO PETRÓLEO</w:t>
      </w:r>
      <w:r w:rsidRPr="002D3D3F">
        <w:rPr>
          <w:b/>
          <w:snapToGrid w:val="0"/>
          <w:sz w:val="22"/>
          <w:szCs w:val="22"/>
        </w:rPr>
        <w:t xml:space="preserve">, DURANTE </w:t>
      </w:r>
      <w:r>
        <w:rPr>
          <w:b/>
          <w:snapToGrid w:val="0"/>
          <w:sz w:val="22"/>
          <w:szCs w:val="22"/>
        </w:rPr>
        <w:t>SEPTIEMBRE</w:t>
      </w:r>
      <w:r w:rsidRPr="002D3D3F">
        <w:rPr>
          <w:b/>
          <w:snapToGrid w:val="0"/>
          <w:sz w:val="22"/>
          <w:szCs w:val="22"/>
        </w:rPr>
        <w:t xml:space="preserve"> DE 201</w:t>
      </w:r>
      <w:r>
        <w:rPr>
          <w:b/>
          <w:snapToGrid w:val="0"/>
          <w:sz w:val="22"/>
          <w:szCs w:val="22"/>
        </w:rPr>
        <w:t>9</w:t>
      </w:r>
    </w:p>
    <w:p w14:paraId="67E4E349" w14:textId="77777777" w:rsidR="009D6B5F" w:rsidRPr="002D3D3F" w:rsidRDefault="009D6B5F" w:rsidP="009D6B5F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2D3D3F">
        <w:rPr>
          <w:snapToGrid w:val="0"/>
          <w:sz w:val="22"/>
          <w:szCs w:val="22"/>
        </w:rPr>
        <w:t>Clasificación por origen</w:t>
      </w:r>
    </w:p>
    <w:p w14:paraId="52F04BB3" w14:textId="77777777" w:rsidR="009D6B5F" w:rsidRDefault="009D6B5F" w:rsidP="009D6B5F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2D3D3F">
        <w:rPr>
          <w:snapToGrid w:val="0"/>
          <w:sz w:val="18"/>
          <w:szCs w:val="18"/>
        </w:rPr>
        <w:t>Variación porcentual</w:t>
      </w:r>
    </w:p>
    <w:tbl>
      <w:tblPr>
        <w:tblW w:w="4977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736"/>
        <w:gridCol w:w="736"/>
        <w:gridCol w:w="737"/>
        <w:gridCol w:w="737"/>
        <w:gridCol w:w="737"/>
        <w:gridCol w:w="737"/>
      </w:tblGrid>
      <w:tr w:rsidR="009D6B5F" w:rsidRPr="00A9663B" w14:paraId="0CF9C7BB" w14:textId="77777777" w:rsidTr="00DC48F6">
        <w:trPr>
          <w:trHeight w:val="255"/>
        </w:trPr>
        <w:tc>
          <w:tcPr>
            <w:tcW w:w="453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794E63F" w14:textId="77777777" w:rsidR="009D6B5F" w:rsidRPr="00A9663B" w:rsidRDefault="009D6B5F" w:rsidP="00DC48F6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651DF05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DE59E62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A67B2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9D6B5F" w:rsidRPr="00A9663B" w14:paraId="7639D182" w14:textId="77777777" w:rsidTr="00DC48F6">
        <w:trPr>
          <w:trHeight w:val="397"/>
        </w:trPr>
        <w:tc>
          <w:tcPr>
            <w:tcW w:w="453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5701843" w14:textId="77777777" w:rsidR="009D6B5F" w:rsidRPr="00A9663B" w:rsidRDefault="009D6B5F" w:rsidP="00DC48F6">
            <w:pPr>
              <w:jc w:val="center"/>
              <w:rPr>
                <w:bCs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85FBF8C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Inter-medios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C442558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D595F62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8AD1834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Inter-medios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386686C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660AF81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9D6B5F" w:rsidRPr="00841586" w14:paraId="5073482C" w14:textId="77777777" w:rsidTr="00DC48F6">
        <w:trPr>
          <w:trHeight w:val="227"/>
        </w:trPr>
        <w:tc>
          <w:tcPr>
            <w:tcW w:w="453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3276CED" w14:textId="77777777" w:rsidR="009D6B5F" w:rsidRPr="00841586" w:rsidRDefault="009D6B5F" w:rsidP="00DC48F6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1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A8A8DF3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074728D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E5B6BCE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4439CEB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E7D078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2.74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35510E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1.88</w:t>
            </w:r>
          </w:p>
        </w:tc>
      </w:tr>
      <w:tr w:rsidR="009D6B5F" w:rsidRPr="00841586" w14:paraId="40E68290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1A4A1C3" w14:textId="77777777" w:rsidR="009D6B5F" w:rsidRPr="00841586" w:rsidRDefault="009D6B5F" w:rsidP="00DC48F6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3DEB79D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4.44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236F2F4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1134A37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C12F613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E77056E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180E3A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0.42</w:t>
            </w:r>
          </w:p>
        </w:tc>
      </w:tr>
      <w:tr w:rsidR="009D6B5F" w:rsidRPr="00841586" w14:paraId="73E402E9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62BB0B1" w14:textId="77777777" w:rsidR="009D6B5F" w:rsidRPr="00841586" w:rsidRDefault="009D6B5F" w:rsidP="00DC48F6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5266319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CB48608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486B37A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EA02F9A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-1.37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4F1071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2.23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E36B5A9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1.18</w:t>
            </w:r>
          </w:p>
        </w:tc>
      </w:tr>
      <w:tr w:rsidR="009D6B5F" w:rsidRPr="00841586" w14:paraId="729378AA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50A1C7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5B0FF4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8.63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7FFA7A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9.44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9B8F74E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9.01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7F45522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-6.41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372E57A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-8.82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9DA30EA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-7.59</w:t>
            </w:r>
          </w:p>
        </w:tc>
      </w:tr>
      <w:tr w:rsidR="009D6B5F" w:rsidRPr="00841586" w14:paraId="0E3C4270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E891509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F8B6BD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873A8A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DD9DB7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F870AA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-3.10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F06F4EA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EE6F9B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-2.16</w:t>
            </w:r>
          </w:p>
        </w:tc>
      </w:tr>
      <w:tr w:rsidR="009D6B5F" w:rsidRPr="00841586" w14:paraId="2D75DA8A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8CD6DD9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Construcción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BFBE949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316BFD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0893E9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51F4B08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C8E2F45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B86134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1.32</w:t>
            </w:r>
          </w:p>
        </w:tc>
      </w:tr>
      <w:tr w:rsidR="009D6B5F" w:rsidRPr="00841586" w14:paraId="77D0566F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4DA106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6272232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657A8C9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BF311F1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7042C1B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61CF4AF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FE38E21" w14:textId="77777777" w:rsidR="009D6B5F" w:rsidRPr="00AC05B2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C05B2">
              <w:rPr>
                <w:bCs/>
                <w:color w:val="000000"/>
                <w:sz w:val="14"/>
                <w:szCs w:val="14"/>
              </w:rPr>
              <w:t>3.01</w:t>
            </w:r>
          </w:p>
        </w:tc>
      </w:tr>
      <w:tr w:rsidR="009D6B5F" w:rsidRPr="00841586" w14:paraId="485839CB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E90E759" w14:textId="77777777" w:rsidR="009D6B5F" w:rsidRPr="00841586" w:rsidRDefault="009D6B5F" w:rsidP="00DC48F6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080118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61EE5AA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5D6C78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D171CE6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BC6D35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3.76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9B6794C" w14:textId="77777777" w:rsidR="009D6B5F" w:rsidRPr="00AC05B2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C05B2">
              <w:rPr>
                <w:b/>
                <w:bCs/>
                <w:color w:val="000000"/>
                <w:sz w:val="14"/>
                <w:szCs w:val="14"/>
              </w:rPr>
              <w:t>3.50</w:t>
            </w:r>
          </w:p>
        </w:tc>
      </w:tr>
    </w:tbl>
    <w:p w14:paraId="7BADEAC6" w14:textId="77777777" w:rsidR="009D6B5F" w:rsidRPr="00034732" w:rsidRDefault="009D6B5F" w:rsidP="009D6B5F">
      <w:pPr>
        <w:widowControl w:val="0"/>
        <w:tabs>
          <w:tab w:val="left" w:pos="266"/>
        </w:tabs>
        <w:autoSpaceDE w:val="0"/>
        <w:autoSpaceDN w:val="0"/>
        <w:adjustRightInd w:val="0"/>
        <w:ind w:left="-11" w:right="113" w:firstLine="125"/>
        <w:jc w:val="left"/>
        <w:rPr>
          <w:color w:val="000000"/>
          <w:sz w:val="12"/>
          <w:szCs w:val="14"/>
        </w:rPr>
      </w:pPr>
      <w:r w:rsidRPr="003F5E65">
        <w:rPr>
          <w:sz w:val="16"/>
          <w:szCs w:val="14"/>
          <w:vertAlign w:val="superscript"/>
        </w:rPr>
        <w:t>1/</w:t>
      </w:r>
      <w:r w:rsidRPr="003F5E65">
        <w:rPr>
          <w:color w:val="000000"/>
          <w:sz w:val="14"/>
          <w:szCs w:val="14"/>
          <w:vertAlign w:val="superscript"/>
        </w:rPr>
        <w:tab/>
      </w:r>
      <w:r w:rsidRPr="00034732">
        <w:rPr>
          <w:spacing w:val="-2"/>
          <w:sz w:val="14"/>
          <w:szCs w:val="16"/>
        </w:rPr>
        <w:t>Las variaciones anuales durante el primer año del INPP base julio de 2019 se continuarán comparando con el índice de la base anterior.</w:t>
      </w:r>
    </w:p>
    <w:p w14:paraId="5A149973" w14:textId="77777777" w:rsidR="009D6B5F" w:rsidRDefault="009D6B5F" w:rsidP="009D6B5F">
      <w:pPr>
        <w:widowControl w:val="0"/>
        <w:tabs>
          <w:tab w:val="left" w:pos="266"/>
        </w:tabs>
        <w:autoSpaceDE w:val="0"/>
        <w:autoSpaceDN w:val="0"/>
        <w:adjustRightInd w:val="0"/>
        <w:ind w:left="-11" w:right="113" w:firstLine="125"/>
        <w:jc w:val="left"/>
        <w:rPr>
          <w:color w:val="000000"/>
          <w:sz w:val="14"/>
          <w:szCs w:val="14"/>
        </w:rPr>
      </w:pPr>
      <w:r>
        <w:rPr>
          <w:sz w:val="16"/>
          <w:szCs w:val="14"/>
          <w:vertAlign w:val="superscript"/>
        </w:rPr>
        <w:t>2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color w:val="000000"/>
          <w:sz w:val="14"/>
          <w:szCs w:val="14"/>
          <w:vertAlign w:val="superscript"/>
        </w:rPr>
        <w:tab/>
      </w:r>
      <w:r w:rsidRPr="003F5E65">
        <w:rPr>
          <w:color w:val="000000"/>
          <w:sz w:val="14"/>
          <w:szCs w:val="14"/>
        </w:rPr>
        <w:t>Esta actividad no genera bienes de uso intermedio.</w:t>
      </w:r>
    </w:p>
    <w:p w14:paraId="634FC3CA" w14:textId="77777777" w:rsidR="009D6B5F" w:rsidRDefault="009D6B5F" w:rsidP="009D6B5F">
      <w:pPr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0617159F" w14:textId="77777777" w:rsidR="009D6B5F" w:rsidRDefault="009D6B5F" w:rsidP="009D6B5F">
      <w:pPr>
        <w:spacing w:before="240"/>
        <w:ind w:left="-426" w:right="-313"/>
        <w:rPr>
          <w:b/>
          <w:bCs/>
          <w:sz w:val="22"/>
          <w:szCs w:val="22"/>
        </w:rPr>
      </w:pPr>
    </w:p>
    <w:p w14:paraId="3EA52431" w14:textId="77777777" w:rsidR="009D6B5F" w:rsidRDefault="009D6B5F" w:rsidP="009D6B5F">
      <w:pPr>
        <w:spacing w:before="360"/>
        <w:ind w:left="-426" w:right="-738" w:hanging="142"/>
        <w:rPr>
          <w:bCs/>
        </w:rPr>
      </w:pPr>
      <w:r>
        <w:rPr>
          <w:b/>
          <w:bCs/>
        </w:rPr>
        <w:tab/>
      </w:r>
      <w:r w:rsidRPr="00E469B6">
        <w:rPr>
          <w:bCs/>
        </w:rPr>
        <w:t>En el proceso del INPP Total excluyendo petróleo, éste presentó una variación mensual de 0.52%, alcanzando una tasa anual de 2.81 por ciento. En igual mes de 2018 ascendió 0.59% mensual y 6.86% anual.</w:t>
      </w:r>
    </w:p>
    <w:p w14:paraId="606A44D0" w14:textId="77777777" w:rsidR="009D6B5F" w:rsidRDefault="009D6B5F" w:rsidP="009D6B5F">
      <w:pPr>
        <w:spacing w:before="240"/>
        <w:ind w:left="-426" w:right="-738" w:hanging="142"/>
        <w:rPr>
          <w:bCs/>
        </w:rPr>
      </w:pPr>
      <w:r w:rsidRPr="00E469B6">
        <w:rPr>
          <w:bCs/>
        </w:rPr>
        <w:tab/>
        <w:t>Por grupos de actividades económicas, los precios de las Actividades Primarias crecieron 5.03%, los de las Actividades Secundarias 0.27% y los de las Actividades Terciarias 0.30% a tasa mensual.</w:t>
      </w:r>
    </w:p>
    <w:p w14:paraId="67DED7AC" w14:textId="77777777" w:rsidR="009D6B5F" w:rsidRDefault="009D6B5F" w:rsidP="009D6B5F">
      <w:pPr>
        <w:spacing w:before="240"/>
        <w:ind w:left="-426" w:right="-738" w:hanging="142"/>
        <w:rPr>
          <w:bCs/>
        </w:rPr>
      </w:pPr>
      <w:r w:rsidRPr="00E469B6">
        <w:rPr>
          <w:bCs/>
        </w:rPr>
        <w:tab/>
        <w:t>El Índice de Mercancías y Servicios de Uso Intermedio, excluyendo petróleo, mostró un ascenso mensual de 0.59%, ubicando su tasa anual en 1.13 por ciento.</w:t>
      </w:r>
    </w:p>
    <w:p w14:paraId="6B04C1D7" w14:textId="77777777" w:rsidR="009D6B5F" w:rsidRPr="00E469B6" w:rsidRDefault="009D6B5F" w:rsidP="009D6B5F">
      <w:pPr>
        <w:spacing w:before="240"/>
        <w:ind w:left="-426" w:right="-738" w:hanging="142"/>
        <w:rPr>
          <w:bCs/>
        </w:rPr>
      </w:pPr>
      <w:r w:rsidRPr="00E469B6">
        <w:rPr>
          <w:bCs/>
        </w:rPr>
        <w:tab/>
        <w:t>Por su parte, el Índice de Mercancías y Servicios Finales, excluyendo petróleo, subió 0.49% mensual y 3.48% anual.</w:t>
      </w:r>
    </w:p>
    <w:p w14:paraId="308D4593" w14:textId="77777777" w:rsidR="009D6B5F" w:rsidRDefault="009D6B5F" w:rsidP="009D6B5F">
      <w:pPr>
        <w:spacing w:before="240"/>
        <w:jc w:val="center"/>
        <w:rPr>
          <w:snapToGrid w:val="0"/>
          <w:sz w:val="20"/>
          <w:szCs w:val="20"/>
        </w:rPr>
      </w:pPr>
    </w:p>
    <w:p w14:paraId="36B2E49B" w14:textId="77777777" w:rsidR="009D6B5F" w:rsidRPr="002D3D3F" w:rsidRDefault="009D6B5F" w:rsidP="009D6B5F">
      <w:pPr>
        <w:spacing w:before="120"/>
        <w:jc w:val="center"/>
        <w:rPr>
          <w:snapToGrid w:val="0"/>
          <w:sz w:val="20"/>
          <w:szCs w:val="20"/>
        </w:rPr>
      </w:pPr>
      <w:r w:rsidRPr="002D3D3F">
        <w:rPr>
          <w:snapToGrid w:val="0"/>
          <w:sz w:val="20"/>
          <w:szCs w:val="20"/>
        </w:rPr>
        <w:t xml:space="preserve">Cuadro </w:t>
      </w:r>
      <w:r>
        <w:rPr>
          <w:snapToGrid w:val="0"/>
          <w:sz w:val="20"/>
          <w:szCs w:val="20"/>
        </w:rPr>
        <w:t>2</w:t>
      </w:r>
    </w:p>
    <w:p w14:paraId="07F8DDBD" w14:textId="77777777" w:rsidR="009D6B5F" w:rsidRPr="002D3D3F" w:rsidRDefault="009D6B5F" w:rsidP="009D6B5F">
      <w:pPr>
        <w:widowControl w:val="0"/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 w:rsidRPr="002D3D3F">
        <w:rPr>
          <w:b/>
          <w:snapToGrid w:val="0"/>
          <w:sz w:val="22"/>
          <w:szCs w:val="22"/>
        </w:rPr>
        <w:t xml:space="preserve">ÍNDICE NACIONAL DE PRECIOS PRODUCTOR </w:t>
      </w:r>
    </w:p>
    <w:p w14:paraId="715F3D73" w14:textId="77777777" w:rsidR="009D6B5F" w:rsidRPr="002D3D3F" w:rsidRDefault="009D6B5F" w:rsidP="009D6B5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2D3D3F">
        <w:rPr>
          <w:b/>
          <w:snapToGrid w:val="0"/>
          <w:sz w:val="22"/>
          <w:szCs w:val="22"/>
        </w:rPr>
        <w:t xml:space="preserve">MERCANCÍAS Y SERVICIOS INTERMEDIOS, FINALES Y PRODUCCIÓN TOTAL, </w:t>
      </w:r>
      <w:r w:rsidRPr="002D3D3F">
        <w:rPr>
          <w:b/>
          <w:snapToGrid w:val="0"/>
          <w:sz w:val="22"/>
          <w:szCs w:val="22"/>
        </w:rPr>
        <w:br/>
      </w:r>
      <w:r w:rsidRPr="0036387A">
        <w:rPr>
          <w:b/>
          <w:snapToGrid w:val="0"/>
          <w:sz w:val="22"/>
          <w:szCs w:val="22"/>
          <w:u w:val="single"/>
        </w:rPr>
        <w:t>EXCLUYENDO PETRÓLEO</w:t>
      </w:r>
      <w:r w:rsidRPr="002D3D3F">
        <w:rPr>
          <w:b/>
          <w:snapToGrid w:val="0"/>
          <w:sz w:val="22"/>
          <w:szCs w:val="22"/>
        </w:rPr>
        <w:t xml:space="preserve">, DURANTE </w:t>
      </w:r>
      <w:r>
        <w:rPr>
          <w:b/>
          <w:snapToGrid w:val="0"/>
          <w:sz w:val="22"/>
          <w:szCs w:val="22"/>
        </w:rPr>
        <w:t>SEPTIEMBRE</w:t>
      </w:r>
      <w:r w:rsidRPr="002D3D3F">
        <w:rPr>
          <w:b/>
          <w:snapToGrid w:val="0"/>
          <w:sz w:val="22"/>
          <w:szCs w:val="22"/>
        </w:rPr>
        <w:t xml:space="preserve"> DE 201</w:t>
      </w:r>
      <w:r>
        <w:rPr>
          <w:b/>
          <w:snapToGrid w:val="0"/>
          <w:sz w:val="22"/>
          <w:szCs w:val="22"/>
        </w:rPr>
        <w:t>9</w:t>
      </w:r>
    </w:p>
    <w:p w14:paraId="6DC561E8" w14:textId="77777777" w:rsidR="009D6B5F" w:rsidRPr="002D3D3F" w:rsidRDefault="009D6B5F" w:rsidP="009D6B5F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2D3D3F">
        <w:rPr>
          <w:snapToGrid w:val="0"/>
          <w:sz w:val="22"/>
          <w:szCs w:val="22"/>
        </w:rPr>
        <w:t>Clasificación por origen</w:t>
      </w:r>
    </w:p>
    <w:p w14:paraId="4849E84F" w14:textId="77777777" w:rsidR="009D6B5F" w:rsidRDefault="009D6B5F" w:rsidP="009D6B5F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2D3D3F">
        <w:rPr>
          <w:snapToGrid w:val="0"/>
          <w:sz w:val="18"/>
          <w:szCs w:val="18"/>
        </w:rPr>
        <w:t>Variación porcentual</w:t>
      </w:r>
    </w:p>
    <w:tbl>
      <w:tblPr>
        <w:tblW w:w="4977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736"/>
        <w:gridCol w:w="736"/>
        <w:gridCol w:w="737"/>
        <w:gridCol w:w="737"/>
        <w:gridCol w:w="737"/>
        <w:gridCol w:w="737"/>
      </w:tblGrid>
      <w:tr w:rsidR="009D6B5F" w:rsidRPr="00A9663B" w14:paraId="490A0D27" w14:textId="77777777" w:rsidTr="00DC48F6">
        <w:trPr>
          <w:trHeight w:val="255"/>
        </w:trPr>
        <w:tc>
          <w:tcPr>
            <w:tcW w:w="453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661EF3F" w14:textId="77777777" w:rsidR="009D6B5F" w:rsidRPr="00A9663B" w:rsidRDefault="009D6B5F" w:rsidP="00DC48F6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62427D8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41948C9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A67B2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9D6B5F" w:rsidRPr="00A9663B" w14:paraId="722EFA07" w14:textId="77777777" w:rsidTr="00DC48F6">
        <w:trPr>
          <w:trHeight w:val="397"/>
        </w:trPr>
        <w:tc>
          <w:tcPr>
            <w:tcW w:w="453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1A76B9C" w14:textId="77777777" w:rsidR="009D6B5F" w:rsidRPr="00A9663B" w:rsidRDefault="009D6B5F" w:rsidP="00DC48F6">
            <w:pPr>
              <w:jc w:val="center"/>
              <w:rPr>
                <w:bCs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ED7FC5D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Inter-medios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EF95A92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F146443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C573448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Inter-medios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87D951B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4CE1CAE" w14:textId="77777777" w:rsidR="009D6B5F" w:rsidRPr="00A9663B" w:rsidRDefault="009D6B5F" w:rsidP="00DC48F6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9D6B5F" w:rsidRPr="00841586" w14:paraId="5D15DD73" w14:textId="77777777" w:rsidTr="00DC48F6">
        <w:trPr>
          <w:trHeight w:val="227"/>
        </w:trPr>
        <w:tc>
          <w:tcPr>
            <w:tcW w:w="453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3ACEF0" w14:textId="77777777" w:rsidR="009D6B5F" w:rsidRPr="00841586" w:rsidRDefault="009D6B5F" w:rsidP="00DC48F6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1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E219258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F82CE9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3DFB28B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7D17EC5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F94A91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3.48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8AE984E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2.81</w:t>
            </w:r>
          </w:p>
        </w:tc>
      </w:tr>
      <w:tr w:rsidR="009D6B5F" w:rsidRPr="00841586" w14:paraId="385B4622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ADD5B05" w14:textId="77777777" w:rsidR="009D6B5F" w:rsidRPr="00841586" w:rsidRDefault="009D6B5F" w:rsidP="00DC48F6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F9AB48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4.44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D2CA22D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567AF4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4B7BDFA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80009C4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4839E43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0.42</w:t>
            </w:r>
          </w:p>
        </w:tc>
      </w:tr>
      <w:tr w:rsidR="009D6B5F" w:rsidRPr="00841586" w14:paraId="2BB27103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9E5F5E" w14:textId="77777777" w:rsidR="009D6B5F" w:rsidRPr="00841586" w:rsidRDefault="009D6B5F" w:rsidP="00DC48F6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6BD6AE4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BBAB38C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86F27B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110C62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114F22D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3.42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B9B9BBD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2.65</w:t>
            </w:r>
          </w:p>
        </w:tc>
      </w:tr>
      <w:tr w:rsidR="009D6B5F" w:rsidRPr="00841586" w14:paraId="66970722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7A64146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231BAE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2.71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DE9C8CA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CC8BA69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2.03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A41D7F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8.34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0C5253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3.54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DBF150A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6.29</w:t>
            </w:r>
          </w:p>
        </w:tc>
      </w:tr>
      <w:tr w:rsidR="009D6B5F" w:rsidRPr="00841586" w14:paraId="26BED619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AF98FC6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0D7266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5EA9A3C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2BA7D7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9D2DE36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-3.10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9A3A82B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77387D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-2.16</w:t>
            </w:r>
          </w:p>
        </w:tc>
      </w:tr>
      <w:tr w:rsidR="009D6B5F" w:rsidRPr="00841586" w14:paraId="2A4CE06E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22849E3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Construcción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EA743E8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1E50F32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B84E1EE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DC4F77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5E14035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68D8AB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1.32</w:t>
            </w:r>
          </w:p>
        </w:tc>
      </w:tr>
      <w:tr w:rsidR="009D6B5F" w:rsidRPr="00841586" w14:paraId="18327372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24A9A4D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0E5A9B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8B6D5F5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93AF630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60375A4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C4E521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96E094" w14:textId="77777777" w:rsidR="009D6B5F" w:rsidRPr="00594979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94979">
              <w:rPr>
                <w:bCs/>
                <w:color w:val="000000"/>
                <w:sz w:val="14"/>
                <w:szCs w:val="14"/>
              </w:rPr>
              <w:t>3.01</w:t>
            </w:r>
          </w:p>
        </w:tc>
      </w:tr>
      <w:tr w:rsidR="009D6B5F" w:rsidRPr="00841586" w14:paraId="0DA337B4" w14:textId="77777777" w:rsidTr="00DC48F6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283A28C" w14:textId="77777777" w:rsidR="009D6B5F" w:rsidRPr="00841586" w:rsidRDefault="009D6B5F" w:rsidP="00DC48F6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EFFAF4C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F4D9AA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94F2DB2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98BE76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7CF8292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3.76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ED0DC60" w14:textId="77777777" w:rsidR="009D6B5F" w:rsidRPr="00594979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94979">
              <w:rPr>
                <w:b/>
                <w:bCs/>
                <w:color w:val="000000"/>
                <w:sz w:val="14"/>
                <w:szCs w:val="14"/>
              </w:rPr>
              <w:t>3.50</w:t>
            </w:r>
          </w:p>
        </w:tc>
      </w:tr>
    </w:tbl>
    <w:p w14:paraId="499CAC49" w14:textId="77777777" w:rsidR="009D6B5F" w:rsidRPr="00034732" w:rsidRDefault="009D6B5F" w:rsidP="009D6B5F">
      <w:pPr>
        <w:widowControl w:val="0"/>
        <w:tabs>
          <w:tab w:val="left" w:pos="266"/>
        </w:tabs>
        <w:autoSpaceDE w:val="0"/>
        <w:autoSpaceDN w:val="0"/>
        <w:adjustRightInd w:val="0"/>
        <w:ind w:left="-11" w:right="113" w:firstLine="125"/>
        <w:jc w:val="left"/>
        <w:rPr>
          <w:color w:val="000000"/>
          <w:sz w:val="12"/>
          <w:szCs w:val="14"/>
        </w:rPr>
      </w:pPr>
      <w:r w:rsidRPr="003F5E65">
        <w:rPr>
          <w:sz w:val="16"/>
          <w:szCs w:val="14"/>
          <w:vertAlign w:val="superscript"/>
        </w:rPr>
        <w:t>1/</w:t>
      </w:r>
      <w:r w:rsidRPr="003F5E65">
        <w:rPr>
          <w:color w:val="000000"/>
          <w:sz w:val="14"/>
          <w:szCs w:val="14"/>
          <w:vertAlign w:val="superscript"/>
        </w:rPr>
        <w:tab/>
      </w:r>
      <w:r w:rsidRPr="00034732">
        <w:rPr>
          <w:spacing w:val="-2"/>
          <w:sz w:val="14"/>
          <w:szCs w:val="16"/>
        </w:rPr>
        <w:t>Las variaciones anuales durante el primer año del INPP base julio de 2019 se continuarán comparando con el índice de la base anterior.</w:t>
      </w:r>
    </w:p>
    <w:p w14:paraId="1A8A59B1" w14:textId="77777777" w:rsidR="009D6B5F" w:rsidRDefault="009D6B5F" w:rsidP="009D6B5F">
      <w:pPr>
        <w:widowControl w:val="0"/>
        <w:tabs>
          <w:tab w:val="left" w:pos="266"/>
        </w:tabs>
        <w:autoSpaceDE w:val="0"/>
        <w:autoSpaceDN w:val="0"/>
        <w:adjustRightInd w:val="0"/>
        <w:ind w:left="-11" w:right="113" w:firstLine="125"/>
        <w:jc w:val="left"/>
        <w:rPr>
          <w:color w:val="000000"/>
          <w:sz w:val="14"/>
          <w:szCs w:val="14"/>
        </w:rPr>
      </w:pPr>
      <w:r>
        <w:rPr>
          <w:sz w:val="16"/>
          <w:szCs w:val="14"/>
          <w:vertAlign w:val="superscript"/>
        </w:rPr>
        <w:t>2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color w:val="000000"/>
          <w:sz w:val="14"/>
          <w:szCs w:val="14"/>
          <w:vertAlign w:val="superscript"/>
        </w:rPr>
        <w:tab/>
      </w:r>
      <w:r w:rsidRPr="003F5E65">
        <w:rPr>
          <w:color w:val="000000"/>
          <w:sz w:val="14"/>
          <w:szCs w:val="14"/>
        </w:rPr>
        <w:t>Esta actividad no genera bienes de uso intermedio.</w:t>
      </w:r>
    </w:p>
    <w:p w14:paraId="489FA7BA" w14:textId="77777777" w:rsidR="009D6B5F" w:rsidRDefault="009D6B5F" w:rsidP="009D6B5F">
      <w:pPr>
        <w:ind w:left="-567" w:right="-518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</w:p>
    <w:p w14:paraId="2FF26EE7" w14:textId="77777777" w:rsidR="009D6B5F" w:rsidRDefault="009D6B5F" w:rsidP="009D6B5F">
      <w:pPr>
        <w:widowControl w:val="0"/>
        <w:autoSpaceDE w:val="0"/>
        <w:autoSpaceDN w:val="0"/>
        <w:adjustRightInd w:val="0"/>
        <w:spacing w:before="720"/>
        <w:jc w:val="center"/>
        <w:rPr>
          <w:snapToGrid w:val="0"/>
          <w:sz w:val="20"/>
          <w:szCs w:val="20"/>
        </w:rPr>
      </w:pPr>
    </w:p>
    <w:p w14:paraId="02954FB7" w14:textId="77777777" w:rsidR="009D6B5F" w:rsidRPr="00A51DE4" w:rsidRDefault="009D6B5F" w:rsidP="009D6B5F">
      <w:pPr>
        <w:widowControl w:val="0"/>
        <w:autoSpaceDE w:val="0"/>
        <w:autoSpaceDN w:val="0"/>
        <w:adjustRightInd w:val="0"/>
        <w:spacing w:before="600"/>
        <w:jc w:val="center"/>
        <w:rPr>
          <w:snapToGrid w:val="0"/>
          <w:sz w:val="20"/>
          <w:szCs w:val="20"/>
        </w:rPr>
      </w:pPr>
      <w:r w:rsidRPr="00A51DE4">
        <w:rPr>
          <w:snapToGrid w:val="0"/>
          <w:sz w:val="20"/>
          <w:szCs w:val="20"/>
        </w:rPr>
        <w:t xml:space="preserve">Cuadro </w:t>
      </w:r>
      <w:r>
        <w:rPr>
          <w:snapToGrid w:val="0"/>
          <w:sz w:val="20"/>
          <w:szCs w:val="20"/>
        </w:rPr>
        <w:t>3</w:t>
      </w:r>
    </w:p>
    <w:p w14:paraId="351FD102" w14:textId="77777777" w:rsidR="009D6B5F" w:rsidRPr="00875DDC" w:rsidRDefault="009D6B5F" w:rsidP="009D6B5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20A2160B" w14:textId="77777777" w:rsidR="009D6B5F" w:rsidRPr="00875DDC" w:rsidRDefault="009D6B5F" w:rsidP="009D6B5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PRODUCCIÓN TOTAL,</w:t>
      </w:r>
      <w:r>
        <w:rPr>
          <w:b/>
          <w:snapToGrid w:val="0"/>
          <w:sz w:val="22"/>
          <w:szCs w:val="22"/>
        </w:rPr>
        <w:t xml:space="preserve"> </w:t>
      </w:r>
      <w:r w:rsidRPr="0036387A">
        <w:rPr>
          <w:b/>
          <w:snapToGrid w:val="0"/>
          <w:sz w:val="22"/>
          <w:szCs w:val="22"/>
          <w:u w:val="single"/>
        </w:rPr>
        <w:t xml:space="preserve">INCLUYENDO </w:t>
      </w:r>
      <w:r w:rsidRPr="00162D45">
        <w:rPr>
          <w:b/>
          <w:snapToGrid w:val="0"/>
          <w:sz w:val="22"/>
          <w:szCs w:val="22"/>
          <w:u w:val="single"/>
        </w:rPr>
        <w:t>PETRÓLEO</w:t>
      </w:r>
      <w:r w:rsidRPr="00162D45">
        <w:rPr>
          <w:b/>
          <w:snapToGrid w:val="0"/>
          <w:sz w:val="22"/>
          <w:szCs w:val="22"/>
        </w:rPr>
        <w:t>,</w:t>
      </w:r>
      <w:r w:rsidRPr="00875DDC">
        <w:rPr>
          <w:b/>
          <w:snapToGrid w:val="0"/>
          <w:sz w:val="22"/>
          <w:szCs w:val="22"/>
        </w:rPr>
        <w:t xml:space="preserve"> DURANTE </w:t>
      </w:r>
      <w:r>
        <w:rPr>
          <w:b/>
          <w:snapToGrid w:val="0"/>
          <w:sz w:val="22"/>
          <w:szCs w:val="22"/>
        </w:rPr>
        <w:t>SEPTIEMBRE</w:t>
      </w:r>
    </w:p>
    <w:p w14:paraId="05346616" w14:textId="77777777" w:rsidR="009D6B5F" w:rsidRDefault="009D6B5F" w:rsidP="009D6B5F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Variación porcentual durante septiembre </w:t>
      </w:r>
      <w:r w:rsidRPr="0092783E">
        <w:rPr>
          <w:snapToGrid w:val="0"/>
          <w:sz w:val="18"/>
          <w:szCs w:val="18"/>
        </w:rPr>
        <w:t>de los años que se indican</w:t>
      </w:r>
    </w:p>
    <w:tbl>
      <w:tblPr>
        <w:tblW w:w="497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736"/>
        <w:gridCol w:w="736"/>
        <w:gridCol w:w="737"/>
        <w:gridCol w:w="737"/>
        <w:gridCol w:w="737"/>
        <w:gridCol w:w="737"/>
      </w:tblGrid>
      <w:tr w:rsidR="009D6B5F" w:rsidRPr="00A9663B" w14:paraId="7F65746F" w14:textId="77777777" w:rsidTr="00DC48F6">
        <w:trPr>
          <w:trHeight w:val="255"/>
          <w:jc w:val="center"/>
        </w:trPr>
        <w:tc>
          <w:tcPr>
            <w:tcW w:w="453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63D1569" w14:textId="77777777" w:rsidR="009D6B5F" w:rsidRPr="00A9663B" w:rsidRDefault="009D6B5F" w:rsidP="00DC48F6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Actividad económica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06B388F" w14:textId="77777777" w:rsidR="009D6B5F" w:rsidRPr="00A9663B" w:rsidRDefault="009D6B5F" w:rsidP="00DC48F6">
            <w:pPr>
              <w:jc w:val="center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Variación mensual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C659081" w14:textId="77777777" w:rsidR="009D6B5F" w:rsidRPr="00A9663B" w:rsidRDefault="009D6B5F" w:rsidP="00DC48F6">
            <w:pPr>
              <w:jc w:val="center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3A67B2">
              <w:rPr>
                <w:bCs/>
                <w:color w:val="000000"/>
                <w:sz w:val="16"/>
                <w:szCs w:val="18"/>
                <w:vertAlign w:val="superscript"/>
                <w:lang w:eastAsia="es-MX"/>
              </w:rPr>
              <w:t>1/</w:t>
            </w:r>
          </w:p>
        </w:tc>
      </w:tr>
      <w:tr w:rsidR="009D6B5F" w:rsidRPr="00A9663B" w14:paraId="3065C648" w14:textId="77777777" w:rsidTr="00DC48F6">
        <w:trPr>
          <w:trHeight w:val="255"/>
          <w:jc w:val="center"/>
        </w:trPr>
        <w:tc>
          <w:tcPr>
            <w:tcW w:w="453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230C2C7" w14:textId="77777777" w:rsidR="009D6B5F" w:rsidRPr="00A9663B" w:rsidRDefault="009D6B5F" w:rsidP="00DC48F6">
            <w:pPr>
              <w:jc w:val="center"/>
              <w:rPr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53AD4141" w14:textId="77777777" w:rsidR="009D6B5F" w:rsidRPr="00FA5D21" w:rsidRDefault="009D6B5F" w:rsidP="00DC4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8AD4948" w14:textId="77777777" w:rsidR="009D6B5F" w:rsidRPr="00FA5D21" w:rsidRDefault="009D6B5F" w:rsidP="00DC4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AE133DC" w14:textId="77777777" w:rsidR="009D6B5F" w:rsidRPr="00FA5D21" w:rsidRDefault="009D6B5F" w:rsidP="00DC4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5C8F5D8E" w14:textId="77777777" w:rsidR="009D6B5F" w:rsidRPr="00FA5D21" w:rsidRDefault="009D6B5F" w:rsidP="00DC4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304FA50" w14:textId="77777777" w:rsidR="009D6B5F" w:rsidRPr="00FA5D21" w:rsidRDefault="009D6B5F" w:rsidP="00DC4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1038DDA" w14:textId="77777777" w:rsidR="009D6B5F" w:rsidRPr="00FA5D21" w:rsidRDefault="009D6B5F" w:rsidP="00DC4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9D6B5F" w:rsidRPr="00841586" w14:paraId="487D6721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B7479B8" w14:textId="77777777" w:rsidR="009D6B5F" w:rsidRPr="00841586" w:rsidRDefault="009D6B5F" w:rsidP="00DC48F6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1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E6E5F36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B476C83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E1ACBE1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0C8553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4.99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C63B478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8.57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80F27FA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1.88</w:t>
            </w:r>
          </w:p>
        </w:tc>
      </w:tr>
      <w:tr w:rsidR="009D6B5F" w:rsidRPr="00841586" w14:paraId="53E0DBD7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EA3781" w14:textId="77777777" w:rsidR="009D6B5F" w:rsidRPr="00841586" w:rsidRDefault="009D6B5F" w:rsidP="00DC48F6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D601385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-1.98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9D9D658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00BFB7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8C7AFD7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B19536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2.77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AB604BF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0.42</w:t>
            </w:r>
          </w:p>
        </w:tc>
      </w:tr>
      <w:tr w:rsidR="009D6B5F" w:rsidRPr="00841586" w14:paraId="33F60F5C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45EB9BE" w14:textId="77777777" w:rsidR="009D6B5F" w:rsidRPr="00841586" w:rsidRDefault="009D6B5F" w:rsidP="00DC48F6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108AAC7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48C7EC3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E80363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BD6D33D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5.79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B72C909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11.54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976476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1.18</w:t>
            </w:r>
          </w:p>
        </w:tc>
      </w:tr>
      <w:tr w:rsidR="009D6B5F" w:rsidRPr="00841586" w14:paraId="784CA3FF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B80615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CDF5F3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3.71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7612618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5.54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FF6E1A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9.01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2FD50E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9.85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40D4C5B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35.33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D3729D4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-7.59</w:t>
            </w:r>
          </w:p>
        </w:tc>
      </w:tr>
      <w:tr w:rsidR="009D6B5F" w:rsidRPr="00841586" w14:paraId="539BA0C8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F3C62C0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AA535FE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-0.69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F152DBB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2.63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A8864AF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8B49E3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9.04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9E9222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18.87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59082E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-2.16</w:t>
            </w:r>
          </w:p>
        </w:tc>
      </w:tr>
      <w:tr w:rsidR="009D6B5F" w:rsidRPr="00841586" w14:paraId="0421FD14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473EADB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Construcción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059100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69884BD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4293B66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CD891E5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9.69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61CFDD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2702AAC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1.32</w:t>
            </w:r>
          </w:p>
        </w:tc>
      </w:tr>
      <w:tr w:rsidR="009D6B5F" w:rsidRPr="00841586" w14:paraId="53BD5844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6F68DA8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BA53202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B7C579B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39D032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0F4BD71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4.46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814897D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8.09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EB80E9" w14:textId="77777777" w:rsidR="009D6B5F" w:rsidRPr="005D0055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D0055">
              <w:rPr>
                <w:bCs/>
                <w:color w:val="000000"/>
                <w:sz w:val="14"/>
                <w:szCs w:val="14"/>
              </w:rPr>
              <w:t>3.01</w:t>
            </w:r>
          </w:p>
        </w:tc>
      </w:tr>
      <w:tr w:rsidR="009D6B5F" w:rsidRPr="00841586" w14:paraId="4010C150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1EFF894" w14:textId="77777777" w:rsidR="009D6B5F" w:rsidRPr="00841586" w:rsidRDefault="009D6B5F" w:rsidP="00DC48F6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E20115F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47278C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C53558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9C6B2E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3.86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C88100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4.27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109CD2C" w14:textId="77777777" w:rsidR="009D6B5F" w:rsidRPr="005D0055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D0055">
              <w:rPr>
                <w:b/>
                <w:bCs/>
                <w:color w:val="000000"/>
                <w:sz w:val="14"/>
                <w:szCs w:val="14"/>
              </w:rPr>
              <w:t>3.50</w:t>
            </w:r>
          </w:p>
        </w:tc>
      </w:tr>
    </w:tbl>
    <w:p w14:paraId="5DD4F9F8" w14:textId="77777777" w:rsidR="009D6B5F" w:rsidRPr="008D68CA" w:rsidRDefault="009D6B5F" w:rsidP="009D6B5F">
      <w:pPr>
        <w:tabs>
          <w:tab w:val="left" w:pos="284"/>
        </w:tabs>
        <w:autoSpaceDE w:val="0"/>
        <w:autoSpaceDN w:val="0"/>
        <w:adjustRightInd w:val="0"/>
        <w:ind w:firstLine="126"/>
        <w:rPr>
          <w:sz w:val="14"/>
          <w:szCs w:val="14"/>
        </w:rPr>
      </w:pPr>
      <w:r w:rsidRPr="008D68CA">
        <w:rPr>
          <w:sz w:val="16"/>
          <w:szCs w:val="14"/>
          <w:vertAlign w:val="superscript"/>
        </w:rPr>
        <w:t>1</w:t>
      </w:r>
      <w:r w:rsidRPr="008D68CA">
        <w:rPr>
          <w:sz w:val="14"/>
          <w:szCs w:val="14"/>
          <w:vertAlign w:val="superscript"/>
        </w:rPr>
        <w:t>/</w:t>
      </w:r>
      <w:r>
        <w:rPr>
          <w:sz w:val="14"/>
          <w:szCs w:val="14"/>
        </w:rPr>
        <w:tab/>
      </w:r>
      <w:r w:rsidRPr="008D68CA">
        <w:rPr>
          <w:sz w:val="14"/>
          <w:szCs w:val="14"/>
        </w:rPr>
        <w:t>Las variaciones anuales durante el primer año del INPP base julio de 2019 se continuarán comparando con el índice de la base anterior</w:t>
      </w:r>
      <w:r>
        <w:rPr>
          <w:sz w:val="14"/>
          <w:szCs w:val="14"/>
        </w:rPr>
        <w:t>.</w:t>
      </w:r>
    </w:p>
    <w:p w14:paraId="4E868C1D" w14:textId="77777777" w:rsidR="009D6B5F" w:rsidRDefault="009D6B5F" w:rsidP="009D6B5F">
      <w:pPr>
        <w:ind w:left="-567" w:right="-518"/>
        <w:rPr>
          <w:snapToGrid w:val="0"/>
          <w:sz w:val="20"/>
          <w:szCs w:val="20"/>
        </w:rPr>
      </w:pPr>
    </w:p>
    <w:p w14:paraId="1ABA1964" w14:textId="77777777" w:rsidR="009D6B5F" w:rsidRDefault="009D6B5F" w:rsidP="009D6B5F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</w:p>
    <w:p w14:paraId="706CD789" w14:textId="77777777" w:rsidR="009D6B5F" w:rsidRPr="00A51DE4" w:rsidRDefault="009D6B5F" w:rsidP="009D6B5F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  <w:r w:rsidRPr="00A51DE4">
        <w:rPr>
          <w:snapToGrid w:val="0"/>
          <w:sz w:val="20"/>
          <w:szCs w:val="20"/>
        </w:rPr>
        <w:t xml:space="preserve">Cuadro </w:t>
      </w:r>
      <w:r>
        <w:rPr>
          <w:snapToGrid w:val="0"/>
          <w:sz w:val="20"/>
          <w:szCs w:val="20"/>
        </w:rPr>
        <w:t>4</w:t>
      </w:r>
    </w:p>
    <w:p w14:paraId="1A95842E" w14:textId="77777777" w:rsidR="009D6B5F" w:rsidRPr="00875DDC" w:rsidRDefault="009D6B5F" w:rsidP="009D6B5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74FC9147" w14:textId="77777777" w:rsidR="009D6B5F" w:rsidRPr="00875DDC" w:rsidRDefault="009D6B5F" w:rsidP="009D6B5F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PRODUCCIÓN TOTAL,</w:t>
      </w:r>
      <w:r>
        <w:rPr>
          <w:b/>
          <w:snapToGrid w:val="0"/>
          <w:sz w:val="22"/>
          <w:szCs w:val="22"/>
        </w:rPr>
        <w:t xml:space="preserve"> </w:t>
      </w:r>
      <w:r w:rsidRPr="0036387A">
        <w:rPr>
          <w:b/>
          <w:snapToGrid w:val="0"/>
          <w:sz w:val="22"/>
          <w:szCs w:val="22"/>
          <w:u w:val="single"/>
        </w:rPr>
        <w:t>EXCLUYENDO PETRÓLEO</w:t>
      </w:r>
      <w:r w:rsidRPr="00875DDC">
        <w:rPr>
          <w:b/>
          <w:snapToGrid w:val="0"/>
          <w:sz w:val="22"/>
          <w:szCs w:val="22"/>
        </w:rPr>
        <w:t xml:space="preserve">, DURANTE </w:t>
      </w:r>
      <w:r>
        <w:rPr>
          <w:b/>
          <w:snapToGrid w:val="0"/>
          <w:sz w:val="22"/>
          <w:szCs w:val="22"/>
        </w:rPr>
        <w:t>SEPTIEMBRE</w:t>
      </w:r>
    </w:p>
    <w:p w14:paraId="185E5651" w14:textId="77777777" w:rsidR="009D6B5F" w:rsidRDefault="009D6B5F" w:rsidP="009D6B5F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Variación porcentual durante septiembre </w:t>
      </w:r>
      <w:r w:rsidRPr="0092783E">
        <w:rPr>
          <w:snapToGrid w:val="0"/>
          <w:sz w:val="18"/>
          <w:szCs w:val="18"/>
        </w:rPr>
        <w:t>de los años que se indican</w:t>
      </w:r>
    </w:p>
    <w:tbl>
      <w:tblPr>
        <w:tblW w:w="497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736"/>
        <w:gridCol w:w="736"/>
        <w:gridCol w:w="737"/>
        <w:gridCol w:w="737"/>
        <w:gridCol w:w="737"/>
        <w:gridCol w:w="737"/>
      </w:tblGrid>
      <w:tr w:rsidR="009D6B5F" w:rsidRPr="00A9663B" w14:paraId="5C85233A" w14:textId="77777777" w:rsidTr="00DC48F6">
        <w:trPr>
          <w:trHeight w:val="255"/>
          <w:jc w:val="center"/>
        </w:trPr>
        <w:tc>
          <w:tcPr>
            <w:tcW w:w="453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6222F46" w14:textId="77777777" w:rsidR="009D6B5F" w:rsidRPr="00A9663B" w:rsidRDefault="009D6B5F" w:rsidP="00DC48F6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Actividad económica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87C8612" w14:textId="77777777" w:rsidR="009D6B5F" w:rsidRPr="00A9663B" w:rsidRDefault="009D6B5F" w:rsidP="00DC48F6">
            <w:pPr>
              <w:jc w:val="center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Variación mensual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C301AE8" w14:textId="77777777" w:rsidR="009D6B5F" w:rsidRPr="00A9663B" w:rsidRDefault="009D6B5F" w:rsidP="00DC48F6">
            <w:pPr>
              <w:jc w:val="center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3A67B2">
              <w:rPr>
                <w:bCs/>
                <w:color w:val="000000"/>
                <w:sz w:val="16"/>
                <w:szCs w:val="18"/>
                <w:vertAlign w:val="superscript"/>
                <w:lang w:eastAsia="es-MX"/>
              </w:rPr>
              <w:t>1/</w:t>
            </w:r>
          </w:p>
        </w:tc>
      </w:tr>
      <w:tr w:rsidR="009D6B5F" w:rsidRPr="00A9663B" w14:paraId="3128766F" w14:textId="77777777" w:rsidTr="00DC48F6">
        <w:trPr>
          <w:trHeight w:val="255"/>
          <w:jc w:val="center"/>
        </w:trPr>
        <w:tc>
          <w:tcPr>
            <w:tcW w:w="453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AA5461A" w14:textId="77777777" w:rsidR="009D6B5F" w:rsidRPr="00A9663B" w:rsidRDefault="009D6B5F" w:rsidP="00DC48F6">
            <w:pPr>
              <w:jc w:val="center"/>
              <w:rPr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17F5213" w14:textId="77777777" w:rsidR="009D6B5F" w:rsidRPr="00FA5D21" w:rsidRDefault="009D6B5F" w:rsidP="00DC4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C7C7BD7" w14:textId="77777777" w:rsidR="009D6B5F" w:rsidRPr="00FA5D21" w:rsidRDefault="009D6B5F" w:rsidP="00DC4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EA7D83F" w14:textId="77777777" w:rsidR="009D6B5F" w:rsidRPr="00FA5D21" w:rsidRDefault="009D6B5F" w:rsidP="00DC4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81FCD85" w14:textId="77777777" w:rsidR="009D6B5F" w:rsidRPr="00FA5D21" w:rsidRDefault="009D6B5F" w:rsidP="00DC4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71C189F" w14:textId="77777777" w:rsidR="009D6B5F" w:rsidRPr="00FA5D21" w:rsidRDefault="009D6B5F" w:rsidP="00DC4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BE9532C" w14:textId="77777777" w:rsidR="009D6B5F" w:rsidRPr="00FA5D21" w:rsidRDefault="009D6B5F" w:rsidP="00DC48F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9D6B5F" w:rsidRPr="00841586" w14:paraId="326E4653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85443AF" w14:textId="77777777" w:rsidR="009D6B5F" w:rsidRPr="00841586" w:rsidRDefault="009D6B5F" w:rsidP="00DC48F6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1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3B575BA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37242CC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799156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FC94238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4.50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6FE3E1A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2A15607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2.81</w:t>
            </w:r>
          </w:p>
        </w:tc>
      </w:tr>
      <w:tr w:rsidR="009D6B5F" w:rsidRPr="00841586" w14:paraId="3B17CFD8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B8CBAB0" w14:textId="77777777" w:rsidR="009D6B5F" w:rsidRPr="00841586" w:rsidRDefault="009D6B5F" w:rsidP="00DC48F6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0E2D849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-1.98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906D5E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4C08AF0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99EE039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F0CA5AD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2.77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33CB5D1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0.42</w:t>
            </w:r>
          </w:p>
        </w:tc>
      </w:tr>
      <w:tr w:rsidR="009D6B5F" w:rsidRPr="00841586" w14:paraId="17ED8DE1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B8D5ECC" w14:textId="77777777" w:rsidR="009D6B5F" w:rsidRPr="00841586" w:rsidRDefault="009D6B5F" w:rsidP="00DC48F6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97A7CF9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190D2A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B1ABA48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693493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4.99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E12ABC3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8.82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54592B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2.65</w:t>
            </w:r>
          </w:p>
        </w:tc>
      </w:tr>
      <w:tr w:rsidR="009D6B5F" w:rsidRPr="00841586" w14:paraId="72E7A0C5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68C09D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B212A3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1.07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A81DB9F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2D32586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2.03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535973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-2.81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9B6D77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8.08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EC33C29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6.29</w:t>
            </w:r>
          </w:p>
        </w:tc>
      </w:tr>
      <w:tr w:rsidR="009D6B5F" w:rsidRPr="00841586" w14:paraId="2F2EB62F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0FA864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2BBE3DC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-0.69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D215F76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2.63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582B53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582F9DA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9.04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CB7ECD9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18.87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70613B4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-2.16</w:t>
            </w:r>
          </w:p>
        </w:tc>
      </w:tr>
      <w:tr w:rsidR="009D6B5F" w:rsidRPr="00841586" w14:paraId="477A3272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100217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Construcción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72CFE1A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41D0BCD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95AA7F0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5E994AE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9.69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CF99FAC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6F2F66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1.32</w:t>
            </w:r>
          </w:p>
        </w:tc>
      </w:tr>
      <w:tr w:rsidR="009D6B5F" w:rsidRPr="00841586" w14:paraId="164B96BF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5EE29D0" w14:textId="77777777" w:rsidR="009D6B5F" w:rsidRPr="00841586" w:rsidRDefault="009D6B5F" w:rsidP="00DC48F6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CC6E7B5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5B3C7BF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02BEAF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5A0051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4.46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CAD481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8.09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4731BB" w14:textId="77777777" w:rsidR="009D6B5F" w:rsidRPr="00586B1B" w:rsidRDefault="009D6B5F" w:rsidP="00DC48F6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586B1B">
              <w:rPr>
                <w:bCs/>
                <w:color w:val="000000"/>
                <w:sz w:val="14"/>
                <w:szCs w:val="14"/>
              </w:rPr>
              <w:t>3.01</w:t>
            </w:r>
          </w:p>
        </w:tc>
      </w:tr>
      <w:tr w:rsidR="009D6B5F" w:rsidRPr="00841586" w14:paraId="25F5D74B" w14:textId="77777777" w:rsidTr="00DC48F6">
        <w:trPr>
          <w:trHeight w:val="227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CE2DF9F" w14:textId="77777777" w:rsidR="009D6B5F" w:rsidRPr="00841586" w:rsidRDefault="009D6B5F" w:rsidP="00DC48F6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6A9C67B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302FEE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5AB8FBC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1B5E3B6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3.86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9ED6A61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4.27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416B39F" w14:textId="77777777" w:rsidR="009D6B5F" w:rsidRPr="00586B1B" w:rsidRDefault="009D6B5F" w:rsidP="00DC48F6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86B1B">
              <w:rPr>
                <w:b/>
                <w:bCs/>
                <w:color w:val="000000"/>
                <w:sz w:val="14"/>
                <w:szCs w:val="14"/>
              </w:rPr>
              <w:t>3.50</w:t>
            </w:r>
          </w:p>
        </w:tc>
      </w:tr>
    </w:tbl>
    <w:p w14:paraId="63512DE3" w14:textId="77777777" w:rsidR="009D6B5F" w:rsidRPr="008D68CA" w:rsidRDefault="009D6B5F" w:rsidP="009D6B5F">
      <w:pPr>
        <w:widowControl w:val="0"/>
        <w:tabs>
          <w:tab w:val="left" w:pos="284"/>
        </w:tabs>
        <w:autoSpaceDE w:val="0"/>
        <w:autoSpaceDN w:val="0"/>
        <w:adjustRightInd w:val="0"/>
        <w:ind w:firstLine="126"/>
        <w:rPr>
          <w:sz w:val="14"/>
          <w:szCs w:val="14"/>
        </w:rPr>
      </w:pPr>
      <w:r w:rsidRPr="008D68CA">
        <w:rPr>
          <w:sz w:val="16"/>
          <w:szCs w:val="14"/>
          <w:vertAlign w:val="superscript"/>
        </w:rPr>
        <w:t>1</w:t>
      </w:r>
      <w:r w:rsidRPr="008D68CA">
        <w:rPr>
          <w:sz w:val="14"/>
          <w:szCs w:val="14"/>
          <w:vertAlign w:val="superscript"/>
        </w:rPr>
        <w:t>/</w:t>
      </w:r>
      <w:r>
        <w:rPr>
          <w:sz w:val="14"/>
          <w:szCs w:val="14"/>
        </w:rPr>
        <w:tab/>
      </w:r>
      <w:r w:rsidRPr="008D68CA">
        <w:rPr>
          <w:sz w:val="14"/>
          <w:szCs w:val="14"/>
        </w:rPr>
        <w:t>Las variaciones anuales durante el primer año del INPP base julio de 2019 se continuarán comparando con el índice de la base anterior</w:t>
      </w:r>
      <w:r>
        <w:rPr>
          <w:sz w:val="14"/>
          <w:szCs w:val="14"/>
        </w:rPr>
        <w:t>.</w:t>
      </w:r>
    </w:p>
    <w:p w14:paraId="3C5A4EE8" w14:textId="77777777" w:rsidR="009D6B5F" w:rsidRDefault="009D6B5F" w:rsidP="009D6B5F">
      <w:pPr>
        <w:jc w:val="left"/>
        <w:rPr>
          <w:b/>
          <w:color w:val="000000"/>
        </w:rPr>
      </w:pPr>
      <w:r>
        <w:rPr>
          <w:b/>
          <w:color w:val="000000"/>
        </w:rPr>
        <w:t xml:space="preserve">                     </w:t>
      </w:r>
      <w:r>
        <w:rPr>
          <w:b/>
          <w:color w:val="000000"/>
        </w:rPr>
        <w:tab/>
        <w:t xml:space="preserve"> </w:t>
      </w:r>
    </w:p>
    <w:p w14:paraId="6F91F444" w14:textId="77777777" w:rsidR="009D6B5F" w:rsidRDefault="009D6B5F" w:rsidP="009D6B5F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4D54DAAD" w14:textId="77777777" w:rsidR="009D6B5F" w:rsidRDefault="009D6B5F" w:rsidP="009D6B5F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4B55EFFF" w14:textId="77777777" w:rsidR="009D6B5F" w:rsidRDefault="009D6B5F" w:rsidP="009D6B5F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3AE4D89D" w14:textId="77777777" w:rsidR="009D6B5F" w:rsidRDefault="009D6B5F" w:rsidP="009D6B5F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7856C3BE" w14:textId="77777777" w:rsidR="009D6B5F" w:rsidRDefault="009D6B5F" w:rsidP="009D6B5F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33A03F85" w14:textId="77777777" w:rsidR="009D6B5F" w:rsidRDefault="009D6B5F" w:rsidP="009D6B5F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25B18F95" w14:textId="77777777" w:rsidR="009D6B5F" w:rsidRDefault="009D6B5F" w:rsidP="009D6B5F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27DE1ECC" w14:textId="77777777" w:rsidR="009D6B5F" w:rsidRDefault="009D6B5F" w:rsidP="009D6B5F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0F503F85" w14:textId="77777777" w:rsidR="009D6B5F" w:rsidRDefault="009D6B5F" w:rsidP="009D6B5F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14A188C4" w14:textId="77777777" w:rsidR="009D6B5F" w:rsidRDefault="009D6B5F" w:rsidP="009D6B5F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14088A91" w14:textId="77777777" w:rsidR="009D6B5F" w:rsidRDefault="009D6B5F" w:rsidP="009D6B5F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26B89B78" w14:textId="77777777" w:rsidR="009D6B5F" w:rsidRDefault="009D6B5F" w:rsidP="009D6B5F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13310651" w14:textId="77777777" w:rsidR="009D6B5F" w:rsidRPr="00866182" w:rsidRDefault="009D6B5F" w:rsidP="009D6B5F">
      <w:pPr>
        <w:widowControl w:val="0"/>
        <w:autoSpaceDE w:val="0"/>
        <w:autoSpaceDN w:val="0"/>
        <w:adjustRightInd w:val="0"/>
        <w:spacing w:before="100" w:beforeAutospacing="1"/>
        <w:ind w:left="-426" w:right="-738"/>
        <w:rPr>
          <w:b/>
          <w:i/>
          <w:color w:val="000000" w:themeColor="text1"/>
        </w:rPr>
      </w:pPr>
      <w:r w:rsidRPr="00866182">
        <w:rPr>
          <w:b/>
          <w:i/>
          <w:color w:val="000000" w:themeColor="text1"/>
        </w:rPr>
        <w:t xml:space="preserve">Nota al usuario </w:t>
      </w:r>
    </w:p>
    <w:p w14:paraId="5ACBFBFC" w14:textId="77777777" w:rsidR="009D6B5F" w:rsidRPr="0054304E" w:rsidRDefault="009D6B5F" w:rsidP="009D6B5F">
      <w:pPr>
        <w:spacing w:before="360"/>
        <w:ind w:left="-426" w:right="-738"/>
        <w:rPr>
          <w:szCs w:val="22"/>
        </w:rPr>
      </w:pPr>
      <w:r w:rsidRPr="0054304E">
        <w:rPr>
          <w:szCs w:val="22"/>
        </w:rPr>
        <w:t>Como se informó en su oportunidad, el INEGI ha dado a conocer el Índice Nacional de Precios Productor (INPP) con una nueva base en julio de 2019=100.</w:t>
      </w:r>
    </w:p>
    <w:p w14:paraId="5E8ED2FA" w14:textId="28841170" w:rsidR="009D6B5F" w:rsidRPr="0054304E" w:rsidRDefault="009D6B5F" w:rsidP="009D6B5F">
      <w:pPr>
        <w:spacing w:before="240"/>
        <w:ind w:left="-426" w:right="-738"/>
        <w:rPr>
          <w:sz w:val="22"/>
          <w:szCs w:val="22"/>
          <w:shd w:val="clear" w:color="auto" w:fill="FFFFFF"/>
        </w:rPr>
      </w:pPr>
      <w:r w:rsidRPr="0054304E">
        <w:rPr>
          <w:szCs w:val="22"/>
          <w:shd w:val="clear" w:color="auto" w:fill="FFFFFF"/>
        </w:rPr>
        <w:t xml:space="preserve">A partir del mes de noviembre se publicarán en </w:t>
      </w:r>
      <w:r w:rsidR="002822D7">
        <w:rPr>
          <w:szCs w:val="22"/>
          <w:shd w:val="clear" w:color="auto" w:fill="FFFFFF"/>
        </w:rPr>
        <w:t>la</w:t>
      </w:r>
      <w:r w:rsidRPr="0054304E">
        <w:rPr>
          <w:szCs w:val="22"/>
          <w:shd w:val="clear" w:color="auto" w:fill="FFFFFF"/>
        </w:rPr>
        <w:t xml:space="preserve"> nota técnica únicamente datos del INPP correspondientes a la producción total incluyendo petróleo.  Las cifras del INPP excluyendo petróleo podrán seguirse consultando en el sitio web del INEGI </w:t>
      </w:r>
      <w:hyperlink r:id="rId8" w:anchor="Tabulados" w:history="1">
        <w:r w:rsidRPr="009440E7">
          <w:rPr>
            <w:rStyle w:val="Hipervnculo"/>
            <w:sz w:val="22"/>
            <w:szCs w:val="22"/>
          </w:rPr>
          <w:t>https://www.inegi.org.mx/temas/inpp/default.html#Tabulados</w:t>
        </w:r>
      </w:hyperlink>
      <w:bookmarkStart w:id="0" w:name="_GoBack"/>
      <w:bookmarkEnd w:id="0"/>
    </w:p>
    <w:p w14:paraId="2840B842" w14:textId="77777777" w:rsidR="009D6B5F" w:rsidRPr="0054304E" w:rsidRDefault="009D6B5F" w:rsidP="009D6B5F">
      <w:pPr>
        <w:spacing w:before="240"/>
        <w:ind w:left="-426" w:right="-738"/>
        <w:rPr>
          <w:strike/>
          <w:szCs w:val="22"/>
        </w:rPr>
      </w:pPr>
      <w:r w:rsidRPr="0054304E">
        <w:rPr>
          <w:szCs w:val="22"/>
        </w:rPr>
        <w:t xml:space="preserve">El documento que explica las actualizaciones realizadas al INPP en la nueva base, se puede extraer </w:t>
      </w:r>
      <w:r w:rsidRPr="00066C10">
        <w:rPr>
          <w:szCs w:val="22"/>
        </w:rPr>
        <w:t>de la siguiente liga:</w:t>
      </w:r>
    </w:p>
    <w:p w14:paraId="55E983FB" w14:textId="77777777" w:rsidR="009D6B5F" w:rsidRPr="000C7121" w:rsidRDefault="007B32EE" w:rsidP="009D6B5F">
      <w:pPr>
        <w:ind w:left="-426" w:right="-738"/>
        <w:rPr>
          <w:sz w:val="22"/>
          <w:szCs w:val="22"/>
        </w:rPr>
      </w:pPr>
      <w:hyperlink r:id="rId9" w:anchor="Documentacion" w:history="1">
        <w:r w:rsidR="009D6B5F" w:rsidRPr="008D011C">
          <w:rPr>
            <w:rStyle w:val="Hipervnculo"/>
            <w:sz w:val="22"/>
            <w:szCs w:val="22"/>
          </w:rPr>
          <w:t>https://www.inegi.org.mx/programas/inpp/2019/default.html#Documentacion</w:t>
        </w:r>
      </w:hyperlink>
    </w:p>
    <w:p w14:paraId="7A792360" w14:textId="77777777" w:rsidR="009D6B5F" w:rsidRDefault="009D6B5F" w:rsidP="009D6B5F">
      <w:pPr>
        <w:jc w:val="left"/>
        <w:rPr>
          <w:b/>
          <w:color w:val="000000"/>
        </w:rPr>
      </w:pPr>
    </w:p>
    <w:p w14:paraId="144F08FF" w14:textId="77777777" w:rsidR="009D6B5F" w:rsidRDefault="009D6B5F" w:rsidP="009D6B5F">
      <w:pPr>
        <w:jc w:val="left"/>
        <w:rPr>
          <w:b/>
          <w:color w:val="000000"/>
        </w:rPr>
      </w:pPr>
    </w:p>
    <w:p w14:paraId="3718E080" w14:textId="77777777" w:rsidR="009D6B5F" w:rsidRDefault="009D6B5F" w:rsidP="009D6B5F">
      <w:pPr>
        <w:jc w:val="lef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50695B60" w14:textId="77777777" w:rsidR="009D6B5F" w:rsidRDefault="009D6B5F" w:rsidP="009D6B5F">
      <w:pPr>
        <w:jc w:val="lef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4E359A6" w14:textId="77777777" w:rsidR="009D6B5F" w:rsidRDefault="009D6B5F" w:rsidP="009D6B5F">
      <w:pPr>
        <w:jc w:val="left"/>
        <w:rPr>
          <w:b/>
          <w:color w:val="000000"/>
        </w:rPr>
      </w:pPr>
    </w:p>
    <w:p w14:paraId="50F32519" w14:textId="77777777" w:rsidR="009D6B5F" w:rsidRPr="008B302D" w:rsidRDefault="009D6B5F" w:rsidP="009D6B5F">
      <w:pPr>
        <w:jc w:val="center"/>
        <w:rPr>
          <w:b/>
          <w:color w:val="000000"/>
        </w:rPr>
      </w:pPr>
      <w:r w:rsidRPr="003B1ACA">
        <w:rPr>
          <w:b/>
          <w:color w:val="000000"/>
        </w:rPr>
        <w:t>Se anexa Nota Técnica</w:t>
      </w:r>
    </w:p>
    <w:p w14:paraId="1AE30A39" w14:textId="77777777" w:rsidR="009D6B5F" w:rsidRDefault="009D6B5F" w:rsidP="009D6B5F">
      <w:pPr>
        <w:jc w:val="center"/>
        <w:rPr>
          <w:sz w:val="18"/>
          <w:szCs w:val="18"/>
        </w:rPr>
      </w:pPr>
    </w:p>
    <w:p w14:paraId="130BF3E4" w14:textId="77777777" w:rsidR="009D6B5F" w:rsidRDefault="009D6B5F" w:rsidP="009D6B5F">
      <w:pPr>
        <w:jc w:val="center"/>
        <w:rPr>
          <w:sz w:val="18"/>
          <w:szCs w:val="18"/>
        </w:rPr>
      </w:pPr>
    </w:p>
    <w:p w14:paraId="4C983ABC" w14:textId="77777777" w:rsidR="009D6B5F" w:rsidRDefault="009D6B5F" w:rsidP="009D6B5F">
      <w:pPr>
        <w:rPr>
          <w:sz w:val="18"/>
          <w:szCs w:val="18"/>
        </w:rPr>
      </w:pPr>
    </w:p>
    <w:p w14:paraId="07120E06" w14:textId="77777777" w:rsidR="009D6B5F" w:rsidRDefault="009D6B5F" w:rsidP="009D6B5F">
      <w:pPr>
        <w:rPr>
          <w:sz w:val="18"/>
          <w:szCs w:val="18"/>
        </w:rPr>
      </w:pPr>
    </w:p>
    <w:p w14:paraId="5AB0B9D8" w14:textId="77777777" w:rsidR="009D6B5F" w:rsidRDefault="009D6B5F" w:rsidP="009D6B5F">
      <w:pPr>
        <w:rPr>
          <w:sz w:val="18"/>
          <w:szCs w:val="18"/>
        </w:rPr>
      </w:pPr>
    </w:p>
    <w:p w14:paraId="48D6801D" w14:textId="77777777" w:rsidR="009D6B5F" w:rsidRDefault="009D6B5F" w:rsidP="009D6B5F">
      <w:pPr>
        <w:rPr>
          <w:sz w:val="18"/>
          <w:szCs w:val="18"/>
        </w:rPr>
      </w:pPr>
    </w:p>
    <w:p w14:paraId="67FDC0E8" w14:textId="77777777" w:rsidR="009D6B5F" w:rsidRDefault="009D6B5F" w:rsidP="009D6B5F">
      <w:pPr>
        <w:rPr>
          <w:sz w:val="18"/>
          <w:szCs w:val="18"/>
        </w:rPr>
      </w:pPr>
    </w:p>
    <w:p w14:paraId="0CDE8576" w14:textId="77777777" w:rsidR="009D6B5F" w:rsidRDefault="009D6B5F" w:rsidP="009D6B5F">
      <w:pPr>
        <w:rPr>
          <w:sz w:val="18"/>
          <w:szCs w:val="18"/>
        </w:rPr>
      </w:pPr>
    </w:p>
    <w:p w14:paraId="4FB2B909" w14:textId="77777777" w:rsidR="009D6B5F" w:rsidRDefault="009D6B5F" w:rsidP="009D6B5F">
      <w:pPr>
        <w:rPr>
          <w:sz w:val="18"/>
          <w:szCs w:val="18"/>
        </w:rPr>
      </w:pPr>
    </w:p>
    <w:p w14:paraId="16717ED1" w14:textId="77777777" w:rsidR="009D6B5F" w:rsidRDefault="009D6B5F" w:rsidP="009D6B5F">
      <w:pPr>
        <w:rPr>
          <w:sz w:val="18"/>
          <w:szCs w:val="18"/>
        </w:rPr>
      </w:pPr>
    </w:p>
    <w:p w14:paraId="1B1AC4A9" w14:textId="77777777" w:rsidR="009D6B5F" w:rsidRDefault="009D6B5F" w:rsidP="009D6B5F">
      <w:pPr>
        <w:rPr>
          <w:sz w:val="18"/>
          <w:szCs w:val="18"/>
        </w:rPr>
      </w:pPr>
    </w:p>
    <w:p w14:paraId="6CF74BBA" w14:textId="77777777" w:rsidR="009D6B5F" w:rsidRDefault="009D6B5F" w:rsidP="009D6B5F">
      <w:pPr>
        <w:rPr>
          <w:sz w:val="18"/>
          <w:szCs w:val="18"/>
        </w:rPr>
      </w:pPr>
    </w:p>
    <w:p w14:paraId="66211195" w14:textId="77777777" w:rsidR="009D6B5F" w:rsidRDefault="009D6B5F" w:rsidP="009D6B5F">
      <w:pPr>
        <w:rPr>
          <w:sz w:val="18"/>
          <w:szCs w:val="18"/>
        </w:rPr>
      </w:pPr>
    </w:p>
    <w:p w14:paraId="1DAC7A71" w14:textId="77777777" w:rsidR="009D6B5F" w:rsidRDefault="009D6B5F" w:rsidP="009D6B5F">
      <w:pPr>
        <w:rPr>
          <w:sz w:val="18"/>
          <w:szCs w:val="18"/>
        </w:rPr>
      </w:pPr>
    </w:p>
    <w:p w14:paraId="7CE1F772" w14:textId="77777777" w:rsidR="009D6B5F" w:rsidRDefault="009D6B5F" w:rsidP="009D6B5F">
      <w:pPr>
        <w:rPr>
          <w:sz w:val="18"/>
          <w:szCs w:val="18"/>
        </w:rPr>
      </w:pPr>
    </w:p>
    <w:p w14:paraId="03DECBAD" w14:textId="77777777" w:rsidR="009D6B5F" w:rsidRDefault="009D6B5F" w:rsidP="009D6B5F">
      <w:pPr>
        <w:rPr>
          <w:sz w:val="22"/>
          <w:szCs w:val="22"/>
        </w:rPr>
      </w:pPr>
    </w:p>
    <w:p w14:paraId="153857AF" w14:textId="77777777" w:rsidR="009D6B5F" w:rsidRPr="00AF228A" w:rsidRDefault="009D6B5F" w:rsidP="009D6B5F">
      <w:pPr>
        <w:rPr>
          <w:sz w:val="22"/>
          <w:szCs w:val="22"/>
        </w:rPr>
      </w:pPr>
    </w:p>
    <w:p w14:paraId="2D889204" w14:textId="77777777" w:rsidR="009D6B5F" w:rsidRPr="00AF228A" w:rsidRDefault="009D6B5F" w:rsidP="009D6B5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F228A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0" w:history="1">
        <w:r w:rsidRPr="00AF228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AF228A">
        <w:rPr>
          <w:rFonts w:ascii="Arial" w:hAnsi="Arial" w:cs="Arial"/>
          <w:sz w:val="22"/>
          <w:szCs w:val="22"/>
        </w:rPr>
        <w:t xml:space="preserve"> </w:t>
      </w:r>
    </w:p>
    <w:p w14:paraId="6B567B31" w14:textId="77777777" w:rsidR="009D6B5F" w:rsidRPr="00AF228A" w:rsidRDefault="009D6B5F" w:rsidP="009D6B5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F228A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AF228A">
        <w:rPr>
          <w:rFonts w:ascii="Arial" w:hAnsi="Arial" w:cs="Arial"/>
          <w:sz w:val="22"/>
          <w:szCs w:val="22"/>
        </w:rPr>
        <w:t>exts</w:t>
      </w:r>
      <w:proofErr w:type="spellEnd"/>
      <w:r w:rsidRPr="00AF228A">
        <w:rPr>
          <w:rFonts w:ascii="Arial" w:hAnsi="Arial" w:cs="Arial"/>
          <w:sz w:val="22"/>
          <w:szCs w:val="22"/>
        </w:rPr>
        <w:t>. 1134, 1260 y 1241</w:t>
      </w:r>
    </w:p>
    <w:p w14:paraId="6FC0FB89" w14:textId="77777777" w:rsidR="009D6B5F" w:rsidRPr="00AF228A" w:rsidRDefault="009D6B5F" w:rsidP="009D6B5F">
      <w:pPr>
        <w:ind w:left="-426" w:right="-518"/>
        <w:contextualSpacing/>
        <w:jc w:val="center"/>
        <w:rPr>
          <w:sz w:val="22"/>
          <w:szCs w:val="22"/>
        </w:rPr>
      </w:pPr>
    </w:p>
    <w:p w14:paraId="597EB6F8" w14:textId="77777777" w:rsidR="009D6B5F" w:rsidRPr="00AF228A" w:rsidRDefault="009D6B5F" w:rsidP="009D6B5F">
      <w:pPr>
        <w:ind w:left="-426" w:right="-518"/>
        <w:contextualSpacing/>
        <w:jc w:val="center"/>
        <w:rPr>
          <w:sz w:val="22"/>
          <w:szCs w:val="22"/>
        </w:rPr>
      </w:pPr>
      <w:r w:rsidRPr="00AF228A">
        <w:rPr>
          <w:sz w:val="22"/>
          <w:szCs w:val="22"/>
        </w:rPr>
        <w:t>Dirección de Atención a Medios / Dirección General Adjunta de Comunicación</w:t>
      </w:r>
    </w:p>
    <w:p w14:paraId="6D3E4034" w14:textId="77777777" w:rsidR="009D6B5F" w:rsidRPr="00AF228A" w:rsidRDefault="009D6B5F" w:rsidP="009D6B5F">
      <w:pPr>
        <w:ind w:left="-426" w:right="-518"/>
        <w:contextualSpacing/>
        <w:jc w:val="center"/>
        <w:rPr>
          <w:sz w:val="22"/>
          <w:szCs w:val="22"/>
        </w:rPr>
      </w:pPr>
    </w:p>
    <w:p w14:paraId="0831EB41" w14:textId="77777777" w:rsidR="009D6B5F" w:rsidRPr="00412C31" w:rsidRDefault="009D6B5F" w:rsidP="009D6B5F">
      <w:pPr>
        <w:ind w:left="-425" w:right="-516"/>
        <w:contextualSpacing/>
        <w:jc w:val="center"/>
        <w:rPr>
          <w:rStyle w:val="Hipervnculo"/>
          <w:snapToGrid w:val="0"/>
        </w:rPr>
      </w:pPr>
      <w:r w:rsidRPr="00FF1218">
        <w:rPr>
          <w:noProof/>
          <w:lang w:val="es-MX" w:eastAsia="es-MX"/>
        </w:rPr>
        <w:drawing>
          <wp:inline distT="0" distB="0" distL="0" distR="0" wp14:anchorId="4723C22A" wp14:editId="41DC991A">
            <wp:extent cx="274320" cy="365760"/>
            <wp:effectExtent l="0" t="0" r="0" b="0"/>
            <wp:docPr id="5" name="Imagen 5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6EA5E1A" wp14:editId="2828D540">
            <wp:extent cx="365760" cy="365760"/>
            <wp:effectExtent l="0" t="0" r="0" b="0"/>
            <wp:docPr id="7" name="Imagen 7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189CEDE" wp14:editId="5ED1F396">
            <wp:extent cx="365760" cy="365760"/>
            <wp:effectExtent l="0" t="0" r="0" b="0"/>
            <wp:docPr id="9" name="Imagen 9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377AB2A2" wp14:editId="7923D554">
            <wp:extent cx="365760" cy="365760"/>
            <wp:effectExtent l="0" t="0" r="0" b="0"/>
            <wp:docPr id="12" name="Imagen 12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6EBBE79B" wp14:editId="39B11B52">
            <wp:extent cx="2286000" cy="274320"/>
            <wp:effectExtent l="0" t="0" r="0" b="0"/>
            <wp:docPr id="2" name="Imagen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C080" w14:textId="77777777" w:rsidR="009D6B5F" w:rsidRPr="00AC7545" w:rsidRDefault="009D6B5F" w:rsidP="009D6B5F">
      <w:pPr>
        <w:pStyle w:val="bullet"/>
        <w:tabs>
          <w:tab w:val="left" w:pos="8789"/>
        </w:tabs>
        <w:spacing w:before="0"/>
        <w:ind w:left="0" w:right="51" w:firstLine="0"/>
        <w:jc w:val="center"/>
        <w:rPr>
          <w:rFonts w:cs="Arial"/>
          <w:sz w:val="18"/>
          <w:szCs w:val="18"/>
        </w:rPr>
        <w:sectPr w:rsidR="009D6B5F" w:rsidRPr="00AC7545" w:rsidSect="00DC48F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 w:code="1"/>
          <w:pgMar w:top="1" w:right="2034" w:bottom="0" w:left="1588" w:header="510" w:footer="510" w:gutter="0"/>
          <w:cols w:space="720"/>
          <w:docGrid w:linePitch="272"/>
        </w:sectPr>
      </w:pPr>
    </w:p>
    <w:p w14:paraId="6357EEED" w14:textId="77777777" w:rsidR="009D6B5F" w:rsidRDefault="009D6B5F" w:rsidP="009D6B5F">
      <w:pPr>
        <w:jc w:val="center"/>
        <w:rPr>
          <w:b/>
          <w:sz w:val="28"/>
          <w:szCs w:val="28"/>
        </w:rPr>
      </w:pPr>
      <w:r w:rsidRPr="00885869">
        <w:rPr>
          <w:b/>
          <w:sz w:val="28"/>
          <w:szCs w:val="28"/>
        </w:rPr>
        <w:lastRenderedPageBreak/>
        <w:t xml:space="preserve">    </w:t>
      </w:r>
      <w:r w:rsidRPr="00A8585B">
        <w:rPr>
          <w:b/>
          <w:sz w:val="28"/>
          <w:szCs w:val="28"/>
        </w:rPr>
        <w:t>NOTA TÉCNICA</w:t>
      </w:r>
    </w:p>
    <w:p w14:paraId="3F75E0D3" w14:textId="77777777" w:rsidR="009D6B5F" w:rsidRPr="007B1875" w:rsidRDefault="009D6B5F" w:rsidP="009D6B5F">
      <w:pPr>
        <w:jc w:val="center"/>
        <w:rPr>
          <w:b/>
          <w:sz w:val="16"/>
          <w:szCs w:val="16"/>
        </w:rPr>
      </w:pPr>
    </w:p>
    <w:p w14:paraId="40185CAE" w14:textId="77777777" w:rsidR="00C6515A" w:rsidRPr="004F04F0" w:rsidRDefault="00C6515A" w:rsidP="00372C6C">
      <w:pPr>
        <w:pStyle w:val="Profesin"/>
        <w:rPr>
          <w:b w:val="0"/>
        </w:rPr>
      </w:pPr>
      <w:r w:rsidRPr="0092783E">
        <w:t>ÍNDICE NACIONAL DE PRECIOS productor</w:t>
      </w:r>
    </w:p>
    <w:p w14:paraId="01A84DAA" w14:textId="15746606" w:rsidR="00C6515A" w:rsidRPr="0092783E" w:rsidRDefault="004D5C5B" w:rsidP="00C6515A">
      <w:pPr>
        <w:pStyle w:val="Profesin"/>
        <w:ind w:left="708" w:hanging="708"/>
      </w:pPr>
      <w:r>
        <w:t xml:space="preserve">SEPTIEMBRE </w:t>
      </w:r>
      <w:r w:rsidR="00593F5D">
        <w:t>DE 201</w:t>
      </w:r>
      <w:r w:rsidR="007E5159">
        <w:t>9</w:t>
      </w:r>
    </w:p>
    <w:p w14:paraId="0DC6344F" w14:textId="0607963D" w:rsidR="0098436A" w:rsidRPr="00302483" w:rsidRDefault="0098436A" w:rsidP="000A5092">
      <w:pPr>
        <w:autoSpaceDE w:val="0"/>
        <w:autoSpaceDN w:val="0"/>
        <w:adjustRightInd w:val="0"/>
        <w:spacing w:before="360"/>
        <w:rPr>
          <w:b/>
          <w:snapToGrid w:val="0"/>
          <w:u w:val="single"/>
        </w:rPr>
      </w:pPr>
      <w:bookmarkStart w:id="1" w:name="_Hlk21329855"/>
      <w:r w:rsidRPr="00302483">
        <w:rPr>
          <w:b/>
          <w:snapToGrid w:val="0"/>
          <w:u w:val="single"/>
        </w:rPr>
        <w:t>PRODUCCIÓN TOTAL</w:t>
      </w:r>
    </w:p>
    <w:bookmarkEnd w:id="1"/>
    <w:p w14:paraId="6D660402" w14:textId="65A136FD" w:rsidR="004D5C5B" w:rsidRDefault="004D5C5B" w:rsidP="004D5C5B">
      <w:pPr>
        <w:pStyle w:val="n01"/>
        <w:keepLines w:val="0"/>
        <w:spacing w:before="360"/>
        <w:ind w:left="0" w:firstLin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El INPP Total, </w:t>
      </w:r>
      <w:r w:rsidRPr="0036387A">
        <w:rPr>
          <w:rFonts w:ascii="Arial" w:hAnsi="Arial"/>
          <w:color w:val="auto"/>
          <w:u w:val="single"/>
        </w:rPr>
        <w:t>incluyendo petróleo</w:t>
      </w:r>
      <w:r w:rsidRPr="00DA6177">
        <w:rPr>
          <w:rFonts w:ascii="Arial" w:hAnsi="Arial"/>
          <w:color w:val="auto"/>
        </w:rPr>
        <w:t xml:space="preserve">, reportó durante </w:t>
      </w:r>
      <w:r>
        <w:rPr>
          <w:rFonts w:ascii="Arial" w:hAnsi="Arial"/>
          <w:color w:val="auto"/>
        </w:rPr>
        <w:t>septiembre</w:t>
      </w:r>
      <w:r w:rsidRPr="00DA6177">
        <w:rPr>
          <w:rFonts w:ascii="Arial" w:hAnsi="Arial"/>
          <w:color w:val="auto"/>
        </w:rPr>
        <w:t xml:space="preserve"> de </w:t>
      </w:r>
      <w:r>
        <w:rPr>
          <w:rFonts w:ascii="Arial" w:hAnsi="Arial"/>
          <w:color w:val="auto"/>
        </w:rPr>
        <w:t>2019 un incremento mensual de 0.85%</w:t>
      </w:r>
      <w:r w:rsidRPr="00DA6177">
        <w:rPr>
          <w:rFonts w:ascii="Arial" w:hAnsi="Arial"/>
          <w:color w:val="auto"/>
        </w:rPr>
        <w:t xml:space="preserve"> y </w:t>
      </w:r>
      <w:r>
        <w:rPr>
          <w:rFonts w:ascii="Arial" w:hAnsi="Arial"/>
          <w:color w:val="auto"/>
        </w:rPr>
        <w:t>una variación anual de 1.88 por ciento</w:t>
      </w:r>
      <w:r w:rsidRPr="00DA6177">
        <w:rPr>
          <w:rFonts w:ascii="Arial" w:hAnsi="Arial"/>
          <w:color w:val="auto"/>
        </w:rPr>
        <w:t xml:space="preserve">. En el mismo mes de un año antes </w:t>
      </w:r>
      <w:r w:rsidR="006909BD">
        <w:rPr>
          <w:rFonts w:ascii="Arial" w:hAnsi="Arial"/>
          <w:color w:val="auto"/>
        </w:rPr>
        <w:t xml:space="preserve">creció </w:t>
      </w:r>
      <w:r w:rsidRPr="00162D45">
        <w:rPr>
          <w:rFonts w:ascii="Arial" w:hAnsi="Arial"/>
          <w:color w:val="auto"/>
        </w:rPr>
        <w:t>0.94</w:t>
      </w:r>
      <w:r>
        <w:rPr>
          <w:rFonts w:ascii="Arial" w:hAnsi="Arial"/>
          <w:color w:val="auto"/>
        </w:rPr>
        <w:t xml:space="preserve">% </w:t>
      </w:r>
      <w:r w:rsidR="006909BD">
        <w:rPr>
          <w:rFonts w:ascii="Arial" w:hAnsi="Arial"/>
          <w:color w:val="auto"/>
        </w:rPr>
        <w:t xml:space="preserve">a tasa </w:t>
      </w:r>
      <w:r>
        <w:rPr>
          <w:rFonts w:ascii="Arial" w:hAnsi="Arial"/>
          <w:color w:val="auto"/>
        </w:rPr>
        <w:t xml:space="preserve">mensual y </w:t>
      </w:r>
      <w:r w:rsidRPr="00162D45">
        <w:rPr>
          <w:rFonts w:ascii="Arial" w:hAnsi="Arial"/>
          <w:color w:val="auto"/>
        </w:rPr>
        <w:t>8.57</w:t>
      </w:r>
      <w:r>
        <w:rPr>
          <w:rFonts w:ascii="Arial" w:hAnsi="Arial"/>
          <w:color w:val="auto"/>
        </w:rPr>
        <w:t>%</w:t>
      </w:r>
      <w:r w:rsidRPr="00DA6177">
        <w:rPr>
          <w:rFonts w:ascii="Arial" w:hAnsi="Arial"/>
          <w:color w:val="auto"/>
        </w:rPr>
        <w:t xml:space="preserve"> anual</w:t>
      </w:r>
      <w:r w:rsidRPr="00CC582D">
        <w:rPr>
          <w:rFonts w:ascii="Arial" w:hAnsi="Arial"/>
          <w:color w:val="auto"/>
        </w:rPr>
        <w:t>.</w:t>
      </w:r>
    </w:p>
    <w:p w14:paraId="7DB4C0B3" w14:textId="77777777" w:rsidR="004D5C5B" w:rsidRPr="00EE234A" w:rsidRDefault="004D5C5B" w:rsidP="004D5C5B">
      <w:pPr>
        <w:pStyle w:val="n01"/>
        <w:keepLines w:val="0"/>
        <w:spacing w:before="480"/>
        <w:ind w:left="0" w:firstLine="0"/>
        <w:jc w:val="center"/>
        <w:rPr>
          <w:rFonts w:ascii="Arial" w:hAnsi="Arial"/>
          <w:color w:val="auto"/>
          <w:sz w:val="20"/>
        </w:rPr>
      </w:pPr>
      <w:r w:rsidRPr="00EE234A">
        <w:rPr>
          <w:rFonts w:ascii="Arial" w:hAnsi="Arial"/>
          <w:color w:val="auto"/>
          <w:sz w:val="20"/>
        </w:rPr>
        <w:t>Gráfica 1</w:t>
      </w:r>
    </w:p>
    <w:p w14:paraId="1A519C86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47EE8025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PRODUCCIÓN TOTAL, ACTIVIDADES PRIMARIAS, SECUNDARIAS Y TERCIARIAS,</w:t>
      </w:r>
    </w:p>
    <w:p w14:paraId="23B6DF83" w14:textId="77777777" w:rsidR="004D5C5B" w:rsidRPr="00801B18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F97380">
        <w:rPr>
          <w:b/>
          <w:snapToGrid w:val="0"/>
          <w:sz w:val="22"/>
          <w:szCs w:val="22"/>
          <w:u w:val="single"/>
        </w:rPr>
        <w:t>INCLUYENDO PETRÓLEO</w:t>
      </w:r>
      <w:r>
        <w:rPr>
          <w:b/>
          <w:snapToGrid w:val="0"/>
          <w:sz w:val="22"/>
          <w:szCs w:val="22"/>
        </w:rPr>
        <w:t>, DURANTE SEPTIEMBRE</w:t>
      </w:r>
    </w:p>
    <w:p w14:paraId="39A976C9" w14:textId="77777777" w:rsidR="004D5C5B" w:rsidRPr="00B55CC5" w:rsidRDefault="004D5C5B" w:rsidP="004D5C5B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92783E">
        <w:rPr>
          <w:snapToGrid w:val="0"/>
          <w:color w:val="000000"/>
          <w:sz w:val="18"/>
          <w:szCs w:val="18"/>
        </w:rPr>
        <w:t>Variación porcentual anual</w:t>
      </w:r>
      <w:r>
        <w:rPr>
          <w:snapToGrid w:val="0"/>
          <w:color w:val="000000"/>
          <w:sz w:val="18"/>
          <w:szCs w:val="18"/>
        </w:rPr>
        <w:t xml:space="preserve"> durante septiembre </w:t>
      </w:r>
      <w:r w:rsidRPr="0092783E">
        <w:rPr>
          <w:snapToGrid w:val="0"/>
          <w:color w:val="000000"/>
          <w:sz w:val="18"/>
          <w:szCs w:val="18"/>
        </w:rPr>
        <w:t>de los años que se indican</w:t>
      </w:r>
    </w:p>
    <w:p w14:paraId="353EE0D3" w14:textId="014E8ECE" w:rsidR="004D5C5B" w:rsidRDefault="002227CF" w:rsidP="004D5C5B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18"/>
          <w:szCs w:val="18"/>
        </w:rPr>
      </w:pPr>
      <w:r>
        <w:rPr>
          <w:noProof/>
          <w:lang w:val="es-MX" w:eastAsia="es-MX"/>
        </w:rPr>
        <w:drawing>
          <wp:inline distT="0" distB="0" distL="0" distR="0" wp14:anchorId="3DC93487" wp14:editId="6AF0E1A7">
            <wp:extent cx="5040000" cy="2880000"/>
            <wp:effectExtent l="0" t="0" r="27305" b="1587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843D665" w14:textId="77777777" w:rsidR="004D5C5B" w:rsidRDefault="004D5C5B" w:rsidP="004D5C5B">
      <w:pPr>
        <w:pStyle w:val="n01"/>
        <w:keepLines w:val="0"/>
        <w:spacing w:before="360"/>
        <w:ind w:left="0" w:firstLine="0"/>
        <w:rPr>
          <w:rFonts w:ascii="Arial" w:hAnsi="Arial"/>
          <w:color w:val="auto"/>
        </w:rPr>
      </w:pPr>
      <w:r w:rsidRPr="00A2009F">
        <w:rPr>
          <w:rFonts w:ascii="Arial" w:hAnsi="Arial"/>
          <w:color w:val="auto"/>
        </w:rPr>
        <w:t>Por grupos de actividades económicas, los precios de las Actividades Primarias aumentaron 5.03%, los de las Actividades Secundarias 0.82% y los de las Actividades Terciarias 0.30% a tasa mensual.</w:t>
      </w:r>
    </w:p>
    <w:p w14:paraId="2D621A61" w14:textId="77777777" w:rsidR="00EB5FF4" w:rsidRDefault="00EB5FF4">
      <w:pPr>
        <w:jc w:val="left"/>
      </w:pPr>
      <w:r>
        <w:br w:type="page"/>
      </w:r>
    </w:p>
    <w:p w14:paraId="3DE3022A" w14:textId="0560D98A" w:rsidR="004D5C5B" w:rsidRDefault="006909BD" w:rsidP="004D5C5B">
      <w:pPr>
        <w:pStyle w:val="n01"/>
        <w:keepLines w:val="0"/>
        <w:spacing w:before="360"/>
        <w:ind w:left="0" w:firstLin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Por su parte</w:t>
      </w:r>
      <w:r w:rsidR="004D5C5B">
        <w:rPr>
          <w:rFonts w:ascii="Arial" w:hAnsi="Arial"/>
          <w:color w:val="auto"/>
        </w:rPr>
        <w:t>, e</w:t>
      </w:r>
      <w:r w:rsidR="004D5C5B" w:rsidRPr="004E3750">
        <w:rPr>
          <w:rFonts w:ascii="Arial" w:hAnsi="Arial"/>
          <w:color w:val="auto"/>
        </w:rPr>
        <w:t xml:space="preserve">l INPP Total, </w:t>
      </w:r>
      <w:r w:rsidR="004D5C5B" w:rsidRPr="00F97380">
        <w:rPr>
          <w:rFonts w:ascii="Arial" w:hAnsi="Arial"/>
          <w:color w:val="auto"/>
          <w:u w:val="single"/>
        </w:rPr>
        <w:t>excluyendo petróleo</w:t>
      </w:r>
      <w:r w:rsidR="004D5C5B">
        <w:rPr>
          <w:rFonts w:ascii="Arial" w:hAnsi="Arial"/>
          <w:color w:val="auto"/>
        </w:rPr>
        <w:t xml:space="preserve">, </w:t>
      </w:r>
      <w:r>
        <w:rPr>
          <w:rFonts w:ascii="Arial" w:hAnsi="Arial"/>
          <w:color w:val="auto"/>
        </w:rPr>
        <w:t xml:space="preserve">mostró en </w:t>
      </w:r>
      <w:r w:rsidR="004D5C5B">
        <w:rPr>
          <w:rFonts w:ascii="Arial" w:hAnsi="Arial"/>
          <w:color w:val="auto"/>
        </w:rPr>
        <w:t>septiembre</w:t>
      </w:r>
      <w:r w:rsidR="004D5C5B" w:rsidRPr="004E3750">
        <w:rPr>
          <w:rFonts w:ascii="Arial" w:hAnsi="Arial"/>
          <w:color w:val="auto"/>
        </w:rPr>
        <w:t xml:space="preserve"> de 2019 un</w:t>
      </w:r>
      <w:r w:rsidR="004D5C5B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 xml:space="preserve">alza </w:t>
      </w:r>
      <w:r w:rsidR="004D5C5B">
        <w:rPr>
          <w:rFonts w:ascii="Arial" w:hAnsi="Arial"/>
          <w:color w:val="auto"/>
        </w:rPr>
        <w:t xml:space="preserve">mensual de 0.52% y </w:t>
      </w:r>
      <w:r>
        <w:rPr>
          <w:rFonts w:ascii="Arial" w:hAnsi="Arial"/>
          <w:color w:val="auto"/>
        </w:rPr>
        <w:t xml:space="preserve">de </w:t>
      </w:r>
      <w:r w:rsidR="004D5C5B">
        <w:rPr>
          <w:rFonts w:ascii="Arial" w:hAnsi="Arial"/>
          <w:color w:val="auto"/>
        </w:rPr>
        <w:t>2.81% anual.</w:t>
      </w:r>
      <w:r w:rsidR="004D5C5B" w:rsidRPr="004E3750">
        <w:rPr>
          <w:rFonts w:ascii="Arial" w:hAnsi="Arial"/>
          <w:color w:val="auto"/>
        </w:rPr>
        <w:t xml:space="preserve"> En el mis</w:t>
      </w:r>
      <w:r w:rsidR="004D5C5B">
        <w:rPr>
          <w:rFonts w:ascii="Arial" w:hAnsi="Arial"/>
          <w:color w:val="auto"/>
        </w:rPr>
        <w:t xml:space="preserve">mo mes de </w:t>
      </w:r>
      <w:r>
        <w:rPr>
          <w:rFonts w:ascii="Arial" w:hAnsi="Arial"/>
          <w:color w:val="auto"/>
        </w:rPr>
        <w:t xml:space="preserve">2018 </w:t>
      </w:r>
      <w:r w:rsidR="004D5C5B">
        <w:rPr>
          <w:rFonts w:ascii="Arial" w:hAnsi="Arial"/>
          <w:color w:val="auto"/>
        </w:rPr>
        <w:t>s</w:t>
      </w:r>
      <w:r>
        <w:rPr>
          <w:rFonts w:ascii="Arial" w:hAnsi="Arial"/>
          <w:color w:val="auto"/>
        </w:rPr>
        <w:t xml:space="preserve">ubió </w:t>
      </w:r>
      <w:r w:rsidR="004D5C5B">
        <w:rPr>
          <w:rFonts w:ascii="Arial" w:hAnsi="Arial"/>
          <w:color w:val="auto"/>
        </w:rPr>
        <w:t>0.59% mensual y 6.86%</w:t>
      </w:r>
      <w:r w:rsidR="004D5C5B" w:rsidRPr="004E3750">
        <w:rPr>
          <w:rFonts w:ascii="Arial" w:hAnsi="Arial"/>
          <w:color w:val="auto"/>
        </w:rPr>
        <w:t xml:space="preserve"> </w:t>
      </w:r>
      <w:r w:rsidR="004D5C5B">
        <w:rPr>
          <w:rFonts w:ascii="Arial" w:hAnsi="Arial"/>
          <w:color w:val="auto"/>
        </w:rPr>
        <w:t xml:space="preserve">a tasa </w:t>
      </w:r>
      <w:r w:rsidR="004D5C5B" w:rsidRPr="004E3750">
        <w:rPr>
          <w:rFonts w:ascii="Arial" w:hAnsi="Arial"/>
          <w:color w:val="auto"/>
        </w:rPr>
        <w:t>anual</w:t>
      </w:r>
      <w:r w:rsidR="004D5C5B" w:rsidRPr="00CC582D">
        <w:rPr>
          <w:rFonts w:ascii="Arial" w:hAnsi="Arial"/>
          <w:color w:val="auto"/>
        </w:rPr>
        <w:t>.</w:t>
      </w:r>
    </w:p>
    <w:p w14:paraId="48D6D86E" w14:textId="77777777" w:rsidR="004D5C5B" w:rsidRPr="00EE234A" w:rsidRDefault="004D5C5B" w:rsidP="004D5C5B">
      <w:pPr>
        <w:pStyle w:val="n01"/>
        <w:keepLines w:val="0"/>
        <w:ind w:left="0" w:firstLine="0"/>
        <w:jc w:val="center"/>
        <w:rPr>
          <w:rFonts w:ascii="Arial" w:hAnsi="Arial"/>
          <w:color w:val="auto"/>
          <w:sz w:val="20"/>
        </w:rPr>
      </w:pPr>
      <w:r w:rsidRPr="00EE234A">
        <w:rPr>
          <w:rFonts w:ascii="Arial" w:hAnsi="Arial"/>
          <w:color w:val="auto"/>
          <w:sz w:val="20"/>
        </w:rPr>
        <w:t xml:space="preserve">Gráfica </w:t>
      </w:r>
      <w:r>
        <w:rPr>
          <w:rFonts w:ascii="Arial" w:hAnsi="Arial"/>
          <w:color w:val="auto"/>
          <w:sz w:val="20"/>
        </w:rPr>
        <w:t>2</w:t>
      </w:r>
    </w:p>
    <w:p w14:paraId="7539BF43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436B5C3C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PRODUCCIÓN TOTAL, ACTIVIDADES PRIMARIAS, SECUNDARIAS Y TERCIARIAS,</w:t>
      </w:r>
    </w:p>
    <w:p w14:paraId="08BE3D0C" w14:textId="77777777" w:rsidR="004D5C5B" w:rsidRPr="00801B18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F97380">
        <w:rPr>
          <w:b/>
          <w:snapToGrid w:val="0"/>
          <w:sz w:val="22"/>
          <w:szCs w:val="22"/>
          <w:u w:val="single"/>
        </w:rPr>
        <w:t>EXCLUYENDO PETRÓLEO</w:t>
      </w:r>
      <w:r>
        <w:rPr>
          <w:b/>
          <w:snapToGrid w:val="0"/>
          <w:sz w:val="22"/>
          <w:szCs w:val="22"/>
        </w:rPr>
        <w:t>, DURANTE SEPTIEMBRE</w:t>
      </w:r>
    </w:p>
    <w:p w14:paraId="0538A145" w14:textId="77777777" w:rsidR="004D5C5B" w:rsidRPr="00B55CC5" w:rsidRDefault="004D5C5B" w:rsidP="004D5C5B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92783E">
        <w:rPr>
          <w:snapToGrid w:val="0"/>
          <w:color w:val="000000"/>
          <w:sz w:val="18"/>
          <w:szCs w:val="18"/>
        </w:rPr>
        <w:t>Variación porcentual anual</w:t>
      </w:r>
      <w:r>
        <w:rPr>
          <w:snapToGrid w:val="0"/>
          <w:color w:val="000000"/>
          <w:sz w:val="18"/>
          <w:szCs w:val="18"/>
        </w:rPr>
        <w:t xml:space="preserve"> durante septiembre </w:t>
      </w:r>
      <w:r w:rsidRPr="0092783E">
        <w:rPr>
          <w:snapToGrid w:val="0"/>
          <w:color w:val="000000"/>
          <w:sz w:val="18"/>
          <w:szCs w:val="18"/>
        </w:rPr>
        <w:t>de los años que se indican</w:t>
      </w:r>
    </w:p>
    <w:p w14:paraId="688F9879" w14:textId="0D623852" w:rsidR="004D5C5B" w:rsidRDefault="0044294A" w:rsidP="004D5C5B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18"/>
          <w:szCs w:val="18"/>
        </w:rPr>
      </w:pPr>
      <w:r>
        <w:rPr>
          <w:noProof/>
          <w:lang w:val="es-MX" w:eastAsia="es-MX"/>
        </w:rPr>
        <w:drawing>
          <wp:inline distT="0" distB="0" distL="0" distR="0" wp14:anchorId="0C176B5F" wp14:editId="797EDD38">
            <wp:extent cx="5040000" cy="2880000"/>
            <wp:effectExtent l="0" t="0" r="27305" b="158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776134E" w14:textId="77777777" w:rsidR="004D5C5B" w:rsidRPr="00C24A3F" w:rsidRDefault="004D5C5B" w:rsidP="004D5C5B">
      <w:pPr>
        <w:spacing w:before="240"/>
        <w:rPr>
          <w:bCs/>
        </w:rPr>
      </w:pPr>
      <w:r w:rsidRPr="00ED5B18">
        <w:rPr>
          <w:bCs/>
        </w:rPr>
        <w:t xml:space="preserve">Por </w:t>
      </w:r>
      <w:r w:rsidRPr="00EB5FF4">
        <w:t>grupos</w:t>
      </w:r>
      <w:r w:rsidRPr="00ED5B18">
        <w:rPr>
          <w:bCs/>
        </w:rPr>
        <w:t xml:space="preserve"> de actividades económicas, los precios de las Actividades Primarias crecieron 5.03%, los de las Actividades Secundarias 0.27% y los de las Actividades Terciarias 0.30% a tasa mensual.</w:t>
      </w:r>
    </w:p>
    <w:p w14:paraId="27CF4724" w14:textId="77777777" w:rsidR="004D5C5B" w:rsidRDefault="004D5C5B" w:rsidP="004D5C5B">
      <w:pPr>
        <w:jc w:val="lef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</w:p>
    <w:p w14:paraId="6787958B" w14:textId="77777777" w:rsidR="004D5C5B" w:rsidRPr="00A51DE4" w:rsidRDefault="004D5C5B" w:rsidP="004D5C5B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>Cuadro 5</w:t>
      </w:r>
    </w:p>
    <w:p w14:paraId="5780D7BA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04E0D96F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INTERMEDIOS, FINALES Y PRODUCCIÓN TOTAL,</w:t>
      </w:r>
    </w:p>
    <w:p w14:paraId="41022927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F97380">
        <w:rPr>
          <w:b/>
          <w:snapToGrid w:val="0"/>
          <w:sz w:val="22"/>
          <w:szCs w:val="22"/>
          <w:u w:val="single"/>
        </w:rPr>
        <w:t>INCLUYENDO PETRÓLEO</w:t>
      </w:r>
      <w:r w:rsidRPr="00875DDC">
        <w:rPr>
          <w:b/>
          <w:snapToGrid w:val="0"/>
          <w:sz w:val="22"/>
          <w:szCs w:val="22"/>
        </w:rPr>
        <w:t xml:space="preserve">, DURANTE </w:t>
      </w:r>
      <w:r w:rsidRPr="00162D45">
        <w:rPr>
          <w:b/>
          <w:snapToGrid w:val="0"/>
          <w:sz w:val="22"/>
          <w:szCs w:val="22"/>
        </w:rPr>
        <w:t>SEPTIEMBRE</w:t>
      </w:r>
      <w:r>
        <w:rPr>
          <w:b/>
          <w:snapToGrid w:val="0"/>
          <w:sz w:val="22"/>
          <w:szCs w:val="22"/>
        </w:rPr>
        <w:t xml:space="preserve"> DE 2019</w:t>
      </w:r>
    </w:p>
    <w:p w14:paraId="0AF18EFE" w14:textId="77777777" w:rsidR="004D5C5B" w:rsidRPr="00910135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>Clasificación por origen</w:t>
      </w:r>
    </w:p>
    <w:p w14:paraId="7007673C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498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1"/>
        <w:gridCol w:w="598"/>
        <w:gridCol w:w="599"/>
        <w:gridCol w:w="599"/>
        <w:gridCol w:w="599"/>
        <w:gridCol w:w="598"/>
        <w:gridCol w:w="599"/>
        <w:gridCol w:w="599"/>
        <w:gridCol w:w="599"/>
        <w:gridCol w:w="599"/>
      </w:tblGrid>
      <w:tr w:rsidR="0099003F" w:rsidRPr="00841586" w14:paraId="2E843D97" w14:textId="77777777" w:rsidTr="002227CF">
        <w:trPr>
          <w:trHeight w:val="255"/>
          <w:jc w:val="center"/>
        </w:trPr>
        <w:tc>
          <w:tcPr>
            <w:tcW w:w="3969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B207549" w14:textId="77777777" w:rsidR="0099003F" w:rsidRPr="00841586" w:rsidRDefault="0099003F" w:rsidP="002227C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Actividad económica</w:t>
            </w:r>
          </w:p>
        </w:tc>
        <w:tc>
          <w:tcPr>
            <w:tcW w:w="179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7406E93" w14:textId="77777777" w:rsidR="0099003F" w:rsidRPr="00841586" w:rsidRDefault="0099003F" w:rsidP="002227CF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Variación mensual</w:t>
            </w:r>
          </w:p>
        </w:tc>
        <w:tc>
          <w:tcPr>
            <w:tcW w:w="179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DDEDD62" w14:textId="77777777" w:rsidR="0099003F" w:rsidRPr="00841586" w:rsidRDefault="0099003F" w:rsidP="002227CF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4"/>
                <w:lang w:eastAsia="es-MX"/>
              </w:rPr>
              <w:t xml:space="preserve"> </w:t>
            </w:r>
            <w:r w:rsidRPr="003A67B2">
              <w:rPr>
                <w:bCs/>
                <w:color w:val="000000"/>
                <w:sz w:val="16"/>
                <w:szCs w:val="14"/>
                <w:vertAlign w:val="superscript"/>
                <w:lang w:eastAsia="es-MX"/>
              </w:rPr>
              <w:t>1/</w:t>
            </w:r>
          </w:p>
        </w:tc>
        <w:tc>
          <w:tcPr>
            <w:tcW w:w="179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9DFEC97" w14:textId="77777777" w:rsidR="0099003F" w:rsidRPr="00841586" w:rsidRDefault="0099003F" w:rsidP="002227CF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Incidencia mensual</w:t>
            </w:r>
            <w:r w:rsidRPr="00841586">
              <w:rPr>
                <w:bCs/>
                <w:color w:val="000000"/>
                <w:sz w:val="16"/>
                <w:szCs w:val="14"/>
                <w:vertAlign w:val="superscript"/>
                <w:lang w:eastAsia="es-MX"/>
              </w:rPr>
              <w:t xml:space="preserve"> </w:t>
            </w:r>
            <w:r>
              <w:rPr>
                <w:bCs/>
                <w:color w:val="000000"/>
                <w:position w:val="-1"/>
                <w:sz w:val="16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bCs/>
                <w:color w:val="000000"/>
                <w:position w:val="-1"/>
                <w:sz w:val="16"/>
                <w:szCs w:val="14"/>
                <w:vertAlign w:val="superscript"/>
                <w:lang w:eastAsia="es-MX"/>
              </w:rPr>
              <w:t>/</w:t>
            </w:r>
          </w:p>
        </w:tc>
      </w:tr>
      <w:tr w:rsidR="0099003F" w:rsidRPr="00841586" w14:paraId="189F0A45" w14:textId="77777777" w:rsidTr="002227CF">
        <w:trPr>
          <w:trHeight w:val="397"/>
          <w:jc w:val="center"/>
        </w:trPr>
        <w:tc>
          <w:tcPr>
            <w:tcW w:w="3969" w:type="dxa"/>
            <w:vMerge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23B9071" w14:textId="77777777" w:rsidR="0099003F" w:rsidRPr="00841586" w:rsidRDefault="0099003F" w:rsidP="002227CF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</w:p>
        </w:tc>
        <w:tc>
          <w:tcPr>
            <w:tcW w:w="598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220F692" w14:textId="77777777" w:rsidR="0099003F" w:rsidRPr="00841586" w:rsidRDefault="0099003F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5A02FBC" w14:textId="77777777" w:rsidR="0099003F" w:rsidRPr="00841586" w:rsidRDefault="0099003F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D53F9F8" w14:textId="77777777" w:rsidR="0099003F" w:rsidRPr="00841586" w:rsidRDefault="0099003F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9A95B2F" w14:textId="77777777" w:rsidR="0099003F" w:rsidRPr="00841586" w:rsidRDefault="0099003F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</w:p>
        </w:tc>
        <w:tc>
          <w:tcPr>
            <w:tcW w:w="598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11C0DD7" w14:textId="77777777" w:rsidR="0099003F" w:rsidRPr="00841586" w:rsidRDefault="0099003F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C4BBCEF" w14:textId="77777777" w:rsidR="0099003F" w:rsidRPr="00841586" w:rsidRDefault="0099003F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09BEFC6" w14:textId="77777777" w:rsidR="0099003F" w:rsidRPr="00841586" w:rsidRDefault="0099003F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94A3554" w14:textId="77777777" w:rsidR="0099003F" w:rsidRPr="00841586" w:rsidRDefault="0099003F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EECAC69" w14:textId="77777777" w:rsidR="0099003F" w:rsidRPr="00841586" w:rsidRDefault="0099003F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</w:tr>
      <w:tr w:rsidR="0099003F" w:rsidRPr="00841586" w14:paraId="46BFCC68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859AF8B" w14:textId="77777777" w:rsidR="0099003F" w:rsidRPr="00841586" w:rsidRDefault="0099003F" w:rsidP="0099003F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Índice General</w:t>
            </w:r>
          </w:p>
        </w:tc>
        <w:tc>
          <w:tcPr>
            <w:tcW w:w="598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3B01CFF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5530A3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D37BA6C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F7BFF1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598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48B3A0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2.74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C3DB7DF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6C3A8C7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1.153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B2E87B4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0.733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</w:tcPr>
          <w:p w14:paraId="6318BAB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0.850</w:t>
            </w:r>
          </w:p>
        </w:tc>
      </w:tr>
      <w:tr w:rsidR="0099003F" w:rsidRPr="00841586" w14:paraId="6024CBC1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7118806" w14:textId="77777777" w:rsidR="0099003F" w:rsidRPr="00841586" w:rsidRDefault="0099003F" w:rsidP="0099003F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69C2AA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4.44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01CB4F7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85723F9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20BE2CC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086FB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B1D35D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C064624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0.419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BDA520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0.173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174927E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0.242</w:t>
            </w:r>
          </w:p>
        </w:tc>
      </w:tr>
      <w:tr w:rsidR="0099003F" w:rsidRPr="000556C8" w14:paraId="1F9BABDC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A99F19" w14:textId="77777777" w:rsidR="0099003F" w:rsidRPr="000556C8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0556C8">
              <w:rPr>
                <w:color w:val="000000"/>
                <w:sz w:val="14"/>
                <w:szCs w:val="14"/>
                <w:lang w:eastAsia="es-MX"/>
              </w:rPr>
              <w:t>Agricultura, cría y explotación de animales, aprovechamiento forestal, pesca y caza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C49892D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4.44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C20705E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83AB01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D440B93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67CC173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B16115A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8A4627E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0.419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563497A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0.173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D068EA9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0.242</w:t>
            </w:r>
          </w:p>
        </w:tc>
      </w:tr>
      <w:tr w:rsidR="0099003F" w:rsidRPr="00841586" w14:paraId="5DF6A409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21CCED2" w14:textId="77777777" w:rsidR="0099003F" w:rsidRPr="00841586" w:rsidRDefault="0099003F" w:rsidP="0099003F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secundarias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6371519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A312C8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B855B8F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1638BE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-1.37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8BA8E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2.23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1DBF55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1.18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E5F1C3D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0.690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1CB14A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0.435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6E3D888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0.506</w:t>
            </w:r>
          </w:p>
        </w:tc>
      </w:tr>
      <w:tr w:rsidR="0099003F" w:rsidRPr="00841586" w14:paraId="1D99EBCB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9FFC3CF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407D489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8.63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B715AAA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9.44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B0363A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9.01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11D1C5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-6.41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4D45A0C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-8.82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8F335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-7.59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DB12DD4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0.699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137F1B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0.264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A40A8D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0.386</w:t>
            </w:r>
          </w:p>
        </w:tc>
      </w:tr>
      <w:tr w:rsidR="0099003F" w:rsidRPr="00841586" w14:paraId="3D6016E6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4F77A54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51CA91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903A51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19F02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51F8B0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-3.10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2614A4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DF2A3C7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-2.16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081FF1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-0.027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62390C8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-0.001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D7645C8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-0.009</w:t>
            </w:r>
          </w:p>
        </w:tc>
      </w:tr>
      <w:tr w:rsidR="0099003F" w:rsidRPr="00841586" w14:paraId="3BC220AF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A5B382B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Construcción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868F7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D3A3A1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D291B7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22CF6C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2039C84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F98293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B728C87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4861DE9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836720C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0.009</w:t>
            </w:r>
          </w:p>
        </w:tc>
      </w:tr>
      <w:tr w:rsidR="0099003F" w:rsidRPr="00841586" w14:paraId="0B0A81D4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16CA9C0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Industrias manufactureras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0B8EBDC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13D513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612284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75E7A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3442F3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9D3D9AC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3.01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F52780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9D3552D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0.160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B774E7A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0.120</w:t>
            </w:r>
          </w:p>
        </w:tc>
      </w:tr>
      <w:tr w:rsidR="0099003F" w:rsidRPr="00841586" w14:paraId="658EE634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235DE3" w14:textId="77777777" w:rsidR="0099003F" w:rsidRPr="00841586" w:rsidRDefault="0099003F" w:rsidP="0099003F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D585F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A81068E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E56DC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6B105E4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03BE82C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3.76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546D2D9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913BA21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0.043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4D8620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0.125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C35587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B33FA">
              <w:rPr>
                <w:b/>
                <w:bCs/>
                <w:color w:val="000000"/>
                <w:sz w:val="14"/>
                <w:szCs w:val="14"/>
              </w:rPr>
              <w:t>0.102</w:t>
            </w:r>
          </w:p>
        </w:tc>
      </w:tr>
      <w:tr w:rsidR="0099003F" w:rsidRPr="00841586" w14:paraId="7200D075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6223C19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Transportes, correos y almacenamiento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A685170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F092507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DE7A99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E121F9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4.10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51CB4D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3.51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F129B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3.63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2D9CB5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85A802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-0.019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F23C5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-0.011</w:t>
            </w:r>
          </w:p>
        </w:tc>
      </w:tr>
      <w:tr w:rsidR="0099003F" w:rsidRPr="00841586" w14:paraId="1B1E8DBF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49FAF6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Información en medios masivos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52D7CE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1E1D2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50926C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90DF07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6CE8D5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2.03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10744F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B4AB54C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C19D9BC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C2D2D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0.004</w:t>
            </w:r>
          </w:p>
        </w:tc>
      </w:tr>
      <w:tr w:rsidR="0099003F" w:rsidRPr="00841586" w14:paraId="6DDDB000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30887D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inmobiliarios y de alquiler de bienes muebles e intangibles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6F114C7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9B6E964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92465AA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5CF76A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D8C4A04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A005140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2.65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939B6E7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-0.008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62A8DAA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989931E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0.013</w:t>
            </w:r>
          </w:p>
        </w:tc>
      </w:tr>
      <w:tr w:rsidR="0099003F" w:rsidRPr="00841586" w14:paraId="03CF51B7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CB5E27D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profesionales, científicos y técnicos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8BEC43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7AD7C9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-4.34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8B5176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-0.73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64ECA84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2.80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BC0178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1.59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291386D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2.89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82E93A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E33048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-0.032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FC00010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-0.019</w:t>
            </w:r>
          </w:p>
        </w:tc>
      </w:tr>
      <w:tr w:rsidR="0099003F" w:rsidRPr="00841586" w14:paraId="362E1928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37E7C2C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apoyo a los negocios y manejo de </w:t>
            </w:r>
            <w:r>
              <w:rPr>
                <w:color w:val="000000"/>
                <w:sz w:val="14"/>
                <w:szCs w:val="14"/>
                <w:lang w:eastAsia="es-MX"/>
              </w:rPr>
              <w:t xml:space="preserve">residuos y </w:t>
            </w:r>
            <w:r w:rsidRPr="00841586">
              <w:rPr>
                <w:color w:val="000000"/>
                <w:sz w:val="14"/>
                <w:szCs w:val="14"/>
                <w:lang w:eastAsia="es-MX"/>
              </w:rPr>
              <w:t>desechos</w:t>
            </w:r>
            <w:r>
              <w:rPr>
                <w:color w:val="000000"/>
                <w:sz w:val="14"/>
                <w:szCs w:val="14"/>
                <w:lang w:eastAsia="es-MX"/>
              </w:rPr>
              <w:t>,</w:t>
            </w: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 y servicios de remediación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66E81A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87072B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-1.53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EE36F7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BF830F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2.44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313D4C7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5.09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AD6B99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3.22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A9A09CD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276EFA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-0.003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7D51FB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0.002</w:t>
            </w:r>
          </w:p>
        </w:tc>
      </w:tr>
      <w:tr w:rsidR="0099003F" w:rsidRPr="00841586" w14:paraId="1A81CC81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187D911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educativos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39F2A3A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C23F718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2.71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ACB2FA8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2.71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FF014FF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627A1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4.87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F29D2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4.87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A8377A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091E1A9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0.136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78AFFBD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0.098</w:t>
            </w:r>
          </w:p>
        </w:tc>
      </w:tr>
      <w:tr w:rsidR="0099003F" w:rsidRPr="00841586" w14:paraId="276B5395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08F3859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salud y de asistencia social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1716CC0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765C0FE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A99AF1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6A9D66E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C9433B8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4.40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C90FA21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4.40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0D88733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DC786BE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A891158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0.004</w:t>
            </w:r>
          </w:p>
        </w:tc>
      </w:tr>
      <w:tr w:rsidR="0099003F" w:rsidRPr="00841586" w14:paraId="474B723F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724335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esparcimiento culturales y deportivos, y otros servicios recreativos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893E6A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12C538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C8C6464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0F412B8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E7ECDC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5.12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A8EFDC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5.12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906A279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E93F27E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CCAB340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0.000</w:t>
            </w:r>
          </w:p>
        </w:tc>
      </w:tr>
      <w:tr w:rsidR="0099003F" w:rsidRPr="00841586" w14:paraId="246686C7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46AA61E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de alojamiento temporal y de preparación de alimentos y bebidas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A738E7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-0.57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2D1C3C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3A0FBD7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1EA635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F1BA3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4.98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8210B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4.45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BC75D66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-0.007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A56D8A3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0C1C31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0.004</w:t>
            </w:r>
          </w:p>
        </w:tc>
      </w:tr>
      <w:tr w:rsidR="0099003F" w:rsidRPr="00841586" w14:paraId="766BA11F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C4D3AF7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Otros servicios excepto actividades gubernamentales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9DBDD54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C69533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756B822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4E2B00A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2.73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788589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4.53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4BC1E81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3.81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FEB1FCB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A2F7BED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AB1EA05" w14:textId="77777777" w:rsidR="0099003F" w:rsidRPr="008B33FA" w:rsidRDefault="0099003F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B33FA">
              <w:rPr>
                <w:bCs/>
                <w:color w:val="000000"/>
                <w:sz w:val="14"/>
                <w:szCs w:val="14"/>
              </w:rPr>
              <w:t>0.006</w:t>
            </w:r>
          </w:p>
        </w:tc>
      </w:tr>
    </w:tbl>
    <w:p w14:paraId="23C0048E" w14:textId="77777777" w:rsidR="00EB5FF4" w:rsidRPr="00F25470" w:rsidRDefault="00EB5FF4" w:rsidP="00EB5FF4">
      <w:pPr>
        <w:autoSpaceDE w:val="0"/>
        <w:autoSpaceDN w:val="0"/>
        <w:adjustRightInd w:val="0"/>
        <w:ind w:left="283" w:right="113" w:hanging="170"/>
        <w:rPr>
          <w:sz w:val="14"/>
          <w:szCs w:val="14"/>
        </w:rPr>
      </w:pPr>
      <w:r w:rsidRPr="00F25470">
        <w:rPr>
          <w:sz w:val="16"/>
          <w:szCs w:val="14"/>
          <w:vertAlign w:val="superscript"/>
        </w:rPr>
        <w:t>1/</w:t>
      </w:r>
      <w:r>
        <w:rPr>
          <w:sz w:val="16"/>
          <w:szCs w:val="14"/>
          <w:vertAlign w:val="superscript"/>
        </w:rPr>
        <w:tab/>
      </w:r>
      <w:r w:rsidRPr="00F25470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F25470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187B6F84" w14:textId="77777777" w:rsidR="00EB5FF4" w:rsidRPr="003F5E65" w:rsidRDefault="00EB5FF4" w:rsidP="00EB5FF4">
      <w:pPr>
        <w:autoSpaceDE w:val="0"/>
        <w:autoSpaceDN w:val="0"/>
        <w:adjustRightInd w:val="0"/>
        <w:ind w:left="283" w:right="113" w:hanging="170"/>
        <w:rPr>
          <w:sz w:val="14"/>
          <w:szCs w:val="14"/>
        </w:rPr>
      </w:pPr>
      <w:r>
        <w:rPr>
          <w:sz w:val="16"/>
          <w:szCs w:val="14"/>
          <w:vertAlign w:val="superscript"/>
        </w:rPr>
        <w:t>2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sz w:val="14"/>
          <w:szCs w:val="14"/>
          <w:vertAlign w:val="superscript"/>
        </w:rPr>
        <w:tab/>
      </w:r>
      <w:r w:rsidRPr="00395990">
        <w:rPr>
          <w:sz w:val="14"/>
          <w:szCs w:val="14"/>
        </w:rPr>
        <w:t>La incidencia se refiere a la contribución en puntos porcentuales de cada componente del INPP en la variación porcentual del índice general. Ésta se calcula utilizando los ponderadores de cada subíndice, así como los precios relativos y sus respectivas variaciones. En ciertos casos, la suma de los componentes de algún grupo de subíndices puede tener alguna discrepancia por efectos de redondeo</w:t>
      </w:r>
      <w:r w:rsidRPr="003F5E65">
        <w:rPr>
          <w:sz w:val="14"/>
          <w:szCs w:val="14"/>
        </w:rPr>
        <w:t>.</w:t>
      </w:r>
    </w:p>
    <w:p w14:paraId="5271C9B5" w14:textId="77777777" w:rsidR="00EB5FF4" w:rsidRPr="003F5E65" w:rsidRDefault="00EB5FF4" w:rsidP="00EB5FF4">
      <w:pPr>
        <w:autoSpaceDE w:val="0"/>
        <w:autoSpaceDN w:val="0"/>
        <w:adjustRightInd w:val="0"/>
        <w:ind w:left="283" w:right="113" w:hanging="170"/>
        <w:rPr>
          <w:sz w:val="14"/>
          <w:szCs w:val="14"/>
        </w:rPr>
      </w:pPr>
      <w:r>
        <w:rPr>
          <w:sz w:val="16"/>
          <w:szCs w:val="14"/>
          <w:vertAlign w:val="superscript"/>
        </w:rPr>
        <w:t>3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sz w:val="14"/>
          <w:szCs w:val="14"/>
        </w:rPr>
        <w:tab/>
      </w:r>
      <w:r w:rsidRPr="00395990">
        <w:rPr>
          <w:sz w:val="14"/>
          <w:szCs w:val="14"/>
        </w:rPr>
        <w:t>Estas actividades no registran información ya que no generan bienes de uso intermedio</w:t>
      </w:r>
      <w:r w:rsidRPr="003F5E65">
        <w:rPr>
          <w:sz w:val="14"/>
          <w:szCs w:val="14"/>
        </w:rPr>
        <w:t>.</w:t>
      </w:r>
    </w:p>
    <w:p w14:paraId="2A9C6A52" w14:textId="77777777" w:rsidR="004D5C5B" w:rsidRDefault="004D5C5B" w:rsidP="00EB5FF4">
      <w:pPr>
        <w:widowControl w:val="0"/>
        <w:autoSpaceDE w:val="0"/>
        <w:autoSpaceDN w:val="0"/>
        <w:adjustRightInd w:val="0"/>
        <w:spacing w:before="360"/>
      </w:pPr>
      <w:r w:rsidRPr="003B15EF">
        <w:t xml:space="preserve">Por tipo de bien, los </w:t>
      </w:r>
      <w:r w:rsidRPr="00EB5FF4">
        <w:rPr>
          <w:bCs/>
        </w:rPr>
        <w:t>precios</w:t>
      </w:r>
      <w:r w:rsidRPr="003B15EF">
        <w:t xml:space="preserve"> de las Mercancías y Servicios de Uso Intermedio, </w:t>
      </w:r>
      <w:r w:rsidRPr="003E2D8D">
        <w:rPr>
          <w:u w:val="single"/>
        </w:rPr>
        <w:t>incluyendo petróleo</w:t>
      </w:r>
      <w:r w:rsidRPr="003B15EF">
        <w:t>, mostraron u</w:t>
      </w:r>
      <w:r>
        <w:t>na variación mensual de 1.15%</w:t>
      </w:r>
      <w:r w:rsidRPr="003B15EF">
        <w:t xml:space="preserve">, ubicando su </w:t>
      </w:r>
      <w:r>
        <w:t>tasa anual en (-)0.13 por ciento.</w:t>
      </w:r>
      <w:r w:rsidRPr="003B15EF">
        <w:t xml:space="preserve"> Por su parte, los precios de las Mercan</w:t>
      </w:r>
      <w:r>
        <w:t xml:space="preserve">cías y Servicios Finales subieron </w:t>
      </w:r>
      <w:r>
        <w:br/>
        <w:t>0.73%</w:t>
      </w:r>
      <w:r w:rsidRPr="003B15EF">
        <w:t xml:space="preserve"> a</w:t>
      </w:r>
      <w:r>
        <w:t xml:space="preserve"> tasa mensual y 2.74%</w:t>
      </w:r>
      <w:r w:rsidRPr="003B15EF">
        <w:t xml:space="preserve"> anual (véase cuadro 5).</w:t>
      </w:r>
    </w:p>
    <w:p w14:paraId="544CE7BD" w14:textId="77777777" w:rsidR="00EB5FF4" w:rsidRDefault="00EB5FF4">
      <w:pPr>
        <w:jc w:val="lef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</w:p>
    <w:p w14:paraId="57B92C01" w14:textId="0C773585" w:rsidR="004D5C5B" w:rsidRPr="00A51DE4" w:rsidRDefault="004D5C5B" w:rsidP="004D5C5B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  <w:r w:rsidRPr="00A51DE4">
        <w:rPr>
          <w:snapToGrid w:val="0"/>
          <w:sz w:val="20"/>
          <w:szCs w:val="20"/>
        </w:rPr>
        <w:lastRenderedPageBreak/>
        <w:t xml:space="preserve">Cuadro </w:t>
      </w:r>
      <w:r>
        <w:rPr>
          <w:snapToGrid w:val="0"/>
          <w:sz w:val="20"/>
          <w:szCs w:val="20"/>
        </w:rPr>
        <w:t>6</w:t>
      </w:r>
    </w:p>
    <w:p w14:paraId="75DA10E1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49C684DE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INTERMEDIOS, FINALES Y PRODUCCIÓN TOTAL,</w:t>
      </w:r>
    </w:p>
    <w:p w14:paraId="5FE41FAC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F97380">
        <w:rPr>
          <w:b/>
          <w:snapToGrid w:val="0"/>
          <w:sz w:val="22"/>
          <w:szCs w:val="22"/>
          <w:u w:val="single"/>
        </w:rPr>
        <w:t>EXCLUYENDO PETRÓLEO</w:t>
      </w:r>
      <w:r>
        <w:rPr>
          <w:b/>
          <w:snapToGrid w:val="0"/>
          <w:sz w:val="22"/>
          <w:szCs w:val="22"/>
        </w:rPr>
        <w:t>, DURANTE SEPTIEMBRE DE 2019</w:t>
      </w:r>
    </w:p>
    <w:p w14:paraId="4DA00052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>Clasificación por origen</w:t>
      </w:r>
    </w:p>
    <w:p w14:paraId="0E3926C7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498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1"/>
        <w:gridCol w:w="598"/>
        <w:gridCol w:w="599"/>
        <w:gridCol w:w="599"/>
        <w:gridCol w:w="599"/>
        <w:gridCol w:w="598"/>
        <w:gridCol w:w="599"/>
        <w:gridCol w:w="599"/>
        <w:gridCol w:w="599"/>
        <w:gridCol w:w="599"/>
      </w:tblGrid>
      <w:tr w:rsidR="0044294A" w:rsidRPr="00841586" w14:paraId="6F9C51C8" w14:textId="77777777" w:rsidTr="002227CF">
        <w:trPr>
          <w:trHeight w:val="255"/>
          <w:jc w:val="center"/>
        </w:trPr>
        <w:tc>
          <w:tcPr>
            <w:tcW w:w="3969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FC3DC89" w14:textId="77777777" w:rsidR="0044294A" w:rsidRPr="00841586" w:rsidRDefault="0044294A" w:rsidP="002227C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4"/>
                <w:lang w:eastAsia="es-MX"/>
              </w:rPr>
            </w:pPr>
            <w:bookmarkStart w:id="2" w:name="_Hlk2757803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Actividad económica</w:t>
            </w:r>
          </w:p>
        </w:tc>
        <w:tc>
          <w:tcPr>
            <w:tcW w:w="179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7F030D5" w14:textId="77777777" w:rsidR="0044294A" w:rsidRPr="00841586" w:rsidRDefault="0044294A" w:rsidP="002227CF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Variación mensual</w:t>
            </w:r>
          </w:p>
        </w:tc>
        <w:tc>
          <w:tcPr>
            <w:tcW w:w="179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48E5D02" w14:textId="77777777" w:rsidR="0044294A" w:rsidRPr="00841586" w:rsidRDefault="0044294A" w:rsidP="002227CF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4"/>
                <w:lang w:eastAsia="es-MX"/>
              </w:rPr>
              <w:t xml:space="preserve"> </w:t>
            </w:r>
            <w:r w:rsidRPr="003A67B2">
              <w:rPr>
                <w:bCs/>
                <w:color w:val="000000"/>
                <w:sz w:val="16"/>
                <w:szCs w:val="14"/>
                <w:vertAlign w:val="superscript"/>
                <w:lang w:eastAsia="es-MX"/>
              </w:rPr>
              <w:t>1/</w:t>
            </w:r>
          </w:p>
        </w:tc>
        <w:tc>
          <w:tcPr>
            <w:tcW w:w="179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492D257" w14:textId="77777777" w:rsidR="0044294A" w:rsidRPr="00841586" w:rsidRDefault="0044294A" w:rsidP="002227CF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Incidencia mensual</w:t>
            </w:r>
            <w:r w:rsidRPr="00841586">
              <w:rPr>
                <w:bCs/>
                <w:color w:val="000000"/>
                <w:sz w:val="16"/>
                <w:szCs w:val="14"/>
                <w:vertAlign w:val="superscript"/>
                <w:lang w:eastAsia="es-MX"/>
              </w:rPr>
              <w:t xml:space="preserve"> </w:t>
            </w:r>
            <w:r>
              <w:rPr>
                <w:bCs/>
                <w:color w:val="000000"/>
                <w:position w:val="-1"/>
                <w:sz w:val="16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bCs/>
                <w:color w:val="000000"/>
                <w:position w:val="-1"/>
                <w:sz w:val="16"/>
                <w:szCs w:val="14"/>
                <w:vertAlign w:val="superscript"/>
                <w:lang w:eastAsia="es-MX"/>
              </w:rPr>
              <w:t>/</w:t>
            </w:r>
          </w:p>
        </w:tc>
      </w:tr>
      <w:tr w:rsidR="0044294A" w:rsidRPr="00841586" w14:paraId="0E79D62E" w14:textId="77777777" w:rsidTr="002227CF">
        <w:trPr>
          <w:trHeight w:val="397"/>
          <w:jc w:val="center"/>
        </w:trPr>
        <w:tc>
          <w:tcPr>
            <w:tcW w:w="3969" w:type="dxa"/>
            <w:vMerge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AFA615D" w14:textId="77777777" w:rsidR="0044294A" w:rsidRPr="00841586" w:rsidRDefault="0044294A" w:rsidP="002227CF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</w:p>
        </w:tc>
        <w:tc>
          <w:tcPr>
            <w:tcW w:w="598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5276026D" w14:textId="77777777" w:rsidR="0044294A" w:rsidRPr="00841586" w:rsidRDefault="0044294A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448010B" w14:textId="77777777" w:rsidR="0044294A" w:rsidRPr="00841586" w:rsidRDefault="0044294A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95CB6A0" w14:textId="77777777" w:rsidR="0044294A" w:rsidRPr="00841586" w:rsidRDefault="0044294A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4D6D15E" w14:textId="77777777" w:rsidR="0044294A" w:rsidRPr="00841586" w:rsidRDefault="0044294A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</w:p>
        </w:tc>
        <w:tc>
          <w:tcPr>
            <w:tcW w:w="598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02AFAA9" w14:textId="77777777" w:rsidR="0044294A" w:rsidRPr="00841586" w:rsidRDefault="0044294A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BDEF45F" w14:textId="77777777" w:rsidR="0044294A" w:rsidRPr="00841586" w:rsidRDefault="0044294A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351A539" w14:textId="77777777" w:rsidR="0044294A" w:rsidRPr="00841586" w:rsidRDefault="0044294A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E3C44D7" w14:textId="77777777" w:rsidR="0044294A" w:rsidRPr="00841586" w:rsidRDefault="0044294A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9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929AA5F" w14:textId="77777777" w:rsidR="0044294A" w:rsidRPr="00841586" w:rsidRDefault="0044294A" w:rsidP="002227CF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</w:tr>
      <w:tr w:rsidR="0044294A" w:rsidRPr="00841586" w14:paraId="4D85DF34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31A6A1D" w14:textId="77777777" w:rsidR="0044294A" w:rsidRPr="00841586" w:rsidRDefault="0044294A" w:rsidP="0044294A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Índice General</w:t>
            </w:r>
          </w:p>
        </w:tc>
        <w:tc>
          <w:tcPr>
            <w:tcW w:w="598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765DEB5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1DAF79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FE1C079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2A1C42F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598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2F0444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3.48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678EFF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2.81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9A1D09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0.590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58C15B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0.488</w:t>
            </w:r>
          </w:p>
        </w:tc>
        <w:tc>
          <w:tcPr>
            <w:tcW w:w="599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6FE86CA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0.516</w:t>
            </w:r>
          </w:p>
        </w:tc>
      </w:tr>
      <w:tr w:rsidR="0044294A" w:rsidRPr="00841586" w14:paraId="3C9363BC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3D0B658" w14:textId="77777777" w:rsidR="0044294A" w:rsidRPr="00841586" w:rsidRDefault="0044294A" w:rsidP="0044294A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8F0096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4.44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BA4F66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8CB1C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A8D8852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2B387E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70B7A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415CC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0.436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590139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0.176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4D03B2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0.248</w:t>
            </w:r>
          </w:p>
        </w:tc>
      </w:tr>
      <w:tr w:rsidR="0044294A" w:rsidRPr="000556C8" w14:paraId="5F954CD0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D65F33F" w14:textId="77777777" w:rsidR="0044294A" w:rsidRPr="000556C8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0556C8">
              <w:rPr>
                <w:color w:val="000000"/>
                <w:sz w:val="14"/>
                <w:szCs w:val="14"/>
                <w:lang w:eastAsia="es-MX"/>
              </w:rPr>
              <w:t>Agricultura, cría y explotación de animales, aprovechamiento forestal, pesca y caza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B31A17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4.44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0C0329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9E206D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5.03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2C98B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CEB193D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0.67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34301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725069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0.436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279D552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0.176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6F99350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0.248</w:t>
            </w:r>
          </w:p>
        </w:tc>
      </w:tr>
      <w:tr w:rsidR="0044294A" w:rsidRPr="00841586" w14:paraId="1ED09B68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B09F00" w14:textId="77777777" w:rsidR="0044294A" w:rsidRPr="00841586" w:rsidRDefault="0044294A" w:rsidP="0044294A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secundarias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BD0C23A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2B8156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B1993F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4D4CA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81B2A7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3.42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1AF754E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2.65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33F380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0.108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B1137E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0.185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E99D6C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0.164</w:t>
            </w:r>
          </w:p>
        </w:tc>
      </w:tr>
      <w:tr w:rsidR="0044294A" w:rsidRPr="00841586" w14:paraId="67BB4DCA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E6B0D5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41AC33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2.71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1C07ED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CE876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2.03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E2D1B9D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8.34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891B6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3.54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EDB95B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6.29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3EC9798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0.117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680A39E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11D8EA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0.041</w:t>
            </w:r>
          </w:p>
        </w:tc>
      </w:tr>
      <w:tr w:rsidR="0044294A" w:rsidRPr="00841586" w14:paraId="4DF2F97E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7A434D9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18C22FB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26A8D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E28EA2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AC6330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-3.10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A661409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91B70D0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-2.16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CC3C9B5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-0.028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E1DFF3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-0.001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D3DDD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-0.009</w:t>
            </w:r>
          </w:p>
        </w:tc>
      </w:tr>
      <w:tr w:rsidR="0044294A" w:rsidRPr="00841586" w14:paraId="7298D777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5A35EE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Construcción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D3DF87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332FF75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7EF4F0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F874EF7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4ED20EA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81479EA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495D5B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3354AF8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89AC0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0.009</w:t>
            </w:r>
          </w:p>
        </w:tc>
      </w:tr>
      <w:tr w:rsidR="0044294A" w:rsidRPr="00841586" w14:paraId="40AAF9AC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C8EE20B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Industrias manufactureras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82BCE7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95BBF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558C898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1475B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DF4C91F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D4635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3.01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F483A2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76AB51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0.163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B1378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0.123</w:t>
            </w:r>
          </w:p>
        </w:tc>
      </w:tr>
      <w:tr w:rsidR="0044294A" w:rsidRPr="00841586" w14:paraId="5523C6EB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A3922F5" w14:textId="77777777" w:rsidR="0044294A" w:rsidRPr="00841586" w:rsidRDefault="0044294A" w:rsidP="0044294A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CFF0B49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60DA2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19D833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2BF197D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41A1B5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3.76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8E579AA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679519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0.045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3BD7BD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0.127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D024E2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34CE1">
              <w:rPr>
                <w:b/>
                <w:bCs/>
                <w:color w:val="000000"/>
                <w:sz w:val="14"/>
                <w:szCs w:val="14"/>
              </w:rPr>
              <w:t>0.105</w:t>
            </w:r>
          </w:p>
        </w:tc>
      </w:tr>
      <w:tr w:rsidR="0044294A" w:rsidRPr="00841586" w14:paraId="3EA017ED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89316E3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Transportes, correos y almacenamiento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DE1E36D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DE81B8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-0.21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2367BA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54F3C6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4.10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BCC786E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3.51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35055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3.63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1A3A89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0447D8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-0.020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E8F6845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-0.011</w:t>
            </w:r>
          </w:p>
        </w:tc>
      </w:tr>
      <w:tr w:rsidR="0044294A" w:rsidRPr="00841586" w14:paraId="09491EC8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EC2C6CD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Información en medios masivos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15168EF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B33771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6C4DCD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5F17DE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C77C4E2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2.03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9C8F45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D523FBE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7640DD9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474360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0.004</w:t>
            </w:r>
          </w:p>
        </w:tc>
      </w:tr>
      <w:tr w:rsidR="0044294A" w:rsidRPr="00841586" w14:paraId="662E614C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2EA4A3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inmobiliarios y de alquiler de bienes muebles e intangibles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96EF41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-0.17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0968E90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AE8085A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951699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2.01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C90C45F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CA53B8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2.65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4FA803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-0.008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91513DF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0.021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8A828B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0.013</w:t>
            </w:r>
          </w:p>
        </w:tc>
      </w:tr>
      <w:tr w:rsidR="0044294A" w:rsidRPr="00841586" w14:paraId="2260AEBB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578DA2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profesionales, científicos y técnicos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E13E57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217C2E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-4.34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8A5ABC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-0.73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6BAEA0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2.80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B1AD85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1.59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A5A950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2.89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013A227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C409AFE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-0.033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586E08A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-0.020</w:t>
            </w:r>
          </w:p>
        </w:tc>
      </w:tr>
      <w:tr w:rsidR="0044294A" w:rsidRPr="00841586" w14:paraId="0E757CBF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1BEFEE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apoyo a los negocios y manejo de </w:t>
            </w:r>
            <w:r>
              <w:rPr>
                <w:color w:val="000000"/>
                <w:sz w:val="14"/>
                <w:szCs w:val="14"/>
                <w:lang w:eastAsia="es-MX"/>
              </w:rPr>
              <w:t xml:space="preserve">residuos y </w:t>
            </w:r>
            <w:r w:rsidRPr="00841586">
              <w:rPr>
                <w:color w:val="000000"/>
                <w:sz w:val="14"/>
                <w:szCs w:val="14"/>
                <w:lang w:eastAsia="es-MX"/>
              </w:rPr>
              <w:t>desechos</w:t>
            </w:r>
            <w:r>
              <w:rPr>
                <w:color w:val="000000"/>
                <w:sz w:val="14"/>
                <w:szCs w:val="14"/>
                <w:lang w:eastAsia="es-MX"/>
              </w:rPr>
              <w:t>,</w:t>
            </w: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 y servicios de remediación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4D07FE9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C7F0A0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-1.53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6701F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CC24FE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2.44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7FD9C2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5.09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4D1D1F2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3.22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070356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BBCF63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-0.003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B3DD73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0.002</w:t>
            </w:r>
          </w:p>
        </w:tc>
      </w:tr>
      <w:tr w:rsidR="0044294A" w:rsidRPr="00841586" w14:paraId="233699C0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3F6E4C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educativos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8773B5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12B66DF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2.71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91647B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2.71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C8FA2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30EA5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4.87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A9A7BA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4.87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864EB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285CFC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0.138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2806885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0.100</w:t>
            </w:r>
          </w:p>
        </w:tc>
      </w:tr>
      <w:tr w:rsidR="0044294A" w:rsidRPr="00841586" w14:paraId="796B65E1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0B50FA7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salud y de asistencia social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263649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FD6655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4BD20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0C60A4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884F945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4.40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5B9DBE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4.40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5BF350D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6301F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84E9307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0.004</w:t>
            </w:r>
          </w:p>
        </w:tc>
      </w:tr>
      <w:tr w:rsidR="0044294A" w:rsidRPr="00841586" w14:paraId="346505E8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8307023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esparcimiento culturales y deportivos, y otros servicios recreativos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4AAAE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C8A7478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6A30DA9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8500628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108E660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5.12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D7AD367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5.12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C0D112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C57CCE0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5B80B2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0.000</w:t>
            </w:r>
          </w:p>
        </w:tc>
      </w:tr>
      <w:tr w:rsidR="0044294A" w:rsidRPr="00841586" w14:paraId="10295FB9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A05592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de alojamiento temporal y de preparación de alimentos y bebidas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BFF9608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-0.57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72BA280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005CA11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9259F2D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58799C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4.98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3E2B7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4.45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164D3F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-0.007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29E3BA2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B629635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0.004</w:t>
            </w:r>
          </w:p>
        </w:tc>
      </w:tr>
      <w:tr w:rsidR="0044294A" w:rsidRPr="00841586" w14:paraId="689272A3" w14:textId="77777777" w:rsidTr="002227CF">
        <w:trPr>
          <w:trHeight w:val="198"/>
          <w:jc w:val="center"/>
        </w:trPr>
        <w:tc>
          <w:tcPr>
            <w:tcW w:w="396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E4A0869" w14:textId="77777777" w:rsidR="0044294A" w:rsidRPr="00841586" w:rsidRDefault="0044294A" w:rsidP="0044294A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Otros servicios excepto actividades gubernamentales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9317392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92B703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27C04EF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AD60556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2.73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979D2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4.53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74534E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3.81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7ACC06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5D62C4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99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EA2DA03" w14:textId="77777777" w:rsidR="0044294A" w:rsidRPr="00034CE1" w:rsidRDefault="0044294A" w:rsidP="002227C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034CE1">
              <w:rPr>
                <w:bCs/>
                <w:color w:val="000000"/>
                <w:sz w:val="14"/>
                <w:szCs w:val="14"/>
              </w:rPr>
              <w:t>0.006</w:t>
            </w:r>
          </w:p>
        </w:tc>
      </w:tr>
    </w:tbl>
    <w:bookmarkEnd w:id="2"/>
    <w:p w14:paraId="5EB0A9C8" w14:textId="77777777" w:rsidR="00EB5FF4" w:rsidRPr="00F25470" w:rsidRDefault="00EB5FF4" w:rsidP="00EB5FF4">
      <w:pPr>
        <w:autoSpaceDE w:val="0"/>
        <w:autoSpaceDN w:val="0"/>
        <w:adjustRightInd w:val="0"/>
        <w:ind w:left="283" w:right="113" w:hanging="170"/>
        <w:rPr>
          <w:sz w:val="14"/>
          <w:szCs w:val="14"/>
        </w:rPr>
      </w:pPr>
      <w:r w:rsidRPr="00F25470">
        <w:rPr>
          <w:sz w:val="16"/>
          <w:szCs w:val="14"/>
          <w:vertAlign w:val="superscript"/>
        </w:rPr>
        <w:t>1/</w:t>
      </w:r>
      <w:r>
        <w:rPr>
          <w:sz w:val="16"/>
          <w:szCs w:val="14"/>
          <w:vertAlign w:val="superscript"/>
        </w:rPr>
        <w:tab/>
      </w:r>
      <w:r w:rsidRPr="00F25470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F25470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3A6E3EC4" w14:textId="77777777" w:rsidR="00EB5FF4" w:rsidRPr="003F5E65" w:rsidRDefault="00EB5FF4" w:rsidP="00EB5FF4">
      <w:pPr>
        <w:autoSpaceDE w:val="0"/>
        <w:autoSpaceDN w:val="0"/>
        <w:adjustRightInd w:val="0"/>
        <w:ind w:left="283" w:right="113" w:hanging="170"/>
        <w:rPr>
          <w:sz w:val="14"/>
          <w:szCs w:val="14"/>
        </w:rPr>
      </w:pPr>
      <w:r>
        <w:rPr>
          <w:sz w:val="16"/>
          <w:szCs w:val="14"/>
          <w:vertAlign w:val="superscript"/>
        </w:rPr>
        <w:t>2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sz w:val="14"/>
          <w:szCs w:val="14"/>
          <w:vertAlign w:val="superscript"/>
        </w:rPr>
        <w:tab/>
      </w:r>
      <w:r w:rsidRPr="00395990">
        <w:rPr>
          <w:sz w:val="14"/>
          <w:szCs w:val="14"/>
        </w:rPr>
        <w:t>La incidencia se refiere a la contribución en puntos porcentuales de cada componente del INPP en la variación porcentual del índice general. Ésta se calcula utilizando los ponderadores de cada subíndice, así como los precios relativos y sus respectivas variaciones. En ciertos casos, la suma de los componentes de algún grupo de subíndices puede tener alguna discrepancia por efectos de redondeo</w:t>
      </w:r>
      <w:r w:rsidRPr="003F5E65">
        <w:rPr>
          <w:sz w:val="14"/>
          <w:szCs w:val="14"/>
        </w:rPr>
        <w:t>.</w:t>
      </w:r>
    </w:p>
    <w:p w14:paraId="326AA844" w14:textId="77777777" w:rsidR="00EB5FF4" w:rsidRPr="003F5E65" w:rsidRDefault="00EB5FF4" w:rsidP="00EB5FF4">
      <w:pPr>
        <w:autoSpaceDE w:val="0"/>
        <w:autoSpaceDN w:val="0"/>
        <w:adjustRightInd w:val="0"/>
        <w:ind w:left="283" w:right="113" w:hanging="170"/>
        <w:rPr>
          <w:sz w:val="14"/>
          <w:szCs w:val="14"/>
        </w:rPr>
      </w:pPr>
      <w:r>
        <w:rPr>
          <w:sz w:val="16"/>
          <w:szCs w:val="14"/>
          <w:vertAlign w:val="superscript"/>
        </w:rPr>
        <w:t>3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sz w:val="14"/>
          <w:szCs w:val="14"/>
        </w:rPr>
        <w:tab/>
      </w:r>
      <w:r w:rsidRPr="00395990">
        <w:rPr>
          <w:sz w:val="14"/>
          <w:szCs w:val="14"/>
        </w:rPr>
        <w:t>Estas actividades no registran información ya que no generan bienes de uso intermedio</w:t>
      </w:r>
      <w:r w:rsidRPr="003F5E65">
        <w:rPr>
          <w:sz w:val="14"/>
          <w:szCs w:val="14"/>
        </w:rPr>
        <w:t>.</w:t>
      </w:r>
    </w:p>
    <w:p w14:paraId="7FD951C0" w14:textId="03FE5C02" w:rsidR="004D5C5B" w:rsidRDefault="009F1B41" w:rsidP="004D5C5B">
      <w:pPr>
        <w:pStyle w:val="n01"/>
        <w:keepLines w:val="0"/>
        <w:spacing w:before="360"/>
        <w:ind w:left="0" w:firstLin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Por su parte, </w:t>
      </w:r>
      <w:r w:rsidR="004D5C5B" w:rsidRPr="00463F32">
        <w:rPr>
          <w:rFonts w:ascii="Arial" w:hAnsi="Arial"/>
          <w:color w:val="auto"/>
        </w:rPr>
        <w:t xml:space="preserve">los precios de las Mercancías y Servicios de Uso Intermedio, </w:t>
      </w:r>
      <w:r w:rsidR="004D5C5B" w:rsidRPr="001100C8">
        <w:rPr>
          <w:rFonts w:ascii="Arial" w:hAnsi="Arial"/>
          <w:color w:val="auto"/>
          <w:u w:val="single"/>
        </w:rPr>
        <w:t>excluyendo petróleo</w:t>
      </w:r>
      <w:r w:rsidR="004D5C5B">
        <w:rPr>
          <w:rFonts w:ascii="Arial" w:hAnsi="Arial"/>
          <w:color w:val="auto"/>
        </w:rPr>
        <w:t xml:space="preserve">, </w:t>
      </w:r>
      <w:r w:rsidR="006909BD">
        <w:rPr>
          <w:rFonts w:ascii="Arial" w:hAnsi="Arial"/>
          <w:color w:val="auto"/>
        </w:rPr>
        <w:t xml:space="preserve">registraron </w:t>
      </w:r>
      <w:r w:rsidR="004D5C5B">
        <w:rPr>
          <w:rFonts w:ascii="Arial" w:hAnsi="Arial"/>
          <w:color w:val="auto"/>
        </w:rPr>
        <w:t>un crecimiento mensual de 0.59%, ubicando su tasa anual en 1.13 por ciento</w:t>
      </w:r>
      <w:r w:rsidR="004D5C5B" w:rsidRPr="00463F32">
        <w:rPr>
          <w:rFonts w:ascii="Arial" w:hAnsi="Arial"/>
          <w:color w:val="auto"/>
        </w:rPr>
        <w:t xml:space="preserve">. </w:t>
      </w:r>
      <w:r w:rsidR="006909BD">
        <w:rPr>
          <w:rFonts w:ascii="Arial" w:hAnsi="Arial"/>
          <w:color w:val="auto"/>
        </w:rPr>
        <w:t xml:space="preserve">En cuanto a </w:t>
      </w:r>
      <w:r w:rsidR="004D5C5B" w:rsidRPr="00463F32">
        <w:rPr>
          <w:rFonts w:ascii="Arial" w:hAnsi="Arial"/>
          <w:color w:val="auto"/>
        </w:rPr>
        <w:t>los precios de las Mercan</w:t>
      </w:r>
      <w:r w:rsidR="004D5C5B">
        <w:rPr>
          <w:rFonts w:ascii="Arial" w:hAnsi="Arial"/>
          <w:color w:val="auto"/>
        </w:rPr>
        <w:t>cías y Servicios Finales</w:t>
      </w:r>
      <w:r w:rsidR="006909BD">
        <w:rPr>
          <w:rFonts w:ascii="Arial" w:hAnsi="Arial"/>
          <w:color w:val="auto"/>
        </w:rPr>
        <w:t xml:space="preserve">, éstos </w:t>
      </w:r>
      <w:r w:rsidR="004D5C5B">
        <w:rPr>
          <w:rFonts w:ascii="Arial" w:hAnsi="Arial"/>
          <w:color w:val="auto"/>
        </w:rPr>
        <w:t>se incrementaron 0.49%</w:t>
      </w:r>
      <w:r w:rsidR="004D5C5B" w:rsidRPr="00463F32">
        <w:rPr>
          <w:rFonts w:ascii="Arial" w:hAnsi="Arial"/>
          <w:color w:val="auto"/>
        </w:rPr>
        <w:t xml:space="preserve"> a</w:t>
      </w:r>
      <w:r w:rsidR="004D5C5B">
        <w:rPr>
          <w:rFonts w:ascii="Arial" w:hAnsi="Arial"/>
          <w:color w:val="auto"/>
        </w:rPr>
        <w:t xml:space="preserve"> tasa mensual y 3.48%</w:t>
      </w:r>
      <w:r w:rsidR="004D5C5B" w:rsidRPr="00463F32">
        <w:rPr>
          <w:rFonts w:ascii="Arial" w:hAnsi="Arial"/>
          <w:color w:val="auto"/>
        </w:rPr>
        <w:t xml:space="preserve"> anual (véase cuadro 6).</w:t>
      </w:r>
    </w:p>
    <w:p w14:paraId="4F2223F7" w14:textId="77777777" w:rsidR="004D5C5B" w:rsidRDefault="004D5C5B" w:rsidP="004D5C5B">
      <w:pPr>
        <w:pStyle w:val="n01"/>
        <w:keepLines w:val="0"/>
        <w:spacing w:before="360"/>
        <w:ind w:left="0" w:firstLine="0"/>
      </w:pPr>
      <w:r>
        <w:br w:type="page"/>
      </w:r>
    </w:p>
    <w:p w14:paraId="6BCAA640" w14:textId="77777777" w:rsidR="004D5C5B" w:rsidRPr="009028F8" w:rsidRDefault="004D5C5B" w:rsidP="00EB5FF4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  <w:bookmarkStart w:id="3" w:name="OLE_LINK1"/>
      <w:r>
        <w:rPr>
          <w:snapToGrid w:val="0"/>
          <w:sz w:val="20"/>
          <w:szCs w:val="20"/>
        </w:rPr>
        <w:lastRenderedPageBreak/>
        <w:t>Gráfica 3</w:t>
      </w:r>
    </w:p>
    <w:p w14:paraId="5858D830" w14:textId="77777777" w:rsidR="004D5C5B" w:rsidRPr="00875DDC" w:rsidRDefault="004D5C5B" w:rsidP="00EB5FF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636A9BDA" w14:textId="77777777" w:rsidR="004D5C5B" w:rsidRPr="00875DDC" w:rsidRDefault="004D5C5B" w:rsidP="00EB5FF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INTERMEDIOS, FINALES Y PRODUCCIÓN TOTAL,</w:t>
      </w:r>
    </w:p>
    <w:p w14:paraId="0BE9E20D" w14:textId="1388E5B0" w:rsidR="004D5C5B" w:rsidRPr="00875DDC" w:rsidRDefault="004D5C5B" w:rsidP="00EB5FF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36387A">
        <w:rPr>
          <w:b/>
          <w:snapToGrid w:val="0"/>
          <w:sz w:val="22"/>
          <w:szCs w:val="22"/>
          <w:u w:val="single"/>
        </w:rPr>
        <w:t>INCLUYENDO PETRÓLEO</w:t>
      </w:r>
      <w:r w:rsidRPr="00875DDC">
        <w:rPr>
          <w:b/>
          <w:snapToGrid w:val="0"/>
          <w:sz w:val="22"/>
          <w:szCs w:val="22"/>
        </w:rPr>
        <w:t xml:space="preserve">, </w:t>
      </w:r>
      <w:r>
        <w:rPr>
          <w:b/>
          <w:snapToGrid w:val="0"/>
          <w:sz w:val="22"/>
          <w:szCs w:val="22"/>
        </w:rPr>
        <w:t xml:space="preserve">A </w:t>
      </w:r>
      <w:r w:rsidRPr="00162D45">
        <w:rPr>
          <w:b/>
          <w:snapToGrid w:val="0"/>
          <w:sz w:val="22"/>
          <w:szCs w:val="22"/>
        </w:rPr>
        <w:t>SEPTIEMBRE</w:t>
      </w:r>
      <w:r>
        <w:rPr>
          <w:b/>
          <w:snapToGrid w:val="0"/>
          <w:sz w:val="22"/>
          <w:szCs w:val="22"/>
        </w:rPr>
        <w:t xml:space="preserve"> DE 2019</w:t>
      </w:r>
    </w:p>
    <w:p w14:paraId="2691B6C2" w14:textId="77777777" w:rsidR="004D5C5B" w:rsidRPr="00910135" w:rsidRDefault="004D5C5B" w:rsidP="00EB5FF4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 xml:space="preserve">Clasificación por origen </w:t>
      </w:r>
    </w:p>
    <w:p w14:paraId="3F1D067F" w14:textId="77777777" w:rsidR="004D5C5B" w:rsidRDefault="004D5C5B" w:rsidP="00EB5FF4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 anual</w:t>
      </w:r>
    </w:p>
    <w:p w14:paraId="578EFDB1" w14:textId="1B631135" w:rsidR="004D5C5B" w:rsidRDefault="006B0D9A" w:rsidP="00EB5FF4">
      <w:pPr>
        <w:widowControl w:val="0"/>
        <w:autoSpaceDE w:val="0"/>
        <w:autoSpaceDN w:val="0"/>
        <w:adjustRightInd w:val="0"/>
        <w:jc w:val="center"/>
      </w:pPr>
      <w:r>
        <w:rPr>
          <w:noProof/>
          <w:lang w:val="es-MX" w:eastAsia="es-MX"/>
        </w:rPr>
        <w:drawing>
          <wp:inline distT="0" distB="0" distL="0" distR="0" wp14:anchorId="4297DADF" wp14:editId="6F243362">
            <wp:extent cx="5040000" cy="2808000"/>
            <wp:effectExtent l="0" t="0" r="27305" b="3048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3A75B0D" w14:textId="77777777" w:rsidR="004D5C5B" w:rsidRPr="009028F8" w:rsidRDefault="004D5C5B" w:rsidP="006B0D9A">
      <w:pPr>
        <w:widowControl w:val="0"/>
        <w:autoSpaceDE w:val="0"/>
        <w:autoSpaceDN w:val="0"/>
        <w:adjustRightInd w:val="0"/>
        <w:spacing w:before="240"/>
        <w:jc w:val="center"/>
        <w:rPr>
          <w:snapToGrid w:val="0"/>
          <w:sz w:val="20"/>
          <w:szCs w:val="20"/>
        </w:rPr>
      </w:pPr>
      <w:r w:rsidRPr="009028F8">
        <w:rPr>
          <w:snapToGrid w:val="0"/>
          <w:sz w:val="20"/>
          <w:szCs w:val="20"/>
        </w:rPr>
        <w:t xml:space="preserve">Gráfica </w:t>
      </w:r>
      <w:r>
        <w:rPr>
          <w:snapToGrid w:val="0"/>
          <w:sz w:val="20"/>
          <w:szCs w:val="20"/>
        </w:rPr>
        <w:t>4</w:t>
      </w:r>
    </w:p>
    <w:p w14:paraId="665CBCD7" w14:textId="77777777" w:rsidR="004D5C5B" w:rsidRPr="00875DDC" w:rsidRDefault="004D5C5B" w:rsidP="00EB5FF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0EC56A03" w14:textId="77777777" w:rsidR="004D5C5B" w:rsidRPr="00875DDC" w:rsidRDefault="004D5C5B" w:rsidP="00EB5FF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INTERMEDIOS, FINALES Y PRODUCCIÓN TOTAL,</w:t>
      </w:r>
    </w:p>
    <w:p w14:paraId="4680A9C4" w14:textId="0A81F990" w:rsidR="004D5C5B" w:rsidRPr="00875DDC" w:rsidRDefault="004D5C5B" w:rsidP="00EB5FF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F97380">
        <w:rPr>
          <w:b/>
          <w:snapToGrid w:val="0"/>
          <w:sz w:val="22"/>
          <w:szCs w:val="22"/>
          <w:u w:val="single"/>
        </w:rPr>
        <w:t>EXCLUYENDO PETRÓLEO</w:t>
      </w:r>
      <w:r w:rsidRPr="00875DDC">
        <w:rPr>
          <w:b/>
          <w:snapToGrid w:val="0"/>
          <w:sz w:val="22"/>
          <w:szCs w:val="22"/>
        </w:rPr>
        <w:t xml:space="preserve">, </w:t>
      </w:r>
      <w:r>
        <w:rPr>
          <w:b/>
          <w:snapToGrid w:val="0"/>
          <w:sz w:val="22"/>
          <w:szCs w:val="22"/>
        </w:rPr>
        <w:t>A SEPTIEMBRE DE 2019</w:t>
      </w:r>
    </w:p>
    <w:p w14:paraId="50FD9247" w14:textId="77777777" w:rsidR="004D5C5B" w:rsidRPr="00910135" w:rsidRDefault="004D5C5B" w:rsidP="00EB5FF4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 xml:space="preserve">Clasificación por origen </w:t>
      </w:r>
    </w:p>
    <w:p w14:paraId="2AE191F9" w14:textId="77777777" w:rsidR="004D5C5B" w:rsidRDefault="004D5C5B" w:rsidP="00EB5FF4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 anual</w:t>
      </w:r>
    </w:p>
    <w:p w14:paraId="2AA9D1AE" w14:textId="66ECD94C" w:rsidR="004D5C5B" w:rsidRDefault="0044294A" w:rsidP="00EB5FF4">
      <w:pPr>
        <w:widowControl w:val="0"/>
        <w:autoSpaceDE w:val="0"/>
        <w:autoSpaceDN w:val="0"/>
        <w:adjustRightInd w:val="0"/>
        <w:jc w:val="center"/>
      </w:pPr>
      <w:r>
        <w:rPr>
          <w:noProof/>
          <w:lang w:val="es-MX" w:eastAsia="es-MX"/>
        </w:rPr>
        <w:drawing>
          <wp:inline distT="0" distB="0" distL="0" distR="0" wp14:anchorId="275916F2" wp14:editId="4E4B51D2">
            <wp:extent cx="5040000" cy="2808000"/>
            <wp:effectExtent l="0" t="0" r="27305" b="3048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FDDB9FB" w14:textId="77777777" w:rsidR="004D5C5B" w:rsidRPr="007E353A" w:rsidRDefault="004D5C5B" w:rsidP="004D5C5B">
      <w:pPr>
        <w:pStyle w:val="n01"/>
        <w:keepLines w:val="0"/>
        <w:spacing w:before="60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7E353A">
        <w:rPr>
          <w:rFonts w:ascii="Arial" w:hAnsi="Arial"/>
          <w:b/>
          <w:i/>
          <w:snapToGrid w:val="0"/>
          <w:color w:val="000000"/>
        </w:rPr>
        <w:lastRenderedPageBreak/>
        <w:t>Actividades Primarias</w:t>
      </w:r>
    </w:p>
    <w:p w14:paraId="0834ADC0" w14:textId="77777777" w:rsidR="004D5C5B" w:rsidRPr="0098397B" w:rsidRDefault="004D5C5B" w:rsidP="004D5C5B">
      <w:pPr>
        <w:pStyle w:val="n01"/>
        <w:keepLines w:val="0"/>
        <w:ind w:left="0" w:firstLine="0"/>
        <w:rPr>
          <w:rFonts w:ascii="Arial" w:hAnsi="Arial"/>
          <w:color w:val="auto"/>
        </w:rPr>
      </w:pPr>
      <w:r w:rsidRPr="0010647A">
        <w:rPr>
          <w:rFonts w:ascii="Arial" w:hAnsi="Arial"/>
          <w:color w:val="auto"/>
        </w:rPr>
        <w:t>Los precios de las Actividades Primarias re</w:t>
      </w:r>
      <w:r>
        <w:rPr>
          <w:rFonts w:ascii="Arial" w:hAnsi="Arial"/>
          <w:color w:val="auto"/>
        </w:rPr>
        <w:t>portaron un ascenso mensual de 5.03% durante septiembre de este año. Los productos genéricos</w:t>
      </w:r>
      <w:r w:rsidRPr="0010647A">
        <w:rPr>
          <w:rFonts w:ascii="Arial" w:hAnsi="Arial"/>
          <w:color w:val="auto"/>
        </w:rPr>
        <w:t xml:space="preserve"> con la contribución más significativa en el índice total de dichas actividades fue</w:t>
      </w:r>
      <w:r>
        <w:rPr>
          <w:rFonts w:ascii="Arial" w:hAnsi="Arial"/>
          <w:color w:val="auto"/>
        </w:rPr>
        <w:t>ron</w:t>
      </w:r>
      <w:r w:rsidRPr="003F3251">
        <w:rPr>
          <w:rFonts w:ascii="Arial" w:hAnsi="Arial"/>
          <w:color w:val="auto"/>
        </w:rPr>
        <w:t xml:space="preserve">: </w:t>
      </w:r>
      <w:r>
        <w:rPr>
          <w:rFonts w:ascii="Arial" w:hAnsi="Arial"/>
          <w:color w:val="auto"/>
        </w:rPr>
        <w:t>Aves con una variación mensual de 31.55% y Jitomate con 10.61 por ciento.</w:t>
      </w:r>
    </w:p>
    <w:p w14:paraId="67FA50E0" w14:textId="77777777" w:rsidR="004D5C5B" w:rsidRPr="007E353A" w:rsidRDefault="004D5C5B" w:rsidP="004D5C5B">
      <w:pPr>
        <w:pStyle w:val="n01"/>
        <w:keepLines w:val="0"/>
        <w:spacing w:before="60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7E353A">
        <w:rPr>
          <w:rFonts w:ascii="Arial" w:hAnsi="Arial"/>
          <w:b/>
          <w:i/>
          <w:snapToGrid w:val="0"/>
          <w:color w:val="000000"/>
        </w:rPr>
        <w:t>Actividades Secundarias</w:t>
      </w:r>
    </w:p>
    <w:p w14:paraId="08FD8F13" w14:textId="66EEF153" w:rsidR="004D5C5B" w:rsidRPr="00907F08" w:rsidRDefault="004D5C5B" w:rsidP="004D5C5B">
      <w:pPr>
        <w:pStyle w:val="n01"/>
        <w:keepLines w:val="0"/>
        <w:ind w:left="0" w:firstLine="0"/>
        <w:rPr>
          <w:rFonts w:ascii="Arial" w:hAnsi="Arial"/>
          <w:color w:val="auto"/>
        </w:rPr>
      </w:pPr>
      <w:r w:rsidRPr="000C37AE">
        <w:rPr>
          <w:rFonts w:ascii="Arial" w:hAnsi="Arial"/>
          <w:color w:val="auto"/>
        </w:rPr>
        <w:t xml:space="preserve">Los precios de las Actividades Secundarias, </w:t>
      </w:r>
      <w:r w:rsidRPr="00F97380">
        <w:rPr>
          <w:rFonts w:ascii="Arial" w:hAnsi="Arial"/>
          <w:color w:val="auto"/>
          <w:u w:val="single"/>
        </w:rPr>
        <w:t>incluyendo petróleo</w:t>
      </w:r>
      <w:r w:rsidRPr="000C37AE">
        <w:rPr>
          <w:rFonts w:ascii="Arial" w:hAnsi="Arial"/>
          <w:color w:val="auto"/>
        </w:rPr>
        <w:t xml:space="preserve">, </w:t>
      </w:r>
      <w:r w:rsidR="006909BD">
        <w:rPr>
          <w:rFonts w:ascii="Arial" w:hAnsi="Arial"/>
          <w:color w:val="auto"/>
        </w:rPr>
        <w:t xml:space="preserve">observaron </w:t>
      </w:r>
      <w:r>
        <w:rPr>
          <w:rFonts w:ascii="Arial" w:hAnsi="Arial"/>
          <w:color w:val="auto"/>
        </w:rPr>
        <w:t xml:space="preserve">un </w:t>
      </w:r>
      <w:r w:rsidR="006909BD">
        <w:rPr>
          <w:rFonts w:ascii="Arial" w:hAnsi="Arial"/>
          <w:color w:val="auto"/>
        </w:rPr>
        <w:t xml:space="preserve">aumento </w:t>
      </w:r>
      <w:r>
        <w:rPr>
          <w:rFonts w:ascii="Arial" w:hAnsi="Arial"/>
          <w:color w:val="auto"/>
        </w:rPr>
        <w:t>mensual de 0.82% en el noveno</w:t>
      </w:r>
      <w:r w:rsidRPr="000C37AE">
        <w:rPr>
          <w:rFonts w:ascii="Arial" w:hAnsi="Arial"/>
          <w:color w:val="auto"/>
        </w:rPr>
        <w:t xml:space="preserve"> mes de 201</w:t>
      </w:r>
      <w:r>
        <w:rPr>
          <w:rFonts w:ascii="Arial" w:hAnsi="Arial"/>
          <w:color w:val="auto"/>
        </w:rPr>
        <w:t>9; este resultado obedeció a</w:t>
      </w:r>
      <w:r w:rsidR="006909BD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l</w:t>
      </w:r>
      <w:r w:rsidR="006909BD">
        <w:rPr>
          <w:rFonts w:ascii="Arial" w:hAnsi="Arial"/>
          <w:color w:val="auto"/>
        </w:rPr>
        <w:t>os</w:t>
      </w:r>
      <w:r>
        <w:rPr>
          <w:rFonts w:ascii="Arial" w:hAnsi="Arial"/>
          <w:color w:val="auto"/>
        </w:rPr>
        <w:t xml:space="preserve"> in</w:t>
      </w:r>
      <w:r w:rsidRPr="000C37AE">
        <w:rPr>
          <w:rFonts w:ascii="Arial" w:hAnsi="Arial"/>
          <w:color w:val="auto"/>
        </w:rPr>
        <w:t>cremento</w:t>
      </w:r>
      <w:r w:rsidR="006909BD">
        <w:rPr>
          <w:rFonts w:ascii="Arial" w:hAnsi="Arial"/>
          <w:color w:val="auto"/>
        </w:rPr>
        <w:t>s</w:t>
      </w:r>
      <w:r w:rsidRPr="000C37AE">
        <w:rPr>
          <w:rFonts w:ascii="Arial" w:hAnsi="Arial"/>
          <w:color w:val="auto"/>
        </w:rPr>
        <w:t xml:space="preserve"> en los p</w:t>
      </w:r>
      <w:r>
        <w:rPr>
          <w:rFonts w:ascii="Arial" w:hAnsi="Arial"/>
          <w:color w:val="auto"/>
        </w:rPr>
        <w:t xml:space="preserve">recios de la Minería de 9.01%, </w:t>
      </w:r>
      <w:r w:rsidR="006909BD">
        <w:rPr>
          <w:rFonts w:ascii="Arial" w:hAnsi="Arial"/>
          <w:color w:val="auto"/>
        </w:rPr>
        <w:t xml:space="preserve">en la </w:t>
      </w:r>
      <w:r>
        <w:rPr>
          <w:rFonts w:ascii="Arial" w:hAnsi="Arial"/>
          <w:color w:val="auto"/>
        </w:rPr>
        <w:t xml:space="preserve">Construcción </w:t>
      </w:r>
      <w:r w:rsidR="006909BD">
        <w:rPr>
          <w:rFonts w:ascii="Arial" w:hAnsi="Arial"/>
          <w:color w:val="auto"/>
        </w:rPr>
        <w:t xml:space="preserve">de </w:t>
      </w:r>
      <w:r>
        <w:rPr>
          <w:rFonts w:ascii="Arial" w:hAnsi="Arial"/>
          <w:color w:val="auto"/>
        </w:rPr>
        <w:t>0.10%</w:t>
      </w:r>
      <w:r w:rsidRPr="000C37AE">
        <w:rPr>
          <w:rFonts w:ascii="Arial" w:hAnsi="Arial"/>
          <w:color w:val="auto"/>
        </w:rPr>
        <w:t xml:space="preserve"> y </w:t>
      </w:r>
      <w:r w:rsidR="006909BD">
        <w:rPr>
          <w:rFonts w:ascii="Arial" w:hAnsi="Arial"/>
          <w:color w:val="auto"/>
        </w:rPr>
        <w:t xml:space="preserve">en </w:t>
      </w:r>
      <w:r w:rsidRPr="000C37AE">
        <w:rPr>
          <w:rFonts w:ascii="Arial" w:hAnsi="Arial"/>
          <w:color w:val="auto"/>
        </w:rPr>
        <w:t>la</w:t>
      </w:r>
      <w:r>
        <w:rPr>
          <w:rFonts w:ascii="Arial" w:hAnsi="Arial"/>
          <w:color w:val="auto"/>
        </w:rPr>
        <w:t xml:space="preserve">s Industrias manufactureras </w:t>
      </w:r>
      <w:r w:rsidR="006909BD">
        <w:rPr>
          <w:rFonts w:ascii="Arial" w:hAnsi="Arial"/>
          <w:color w:val="auto"/>
        </w:rPr>
        <w:t xml:space="preserve">de </w:t>
      </w:r>
      <w:r>
        <w:rPr>
          <w:rFonts w:ascii="Arial" w:hAnsi="Arial"/>
          <w:color w:val="auto"/>
        </w:rPr>
        <w:t>0.26%, mientras que</w:t>
      </w:r>
      <w:r w:rsidR="006909BD">
        <w:rPr>
          <w:rFonts w:ascii="Arial" w:hAnsi="Arial"/>
          <w:color w:val="auto"/>
        </w:rPr>
        <w:t xml:space="preserve"> en</w:t>
      </w:r>
      <w:r>
        <w:rPr>
          <w:rFonts w:ascii="Arial" w:hAnsi="Arial"/>
          <w:color w:val="auto"/>
        </w:rPr>
        <w:t xml:space="preserve"> la</w:t>
      </w:r>
      <w:r w:rsidRPr="00085ED3">
        <w:rPr>
          <w:rFonts w:ascii="Arial" w:hAnsi="Arial"/>
          <w:color w:val="auto"/>
        </w:rPr>
        <w:t xml:space="preserve"> </w:t>
      </w:r>
      <w:r w:rsidRPr="000C37AE">
        <w:rPr>
          <w:rFonts w:ascii="Arial" w:hAnsi="Arial"/>
          <w:color w:val="auto"/>
        </w:rPr>
        <w:t>Generación, transmisión y distribución de energía eléctrica, suministro de agua y de gas por ductos al c</w:t>
      </w:r>
      <w:r>
        <w:rPr>
          <w:rFonts w:ascii="Arial" w:hAnsi="Arial"/>
          <w:color w:val="auto"/>
        </w:rPr>
        <w:t>onsumidor final decreci</w:t>
      </w:r>
      <w:r w:rsidR="006909BD">
        <w:rPr>
          <w:rFonts w:ascii="Arial" w:hAnsi="Arial"/>
          <w:color w:val="auto"/>
        </w:rPr>
        <w:t xml:space="preserve">eron </w:t>
      </w:r>
      <w:r w:rsidR="006909BD">
        <w:rPr>
          <w:rFonts w:ascii="Arial" w:hAnsi="Arial"/>
          <w:color w:val="auto"/>
        </w:rPr>
        <w:br/>
      </w:r>
      <w:r>
        <w:rPr>
          <w:rFonts w:ascii="Arial" w:hAnsi="Arial"/>
          <w:color w:val="auto"/>
        </w:rPr>
        <w:t>(-)0.36 por ciento.</w:t>
      </w:r>
    </w:p>
    <w:p w14:paraId="02667C63" w14:textId="501C5C51" w:rsidR="004D5C5B" w:rsidRDefault="004D5C5B" w:rsidP="004D5C5B">
      <w:pPr>
        <w:pStyle w:val="n01"/>
        <w:keepLines w:val="0"/>
        <w:ind w:left="0" w:firstLine="0"/>
        <w:rPr>
          <w:rFonts w:ascii="Arial" w:hAnsi="Arial"/>
          <w:color w:val="auto"/>
        </w:rPr>
      </w:pPr>
      <w:r w:rsidRPr="0010647A">
        <w:rPr>
          <w:rFonts w:ascii="Arial" w:hAnsi="Arial"/>
          <w:color w:val="auto"/>
        </w:rPr>
        <w:t xml:space="preserve">Los precios de las Actividades Secundarias, </w:t>
      </w:r>
      <w:r w:rsidRPr="00F97380">
        <w:rPr>
          <w:rFonts w:ascii="Arial" w:hAnsi="Arial"/>
          <w:color w:val="auto"/>
          <w:u w:val="single"/>
        </w:rPr>
        <w:t>excluyendo petróleo</w:t>
      </w:r>
      <w:r w:rsidRPr="0010647A">
        <w:rPr>
          <w:rFonts w:ascii="Arial" w:hAnsi="Arial"/>
          <w:color w:val="auto"/>
        </w:rPr>
        <w:t>, registraron un a</w:t>
      </w:r>
      <w:r w:rsidR="006909BD">
        <w:rPr>
          <w:rFonts w:ascii="Arial" w:hAnsi="Arial"/>
          <w:color w:val="auto"/>
        </w:rPr>
        <w:t>lza</w:t>
      </w:r>
      <w:r>
        <w:rPr>
          <w:rFonts w:ascii="Arial" w:hAnsi="Arial"/>
          <w:color w:val="auto"/>
        </w:rPr>
        <w:t xml:space="preserve"> mensual de 0.27% en </w:t>
      </w:r>
      <w:r w:rsidR="006909BD">
        <w:rPr>
          <w:rFonts w:ascii="Arial" w:hAnsi="Arial"/>
          <w:color w:val="auto"/>
        </w:rPr>
        <w:t>septiembre de este año, derivado de</w:t>
      </w:r>
      <w:r w:rsidR="009F1B41">
        <w:rPr>
          <w:rFonts w:ascii="Arial" w:hAnsi="Arial"/>
          <w:color w:val="auto"/>
        </w:rPr>
        <w:t xml:space="preserve"> </w:t>
      </w:r>
      <w:r w:rsidR="006909BD">
        <w:rPr>
          <w:rFonts w:ascii="Arial" w:hAnsi="Arial"/>
          <w:color w:val="auto"/>
        </w:rPr>
        <w:t xml:space="preserve">los crecimientos </w:t>
      </w:r>
      <w:r w:rsidRPr="0010647A">
        <w:rPr>
          <w:rFonts w:ascii="Arial" w:hAnsi="Arial"/>
          <w:color w:val="auto"/>
        </w:rPr>
        <w:t xml:space="preserve">en los precios </w:t>
      </w:r>
      <w:r>
        <w:rPr>
          <w:rFonts w:ascii="Arial" w:hAnsi="Arial"/>
          <w:color w:val="auto"/>
        </w:rPr>
        <w:t>de la Minería</w:t>
      </w:r>
      <w:r w:rsidRPr="0010647A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 xml:space="preserve">de 2.03%, </w:t>
      </w:r>
      <w:r w:rsidR="006909BD">
        <w:rPr>
          <w:rFonts w:ascii="Arial" w:hAnsi="Arial"/>
          <w:color w:val="auto"/>
        </w:rPr>
        <w:t xml:space="preserve">en la </w:t>
      </w:r>
      <w:r>
        <w:rPr>
          <w:rFonts w:ascii="Arial" w:hAnsi="Arial"/>
          <w:color w:val="auto"/>
        </w:rPr>
        <w:t xml:space="preserve">Construcción </w:t>
      </w:r>
      <w:r w:rsidR="006909BD">
        <w:rPr>
          <w:rFonts w:ascii="Arial" w:hAnsi="Arial"/>
          <w:color w:val="auto"/>
        </w:rPr>
        <w:t xml:space="preserve">de </w:t>
      </w:r>
      <w:r>
        <w:rPr>
          <w:rFonts w:ascii="Arial" w:hAnsi="Arial"/>
          <w:color w:val="auto"/>
        </w:rPr>
        <w:t>0.10%</w:t>
      </w:r>
      <w:r w:rsidRPr="000C37AE">
        <w:rPr>
          <w:rFonts w:ascii="Arial" w:hAnsi="Arial"/>
          <w:color w:val="auto"/>
        </w:rPr>
        <w:t xml:space="preserve"> y </w:t>
      </w:r>
      <w:r>
        <w:rPr>
          <w:rFonts w:ascii="Arial" w:hAnsi="Arial"/>
          <w:color w:val="auto"/>
        </w:rPr>
        <w:t>e</w:t>
      </w:r>
      <w:r w:rsidR="006909BD">
        <w:rPr>
          <w:rFonts w:ascii="Arial" w:hAnsi="Arial"/>
          <w:color w:val="auto"/>
        </w:rPr>
        <w:t>n</w:t>
      </w:r>
      <w:r>
        <w:rPr>
          <w:rFonts w:ascii="Arial" w:hAnsi="Arial"/>
          <w:color w:val="auto"/>
        </w:rPr>
        <w:t xml:space="preserve"> </w:t>
      </w:r>
      <w:r w:rsidRPr="000C37AE">
        <w:rPr>
          <w:rFonts w:ascii="Arial" w:hAnsi="Arial"/>
          <w:color w:val="auto"/>
        </w:rPr>
        <w:t>la</w:t>
      </w:r>
      <w:r>
        <w:rPr>
          <w:rFonts w:ascii="Arial" w:hAnsi="Arial"/>
          <w:color w:val="auto"/>
        </w:rPr>
        <w:t xml:space="preserve">s Industrias manufactureras </w:t>
      </w:r>
      <w:r w:rsidR="006909BD">
        <w:rPr>
          <w:rFonts w:ascii="Arial" w:hAnsi="Arial"/>
          <w:color w:val="auto"/>
        </w:rPr>
        <w:t xml:space="preserve">de </w:t>
      </w:r>
      <w:r>
        <w:rPr>
          <w:rFonts w:ascii="Arial" w:hAnsi="Arial"/>
          <w:color w:val="auto"/>
        </w:rPr>
        <w:t xml:space="preserve">0.26%, </w:t>
      </w:r>
      <w:r w:rsidR="006909BD">
        <w:rPr>
          <w:rFonts w:ascii="Arial" w:hAnsi="Arial"/>
          <w:color w:val="auto"/>
        </w:rPr>
        <w:t xml:space="preserve">en </w:t>
      </w:r>
      <w:r>
        <w:rPr>
          <w:rFonts w:ascii="Arial" w:hAnsi="Arial"/>
          <w:color w:val="auto"/>
        </w:rPr>
        <w:t>la</w:t>
      </w:r>
      <w:r w:rsidRPr="00085ED3">
        <w:rPr>
          <w:rFonts w:ascii="Arial" w:hAnsi="Arial"/>
          <w:color w:val="auto"/>
        </w:rPr>
        <w:t xml:space="preserve"> </w:t>
      </w:r>
      <w:r w:rsidRPr="000C37AE">
        <w:rPr>
          <w:rFonts w:ascii="Arial" w:hAnsi="Arial"/>
          <w:color w:val="auto"/>
        </w:rPr>
        <w:t>Generación, transmisión y distribución de energía eléctrica, suministro de agua y de gas por ductos al c</w:t>
      </w:r>
      <w:r>
        <w:rPr>
          <w:rFonts w:ascii="Arial" w:hAnsi="Arial"/>
          <w:color w:val="auto"/>
        </w:rPr>
        <w:t xml:space="preserve">onsumidor final </w:t>
      </w:r>
      <w:r w:rsidR="006909BD">
        <w:rPr>
          <w:rFonts w:ascii="Arial" w:hAnsi="Arial"/>
          <w:color w:val="auto"/>
        </w:rPr>
        <w:t xml:space="preserve">se redujeron </w:t>
      </w:r>
      <w:r>
        <w:rPr>
          <w:rFonts w:ascii="Arial" w:hAnsi="Arial"/>
          <w:color w:val="auto"/>
        </w:rPr>
        <w:t>(-)0.36 por ciento.</w:t>
      </w:r>
    </w:p>
    <w:p w14:paraId="30BE8316" w14:textId="77777777" w:rsidR="004D5C5B" w:rsidRPr="00CD6E5C" w:rsidRDefault="004D5C5B" w:rsidP="004D5C5B">
      <w:pPr>
        <w:pStyle w:val="n01"/>
        <w:keepNext/>
        <w:keepLines w:val="0"/>
        <w:spacing w:before="36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CD6E5C">
        <w:rPr>
          <w:rFonts w:ascii="Arial" w:hAnsi="Arial"/>
          <w:b/>
          <w:i/>
          <w:snapToGrid w:val="0"/>
          <w:color w:val="000000"/>
        </w:rPr>
        <w:t>Industrias Manufactureras</w:t>
      </w:r>
    </w:p>
    <w:bookmarkEnd w:id="3"/>
    <w:p w14:paraId="17B7A16A" w14:textId="7EED8DB3" w:rsidR="004D5C5B" w:rsidRDefault="004D5C5B" w:rsidP="004D5C5B">
      <w:pPr>
        <w:pStyle w:val="p0"/>
        <w:keepNext/>
        <w:keepLines w:val="0"/>
        <w:widowControl/>
        <w:rPr>
          <w:rFonts w:ascii="Arial" w:hAnsi="Arial"/>
          <w:color w:val="auto"/>
        </w:rPr>
      </w:pPr>
      <w:r w:rsidRPr="0010647A">
        <w:rPr>
          <w:rFonts w:ascii="Arial" w:hAnsi="Arial"/>
          <w:color w:val="auto"/>
        </w:rPr>
        <w:t>Los precios de las Industri</w:t>
      </w:r>
      <w:r>
        <w:rPr>
          <w:rFonts w:ascii="Arial" w:hAnsi="Arial"/>
          <w:color w:val="auto"/>
        </w:rPr>
        <w:t xml:space="preserve">as manufactureras </w:t>
      </w:r>
      <w:r w:rsidR="006909BD">
        <w:rPr>
          <w:rFonts w:ascii="Arial" w:hAnsi="Arial"/>
          <w:color w:val="auto"/>
        </w:rPr>
        <w:t xml:space="preserve">subieron </w:t>
      </w:r>
      <w:r>
        <w:rPr>
          <w:rFonts w:ascii="Arial" w:hAnsi="Arial"/>
          <w:color w:val="auto"/>
        </w:rPr>
        <w:t>0.26</w:t>
      </w:r>
      <w:r w:rsidRPr="0010647A">
        <w:rPr>
          <w:rFonts w:ascii="Arial" w:hAnsi="Arial"/>
          <w:color w:val="auto"/>
        </w:rPr>
        <w:t>% a tasa mensual</w:t>
      </w:r>
      <w:r>
        <w:rPr>
          <w:rFonts w:ascii="Arial" w:hAnsi="Arial"/>
          <w:color w:val="auto"/>
        </w:rPr>
        <w:t>, ubicando su tasa anual en 3.01</w:t>
      </w:r>
      <w:r w:rsidRPr="0010647A">
        <w:rPr>
          <w:rFonts w:ascii="Arial" w:hAnsi="Arial"/>
          <w:color w:val="auto"/>
        </w:rPr>
        <w:t xml:space="preserve"> por ciento. Los subsectores que destacaron por el a</w:t>
      </w:r>
      <w:r w:rsidR="006909BD">
        <w:rPr>
          <w:rFonts w:ascii="Arial" w:hAnsi="Arial"/>
          <w:color w:val="auto"/>
        </w:rPr>
        <w:t>scenso</w:t>
      </w:r>
      <w:r w:rsidRPr="0010647A">
        <w:rPr>
          <w:rFonts w:ascii="Arial" w:hAnsi="Arial"/>
          <w:color w:val="auto"/>
        </w:rPr>
        <w:t xml:space="preserve"> mensual en los precios fueron el de </w:t>
      </w:r>
      <w:r w:rsidR="009F1B41">
        <w:rPr>
          <w:rFonts w:ascii="Arial" w:hAnsi="Arial"/>
          <w:color w:val="auto"/>
        </w:rPr>
        <w:t xml:space="preserve">la </w:t>
      </w:r>
      <w:r w:rsidRPr="00B229AF">
        <w:rPr>
          <w:rFonts w:ascii="Arial" w:hAnsi="Arial"/>
          <w:color w:val="auto"/>
        </w:rPr>
        <w:t>Industria del plástico y del hule</w:t>
      </w:r>
      <w:r>
        <w:rPr>
          <w:rFonts w:ascii="Arial" w:hAnsi="Arial"/>
          <w:color w:val="auto"/>
        </w:rPr>
        <w:t xml:space="preserve"> con 0.55%</w:t>
      </w:r>
      <w:r w:rsidRPr="0010647A">
        <w:rPr>
          <w:rFonts w:ascii="Arial" w:hAnsi="Arial"/>
          <w:color w:val="auto"/>
        </w:rPr>
        <w:t xml:space="preserve">, </w:t>
      </w:r>
      <w:r w:rsidRPr="00B229AF">
        <w:rPr>
          <w:rFonts w:ascii="Arial" w:hAnsi="Arial"/>
          <w:color w:val="auto"/>
        </w:rPr>
        <w:t>Impresión e industrias conexas</w:t>
      </w:r>
      <w:r>
        <w:rPr>
          <w:rFonts w:ascii="Arial" w:hAnsi="Arial"/>
          <w:color w:val="auto"/>
        </w:rPr>
        <w:t xml:space="preserve"> 0.49% y el de </w:t>
      </w:r>
      <w:r w:rsidRPr="00B229AF">
        <w:rPr>
          <w:rFonts w:ascii="Arial" w:hAnsi="Arial"/>
          <w:color w:val="auto"/>
        </w:rPr>
        <w:t>Fabricación de equipo de computación, comunicación, medición y de otros equipos, componentes y accesorios electrónicos</w:t>
      </w:r>
      <w:r>
        <w:rPr>
          <w:rFonts w:ascii="Arial" w:hAnsi="Arial"/>
          <w:color w:val="auto"/>
        </w:rPr>
        <w:t xml:space="preserve"> con 0.48 por ciento.</w:t>
      </w:r>
    </w:p>
    <w:p w14:paraId="7AB80F62" w14:textId="77777777" w:rsidR="004D5C5B" w:rsidRDefault="004D5C5B" w:rsidP="004D5C5B">
      <w:pPr>
        <w:jc w:val="lef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</w:p>
    <w:p w14:paraId="0233256E" w14:textId="77777777" w:rsidR="004D5C5B" w:rsidRPr="00E35E14" w:rsidRDefault="004D5C5B" w:rsidP="004D5C5B">
      <w:pPr>
        <w:widowControl w:val="0"/>
        <w:autoSpaceDE w:val="0"/>
        <w:autoSpaceDN w:val="0"/>
        <w:adjustRightInd w:val="0"/>
        <w:spacing w:before="240"/>
        <w:jc w:val="center"/>
        <w:rPr>
          <w:snapToGrid w:val="0"/>
          <w:sz w:val="20"/>
          <w:szCs w:val="20"/>
        </w:rPr>
      </w:pPr>
      <w:r w:rsidRPr="00E35E14">
        <w:rPr>
          <w:snapToGrid w:val="0"/>
          <w:sz w:val="20"/>
          <w:szCs w:val="20"/>
        </w:rPr>
        <w:lastRenderedPageBreak/>
        <w:t xml:space="preserve">Cuadro </w:t>
      </w:r>
      <w:r>
        <w:rPr>
          <w:snapToGrid w:val="0"/>
          <w:sz w:val="20"/>
          <w:szCs w:val="20"/>
        </w:rPr>
        <w:t>7</w:t>
      </w:r>
    </w:p>
    <w:p w14:paraId="7F2FA621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62053088" w14:textId="77777777" w:rsidR="004D5C5B" w:rsidRPr="0002523A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F97380">
        <w:rPr>
          <w:b/>
          <w:snapToGrid w:val="0"/>
          <w:sz w:val="22"/>
          <w:szCs w:val="22"/>
          <w:u w:val="single"/>
        </w:rPr>
        <w:t>INCLUYENDO Y EXCLUYENDO PETRÓLEO</w:t>
      </w:r>
      <w:r w:rsidRPr="00875DDC">
        <w:rPr>
          <w:b/>
          <w:snapToGrid w:val="0"/>
          <w:sz w:val="22"/>
          <w:szCs w:val="22"/>
        </w:rPr>
        <w:t>, DURANTE</w:t>
      </w:r>
      <w:r>
        <w:rPr>
          <w:b/>
          <w:snapToGrid w:val="0"/>
          <w:sz w:val="22"/>
          <w:szCs w:val="22"/>
        </w:rPr>
        <w:t xml:space="preserve"> SEPTIEMBRE</w:t>
      </w:r>
      <w:r>
        <w:rPr>
          <w:b/>
          <w:bCs/>
          <w:color w:val="000000"/>
          <w:spacing w:val="1"/>
          <w:sz w:val="22"/>
          <w:szCs w:val="22"/>
        </w:rPr>
        <w:t xml:space="preserve"> DE 2019</w:t>
      </w:r>
    </w:p>
    <w:p w14:paraId="7C23BB94" w14:textId="77777777" w:rsidR="004D5C5B" w:rsidRPr="00910135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>Industrias Manufactureras</w:t>
      </w:r>
    </w:p>
    <w:p w14:paraId="01E0055F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3"/>
        <w:gridCol w:w="805"/>
        <w:gridCol w:w="806"/>
        <w:gridCol w:w="805"/>
        <w:gridCol w:w="806"/>
        <w:gridCol w:w="805"/>
        <w:gridCol w:w="806"/>
      </w:tblGrid>
      <w:tr w:rsidR="0099003F" w:rsidRPr="00A9663B" w14:paraId="122A63EC" w14:textId="77777777" w:rsidTr="002227CF">
        <w:trPr>
          <w:trHeight w:val="255"/>
          <w:jc w:val="center"/>
        </w:trPr>
        <w:tc>
          <w:tcPr>
            <w:tcW w:w="4551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B55BBF9" w14:textId="77777777" w:rsidR="0099003F" w:rsidRPr="00A9663B" w:rsidRDefault="0099003F" w:rsidP="002227C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bookmarkStart w:id="4" w:name="_Hlk2757840"/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1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318F568" w14:textId="77777777" w:rsidR="0099003F" w:rsidRPr="00A9663B" w:rsidRDefault="0099003F" w:rsidP="002227C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1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F8B683B" w14:textId="77777777" w:rsidR="0099003F" w:rsidRPr="00A9663B" w:rsidRDefault="0099003F" w:rsidP="002227C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 xml:space="preserve"> </w:t>
            </w:r>
            <w:r w:rsidRPr="009102D0">
              <w:rPr>
                <w:bCs/>
                <w:color w:val="000000"/>
                <w:kern w:val="16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99003F" w:rsidRPr="00A9663B" w14:paraId="3B9CA537" w14:textId="77777777" w:rsidTr="002227CF">
        <w:trPr>
          <w:trHeight w:val="397"/>
          <w:jc w:val="center"/>
        </w:trPr>
        <w:tc>
          <w:tcPr>
            <w:tcW w:w="4551" w:type="dxa"/>
            <w:vMerge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F4808F5" w14:textId="77777777" w:rsidR="0099003F" w:rsidRPr="00A9663B" w:rsidRDefault="0099003F" w:rsidP="002227C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</w:p>
        </w:tc>
        <w:tc>
          <w:tcPr>
            <w:tcW w:w="805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98C9000" w14:textId="77777777" w:rsidR="0099003F" w:rsidRPr="00A9663B" w:rsidRDefault="0099003F" w:rsidP="002227C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Inter-medios</w:t>
            </w:r>
          </w:p>
        </w:tc>
        <w:tc>
          <w:tcPr>
            <w:tcW w:w="8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07D002D" w14:textId="77777777" w:rsidR="0099003F" w:rsidRPr="00A9663B" w:rsidRDefault="0099003F" w:rsidP="002227C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67CB6B0" w14:textId="77777777" w:rsidR="0099003F" w:rsidRPr="00A9663B" w:rsidRDefault="0099003F" w:rsidP="002227C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06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979269F" w14:textId="77777777" w:rsidR="0099003F" w:rsidRPr="00A9663B" w:rsidRDefault="0099003F" w:rsidP="002227C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Inter-medios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7CB93CE" w14:textId="77777777" w:rsidR="0099003F" w:rsidRPr="00A9663B" w:rsidRDefault="0099003F" w:rsidP="002227C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7F20AFF" w14:textId="77777777" w:rsidR="0099003F" w:rsidRPr="00A9663B" w:rsidRDefault="0099003F" w:rsidP="002227CF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Total</w:t>
            </w:r>
          </w:p>
        </w:tc>
      </w:tr>
      <w:tr w:rsidR="0099003F" w:rsidRPr="00841586" w14:paraId="22F5B158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7AFAE3" w14:textId="77777777" w:rsidR="0099003F" w:rsidRPr="00841586" w:rsidRDefault="0099003F" w:rsidP="0099003F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Índice General</w:t>
            </w:r>
            <w:r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 incluyendo petróleo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FF78A05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6769417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E1C31FD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AB685A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7327A90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2.74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94BBCE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1.88</w:t>
            </w:r>
          </w:p>
        </w:tc>
      </w:tr>
      <w:tr w:rsidR="0099003F" w:rsidRPr="00841586" w14:paraId="34F81326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A138D6" w14:textId="77777777" w:rsidR="0099003F" w:rsidRPr="00841586" w:rsidRDefault="0099003F" w:rsidP="0099003F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Índice General</w:t>
            </w:r>
            <w:r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 excluyendo petróleo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20E489A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9041422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85548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208F31A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C62CC11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3.48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53B74AE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2.81</w:t>
            </w:r>
          </w:p>
        </w:tc>
      </w:tr>
      <w:tr w:rsidR="0099003F" w:rsidRPr="00841586" w14:paraId="371E97F1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C036DC6" w14:textId="77777777" w:rsidR="0099003F" w:rsidRPr="00841586" w:rsidRDefault="0099003F" w:rsidP="0099003F">
            <w:pPr>
              <w:ind w:left="708" w:hanging="651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Industrias manufactureras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A971E06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2677E8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76E03A5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28E9B6B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3ED46D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4.02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0C3805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E4198">
              <w:rPr>
                <w:b/>
                <w:bCs/>
                <w:color w:val="000000"/>
                <w:sz w:val="14"/>
                <w:szCs w:val="14"/>
              </w:rPr>
              <w:t>3.01</w:t>
            </w:r>
          </w:p>
        </w:tc>
      </w:tr>
      <w:tr w:rsidR="0099003F" w:rsidRPr="00841586" w14:paraId="7BBC7C37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BB7BD56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alimentaria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2E75C57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-0.18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0CE561D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6CA6E9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F00E7A6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2.07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0C3BAE0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4.31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FE4E89C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3.73</w:t>
            </w:r>
          </w:p>
        </w:tc>
      </w:tr>
      <w:tr w:rsidR="0099003F" w:rsidRPr="00841586" w14:paraId="01F07A1B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8F63821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 las bebidas y del tabaco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8D3FE10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C68EDF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763B970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7CDA88D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3.46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7C7D8CD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4.06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8D5176C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4.03</w:t>
            </w:r>
          </w:p>
        </w:tc>
      </w:tr>
      <w:tr w:rsidR="0099003F" w:rsidRPr="00841586" w14:paraId="62DC7B66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89188E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insumos textiles y acabado de textiles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37FC2A7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75B3A95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1E33C80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594ECC4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3.46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D4BF51F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4.20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607588B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3.91</w:t>
            </w:r>
          </w:p>
        </w:tc>
      </w:tr>
      <w:tr w:rsidR="0099003F" w:rsidRPr="00841586" w14:paraId="7D1F965A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76ED05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textiles, excepto prendas de vestir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06FA10C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582271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D22A67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59593B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3.81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FC10E25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4.48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C484F85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4.30</w:t>
            </w:r>
          </w:p>
        </w:tc>
      </w:tr>
      <w:tr w:rsidR="0099003F" w:rsidRPr="00841586" w14:paraId="7496EB57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D7F068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prendas de vestir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A2EAD6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BBF50A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855F9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8B1370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5.56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1986466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5.64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E5095FC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5.65</w:t>
            </w:r>
          </w:p>
        </w:tc>
      </w:tr>
      <w:tr w:rsidR="0099003F" w:rsidRPr="00841586" w14:paraId="7EC60C75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CF601D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Curtido y acabado de cuero y piel, y fabricación de productos de cuero, piel y materiales sucedáneos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AA72DF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A9A8EF5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66B1204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49EE21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E5486DE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BC6A574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1.45</w:t>
            </w:r>
          </w:p>
        </w:tc>
      </w:tr>
      <w:tr w:rsidR="0099003F" w:rsidRPr="00841586" w14:paraId="19664206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ED8E2FC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 la madera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188A867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2B13C80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46AE67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4187FFB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4.35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AF299B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4.39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8002A5E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4.35</w:t>
            </w:r>
          </w:p>
        </w:tc>
      </w:tr>
      <w:tr w:rsidR="0099003F" w:rsidRPr="00841586" w14:paraId="64437571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2FFACE9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del papel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5991A1F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D8BE8EF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B740937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926E81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3.38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5A6178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3.88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FE0F5D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3.61</w:t>
            </w:r>
          </w:p>
        </w:tc>
      </w:tr>
      <w:tr w:rsidR="0099003F" w:rsidRPr="00841586" w14:paraId="46320395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AFD6F6F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Impresión e industrias conexas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7A8A0B5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B2A201C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A1EC2A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91DD9B5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5.51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935BD35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5.51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DA88CE4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5.51</w:t>
            </w:r>
          </w:p>
        </w:tc>
      </w:tr>
      <w:tr w:rsidR="0099003F" w:rsidRPr="00841586" w14:paraId="24372A0D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C0559B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derivados del petróleo y del carbón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8A0D30D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CCD9F52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765E18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A8A08F4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-3.89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C865DB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-7.84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9C636F5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-4.96</w:t>
            </w:r>
          </w:p>
        </w:tc>
      </w:tr>
      <w:tr w:rsidR="0099003F" w:rsidRPr="00841586" w14:paraId="669009DA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354EE6A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química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C4B537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0CDD8EC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4077D4C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E5EA2D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F9A61A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0A14991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2.13</w:t>
            </w:r>
          </w:p>
        </w:tc>
      </w:tr>
      <w:tr w:rsidR="0099003F" w:rsidRPr="00841586" w14:paraId="01D7351A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ED6E9A8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del plástico y del hule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5CE965D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16B60CC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F6D6B5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3BBE4E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6.48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A49A59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6.35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662A816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6.42</w:t>
            </w:r>
          </w:p>
        </w:tc>
      </w:tr>
      <w:tr w:rsidR="0099003F" w:rsidRPr="00841586" w14:paraId="7038FCA2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81CE982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a base de minerales no metálicos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836E982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DA9036E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7F57FAE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03025A2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2.38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2206F26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4.75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154E09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2.83</w:t>
            </w:r>
          </w:p>
        </w:tc>
      </w:tr>
      <w:tr w:rsidR="0099003F" w:rsidRPr="00841586" w14:paraId="27AEC0D0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40D5C0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Industrias metálicas básicas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3550D2E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-0.75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0E75CCD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DFFC11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9D5D89C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-3.54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BE3E0F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9.29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03A4D2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2.33</w:t>
            </w:r>
          </w:p>
        </w:tc>
      </w:tr>
      <w:tr w:rsidR="0099003F" w:rsidRPr="00841586" w14:paraId="2D1A0F39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627B7C3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metálicos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CC1A9A0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-0.13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C954DA5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6D089C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942AB80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3.49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DBA3247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4.31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B27B366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3.95</w:t>
            </w:r>
          </w:p>
        </w:tc>
      </w:tr>
      <w:tr w:rsidR="0099003F" w:rsidRPr="00841586" w14:paraId="4945C56B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BC6B5E7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maquinaria y equipo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13D419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60A6CE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900264A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C9DF51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3.33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C88F89F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3.41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DB6CF91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3.42</w:t>
            </w:r>
          </w:p>
        </w:tc>
      </w:tr>
      <w:tr w:rsidR="0099003F" w:rsidRPr="00841586" w14:paraId="11FF7C1B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4B36840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equipo de computación, comunicación, medición y de otros equipos, componentes y accesorios electrónicos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1B3129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DDC7B81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7ABF21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60348D4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4.68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70DBFCF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3.67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5845D64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3.79</w:t>
            </w:r>
          </w:p>
        </w:tc>
      </w:tr>
      <w:tr w:rsidR="0099003F" w:rsidRPr="00841586" w14:paraId="6F3BECF4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48C2D2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accesorios, aparatos eléctricos y equipo de generación de energía eléctrica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F66AFCE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173508C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FE5D51E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F2D939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5.48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2843B2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4.38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5DE60FE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4.50</w:t>
            </w:r>
          </w:p>
        </w:tc>
      </w:tr>
      <w:tr w:rsidR="0099003F" w:rsidRPr="00841586" w14:paraId="670F54B0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8FE3011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equipo de transporte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A86FDE0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C6645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1039800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1EAF54C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3.80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D1080E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3.99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72EBCD7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3.97</w:t>
            </w:r>
          </w:p>
        </w:tc>
      </w:tr>
      <w:tr w:rsidR="0099003F" w:rsidRPr="00841586" w14:paraId="06C53700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230DE85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muebles, colchones y persianas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7D5747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2E13B5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5AE5118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B69F36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21.61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AAC005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5.00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964441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5.01</w:t>
            </w:r>
          </w:p>
        </w:tc>
      </w:tr>
      <w:tr w:rsidR="0099003F" w:rsidRPr="00841586" w14:paraId="62527376" w14:textId="77777777" w:rsidTr="002227CF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DBB61E" w14:textId="77777777" w:rsidR="0099003F" w:rsidRPr="00841586" w:rsidRDefault="0099003F" w:rsidP="0099003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Otras industrias manufactureras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E682CD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734CD83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FBCE8A9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D36A5F1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4.67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488BC7C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5.35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CB3A1CA" w14:textId="77777777" w:rsidR="0099003F" w:rsidRPr="00DE4198" w:rsidRDefault="0099003F" w:rsidP="002227CF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DE4198">
              <w:rPr>
                <w:bCs/>
                <w:color w:val="000000"/>
                <w:sz w:val="14"/>
                <w:szCs w:val="14"/>
              </w:rPr>
              <w:t>5.30</w:t>
            </w:r>
          </w:p>
        </w:tc>
      </w:tr>
    </w:tbl>
    <w:bookmarkEnd w:id="4"/>
    <w:p w14:paraId="0988DD5E" w14:textId="77777777" w:rsidR="0054304E" w:rsidRPr="008D68CA" w:rsidRDefault="0054304E" w:rsidP="0054304E">
      <w:pPr>
        <w:autoSpaceDE w:val="0"/>
        <w:autoSpaceDN w:val="0"/>
        <w:adjustRightInd w:val="0"/>
        <w:ind w:left="283" w:right="113" w:hanging="170"/>
        <w:rPr>
          <w:sz w:val="16"/>
          <w:szCs w:val="14"/>
        </w:rPr>
      </w:pPr>
      <w:r w:rsidRPr="008D68CA">
        <w:rPr>
          <w:sz w:val="16"/>
          <w:szCs w:val="14"/>
          <w:vertAlign w:val="superscript"/>
        </w:rPr>
        <w:t>1/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8D68CA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67B0F390" w14:textId="77777777" w:rsidR="004D5C5B" w:rsidRDefault="004D5C5B" w:rsidP="004D5C5B">
      <w:pPr>
        <w:pStyle w:val="n01"/>
        <w:keepNext/>
        <w:spacing w:before="36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D8762C">
        <w:rPr>
          <w:rFonts w:ascii="Arial" w:hAnsi="Arial"/>
          <w:b/>
          <w:i/>
          <w:snapToGrid w:val="0"/>
          <w:color w:val="000000"/>
        </w:rPr>
        <w:t>Actividades Terciarias</w:t>
      </w:r>
    </w:p>
    <w:p w14:paraId="0A7CD840" w14:textId="77777777" w:rsidR="004D5C5B" w:rsidRPr="00D8762C" w:rsidRDefault="004D5C5B" w:rsidP="004D5C5B">
      <w:pPr>
        <w:autoSpaceDE w:val="0"/>
        <w:autoSpaceDN w:val="0"/>
        <w:adjustRightInd w:val="0"/>
        <w:spacing w:before="240"/>
      </w:pPr>
      <w:r w:rsidRPr="008E7B3D">
        <w:t>Los precios de las Activida</w:t>
      </w:r>
      <w:r>
        <w:t>des Terciarias presentaron un crecimiento mensual de 0.30% durante septiembre</w:t>
      </w:r>
      <w:r w:rsidRPr="008E7B3D">
        <w:t xml:space="preserve"> del año en curso. Los sectores económicos que registraron la m</w:t>
      </w:r>
      <w:r>
        <w:t>ayor variación mensual al alza</w:t>
      </w:r>
      <w:r w:rsidRPr="008E7B3D">
        <w:t xml:space="preserve"> fueron: </w:t>
      </w:r>
      <w:r w:rsidRPr="00F70CF9">
        <w:t>Servicios educativos</w:t>
      </w:r>
      <w:r>
        <w:t xml:space="preserve"> con 2.71%</w:t>
      </w:r>
      <w:r w:rsidRPr="008E7B3D">
        <w:t xml:space="preserve">, </w:t>
      </w:r>
      <w:r w:rsidRPr="00F70CF9">
        <w:t>Otros servicios excepto actividades gubernamentales</w:t>
      </w:r>
      <w:r>
        <w:t xml:space="preserve"> 0.45%</w:t>
      </w:r>
      <w:r w:rsidRPr="008E7B3D">
        <w:t xml:space="preserve"> y el de </w:t>
      </w:r>
      <w:r w:rsidRPr="00F70CF9">
        <w:t>Información en medios masivos</w:t>
      </w:r>
      <w:r>
        <w:t xml:space="preserve"> con 0.22 por ciento.</w:t>
      </w:r>
    </w:p>
    <w:p w14:paraId="7280C246" w14:textId="77777777" w:rsidR="004D5C5B" w:rsidRPr="00875DDC" w:rsidRDefault="004D5C5B" w:rsidP="004D5C5B">
      <w:pPr>
        <w:autoSpaceDE w:val="0"/>
        <w:autoSpaceDN w:val="0"/>
        <w:adjustRightInd w:val="0"/>
        <w:spacing w:before="240"/>
        <w:rPr>
          <w:b/>
          <w:snapToGrid w:val="0"/>
          <w:u w:val="single"/>
        </w:rPr>
      </w:pPr>
      <w:r w:rsidRPr="00875DDC">
        <w:rPr>
          <w:b/>
          <w:snapToGrid w:val="0"/>
          <w:u w:val="single"/>
        </w:rPr>
        <w:t>BIENES INTERMEDIOS</w:t>
      </w:r>
      <w:r>
        <w:rPr>
          <w:b/>
          <w:snapToGrid w:val="0"/>
          <w:u w:val="single"/>
        </w:rPr>
        <w:t xml:space="preserve"> INCLUYENDO PETRÓLEO</w:t>
      </w:r>
    </w:p>
    <w:p w14:paraId="50A9EC04" w14:textId="77777777" w:rsidR="004D5C5B" w:rsidRPr="0010647A" w:rsidRDefault="004D5C5B" w:rsidP="004D5C5B">
      <w:pPr>
        <w:autoSpaceDE w:val="0"/>
        <w:autoSpaceDN w:val="0"/>
        <w:adjustRightInd w:val="0"/>
        <w:spacing w:before="280"/>
        <w:rPr>
          <w:snapToGrid w:val="0"/>
        </w:rPr>
      </w:pPr>
      <w:r w:rsidRPr="0010647A">
        <w:rPr>
          <w:snapToGrid w:val="0"/>
        </w:rPr>
        <w:t>El Índice de Mercancías y Servicios de Uso Interm</w:t>
      </w:r>
      <w:r>
        <w:rPr>
          <w:snapToGrid w:val="0"/>
        </w:rPr>
        <w:t xml:space="preserve">edio, </w:t>
      </w:r>
      <w:r w:rsidRPr="00DF30A4">
        <w:rPr>
          <w:snapToGrid w:val="0"/>
          <w:u w:val="single"/>
        </w:rPr>
        <w:t>incluyendo petróleo</w:t>
      </w:r>
      <w:r w:rsidRPr="0010647A">
        <w:rPr>
          <w:snapToGrid w:val="0"/>
        </w:rPr>
        <w:t>, mos</w:t>
      </w:r>
      <w:r>
        <w:rPr>
          <w:snapToGrid w:val="0"/>
        </w:rPr>
        <w:t>tró un aumento mensual de 1.15% y una baja anual de (-)0.13% en el noveno</w:t>
      </w:r>
      <w:r w:rsidRPr="0010647A">
        <w:rPr>
          <w:snapToGrid w:val="0"/>
        </w:rPr>
        <w:t xml:space="preserve"> mes de 2019.</w:t>
      </w:r>
    </w:p>
    <w:p w14:paraId="21D04792" w14:textId="2366137B" w:rsidR="004D5C5B" w:rsidRDefault="004D5C5B" w:rsidP="004D5C5B">
      <w:pPr>
        <w:autoSpaceDE w:val="0"/>
        <w:autoSpaceDN w:val="0"/>
        <w:adjustRightInd w:val="0"/>
        <w:spacing w:before="280"/>
        <w:rPr>
          <w:snapToGrid w:val="0"/>
        </w:rPr>
      </w:pPr>
      <w:r w:rsidRPr="0010647A">
        <w:rPr>
          <w:snapToGrid w:val="0"/>
        </w:rPr>
        <w:t>Por grandes grupos de actividades económicas, los precios de las A</w:t>
      </w:r>
      <w:r>
        <w:rPr>
          <w:snapToGrid w:val="0"/>
        </w:rPr>
        <w:t xml:space="preserve">ctividades Primarias </w:t>
      </w:r>
      <w:r w:rsidR="00126792">
        <w:rPr>
          <w:snapToGrid w:val="0"/>
        </w:rPr>
        <w:t xml:space="preserve">se acrecentaron </w:t>
      </w:r>
      <w:r>
        <w:rPr>
          <w:snapToGrid w:val="0"/>
        </w:rPr>
        <w:t xml:space="preserve">4.44% </w:t>
      </w:r>
      <w:r w:rsidR="00126792">
        <w:rPr>
          <w:snapToGrid w:val="0"/>
        </w:rPr>
        <w:t xml:space="preserve">a tasa </w:t>
      </w:r>
      <w:r>
        <w:rPr>
          <w:snapToGrid w:val="0"/>
        </w:rPr>
        <w:t>mensual y 0.17% anual</w:t>
      </w:r>
      <w:r w:rsidR="00126792">
        <w:rPr>
          <w:snapToGrid w:val="0"/>
        </w:rPr>
        <w:t>;</w:t>
      </w:r>
      <w:r w:rsidRPr="0010647A">
        <w:rPr>
          <w:snapToGrid w:val="0"/>
        </w:rPr>
        <w:t xml:space="preserve"> los de las Acti</w:t>
      </w:r>
      <w:r>
        <w:rPr>
          <w:snapToGrid w:val="0"/>
        </w:rPr>
        <w:t xml:space="preserve">vidades Secundarias </w:t>
      </w:r>
      <w:r w:rsidR="00066C10">
        <w:rPr>
          <w:snapToGrid w:val="0"/>
        </w:rPr>
        <w:t xml:space="preserve">se incrementaron </w:t>
      </w:r>
      <w:r>
        <w:rPr>
          <w:snapToGrid w:val="0"/>
        </w:rPr>
        <w:t xml:space="preserve">1.23% mensual y </w:t>
      </w:r>
      <w:r w:rsidR="00126792">
        <w:rPr>
          <w:snapToGrid w:val="0"/>
        </w:rPr>
        <w:t xml:space="preserve">disminuyeron </w:t>
      </w:r>
      <w:r>
        <w:rPr>
          <w:snapToGrid w:val="0"/>
        </w:rPr>
        <w:t>(-)1.37% a tasa anual</w:t>
      </w:r>
      <w:r w:rsidR="00126792">
        <w:rPr>
          <w:snapToGrid w:val="0"/>
        </w:rPr>
        <w:t>,</w:t>
      </w:r>
      <w:r>
        <w:rPr>
          <w:snapToGrid w:val="0"/>
        </w:rPr>
        <w:t xml:space="preserve"> y</w:t>
      </w:r>
      <w:r w:rsidRPr="0010647A">
        <w:rPr>
          <w:snapToGrid w:val="0"/>
        </w:rPr>
        <w:t xml:space="preserve"> los de las Activi</w:t>
      </w:r>
      <w:r>
        <w:rPr>
          <w:snapToGrid w:val="0"/>
        </w:rPr>
        <w:t xml:space="preserve">dades Terciarias </w:t>
      </w:r>
      <w:r w:rsidR="00126792">
        <w:rPr>
          <w:snapToGrid w:val="0"/>
        </w:rPr>
        <w:t xml:space="preserve">subieron </w:t>
      </w:r>
      <w:r>
        <w:rPr>
          <w:snapToGrid w:val="0"/>
        </w:rPr>
        <w:t>0.13%</w:t>
      </w:r>
      <w:r w:rsidRPr="0010647A">
        <w:rPr>
          <w:snapToGrid w:val="0"/>
        </w:rPr>
        <w:t xml:space="preserve"> me</w:t>
      </w:r>
      <w:r>
        <w:rPr>
          <w:snapToGrid w:val="0"/>
        </w:rPr>
        <w:t>nsual y 2.86%</w:t>
      </w:r>
      <w:r w:rsidRPr="0010647A">
        <w:rPr>
          <w:snapToGrid w:val="0"/>
        </w:rPr>
        <w:t xml:space="preserve"> anual</w:t>
      </w:r>
      <w:r>
        <w:rPr>
          <w:snapToGrid w:val="0"/>
        </w:rPr>
        <w:t xml:space="preserve">. </w:t>
      </w:r>
    </w:p>
    <w:p w14:paraId="4E567804" w14:textId="77777777" w:rsidR="004D5C5B" w:rsidRPr="00E35E14" w:rsidRDefault="004D5C5B" w:rsidP="004D5C5B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>Cuadro 8</w:t>
      </w:r>
    </w:p>
    <w:p w14:paraId="66471255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4F9741C3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DE USO INTERMEDIO,</w:t>
      </w:r>
    </w:p>
    <w:p w14:paraId="78C2AB7B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DF30A4">
        <w:rPr>
          <w:b/>
          <w:snapToGrid w:val="0"/>
          <w:sz w:val="22"/>
          <w:szCs w:val="22"/>
          <w:u w:val="single"/>
        </w:rPr>
        <w:t>INCLUYENDO PETRÓLEO</w:t>
      </w:r>
      <w:r w:rsidRPr="00875DDC">
        <w:rPr>
          <w:b/>
          <w:snapToGrid w:val="0"/>
          <w:sz w:val="22"/>
          <w:szCs w:val="22"/>
        </w:rPr>
        <w:t xml:space="preserve">, DURANTE </w:t>
      </w:r>
      <w:r>
        <w:rPr>
          <w:b/>
          <w:bCs/>
          <w:color w:val="000000"/>
          <w:spacing w:val="1"/>
          <w:sz w:val="22"/>
          <w:szCs w:val="22"/>
        </w:rPr>
        <w:t>SEPTIEMBRE</w:t>
      </w:r>
    </w:p>
    <w:p w14:paraId="5F397F20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92783E">
        <w:rPr>
          <w:snapToGrid w:val="0"/>
          <w:sz w:val="18"/>
          <w:szCs w:val="18"/>
        </w:rPr>
        <w:t xml:space="preserve">Variación porcentual </w:t>
      </w:r>
      <w:r>
        <w:rPr>
          <w:snapToGrid w:val="0"/>
          <w:sz w:val="18"/>
          <w:szCs w:val="18"/>
        </w:rPr>
        <w:t xml:space="preserve">durante septiembre </w:t>
      </w:r>
      <w:r w:rsidRPr="0092783E">
        <w:rPr>
          <w:snapToGrid w:val="0"/>
          <w:sz w:val="18"/>
          <w:szCs w:val="18"/>
        </w:rPr>
        <w:t>de los años que se indican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804"/>
        <w:gridCol w:w="805"/>
        <w:gridCol w:w="805"/>
        <w:gridCol w:w="805"/>
        <w:gridCol w:w="805"/>
        <w:gridCol w:w="805"/>
      </w:tblGrid>
      <w:tr w:rsidR="0099003F" w:rsidRPr="00A9663B" w14:paraId="0AFB0585" w14:textId="77777777" w:rsidTr="002227CF">
        <w:trPr>
          <w:trHeight w:val="255"/>
          <w:jc w:val="center"/>
        </w:trPr>
        <w:tc>
          <w:tcPr>
            <w:tcW w:w="455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A666A13" w14:textId="77777777" w:rsidR="0099003F" w:rsidRPr="00A9663B" w:rsidRDefault="0099003F" w:rsidP="002227C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14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6000683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15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A069E7E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51721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99003F" w:rsidRPr="00A9663B" w14:paraId="46C4E9A0" w14:textId="77777777" w:rsidTr="002227CF">
        <w:trPr>
          <w:trHeight w:val="255"/>
          <w:jc w:val="center"/>
        </w:trPr>
        <w:tc>
          <w:tcPr>
            <w:tcW w:w="455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0F6634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8D0BD24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AF50FA0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6656F94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C763D63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F1DB06A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105CE37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99003F" w:rsidRPr="00841586" w14:paraId="63AFB91C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B436A35" w14:textId="77777777" w:rsidR="0099003F" w:rsidRPr="00841586" w:rsidRDefault="0099003F" w:rsidP="00126792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4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44E26E1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5366559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2DAD87C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0AFB5A9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5.97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FD8D91C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0DC0F2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-0.13</w:t>
            </w:r>
          </w:p>
        </w:tc>
      </w:tr>
      <w:tr w:rsidR="0099003F" w:rsidRPr="00841586" w14:paraId="70661FAA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5D6606" w14:textId="77777777" w:rsidR="0099003F" w:rsidRPr="00841586" w:rsidRDefault="0099003F" w:rsidP="0012679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51FE1E1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-1.94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292538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859CD3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4.44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CDE2F6E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2.12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2CE7491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3.82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55A9DD7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0.17</w:t>
            </w:r>
          </w:p>
        </w:tc>
      </w:tr>
      <w:tr w:rsidR="0099003F" w:rsidRPr="00841586" w14:paraId="6B1413E8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D99F71" w14:textId="77777777" w:rsidR="0099003F" w:rsidRPr="00841586" w:rsidRDefault="0099003F" w:rsidP="0012679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FC66E11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1.08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A796EF9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1.67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A31669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E9F6659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8.10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4266AFA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16.20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E2E266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-1.37</w:t>
            </w:r>
          </w:p>
        </w:tc>
      </w:tr>
      <w:tr w:rsidR="0099003F" w:rsidRPr="00841586" w14:paraId="6305B1FB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C4C959A" w14:textId="77777777" w:rsidR="0099003F" w:rsidRPr="00841586" w:rsidRDefault="0099003F" w:rsidP="0012679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1142B8F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3.94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DD7D51C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5.36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C174392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8.63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884548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13.37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D69DC5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35.47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D6F5466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-6.41</w:t>
            </w:r>
          </w:p>
        </w:tc>
      </w:tr>
      <w:tr w:rsidR="0099003F" w:rsidRPr="00841586" w14:paraId="03D91B2B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C89DDCC" w14:textId="77777777" w:rsidR="0099003F" w:rsidRPr="00841586" w:rsidRDefault="0099003F" w:rsidP="0012679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00EBF5E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-0.87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D02E1F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3.33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D864536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31A09F4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10.55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8FC873F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22.91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ADD38CF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-3.10</w:t>
            </w:r>
          </w:p>
        </w:tc>
      </w:tr>
      <w:tr w:rsidR="0099003F" w:rsidRPr="00841586" w14:paraId="1192E4ED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F3FC6A" w14:textId="77777777" w:rsidR="0099003F" w:rsidRPr="00841586" w:rsidRDefault="0099003F" w:rsidP="0012679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D274666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6C4935E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564E98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0120811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ECC4EC4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11.41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EF67FD5" w14:textId="77777777" w:rsidR="0099003F" w:rsidRPr="0002387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2387F">
              <w:rPr>
                <w:bCs/>
                <w:color w:val="000000"/>
                <w:sz w:val="14"/>
                <w:szCs w:val="14"/>
              </w:rPr>
              <w:t>0.22</w:t>
            </w:r>
          </w:p>
        </w:tc>
      </w:tr>
      <w:tr w:rsidR="0099003F" w:rsidRPr="00841586" w14:paraId="42DE908A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B6503B5" w14:textId="77777777" w:rsidR="0099003F" w:rsidRPr="00841586" w:rsidRDefault="0099003F" w:rsidP="0012679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4C05A6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81BBC5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40D682E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16290F8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3.12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D602EEB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4.01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DF4C962" w14:textId="77777777" w:rsidR="0099003F" w:rsidRPr="0002387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2387F">
              <w:rPr>
                <w:b/>
                <w:bCs/>
                <w:color w:val="000000"/>
                <w:sz w:val="14"/>
                <w:szCs w:val="14"/>
              </w:rPr>
              <w:t>2.86</w:t>
            </w:r>
          </w:p>
        </w:tc>
      </w:tr>
    </w:tbl>
    <w:p w14:paraId="2DB193E6" w14:textId="77777777" w:rsidR="0054304E" w:rsidRPr="008D68CA" w:rsidRDefault="0054304E" w:rsidP="0054304E">
      <w:pPr>
        <w:autoSpaceDE w:val="0"/>
        <w:autoSpaceDN w:val="0"/>
        <w:adjustRightInd w:val="0"/>
        <w:ind w:left="283" w:right="113" w:hanging="170"/>
        <w:rPr>
          <w:sz w:val="16"/>
          <w:szCs w:val="14"/>
        </w:rPr>
      </w:pPr>
      <w:r w:rsidRPr="008D68CA">
        <w:rPr>
          <w:sz w:val="16"/>
          <w:szCs w:val="14"/>
          <w:vertAlign w:val="superscript"/>
        </w:rPr>
        <w:t>1/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8D68CA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121274E0" w14:textId="77777777" w:rsidR="004D5C5B" w:rsidRPr="00875DDC" w:rsidRDefault="004D5C5B" w:rsidP="004D5C5B">
      <w:pPr>
        <w:keepNext/>
        <w:keepLines/>
        <w:autoSpaceDE w:val="0"/>
        <w:autoSpaceDN w:val="0"/>
        <w:adjustRightInd w:val="0"/>
        <w:spacing w:before="320"/>
        <w:rPr>
          <w:b/>
          <w:snapToGrid w:val="0"/>
          <w:u w:val="single"/>
        </w:rPr>
      </w:pPr>
      <w:r w:rsidRPr="00875DDC">
        <w:rPr>
          <w:b/>
          <w:snapToGrid w:val="0"/>
          <w:u w:val="single"/>
        </w:rPr>
        <w:t>BIENES INTERMEDIOS</w:t>
      </w:r>
      <w:r w:rsidRPr="008B7B1F">
        <w:rPr>
          <w:b/>
          <w:snapToGrid w:val="0"/>
          <w:u w:val="single"/>
        </w:rPr>
        <w:t xml:space="preserve"> </w:t>
      </w:r>
      <w:r>
        <w:rPr>
          <w:b/>
          <w:snapToGrid w:val="0"/>
          <w:u w:val="single"/>
        </w:rPr>
        <w:t>EXCLUYENDO PETRÓLEO</w:t>
      </w:r>
    </w:p>
    <w:p w14:paraId="691A5EBC" w14:textId="47B11177" w:rsidR="004D5C5B" w:rsidRPr="0010647A" w:rsidRDefault="004D5C5B" w:rsidP="004D5C5B">
      <w:pPr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 xml:space="preserve">El Índice de Mercancías y Servicios de Uso Intermedio, </w:t>
      </w:r>
      <w:r w:rsidRPr="00F97380">
        <w:rPr>
          <w:snapToGrid w:val="0"/>
          <w:u w:val="single"/>
        </w:rPr>
        <w:t>excluyendo petróleo</w:t>
      </w:r>
      <w:r w:rsidRPr="0010647A">
        <w:rPr>
          <w:snapToGrid w:val="0"/>
        </w:rPr>
        <w:t xml:space="preserve">, </w:t>
      </w:r>
      <w:r w:rsidR="00126792">
        <w:rPr>
          <w:snapToGrid w:val="0"/>
        </w:rPr>
        <w:t xml:space="preserve">registró </w:t>
      </w:r>
      <w:r>
        <w:rPr>
          <w:snapToGrid w:val="0"/>
        </w:rPr>
        <w:t>un alza mensual de 0.59% y anual de 1.13% en el noveno</w:t>
      </w:r>
      <w:r w:rsidRPr="0010647A">
        <w:rPr>
          <w:snapToGrid w:val="0"/>
        </w:rPr>
        <w:t xml:space="preserve"> mes de 2019.</w:t>
      </w:r>
    </w:p>
    <w:p w14:paraId="33B13654" w14:textId="59E3A5EE" w:rsidR="004D5C5B" w:rsidRDefault="004D5C5B" w:rsidP="004D5C5B">
      <w:pPr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>Por grandes grupos de actividades económicas, los precios de las A</w:t>
      </w:r>
      <w:r>
        <w:rPr>
          <w:snapToGrid w:val="0"/>
        </w:rPr>
        <w:t xml:space="preserve">ctividades Primarias </w:t>
      </w:r>
      <w:r w:rsidR="00126792">
        <w:rPr>
          <w:snapToGrid w:val="0"/>
        </w:rPr>
        <w:t xml:space="preserve">se elevaron </w:t>
      </w:r>
      <w:r>
        <w:rPr>
          <w:snapToGrid w:val="0"/>
        </w:rPr>
        <w:t>4.44% mensual y 0.17% anual</w:t>
      </w:r>
      <w:r w:rsidR="00126792">
        <w:rPr>
          <w:snapToGrid w:val="0"/>
        </w:rPr>
        <w:t>;</w:t>
      </w:r>
      <w:r w:rsidRPr="0010647A">
        <w:rPr>
          <w:snapToGrid w:val="0"/>
        </w:rPr>
        <w:t xml:space="preserve"> los de las Acti</w:t>
      </w:r>
      <w:r>
        <w:rPr>
          <w:snapToGrid w:val="0"/>
        </w:rPr>
        <w:t>vidades Secundarias 0.20% mensual y 0.54%</w:t>
      </w:r>
      <w:r w:rsidRPr="0010647A">
        <w:rPr>
          <w:snapToGrid w:val="0"/>
        </w:rPr>
        <w:t xml:space="preserve"> a tasa anual</w:t>
      </w:r>
      <w:r w:rsidR="00126792">
        <w:rPr>
          <w:snapToGrid w:val="0"/>
        </w:rPr>
        <w:t>,</w:t>
      </w:r>
      <w:r w:rsidRPr="0010647A">
        <w:rPr>
          <w:snapToGrid w:val="0"/>
        </w:rPr>
        <w:t xml:space="preserve"> y los de las Activi</w:t>
      </w:r>
      <w:r>
        <w:rPr>
          <w:snapToGrid w:val="0"/>
        </w:rPr>
        <w:t>dades Terciarias 0.13%</w:t>
      </w:r>
      <w:r w:rsidRPr="0010647A">
        <w:rPr>
          <w:snapToGrid w:val="0"/>
        </w:rPr>
        <w:t xml:space="preserve"> a tasa me</w:t>
      </w:r>
      <w:r>
        <w:rPr>
          <w:snapToGrid w:val="0"/>
        </w:rPr>
        <w:t xml:space="preserve">nsual y 2.86% </w:t>
      </w:r>
      <w:r w:rsidRPr="0010647A">
        <w:rPr>
          <w:snapToGrid w:val="0"/>
        </w:rPr>
        <w:t>anual</w:t>
      </w:r>
      <w:r>
        <w:rPr>
          <w:snapToGrid w:val="0"/>
        </w:rPr>
        <w:t>.</w:t>
      </w:r>
    </w:p>
    <w:p w14:paraId="307DFACD" w14:textId="77777777" w:rsidR="004D5C5B" w:rsidRPr="00E35E14" w:rsidRDefault="004D5C5B" w:rsidP="004D5C5B">
      <w:pPr>
        <w:widowControl w:val="0"/>
        <w:autoSpaceDE w:val="0"/>
        <w:autoSpaceDN w:val="0"/>
        <w:adjustRightInd w:val="0"/>
        <w:spacing w:before="240"/>
        <w:jc w:val="center"/>
        <w:rPr>
          <w:snapToGrid w:val="0"/>
          <w:sz w:val="20"/>
          <w:szCs w:val="20"/>
        </w:rPr>
      </w:pPr>
      <w:r w:rsidRPr="00E35E14">
        <w:rPr>
          <w:snapToGrid w:val="0"/>
          <w:sz w:val="20"/>
          <w:szCs w:val="20"/>
        </w:rPr>
        <w:t xml:space="preserve">Cuadro </w:t>
      </w:r>
      <w:r>
        <w:rPr>
          <w:snapToGrid w:val="0"/>
          <w:sz w:val="20"/>
          <w:szCs w:val="20"/>
        </w:rPr>
        <w:t>9</w:t>
      </w:r>
    </w:p>
    <w:p w14:paraId="6C0B4C7B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08820BDD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DE USO INTERMEDIO,</w:t>
      </w:r>
    </w:p>
    <w:p w14:paraId="000DD676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F97380">
        <w:rPr>
          <w:b/>
          <w:snapToGrid w:val="0"/>
          <w:sz w:val="22"/>
          <w:szCs w:val="22"/>
          <w:u w:val="single"/>
        </w:rPr>
        <w:t>EXCLUYENDO PETRÓLEO</w:t>
      </w:r>
      <w:r w:rsidRPr="00875DDC">
        <w:rPr>
          <w:b/>
          <w:snapToGrid w:val="0"/>
          <w:sz w:val="22"/>
          <w:szCs w:val="22"/>
        </w:rPr>
        <w:t>, DURANTE</w:t>
      </w:r>
      <w:r>
        <w:rPr>
          <w:b/>
          <w:snapToGrid w:val="0"/>
          <w:sz w:val="22"/>
          <w:szCs w:val="22"/>
        </w:rPr>
        <w:t xml:space="preserve"> SEPTIEMBRE</w:t>
      </w:r>
    </w:p>
    <w:p w14:paraId="2DE910AF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92783E">
        <w:rPr>
          <w:snapToGrid w:val="0"/>
          <w:sz w:val="18"/>
          <w:szCs w:val="18"/>
        </w:rPr>
        <w:t xml:space="preserve">Variación porcentual </w:t>
      </w:r>
      <w:r>
        <w:rPr>
          <w:snapToGrid w:val="0"/>
          <w:sz w:val="18"/>
          <w:szCs w:val="18"/>
        </w:rPr>
        <w:t xml:space="preserve">durante septiembre </w:t>
      </w:r>
      <w:r w:rsidRPr="0092783E">
        <w:rPr>
          <w:snapToGrid w:val="0"/>
          <w:sz w:val="18"/>
          <w:szCs w:val="18"/>
        </w:rPr>
        <w:t>de los años que se indican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804"/>
        <w:gridCol w:w="805"/>
        <w:gridCol w:w="805"/>
        <w:gridCol w:w="805"/>
        <w:gridCol w:w="805"/>
        <w:gridCol w:w="805"/>
      </w:tblGrid>
      <w:tr w:rsidR="0044294A" w:rsidRPr="00A9663B" w14:paraId="75957309" w14:textId="77777777" w:rsidTr="002227CF">
        <w:trPr>
          <w:trHeight w:val="255"/>
          <w:jc w:val="center"/>
        </w:trPr>
        <w:tc>
          <w:tcPr>
            <w:tcW w:w="455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6F6FCBA" w14:textId="77777777" w:rsidR="0044294A" w:rsidRPr="00A9663B" w:rsidRDefault="0044294A" w:rsidP="002227C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5" w:name="_Hlk2757867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14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C4A4C74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15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963D2A9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51721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44294A" w:rsidRPr="00A9663B" w14:paraId="296A6B68" w14:textId="77777777" w:rsidTr="002227CF">
        <w:trPr>
          <w:trHeight w:val="255"/>
          <w:jc w:val="center"/>
        </w:trPr>
        <w:tc>
          <w:tcPr>
            <w:tcW w:w="455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6B11B7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3934D43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507A429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1318D4C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5067360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38510C1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2E07EB9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44294A" w:rsidRPr="00841586" w14:paraId="7FEF5740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2A73358" w14:textId="77777777" w:rsidR="0044294A" w:rsidRPr="00841586" w:rsidRDefault="0044294A" w:rsidP="00126792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4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69AA83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BF1AA9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96EB2A4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6C810FA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5.25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44000AA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8.82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6665C49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1.13</w:t>
            </w:r>
          </w:p>
        </w:tc>
      </w:tr>
      <w:tr w:rsidR="0044294A" w:rsidRPr="00841586" w14:paraId="090A75A2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BF32052" w14:textId="77777777" w:rsidR="0044294A" w:rsidRPr="00841586" w:rsidRDefault="0044294A" w:rsidP="0012679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92BBD2F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-1.94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E059447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71670B0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4.44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EDE461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2.12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5F5247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3.82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2E43D25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0.17</w:t>
            </w:r>
          </w:p>
        </w:tc>
      </w:tr>
      <w:tr w:rsidR="0044294A" w:rsidRPr="00841586" w14:paraId="7D1F6D6F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14F7C60" w14:textId="77777777" w:rsidR="0044294A" w:rsidRPr="00841586" w:rsidRDefault="0044294A" w:rsidP="0012679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1636C60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E414CA8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A26A233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2937D9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7.04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5057F2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12.41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4AD022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0.54</w:t>
            </w:r>
          </w:p>
        </w:tc>
      </w:tr>
      <w:tr w:rsidR="0044294A" w:rsidRPr="00841586" w14:paraId="08A02758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9B6274C" w14:textId="77777777" w:rsidR="0044294A" w:rsidRPr="00841586" w:rsidRDefault="0044294A" w:rsidP="0012679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C0E5EB6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1.76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E542642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4CB062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2.71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17638F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5.28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6535B7D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9.56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E98BAC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8.34</w:t>
            </w:r>
          </w:p>
        </w:tc>
      </w:tr>
      <w:tr w:rsidR="0044294A" w:rsidRPr="00841586" w14:paraId="07BDD247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1216FE" w14:textId="77777777" w:rsidR="0044294A" w:rsidRPr="00841586" w:rsidRDefault="0044294A" w:rsidP="0012679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08AE57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-0.87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01535EC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3.33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8C261F2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345822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10.55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725D450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22.91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14ED13C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-3.10</w:t>
            </w:r>
          </w:p>
        </w:tc>
      </w:tr>
      <w:tr w:rsidR="0044294A" w:rsidRPr="00841586" w14:paraId="56035624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389B5A" w14:textId="77777777" w:rsidR="0044294A" w:rsidRPr="00841586" w:rsidRDefault="0044294A" w:rsidP="0012679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EAC8FF4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D1B6FB0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09889EE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6F044E1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A8F4847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11.41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5D48BC8" w14:textId="77777777" w:rsidR="0044294A" w:rsidRPr="000B6D53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0B6D53">
              <w:rPr>
                <w:bCs/>
                <w:color w:val="000000"/>
                <w:sz w:val="14"/>
                <w:szCs w:val="14"/>
              </w:rPr>
              <w:t>0.22</w:t>
            </w:r>
          </w:p>
        </w:tc>
      </w:tr>
      <w:tr w:rsidR="0044294A" w:rsidRPr="00841586" w14:paraId="6F8AD4C2" w14:textId="77777777" w:rsidTr="002227CF">
        <w:trPr>
          <w:trHeight w:val="227"/>
          <w:jc w:val="center"/>
        </w:trPr>
        <w:tc>
          <w:tcPr>
            <w:tcW w:w="455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90C7ECA" w14:textId="77777777" w:rsidR="0044294A" w:rsidRPr="00841586" w:rsidRDefault="0044294A" w:rsidP="0012679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F68F1CF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1177A8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1281943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A5DDFC8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3.12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E5EB73A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4.01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2A7EF0F" w14:textId="77777777" w:rsidR="0044294A" w:rsidRPr="000B6D53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B6D53">
              <w:rPr>
                <w:b/>
                <w:bCs/>
                <w:color w:val="000000"/>
                <w:sz w:val="14"/>
                <w:szCs w:val="14"/>
              </w:rPr>
              <w:t>2.86</w:t>
            </w:r>
          </w:p>
        </w:tc>
      </w:tr>
    </w:tbl>
    <w:bookmarkEnd w:id="5"/>
    <w:p w14:paraId="66B338A1" w14:textId="77777777" w:rsidR="0054304E" w:rsidRPr="008D68CA" w:rsidRDefault="0054304E" w:rsidP="0054304E">
      <w:pPr>
        <w:autoSpaceDE w:val="0"/>
        <w:autoSpaceDN w:val="0"/>
        <w:adjustRightInd w:val="0"/>
        <w:ind w:left="283" w:right="113" w:hanging="170"/>
        <w:rPr>
          <w:sz w:val="16"/>
          <w:szCs w:val="14"/>
        </w:rPr>
      </w:pPr>
      <w:r w:rsidRPr="008D68CA">
        <w:rPr>
          <w:sz w:val="16"/>
          <w:szCs w:val="14"/>
          <w:vertAlign w:val="superscript"/>
        </w:rPr>
        <w:t>1/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8D68CA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06B0235D" w14:textId="77777777" w:rsidR="00126792" w:rsidRDefault="00126792">
      <w:pPr>
        <w:jc w:val="left"/>
        <w:rPr>
          <w:b/>
          <w:snapToGrid w:val="0"/>
          <w:u w:val="single"/>
        </w:rPr>
      </w:pPr>
      <w:r>
        <w:rPr>
          <w:b/>
          <w:snapToGrid w:val="0"/>
          <w:u w:val="single"/>
        </w:rPr>
        <w:br w:type="page"/>
      </w:r>
    </w:p>
    <w:p w14:paraId="76454B67" w14:textId="1EADA56E" w:rsidR="004D5C5B" w:rsidRDefault="004D5C5B" w:rsidP="00126792">
      <w:pPr>
        <w:widowControl w:val="0"/>
        <w:autoSpaceDE w:val="0"/>
        <w:autoSpaceDN w:val="0"/>
        <w:adjustRightInd w:val="0"/>
        <w:rPr>
          <w:b/>
          <w:snapToGrid w:val="0"/>
          <w:u w:val="single"/>
        </w:rPr>
      </w:pPr>
      <w:r w:rsidRPr="00875DDC">
        <w:rPr>
          <w:b/>
          <w:snapToGrid w:val="0"/>
          <w:u w:val="single"/>
        </w:rPr>
        <w:lastRenderedPageBreak/>
        <w:t>BIENES FINALES</w:t>
      </w:r>
      <w:r>
        <w:rPr>
          <w:b/>
          <w:snapToGrid w:val="0"/>
          <w:u w:val="single"/>
        </w:rPr>
        <w:t xml:space="preserve"> INCLUYENDO PETRÓLEO</w:t>
      </w:r>
    </w:p>
    <w:p w14:paraId="5B6A9285" w14:textId="2C3FAF04" w:rsidR="004D5C5B" w:rsidRDefault="004D5C5B" w:rsidP="00126792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>El Índice de precios de Me</w:t>
      </w:r>
      <w:r>
        <w:rPr>
          <w:snapToGrid w:val="0"/>
        </w:rPr>
        <w:t xml:space="preserve">rcancías y Servicios Finales, </w:t>
      </w:r>
      <w:r w:rsidRPr="00DF30A4">
        <w:rPr>
          <w:snapToGrid w:val="0"/>
          <w:u w:val="single"/>
        </w:rPr>
        <w:t>incluyendo petróleo</w:t>
      </w:r>
      <w:r w:rsidRPr="0010647A">
        <w:rPr>
          <w:snapToGrid w:val="0"/>
        </w:rPr>
        <w:t>, re</w:t>
      </w:r>
      <w:r w:rsidR="00126792">
        <w:rPr>
          <w:snapToGrid w:val="0"/>
        </w:rPr>
        <w:t>port</w:t>
      </w:r>
      <w:r>
        <w:rPr>
          <w:snapToGrid w:val="0"/>
        </w:rPr>
        <w:t>ó una variación mensual de 0.73% y anual de 2.74% durante septiembre</w:t>
      </w:r>
      <w:r w:rsidRPr="0010647A">
        <w:rPr>
          <w:snapToGrid w:val="0"/>
        </w:rPr>
        <w:t xml:space="preserve"> de este año</w:t>
      </w:r>
      <w:r>
        <w:rPr>
          <w:snapToGrid w:val="0"/>
        </w:rPr>
        <w:t>.</w:t>
      </w:r>
    </w:p>
    <w:p w14:paraId="2283EBEF" w14:textId="77777777" w:rsidR="004D5C5B" w:rsidRDefault="004D5C5B" w:rsidP="00126792">
      <w:pPr>
        <w:pStyle w:val="n01"/>
        <w:keepLines w:val="0"/>
        <w:widowControl w:val="0"/>
        <w:spacing w:before="360"/>
        <w:ind w:left="0" w:firstLine="709"/>
        <w:rPr>
          <w:b/>
          <w:i/>
          <w:snapToGrid w:val="0"/>
          <w:color w:val="000000"/>
        </w:rPr>
      </w:pPr>
      <w:r w:rsidRPr="006C0439">
        <w:rPr>
          <w:b/>
          <w:i/>
          <w:snapToGrid w:val="0"/>
          <w:color w:val="000000"/>
        </w:rPr>
        <w:t xml:space="preserve">Por </w:t>
      </w:r>
      <w:r>
        <w:rPr>
          <w:b/>
          <w:i/>
          <w:snapToGrid w:val="0"/>
          <w:color w:val="000000"/>
        </w:rPr>
        <w:t>o</w:t>
      </w:r>
      <w:r w:rsidRPr="006C0439">
        <w:rPr>
          <w:b/>
          <w:i/>
          <w:snapToGrid w:val="0"/>
          <w:color w:val="000000"/>
        </w:rPr>
        <w:t>rigen de la producción</w:t>
      </w:r>
      <w:r w:rsidRPr="005356AC">
        <w:rPr>
          <w:b/>
          <w:i/>
          <w:snapToGrid w:val="0"/>
          <w:color w:val="000000"/>
        </w:rPr>
        <w:t xml:space="preserve"> </w:t>
      </w:r>
    </w:p>
    <w:p w14:paraId="39FEEDB7" w14:textId="77777777" w:rsidR="004D5C5B" w:rsidRPr="0010647A" w:rsidRDefault="004D5C5B" w:rsidP="00126792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>Por grandes grupos de actividades económicas, los precios de las Actividade</w:t>
      </w:r>
      <w:r>
        <w:rPr>
          <w:snapToGrid w:val="0"/>
        </w:rPr>
        <w:t xml:space="preserve">s Primarias se incrementaron 5.75%, </w:t>
      </w:r>
      <w:r w:rsidRPr="0010647A">
        <w:rPr>
          <w:snapToGrid w:val="0"/>
        </w:rPr>
        <w:t>los de</w:t>
      </w:r>
      <w:r>
        <w:rPr>
          <w:snapToGrid w:val="0"/>
        </w:rPr>
        <w:t xml:space="preserve"> las Actividades Secundarias 0.68% y los de las Actividades Terciarias 0.37% </w:t>
      </w:r>
      <w:r w:rsidRPr="0010647A">
        <w:rPr>
          <w:snapToGrid w:val="0"/>
        </w:rPr>
        <w:t>a tasa mensual</w:t>
      </w:r>
      <w:r>
        <w:rPr>
          <w:snapToGrid w:val="0"/>
        </w:rPr>
        <w:t>.</w:t>
      </w:r>
    </w:p>
    <w:p w14:paraId="03F260AC" w14:textId="2E495551" w:rsidR="004D5C5B" w:rsidRDefault="004D5C5B" w:rsidP="00126792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>En su comparación anual, los de las Acti</w:t>
      </w:r>
      <w:r>
        <w:rPr>
          <w:snapToGrid w:val="0"/>
        </w:rPr>
        <w:t>vidades Primarias crecieron 0.67%</w:t>
      </w:r>
      <w:r w:rsidRPr="0010647A">
        <w:rPr>
          <w:snapToGrid w:val="0"/>
        </w:rPr>
        <w:t>, los de las Act</w:t>
      </w:r>
      <w:r>
        <w:rPr>
          <w:snapToGrid w:val="0"/>
        </w:rPr>
        <w:t>ividades Secundarias 2.23%</w:t>
      </w:r>
      <w:r w:rsidRPr="0010647A">
        <w:rPr>
          <w:snapToGrid w:val="0"/>
        </w:rPr>
        <w:t xml:space="preserve"> y los de</w:t>
      </w:r>
      <w:r>
        <w:rPr>
          <w:snapToGrid w:val="0"/>
        </w:rPr>
        <w:t xml:space="preserve"> las Actividades Terciarias 3.76 por ciento.</w:t>
      </w:r>
    </w:p>
    <w:p w14:paraId="04735C23" w14:textId="77777777" w:rsidR="004D5C5B" w:rsidRPr="00E35E14" w:rsidRDefault="004D5C5B" w:rsidP="004D5C5B">
      <w:pPr>
        <w:widowControl w:val="0"/>
        <w:autoSpaceDE w:val="0"/>
        <w:autoSpaceDN w:val="0"/>
        <w:adjustRightInd w:val="0"/>
        <w:spacing w:before="24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Cuadro 10</w:t>
      </w:r>
    </w:p>
    <w:p w14:paraId="58A2604A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6854CBD9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FINALES,</w:t>
      </w:r>
      <w:r>
        <w:rPr>
          <w:b/>
          <w:snapToGrid w:val="0"/>
          <w:sz w:val="22"/>
          <w:szCs w:val="22"/>
        </w:rPr>
        <w:t xml:space="preserve"> </w:t>
      </w:r>
    </w:p>
    <w:p w14:paraId="181D434A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DF30A4">
        <w:rPr>
          <w:b/>
          <w:snapToGrid w:val="0"/>
          <w:sz w:val="22"/>
          <w:szCs w:val="22"/>
          <w:u w:val="single"/>
        </w:rPr>
        <w:t>INCLUYENDO PETRÓLEO</w:t>
      </w:r>
      <w:r w:rsidRPr="00875DDC">
        <w:rPr>
          <w:b/>
          <w:snapToGrid w:val="0"/>
          <w:sz w:val="22"/>
          <w:szCs w:val="22"/>
        </w:rPr>
        <w:t>,</w:t>
      </w:r>
      <w:r w:rsidRPr="00110149">
        <w:rPr>
          <w:b/>
          <w:snapToGrid w:val="0"/>
          <w:sz w:val="22"/>
          <w:szCs w:val="22"/>
        </w:rPr>
        <w:t xml:space="preserve"> </w:t>
      </w:r>
      <w:r w:rsidRPr="00875DDC">
        <w:rPr>
          <w:b/>
          <w:snapToGrid w:val="0"/>
          <w:sz w:val="22"/>
          <w:szCs w:val="22"/>
        </w:rPr>
        <w:t xml:space="preserve">DURANTE </w:t>
      </w:r>
      <w:r>
        <w:rPr>
          <w:b/>
          <w:bCs/>
          <w:color w:val="000000"/>
          <w:spacing w:val="1"/>
          <w:sz w:val="22"/>
          <w:szCs w:val="22"/>
        </w:rPr>
        <w:t>SEPTIEMBRE</w:t>
      </w:r>
    </w:p>
    <w:p w14:paraId="35AB203C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 durante septiembre</w:t>
      </w:r>
      <w:r w:rsidRPr="0092783E">
        <w:rPr>
          <w:snapToGrid w:val="0"/>
          <w:sz w:val="18"/>
          <w:szCs w:val="18"/>
        </w:rPr>
        <w:t xml:space="preserve"> de los años que se indican</w:t>
      </w:r>
    </w:p>
    <w:tbl>
      <w:tblPr>
        <w:tblW w:w="4981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802"/>
        <w:gridCol w:w="802"/>
        <w:gridCol w:w="802"/>
        <w:gridCol w:w="802"/>
        <w:gridCol w:w="802"/>
        <w:gridCol w:w="803"/>
      </w:tblGrid>
      <w:tr w:rsidR="0099003F" w:rsidRPr="00A9663B" w14:paraId="590893E0" w14:textId="77777777" w:rsidTr="002227CF">
        <w:trPr>
          <w:trHeight w:val="255"/>
        </w:trPr>
        <w:tc>
          <w:tcPr>
            <w:tcW w:w="453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D78AA34" w14:textId="77777777" w:rsidR="0099003F" w:rsidRPr="00A9663B" w:rsidRDefault="0099003F" w:rsidP="002227C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06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92656D9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0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EDE8106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51721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99003F" w:rsidRPr="00A9663B" w14:paraId="4669393C" w14:textId="77777777" w:rsidTr="002227CF">
        <w:trPr>
          <w:trHeight w:val="255"/>
        </w:trPr>
        <w:tc>
          <w:tcPr>
            <w:tcW w:w="453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91DEA44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2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BB11023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2C4FBF5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A02DFC3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B4F1C0D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4F3DAE4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A213132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99003F" w:rsidRPr="00625A20" w14:paraId="1BB73F78" w14:textId="77777777" w:rsidTr="002227CF">
        <w:trPr>
          <w:trHeight w:val="227"/>
        </w:trPr>
        <w:tc>
          <w:tcPr>
            <w:tcW w:w="453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DC5861E" w14:textId="77777777" w:rsidR="0099003F" w:rsidRPr="00841586" w:rsidRDefault="0099003F" w:rsidP="002227CF">
            <w:pPr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2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DB70624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73535D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521125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6883AC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4.56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F901F0C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7.33</w:t>
            </w:r>
          </w:p>
        </w:tc>
        <w:tc>
          <w:tcPr>
            <w:tcW w:w="803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03E6B9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2.74</w:t>
            </w:r>
          </w:p>
        </w:tc>
      </w:tr>
      <w:tr w:rsidR="0099003F" w:rsidRPr="00841586" w14:paraId="77E56F17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00AA686" w14:textId="77777777" w:rsidR="0099003F" w:rsidRPr="00841586" w:rsidRDefault="0099003F" w:rsidP="002227CF">
            <w:pPr>
              <w:ind w:left="113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A34AE8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-2.02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A7D7328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9B7AD4F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6807934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4.98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9B6A100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E4B4010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0.67</w:t>
            </w:r>
          </w:p>
        </w:tc>
      </w:tr>
      <w:tr w:rsidR="0099003F" w:rsidRPr="00841586" w14:paraId="62932711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7E3B7EC" w14:textId="77777777" w:rsidR="0099003F" w:rsidRPr="00841586" w:rsidRDefault="0099003F" w:rsidP="002227CF">
            <w:pPr>
              <w:ind w:left="113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13A83C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29D4EC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EDA3460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18547E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4.78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46E24F1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9.44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8BE9C0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2.23</w:t>
            </w:r>
          </w:p>
        </w:tc>
      </w:tr>
      <w:tr w:rsidR="0099003F" w:rsidRPr="00841586" w14:paraId="510DA332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24E997B" w14:textId="77777777" w:rsidR="0099003F" w:rsidRPr="00841586" w:rsidRDefault="0099003F" w:rsidP="002227CF">
            <w:pPr>
              <w:ind w:left="227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C62E982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3.49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9A51AA8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5.70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FC9798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9.44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E505FA9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6.77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C72AE22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35.19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8F4317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-8.82</w:t>
            </w:r>
          </w:p>
        </w:tc>
      </w:tr>
      <w:tr w:rsidR="0099003F" w:rsidRPr="00841586" w14:paraId="254550F7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33A86D7" w14:textId="77777777" w:rsidR="0099003F" w:rsidRPr="00841586" w:rsidRDefault="0099003F" w:rsidP="002227CF">
            <w:pPr>
              <w:ind w:left="227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7539922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D267B93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85FA884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D0C25F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4.09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BBD7813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4.81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EB44845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1.93</w:t>
            </w:r>
          </w:p>
        </w:tc>
      </w:tr>
      <w:tr w:rsidR="0099003F" w:rsidRPr="00841586" w14:paraId="1AE3620A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F3FDBA9" w14:textId="77777777" w:rsidR="0099003F" w:rsidRPr="00841586" w:rsidRDefault="0099003F" w:rsidP="002227CF">
            <w:pPr>
              <w:ind w:left="227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Construcción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FDACA9E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79C02B8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720EEF1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57B3978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9.69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35860A0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07F9E29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1.32</w:t>
            </w:r>
          </w:p>
        </w:tc>
      </w:tr>
      <w:tr w:rsidR="0099003F" w:rsidRPr="00841586" w14:paraId="10576DF1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34D6A0" w14:textId="77777777" w:rsidR="0099003F" w:rsidRPr="00841586" w:rsidRDefault="0099003F" w:rsidP="002227CF">
            <w:pPr>
              <w:ind w:left="227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61A8C6C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389CBF8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862E6E6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40DE6B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3.41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4A1990B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6.54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792399" w14:textId="77777777" w:rsidR="0099003F" w:rsidRPr="00EA460F" w:rsidRDefault="0099003F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A460F">
              <w:rPr>
                <w:bCs/>
                <w:color w:val="000000"/>
                <w:sz w:val="14"/>
                <w:szCs w:val="14"/>
              </w:rPr>
              <w:t>4.02</w:t>
            </w:r>
          </w:p>
        </w:tc>
      </w:tr>
      <w:tr w:rsidR="0099003F" w:rsidRPr="00841586" w14:paraId="22BF3B07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521635D" w14:textId="77777777" w:rsidR="0099003F" w:rsidRPr="00841586" w:rsidRDefault="0099003F" w:rsidP="002227CF">
            <w:pPr>
              <w:ind w:left="113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CED8BB9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0162719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E6E3B1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0B9CFA5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4.16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35FDEAF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4.37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FEEAF13" w14:textId="77777777" w:rsidR="0099003F" w:rsidRPr="00EA460F" w:rsidRDefault="0099003F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A460F">
              <w:rPr>
                <w:b/>
                <w:bCs/>
                <w:color w:val="000000"/>
                <w:sz w:val="14"/>
                <w:szCs w:val="14"/>
              </w:rPr>
              <w:t>3.76</w:t>
            </w:r>
          </w:p>
        </w:tc>
      </w:tr>
    </w:tbl>
    <w:p w14:paraId="0953CED7" w14:textId="77777777" w:rsidR="0054304E" w:rsidRPr="008D68CA" w:rsidRDefault="0054304E" w:rsidP="0054304E">
      <w:pPr>
        <w:autoSpaceDE w:val="0"/>
        <w:autoSpaceDN w:val="0"/>
        <w:adjustRightInd w:val="0"/>
        <w:ind w:left="283" w:right="113" w:hanging="170"/>
        <w:rPr>
          <w:sz w:val="16"/>
          <w:szCs w:val="14"/>
        </w:rPr>
      </w:pPr>
      <w:r w:rsidRPr="008D68CA">
        <w:rPr>
          <w:sz w:val="16"/>
          <w:szCs w:val="14"/>
          <w:vertAlign w:val="superscript"/>
        </w:rPr>
        <w:t>1/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8D68CA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31F00F5C" w14:textId="77777777" w:rsidR="004D5C5B" w:rsidRPr="006C0439" w:rsidRDefault="004D5C5B" w:rsidP="004D5C5B">
      <w:pPr>
        <w:pStyle w:val="n01"/>
        <w:keepLines w:val="0"/>
        <w:widowControl w:val="0"/>
        <w:spacing w:before="360"/>
        <w:ind w:left="0" w:firstLine="709"/>
        <w:rPr>
          <w:rFonts w:ascii="Arial" w:hAnsi="Arial"/>
          <w:b/>
          <w:i/>
          <w:snapToGrid w:val="0"/>
          <w:color w:val="000000"/>
        </w:rPr>
      </w:pPr>
      <w:r w:rsidRPr="006C0439">
        <w:rPr>
          <w:rFonts w:ascii="Arial" w:hAnsi="Arial"/>
          <w:b/>
          <w:i/>
          <w:snapToGrid w:val="0"/>
          <w:color w:val="000000"/>
        </w:rPr>
        <w:t xml:space="preserve">Por </w:t>
      </w:r>
      <w:r>
        <w:rPr>
          <w:rFonts w:ascii="Arial" w:hAnsi="Arial"/>
          <w:b/>
          <w:i/>
          <w:snapToGrid w:val="0"/>
          <w:color w:val="000000"/>
        </w:rPr>
        <w:t>d</w:t>
      </w:r>
      <w:r w:rsidRPr="006C0439">
        <w:rPr>
          <w:rFonts w:ascii="Arial" w:hAnsi="Arial"/>
          <w:b/>
          <w:i/>
          <w:snapToGrid w:val="0"/>
          <w:color w:val="000000"/>
        </w:rPr>
        <w:t>estino de la producción</w:t>
      </w:r>
    </w:p>
    <w:p w14:paraId="6189FBC6" w14:textId="03436ED2" w:rsidR="004D5C5B" w:rsidRPr="00DE050D" w:rsidRDefault="004D5C5B" w:rsidP="004D5C5B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DE050D">
        <w:rPr>
          <w:snapToGrid w:val="0"/>
        </w:rPr>
        <w:t>Por destino de la producción, los precios de los bienes finales de Dema</w:t>
      </w:r>
      <w:r>
        <w:rPr>
          <w:snapToGrid w:val="0"/>
        </w:rPr>
        <w:t>nda interna presentaron un alza mensual de 0.49%, ubicando su tasa anual en 3.16 por ciento.</w:t>
      </w:r>
      <w:r w:rsidRPr="00DE050D">
        <w:rPr>
          <w:snapToGrid w:val="0"/>
        </w:rPr>
        <w:t xml:space="preserve"> A su interior, los precios de lo</w:t>
      </w:r>
      <w:r>
        <w:rPr>
          <w:snapToGrid w:val="0"/>
        </w:rPr>
        <w:t xml:space="preserve">s bienes de Consumo </w:t>
      </w:r>
      <w:r w:rsidR="000756C1">
        <w:rPr>
          <w:snapToGrid w:val="0"/>
        </w:rPr>
        <w:t>au</w:t>
      </w:r>
      <w:r>
        <w:rPr>
          <w:snapToGrid w:val="0"/>
        </w:rPr>
        <w:t>mentaron 0.60% mensual y 3.58%</w:t>
      </w:r>
      <w:r w:rsidRPr="00DE050D">
        <w:rPr>
          <w:snapToGrid w:val="0"/>
        </w:rPr>
        <w:t xml:space="preserve"> anual y los destinados a la Formaci</w:t>
      </w:r>
      <w:r>
        <w:rPr>
          <w:snapToGrid w:val="0"/>
        </w:rPr>
        <w:t xml:space="preserve">ón de capital </w:t>
      </w:r>
      <w:r w:rsidR="00126792">
        <w:rPr>
          <w:snapToGrid w:val="0"/>
        </w:rPr>
        <w:t xml:space="preserve">se elevaron </w:t>
      </w:r>
      <w:r>
        <w:rPr>
          <w:snapToGrid w:val="0"/>
        </w:rPr>
        <w:t xml:space="preserve">0.21% </w:t>
      </w:r>
      <w:r w:rsidR="00126792">
        <w:rPr>
          <w:snapToGrid w:val="0"/>
        </w:rPr>
        <w:t xml:space="preserve">mensual </w:t>
      </w:r>
      <w:r>
        <w:rPr>
          <w:snapToGrid w:val="0"/>
        </w:rPr>
        <w:t>y 1.91%</w:t>
      </w:r>
      <w:r w:rsidRPr="00DE050D">
        <w:rPr>
          <w:snapToGrid w:val="0"/>
        </w:rPr>
        <w:t xml:space="preserve"> anual.</w:t>
      </w:r>
    </w:p>
    <w:p w14:paraId="058CB7BB" w14:textId="40B5B4E0" w:rsidR="004D5C5B" w:rsidRDefault="004D5C5B" w:rsidP="004D5C5B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DE050D">
        <w:rPr>
          <w:snapToGrid w:val="0"/>
        </w:rPr>
        <w:t xml:space="preserve">Los precios de los bienes orientados </w:t>
      </w:r>
      <w:r>
        <w:rPr>
          <w:snapToGrid w:val="0"/>
        </w:rPr>
        <w:t xml:space="preserve">a la Exportación </w:t>
      </w:r>
      <w:r w:rsidR="00126792">
        <w:rPr>
          <w:snapToGrid w:val="0"/>
        </w:rPr>
        <w:t xml:space="preserve">subieron </w:t>
      </w:r>
      <w:r>
        <w:rPr>
          <w:snapToGrid w:val="0"/>
        </w:rPr>
        <w:t>1.33% en septiembre</w:t>
      </w:r>
      <w:r w:rsidRPr="00DE050D">
        <w:rPr>
          <w:snapToGrid w:val="0"/>
        </w:rPr>
        <w:t xml:space="preserve"> de 201</w:t>
      </w:r>
      <w:r>
        <w:rPr>
          <w:snapToGrid w:val="0"/>
        </w:rPr>
        <w:t>9 respecto al mes previo y 1.50%</w:t>
      </w:r>
      <w:r w:rsidRPr="00DE050D">
        <w:rPr>
          <w:snapToGrid w:val="0"/>
        </w:rPr>
        <w:t xml:space="preserve"> a tasa anual.</w:t>
      </w:r>
    </w:p>
    <w:p w14:paraId="0271462C" w14:textId="77777777" w:rsidR="004D5C5B" w:rsidRPr="00742534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 w:rsidRPr="00742534">
        <w:rPr>
          <w:snapToGrid w:val="0"/>
          <w:sz w:val="20"/>
          <w:szCs w:val="20"/>
        </w:rPr>
        <w:lastRenderedPageBreak/>
        <w:t xml:space="preserve">Cuadro </w:t>
      </w:r>
      <w:r>
        <w:rPr>
          <w:snapToGrid w:val="0"/>
          <w:sz w:val="20"/>
          <w:szCs w:val="20"/>
        </w:rPr>
        <w:t>11</w:t>
      </w:r>
    </w:p>
    <w:p w14:paraId="4E9DB32A" w14:textId="77777777" w:rsidR="004D5C5B" w:rsidRPr="00875DDC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12EF4068" w14:textId="77777777" w:rsidR="004D5C5B" w:rsidRPr="00875DDC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FINALES,</w:t>
      </w:r>
      <w:r>
        <w:rPr>
          <w:b/>
          <w:snapToGrid w:val="0"/>
          <w:sz w:val="22"/>
          <w:szCs w:val="22"/>
        </w:rPr>
        <w:t xml:space="preserve"> </w:t>
      </w:r>
    </w:p>
    <w:p w14:paraId="7F86A0B5" w14:textId="77777777" w:rsidR="004D5C5B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DF30A4">
        <w:rPr>
          <w:b/>
          <w:snapToGrid w:val="0"/>
          <w:sz w:val="22"/>
          <w:szCs w:val="22"/>
          <w:u w:val="single"/>
        </w:rPr>
        <w:t>INCLUYENDO PETRÓLEO</w:t>
      </w:r>
      <w:r w:rsidRPr="00875DDC">
        <w:rPr>
          <w:b/>
          <w:snapToGrid w:val="0"/>
          <w:sz w:val="22"/>
          <w:szCs w:val="22"/>
        </w:rPr>
        <w:t>, DURANTE</w:t>
      </w:r>
      <w:r>
        <w:rPr>
          <w:b/>
          <w:snapToGrid w:val="0"/>
          <w:sz w:val="22"/>
          <w:szCs w:val="22"/>
        </w:rPr>
        <w:t xml:space="preserve"> SEPTIEMBRE</w:t>
      </w:r>
      <w:r>
        <w:rPr>
          <w:b/>
          <w:bCs/>
          <w:color w:val="000000"/>
          <w:spacing w:val="1"/>
          <w:sz w:val="22"/>
          <w:szCs w:val="22"/>
        </w:rPr>
        <w:t xml:space="preserve"> DE 2019</w:t>
      </w:r>
    </w:p>
    <w:p w14:paraId="6AD0322B" w14:textId="77777777" w:rsidR="004D5C5B" w:rsidRPr="00910135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</w:t>
      </w:r>
      <w:r w:rsidRPr="00910135">
        <w:rPr>
          <w:snapToGrid w:val="0"/>
          <w:sz w:val="22"/>
          <w:szCs w:val="22"/>
        </w:rPr>
        <w:t>lasificación por destino</w:t>
      </w:r>
    </w:p>
    <w:p w14:paraId="5021838C" w14:textId="77777777" w:rsidR="004D5C5B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498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9"/>
        <w:gridCol w:w="1119"/>
        <w:gridCol w:w="1122"/>
        <w:gridCol w:w="1122"/>
        <w:gridCol w:w="1122"/>
        <w:gridCol w:w="1122"/>
        <w:gridCol w:w="1122"/>
      </w:tblGrid>
      <w:tr w:rsidR="0099003F" w:rsidRPr="00A9663B" w14:paraId="68CA834A" w14:textId="77777777" w:rsidTr="002227CF">
        <w:trPr>
          <w:trHeight w:val="255"/>
          <w:jc w:val="center"/>
        </w:trPr>
        <w:tc>
          <w:tcPr>
            <w:tcW w:w="261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21C5184" w14:textId="77777777" w:rsidR="0099003F" w:rsidRPr="00A9663B" w:rsidRDefault="0099003F" w:rsidP="002227C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6" w:name="_Hlk2757940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3363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36FEA74" w14:textId="77777777" w:rsidR="0099003F" w:rsidRPr="00A9663B" w:rsidRDefault="0099003F" w:rsidP="002227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mensual</w:t>
            </w:r>
          </w:p>
        </w:tc>
        <w:tc>
          <w:tcPr>
            <w:tcW w:w="336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7823225" w14:textId="77777777" w:rsidR="0099003F" w:rsidRPr="00A9663B" w:rsidRDefault="0099003F" w:rsidP="002227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72BC8"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C51721">
              <w:rPr>
                <w:bCs/>
                <w:color w:val="000000"/>
                <w:sz w:val="16"/>
                <w:szCs w:val="16"/>
                <w:vertAlign w:val="superscript"/>
              </w:rPr>
              <w:t>/</w:t>
            </w:r>
          </w:p>
        </w:tc>
      </w:tr>
      <w:tr w:rsidR="0099003F" w:rsidRPr="00A9663B" w14:paraId="0C4C010E" w14:textId="77777777" w:rsidTr="002227CF">
        <w:trPr>
          <w:trHeight w:val="255"/>
          <w:jc w:val="center"/>
        </w:trPr>
        <w:tc>
          <w:tcPr>
            <w:tcW w:w="261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C1BA385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9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B5D05E7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Mercancías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AB82791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5D2A570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D21A9A2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Mercancías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5F756D90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6F9129E" w14:textId="77777777" w:rsidR="0099003F" w:rsidRPr="00A9663B" w:rsidRDefault="0099003F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99003F" w:rsidRPr="00841586" w14:paraId="2B402F75" w14:textId="77777777" w:rsidTr="002227CF">
        <w:trPr>
          <w:trHeight w:val="227"/>
          <w:jc w:val="center"/>
        </w:trPr>
        <w:tc>
          <w:tcPr>
            <w:tcW w:w="261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AD13EC4" w14:textId="77777777" w:rsidR="0099003F" w:rsidRPr="00841586" w:rsidRDefault="0099003F" w:rsidP="002227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INPP </w:t>
            </w:r>
          </w:p>
        </w:tc>
        <w:tc>
          <w:tcPr>
            <w:tcW w:w="1119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861C663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048DFE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BC834CC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A9E42B0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2.18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47125D7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3.69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3C58304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2.74</w:t>
            </w:r>
          </w:p>
        </w:tc>
      </w:tr>
      <w:tr w:rsidR="0099003F" w:rsidRPr="00841586" w14:paraId="0A83399E" w14:textId="77777777" w:rsidTr="002227CF">
        <w:trPr>
          <w:trHeight w:val="227"/>
          <w:jc w:val="center"/>
        </w:trPr>
        <w:tc>
          <w:tcPr>
            <w:tcW w:w="261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86970C5" w14:textId="77777777" w:rsidR="0099003F" w:rsidRPr="00841586" w:rsidRDefault="0099003F" w:rsidP="002227CF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Demanda interna </w:t>
            </w:r>
          </w:p>
        </w:tc>
        <w:tc>
          <w:tcPr>
            <w:tcW w:w="1119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0182A87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A246BA4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24229F4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503208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2.70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29C4630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3.66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03D4B6C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3.16</w:t>
            </w:r>
          </w:p>
        </w:tc>
      </w:tr>
      <w:tr w:rsidR="0099003F" w:rsidRPr="00841586" w14:paraId="50C940EF" w14:textId="77777777" w:rsidTr="002227CF">
        <w:trPr>
          <w:trHeight w:val="227"/>
          <w:jc w:val="center"/>
        </w:trPr>
        <w:tc>
          <w:tcPr>
            <w:tcW w:w="261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462289" w14:textId="77777777" w:rsidR="0099003F" w:rsidRPr="00841586" w:rsidRDefault="0099003F" w:rsidP="002227CF">
            <w:pPr>
              <w:autoSpaceDE w:val="0"/>
              <w:autoSpaceDN w:val="0"/>
              <w:adjustRightInd w:val="0"/>
              <w:ind w:left="227"/>
              <w:rPr>
                <w:color w:val="000000"/>
                <w:sz w:val="14"/>
                <w:szCs w:val="14"/>
                <w:vertAlign w:val="superscript"/>
              </w:rPr>
            </w:pPr>
            <w:r w:rsidRPr="00841586">
              <w:rPr>
                <w:color w:val="000000"/>
                <w:sz w:val="14"/>
                <w:szCs w:val="14"/>
              </w:rPr>
              <w:t xml:space="preserve">Consumo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1119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A7CE32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F53E7">
              <w:rPr>
                <w:bCs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89E0146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F53E7">
              <w:rPr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0A39B3E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F53E7">
              <w:rPr>
                <w:bCs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F8777EF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F53E7">
              <w:rPr>
                <w:bCs/>
                <w:color w:val="000000"/>
                <w:sz w:val="14"/>
                <w:szCs w:val="14"/>
              </w:rPr>
              <w:t>3.35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B10E091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F53E7">
              <w:rPr>
                <w:bCs/>
                <w:color w:val="000000"/>
                <w:sz w:val="14"/>
                <w:szCs w:val="14"/>
              </w:rPr>
              <w:t>3.73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840539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F53E7">
              <w:rPr>
                <w:bCs/>
                <w:color w:val="000000"/>
                <w:sz w:val="14"/>
                <w:szCs w:val="14"/>
              </w:rPr>
              <w:t>3.58</w:t>
            </w:r>
          </w:p>
        </w:tc>
      </w:tr>
      <w:tr w:rsidR="0099003F" w:rsidRPr="00841586" w14:paraId="0A9802BF" w14:textId="77777777" w:rsidTr="002227CF">
        <w:trPr>
          <w:trHeight w:val="227"/>
          <w:jc w:val="center"/>
        </w:trPr>
        <w:tc>
          <w:tcPr>
            <w:tcW w:w="261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3CCF9DF" w14:textId="77777777" w:rsidR="0099003F" w:rsidRPr="00841586" w:rsidRDefault="0099003F" w:rsidP="002227CF">
            <w:pPr>
              <w:autoSpaceDE w:val="0"/>
              <w:autoSpaceDN w:val="0"/>
              <w:adjustRightInd w:val="0"/>
              <w:ind w:left="227"/>
              <w:rPr>
                <w:color w:val="000000"/>
                <w:sz w:val="14"/>
                <w:szCs w:val="14"/>
              </w:rPr>
            </w:pPr>
            <w:r w:rsidRPr="00841586">
              <w:rPr>
                <w:color w:val="000000"/>
                <w:sz w:val="14"/>
                <w:szCs w:val="14"/>
              </w:rPr>
              <w:t xml:space="preserve">Formación de capital </w:t>
            </w:r>
          </w:p>
        </w:tc>
        <w:tc>
          <w:tcPr>
            <w:tcW w:w="1119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99AD32C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F53E7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3A44628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F53E7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243A16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F53E7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8D51164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F53E7">
              <w:rPr>
                <w:bCs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1091A66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F53E7">
              <w:rPr>
                <w:bCs/>
                <w:color w:val="000000"/>
                <w:sz w:val="14"/>
                <w:szCs w:val="14"/>
              </w:rPr>
              <w:t>1.58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467233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F53E7">
              <w:rPr>
                <w:bCs/>
                <w:color w:val="000000"/>
                <w:sz w:val="14"/>
                <w:szCs w:val="14"/>
              </w:rPr>
              <w:t>1.91</w:t>
            </w:r>
          </w:p>
        </w:tc>
      </w:tr>
      <w:tr w:rsidR="0099003F" w:rsidRPr="00841586" w14:paraId="4A6B899D" w14:textId="77777777" w:rsidTr="002227CF">
        <w:trPr>
          <w:trHeight w:val="227"/>
          <w:jc w:val="center"/>
        </w:trPr>
        <w:tc>
          <w:tcPr>
            <w:tcW w:w="261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AE0DC4" w14:textId="77777777" w:rsidR="0099003F" w:rsidRPr="00841586" w:rsidRDefault="0099003F" w:rsidP="002227CF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Exportaciones </w:t>
            </w:r>
          </w:p>
        </w:tc>
        <w:tc>
          <w:tcPr>
            <w:tcW w:w="1119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452CA68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72BC616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55AE65B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1.33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43D28E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3F14C7B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3.70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B0FDBAF" w14:textId="77777777" w:rsidR="0099003F" w:rsidRPr="003F53E7" w:rsidRDefault="0099003F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F53E7">
              <w:rPr>
                <w:b/>
                <w:bCs/>
                <w:color w:val="000000"/>
                <w:sz w:val="14"/>
                <w:szCs w:val="14"/>
              </w:rPr>
              <w:t>1.50</w:t>
            </w:r>
          </w:p>
        </w:tc>
      </w:tr>
    </w:tbl>
    <w:bookmarkEnd w:id="6"/>
    <w:p w14:paraId="56CA07B2" w14:textId="77777777" w:rsidR="0054304E" w:rsidRDefault="0054304E" w:rsidP="0054304E">
      <w:pPr>
        <w:widowControl w:val="0"/>
        <w:autoSpaceDE w:val="0"/>
        <w:autoSpaceDN w:val="0"/>
        <w:adjustRightInd w:val="0"/>
        <w:ind w:left="283" w:right="113" w:hanging="170"/>
        <w:rPr>
          <w:sz w:val="16"/>
          <w:szCs w:val="18"/>
          <w:vertAlign w:val="superscript"/>
        </w:rPr>
      </w:pPr>
      <w:r>
        <w:rPr>
          <w:sz w:val="16"/>
          <w:szCs w:val="14"/>
          <w:vertAlign w:val="superscript"/>
        </w:rPr>
        <w:t>1</w:t>
      </w:r>
      <w:r w:rsidRPr="008D68CA">
        <w:rPr>
          <w:sz w:val="16"/>
          <w:szCs w:val="14"/>
          <w:vertAlign w:val="superscript"/>
        </w:rPr>
        <w:t>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>de 2019</w:t>
      </w:r>
      <w:r w:rsidRPr="008D68CA">
        <w:rPr>
          <w:sz w:val="14"/>
          <w:szCs w:val="14"/>
        </w:rPr>
        <w:t xml:space="preserve"> se continuarán comparando con el índice de la base anterior</w:t>
      </w:r>
      <w:r>
        <w:rPr>
          <w:sz w:val="14"/>
          <w:szCs w:val="14"/>
        </w:rPr>
        <w:t>.</w:t>
      </w:r>
    </w:p>
    <w:p w14:paraId="1F96157A" w14:textId="77777777" w:rsidR="0054304E" w:rsidRPr="003F5E65" w:rsidRDefault="0054304E" w:rsidP="0054304E">
      <w:pPr>
        <w:widowControl w:val="0"/>
        <w:autoSpaceDE w:val="0"/>
        <w:autoSpaceDN w:val="0"/>
        <w:adjustRightInd w:val="0"/>
        <w:ind w:left="283" w:right="113" w:hanging="170"/>
        <w:rPr>
          <w:sz w:val="14"/>
          <w:szCs w:val="16"/>
        </w:rPr>
      </w:pPr>
      <w:r>
        <w:rPr>
          <w:sz w:val="16"/>
          <w:szCs w:val="18"/>
          <w:vertAlign w:val="superscript"/>
        </w:rPr>
        <w:t>2</w:t>
      </w:r>
      <w:r w:rsidRPr="003F5E65">
        <w:rPr>
          <w:sz w:val="16"/>
          <w:szCs w:val="18"/>
          <w:vertAlign w:val="superscript"/>
        </w:rPr>
        <w:t>/</w:t>
      </w:r>
      <w:r w:rsidRPr="003F5E65">
        <w:rPr>
          <w:sz w:val="14"/>
          <w:szCs w:val="16"/>
        </w:rPr>
        <w:tab/>
        <w:t>Consumo privado más consumo de gobierno individualizado.</w:t>
      </w:r>
    </w:p>
    <w:p w14:paraId="5D12279B" w14:textId="77777777" w:rsidR="004D5C5B" w:rsidRDefault="004D5C5B" w:rsidP="004D5C5B">
      <w:pPr>
        <w:autoSpaceDE w:val="0"/>
        <w:autoSpaceDN w:val="0"/>
        <w:adjustRightInd w:val="0"/>
        <w:spacing w:before="360"/>
        <w:rPr>
          <w:b/>
          <w:snapToGrid w:val="0"/>
          <w:u w:val="single"/>
        </w:rPr>
      </w:pPr>
      <w:r w:rsidRPr="00875DDC">
        <w:rPr>
          <w:b/>
          <w:snapToGrid w:val="0"/>
          <w:u w:val="single"/>
        </w:rPr>
        <w:t>BIENES FINALES</w:t>
      </w:r>
      <w:r>
        <w:rPr>
          <w:b/>
          <w:snapToGrid w:val="0"/>
          <w:u w:val="single"/>
        </w:rPr>
        <w:t xml:space="preserve"> EXCLUYENDO PETRÓLEO</w:t>
      </w:r>
    </w:p>
    <w:p w14:paraId="1C865507" w14:textId="341DAEAD" w:rsidR="004D5C5B" w:rsidRDefault="004D5C5B" w:rsidP="004D5C5B">
      <w:pPr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 xml:space="preserve">El Índice de Mercancías y Servicios Finales, </w:t>
      </w:r>
      <w:r w:rsidRPr="00C300D3">
        <w:rPr>
          <w:snapToGrid w:val="0"/>
          <w:u w:val="single"/>
        </w:rPr>
        <w:t>excluyendo petróleo</w:t>
      </w:r>
      <w:r w:rsidRPr="0010647A">
        <w:rPr>
          <w:snapToGrid w:val="0"/>
        </w:rPr>
        <w:t xml:space="preserve">, </w:t>
      </w:r>
      <w:r w:rsidR="00126792">
        <w:rPr>
          <w:snapToGrid w:val="0"/>
        </w:rPr>
        <w:t xml:space="preserve">se incrementaron </w:t>
      </w:r>
      <w:r>
        <w:rPr>
          <w:snapToGrid w:val="0"/>
        </w:rPr>
        <w:t xml:space="preserve">0.49% </w:t>
      </w:r>
      <w:r w:rsidR="00126792">
        <w:rPr>
          <w:snapToGrid w:val="0"/>
        </w:rPr>
        <w:t xml:space="preserve">a tasa mensual </w:t>
      </w:r>
      <w:r>
        <w:rPr>
          <w:snapToGrid w:val="0"/>
        </w:rPr>
        <w:t xml:space="preserve">y 3.48% </w:t>
      </w:r>
      <w:r w:rsidR="00126792">
        <w:rPr>
          <w:snapToGrid w:val="0"/>
        </w:rPr>
        <w:t xml:space="preserve">anual en </w:t>
      </w:r>
      <w:r>
        <w:rPr>
          <w:snapToGrid w:val="0"/>
        </w:rPr>
        <w:t>septiembre</w:t>
      </w:r>
      <w:r w:rsidRPr="0010647A">
        <w:rPr>
          <w:snapToGrid w:val="0"/>
        </w:rPr>
        <w:t xml:space="preserve"> de </w:t>
      </w:r>
      <w:r w:rsidR="00126792">
        <w:rPr>
          <w:snapToGrid w:val="0"/>
        </w:rPr>
        <w:t>2019</w:t>
      </w:r>
      <w:r>
        <w:rPr>
          <w:snapToGrid w:val="0"/>
        </w:rPr>
        <w:t>.</w:t>
      </w:r>
    </w:p>
    <w:p w14:paraId="6878C0B6" w14:textId="77777777" w:rsidR="004D5C5B" w:rsidRDefault="004D5C5B" w:rsidP="004D5C5B">
      <w:pPr>
        <w:pStyle w:val="n01"/>
        <w:keepLines w:val="0"/>
        <w:ind w:left="0" w:firstLine="709"/>
        <w:rPr>
          <w:b/>
          <w:i/>
          <w:snapToGrid w:val="0"/>
          <w:color w:val="000000"/>
        </w:rPr>
      </w:pPr>
      <w:r w:rsidRPr="006C0439">
        <w:rPr>
          <w:b/>
          <w:i/>
          <w:snapToGrid w:val="0"/>
          <w:color w:val="000000"/>
        </w:rPr>
        <w:t xml:space="preserve">Por </w:t>
      </w:r>
      <w:r>
        <w:rPr>
          <w:b/>
          <w:i/>
          <w:snapToGrid w:val="0"/>
          <w:color w:val="000000"/>
        </w:rPr>
        <w:t>o</w:t>
      </w:r>
      <w:r w:rsidRPr="006C0439">
        <w:rPr>
          <w:b/>
          <w:i/>
          <w:snapToGrid w:val="0"/>
          <w:color w:val="000000"/>
        </w:rPr>
        <w:t>rigen de la producción</w:t>
      </w:r>
      <w:r w:rsidRPr="005356AC">
        <w:rPr>
          <w:b/>
          <w:i/>
          <w:snapToGrid w:val="0"/>
          <w:color w:val="000000"/>
        </w:rPr>
        <w:t xml:space="preserve"> </w:t>
      </w:r>
    </w:p>
    <w:p w14:paraId="7B85F7C8" w14:textId="7C1B56C9" w:rsidR="004D5C5B" w:rsidRPr="0010647A" w:rsidRDefault="004D5C5B" w:rsidP="004D5C5B">
      <w:pPr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>Por grandes grupos de actividades económicas, los precios de las Actividade</w:t>
      </w:r>
      <w:r>
        <w:rPr>
          <w:snapToGrid w:val="0"/>
        </w:rPr>
        <w:t xml:space="preserve">s Primarias </w:t>
      </w:r>
      <w:r w:rsidR="00126792">
        <w:rPr>
          <w:snapToGrid w:val="0"/>
        </w:rPr>
        <w:t xml:space="preserve">crecieron </w:t>
      </w:r>
      <w:r>
        <w:rPr>
          <w:snapToGrid w:val="0"/>
        </w:rPr>
        <w:t>5.75</w:t>
      </w:r>
      <w:r w:rsidR="00126792">
        <w:rPr>
          <w:snapToGrid w:val="0"/>
        </w:rPr>
        <w:t>%</w:t>
      </w:r>
      <w:r>
        <w:rPr>
          <w:snapToGrid w:val="0"/>
        </w:rPr>
        <w:t>,</w:t>
      </w:r>
      <w:r w:rsidRPr="0010647A">
        <w:rPr>
          <w:snapToGrid w:val="0"/>
        </w:rPr>
        <w:t xml:space="preserve"> los de</w:t>
      </w:r>
      <w:r>
        <w:rPr>
          <w:snapToGrid w:val="0"/>
        </w:rPr>
        <w:t xml:space="preserve"> las Actividades Secundarias 0.29% y los de las Actividades Terciarias 0.37% </w:t>
      </w:r>
      <w:r w:rsidRPr="0010647A">
        <w:rPr>
          <w:snapToGrid w:val="0"/>
        </w:rPr>
        <w:t>a tasa mensual</w:t>
      </w:r>
      <w:r>
        <w:rPr>
          <w:snapToGrid w:val="0"/>
        </w:rPr>
        <w:t>.</w:t>
      </w:r>
    </w:p>
    <w:p w14:paraId="5D7FA28C" w14:textId="29E6AA1C" w:rsidR="004D5C5B" w:rsidRDefault="004D5C5B" w:rsidP="004D5C5B">
      <w:pPr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>En su comparación anual, los de las Acti</w:t>
      </w:r>
      <w:r>
        <w:rPr>
          <w:snapToGrid w:val="0"/>
        </w:rPr>
        <w:t xml:space="preserve">vidades Primarias aumentaron 0.67%, </w:t>
      </w:r>
      <w:r w:rsidRPr="0010647A">
        <w:rPr>
          <w:snapToGrid w:val="0"/>
        </w:rPr>
        <w:t xml:space="preserve">los de las </w:t>
      </w:r>
      <w:r>
        <w:rPr>
          <w:snapToGrid w:val="0"/>
        </w:rPr>
        <w:t>Secundarias 3.42%</w:t>
      </w:r>
      <w:r w:rsidRPr="0010647A">
        <w:rPr>
          <w:snapToGrid w:val="0"/>
        </w:rPr>
        <w:t xml:space="preserve"> y los de</w:t>
      </w:r>
      <w:r>
        <w:rPr>
          <w:snapToGrid w:val="0"/>
        </w:rPr>
        <w:t xml:space="preserve"> las Actividades Terciarias 3.76</w:t>
      </w:r>
      <w:r w:rsidRPr="0010647A">
        <w:rPr>
          <w:snapToGrid w:val="0"/>
        </w:rPr>
        <w:t xml:space="preserve"> por ciento</w:t>
      </w:r>
      <w:r>
        <w:rPr>
          <w:snapToGrid w:val="0"/>
        </w:rPr>
        <w:t xml:space="preserve">. </w:t>
      </w:r>
    </w:p>
    <w:p w14:paraId="048BCE79" w14:textId="77777777" w:rsidR="004D5C5B" w:rsidRPr="004A4D80" w:rsidRDefault="004D5C5B" w:rsidP="0054304E">
      <w:pPr>
        <w:widowControl w:val="0"/>
        <w:autoSpaceDE w:val="0"/>
        <w:autoSpaceDN w:val="0"/>
        <w:adjustRightInd w:val="0"/>
        <w:spacing w:before="240"/>
        <w:jc w:val="center"/>
        <w:rPr>
          <w:snapToGrid w:val="0"/>
        </w:rPr>
      </w:pPr>
      <w:r w:rsidRPr="00E35E14">
        <w:rPr>
          <w:snapToGrid w:val="0"/>
          <w:sz w:val="20"/>
          <w:szCs w:val="20"/>
        </w:rPr>
        <w:t xml:space="preserve">Cuadro </w:t>
      </w:r>
      <w:r>
        <w:rPr>
          <w:snapToGrid w:val="0"/>
          <w:sz w:val="20"/>
          <w:szCs w:val="20"/>
        </w:rPr>
        <w:t>12</w:t>
      </w:r>
    </w:p>
    <w:p w14:paraId="027CA3DE" w14:textId="77777777" w:rsidR="004D5C5B" w:rsidRPr="00875DDC" w:rsidRDefault="004D5C5B" w:rsidP="0054304E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02A74010" w14:textId="77777777" w:rsidR="004D5C5B" w:rsidRDefault="004D5C5B" w:rsidP="0054304E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FINALES,</w:t>
      </w:r>
      <w:r>
        <w:rPr>
          <w:b/>
          <w:snapToGrid w:val="0"/>
          <w:sz w:val="22"/>
          <w:szCs w:val="22"/>
        </w:rPr>
        <w:t xml:space="preserve"> </w:t>
      </w:r>
    </w:p>
    <w:p w14:paraId="65515312" w14:textId="77777777" w:rsidR="004D5C5B" w:rsidRDefault="004D5C5B" w:rsidP="005430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C300D3">
        <w:rPr>
          <w:b/>
          <w:snapToGrid w:val="0"/>
          <w:sz w:val="22"/>
          <w:szCs w:val="22"/>
          <w:u w:val="single"/>
        </w:rPr>
        <w:t>EXCLUYENDO PETRÓLEO</w:t>
      </w:r>
      <w:r w:rsidRPr="00875DDC">
        <w:rPr>
          <w:b/>
          <w:snapToGrid w:val="0"/>
          <w:sz w:val="22"/>
          <w:szCs w:val="22"/>
        </w:rPr>
        <w:t>,</w:t>
      </w:r>
      <w:r w:rsidRPr="00110149">
        <w:rPr>
          <w:b/>
          <w:snapToGrid w:val="0"/>
          <w:sz w:val="22"/>
          <w:szCs w:val="22"/>
        </w:rPr>
        <w:t xml:space="preserve"> </w:t>
      </w:r>
      <w:r w:rsidRPr="00875DDC">
        <w:rPr>
          <w:b/>
          <w:snapToGrid w:val="0"/>
          <w:sz w:val="22"/>
          <w:szCs w:val="22"/>
        </w:rPr>
        <w:t xml:space="preserve">DURANTE </w:t>
      </w:r>
      <w:r>
        <w:rPr>
          <w:b/>
          <w:bCs/>
          <w:color w:val="000000"/>
          <w:spacing w:val="1"/>
          <w:sz w:val="22"/>
          <w:szCs w:val="22"/>
        </w:rPr>
        <w:t>SEPTIEMBRE</w:t>
      </w:r>
    </w:p>
    <w:p w14:paraId="7BECBF49" w14:textId="77777777" w:rsidR="004D5C5B" w:rsidRDefault="004D5C5B" w:rsidP="0054304E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 durante septiembre</w:t>
      </w:r>
      <w:r w:rsidRPr="0092783E">
        <w:rPr>
          <w:snapToGrid w:val="0"/>
          <w:sz w:val="18"/>
          <w:szCs w:val="18"/>
        </w:rPr>
        <w:t xml:space="preserve"> de los años que se indican</w:t>
      </w:r>
    </w:p>
    <w:tbl>
      <w:tblPr>
        <w:tblW w:w="4981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802"/>
        <w:gridCol w:w="802"/>
        <w:gridCol w:w="802"/>
        <w:gridCol w:w="802"/>
        <w:gridCol w:w="802"/>
        <w:gridCol w:w="803"/>
      </w:tblGrid>
      <w:tr w:rsidR="0044294A" w:rsidRPr="00A9663B" w14:paraId="452B44E4" w14:textId="77777777" w:rsidTr="002227CF">
        <w:trPr>
          <w:trHeight w:val="255"/>
        </w:trPr>
        <w:tc>
          <w:tcPr>
            <w:tcW w:w="453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BAD877C" w14:textId="77777777" w:rsidR="0044294A" w:rsidRPr="00A9663B" w:rsidRDefault="0044294A" w:rsidP="002227C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7" w:name="_Hlk2757904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06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B338905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0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31C7117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51721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44294A" w:rsidRPr="00A9663B" w14:paraId="3FCE5B1F" w14:textId="77777777" w:rsidTr="002227CF">
        <w:trPr>
          <w:trHeight w:val="255"/>
        </w:trPr>
        <w:tc>
          <w:tcPr>
            <w:tcW w:w="4535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7FEA7E3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2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F7B66C2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C2222A0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4974198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9BC4C97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7D33E1B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E02784F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44294A" w:rsidRPr="00625A20" w14:paraId="5D4C67C2" w14:textId="77777777" w:rsidTr="002227CF">
        <w:trPr>
          <w:trHeight w:val="227"/>
        </w:trPr>
        <w:tc>
          <w:tcPr>
            <w:tcW w:w="453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A8A87CE" w14:textId="77777777" w:rsidR="0044294A" w:rsidRPr="00841586" w:rsidRDefault="0044294A" w:rsidP="00126792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2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88D7FB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FD29279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C4A0113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E181CED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4.18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E1AA703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6.00</w:t>
            </w:r>
          </w:p>
        </w:tc>
        <w:tc>
          <w:tcPr>
            <w:tcW w:w="803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F85DBC1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3.48</w:t>
            </w:r>
          </w:p>
        </w:tc>
      </w:tr>
      <w:tr w:rsidR="0044294A" w:rsidRPr="00841586" w14:paraId="6F854B4C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3565DA" w14:textId="77777777" w:rsidR="0044294A" w:rsidRPr="00841586" w:rsidRDefault="0044294A" w:rsidP="0012679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913702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-2.02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BF82742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A06FF84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985648F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4.98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6FBAAA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58B0DA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0.67</w:t>
            </w:r>
          </w:p>
        </w:tc>
      </w:tr>
      <w:tr w:rsidR="0044294A" w:rsidRPr="00841586" w14:paraId="6F20C9CA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A693F9" w14:textId="77777777" w:rsidR="0044294A" w:rsidRPr="00841586" w:rsidRDefault="0044294A" w:rsidP="0012679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C87B0EA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C9AEBB4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E514B67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FC6A7B9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4.14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1D6755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7.29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A11FCED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3.42</w:t>
            </w:r>
          </w:p>
        </w:tc>
      </w:tr>
      <w:tr w:rsidR="0044294A" w:rsidRPr="00841586" w14:paraId="22F80D40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EA4557" w14:textId="77777777" w:rsidR="0044294A" w:rsidRPr="00841586" w:rsidRDefault="0044294A" w:rsidP="0012679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172F74B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285C62C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1105C3B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1.03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AEF989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-9.57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A7B5CA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F5E8FE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3.54</w:t>
            </w:r>
          </w:p>
        </w:tc>
      </w:tr>
      <w:tr w:rsidR="0044294A" w:rsidRPr="00841586" w14:paraId="72F61C21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12113D6" w14:textId="77777777" w:rsidR="0044294A" w:rsidRPr="00841586" w:rsidRDefault="0044294A" w:rsidP="0012679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02CC71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69BA68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20F9D4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1D0FE2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4.09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F73115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4.81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122E69E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1.93</w:t>
            </w:r>
          </w:p>
        </w:tc>
      </w:tr>
      <w:tr w:rsidR="0044294A" w:rsidRPr="00841586" w14:paraId="66BF3C1A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6A20AEF" w14:textId="77777777" w:rsidR="0044294A" w:rsidRPr="00841586" w:rsidRDefault="0044294A" w:rsidP="0012679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Construcción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18A50DB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24CE030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16A61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A9AD603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9.69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1113BEF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D3509A1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1.32</w:t>
            </w:r>
          </w:p>
        </w:tc>
      </w:tr>
      <w:tr w:rsidR="0044294A" w:rsidRPr="00841586" w14:paraId="0259DEF3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71B0BF" w14:textId="77777777" w:rsidR="0044294A" w:rsidRPr="00841586" w:rsidRDefault="0044294A" w:rsidP="00126792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1968088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5CD9F85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6DA169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4D608CC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3.41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21C30CF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6.54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E893F9A" w14:textId="77777777" w:rsidR="0044294A" w:rsidRPr="00D620E4" w:rsidRDefault="0044294A" w:rsidP="002227CF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D620E4">
              <w:rPr>
                <w:bCs/>
                <w:color w:val="000000"/>
                <w:sz w:val="14"/>
                <w:szCs w:val="14"/>
              </w:rPr>
              <w:t>4.02</w:t>
            </w:r>
          </w:p>
        </w:tc>
      </w:tr>
      <w:tr w:rsidR="0044294A" w:rsidRPr="00841586" w14:paraId="5E5C48FE" w14:textId="77777777" w:rsidTr="002227CF">
        <w:trPr>
          <w:trHeight w:val="227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CAC840" w14:textId="77777777" w:rsidR="0044294A" w:rsidRPr="00841586" w:rsidRDefault="0044294A" w:rsidP="00126792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A710D08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E0DA4D9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C7A1AD5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643CEA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4.16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81A743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4.37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3FA8F68" w14:textId="77777777" w:rsidR="0044294A" w:rsidRPr="00D620E4" w:rsidRDefault="0044294A" w:rsidP="002227CF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620E4">
              <w:rPr>
                <w:b/>
                <w:bCs/>
                <w:color w:val="000000"/>
                <w:sz w:val="14"/>
                <w:szCs w:val="14"/>
              </w:rPr>
              <w:t>3.76</w:t>
            </w:r>
          </w:p>
        </w:tc>
      </w:tr>
    </w:tbl>
    <w:bookmarkEnd w:id="7"/>
    <w:p w14:paraId="2A4AF195" w14:textId="77777777" w:rsidR="0054304E" w:rsidRPr="008D68CA" w:rsidRDefault="0054304E" w:rsidP="0054304E">
      <w:pPr>
        <w:autoSpaceDE w:val="0"/>
        <w:autoSpaceDN w:val="0"/>
        <w:adjustRightInd w:val="0"/>
        <w:ind w:left="283" w:right="113" w:hanging="170"/>
        <w:rPr>
          <w:sz w:val="16"/>
          <w:szCs w:val="14"/>
        </w:rPr>
      </w:pPr>
      <w:r w:rsidRPr="008D68CA">
        <w:rPr>
          <w:sz w:val="16"/>
          <w:szCs w:val="14"/>
          <w:vertAlign w:val="superscript"/>
        </w:rPr>
        <w:t>1/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>de 2019</w:t>
      </w:r>
      <w:r w:rsidRPr="008D68CA">
        <w:rPr>
          <w:sz w:val="14"/>
          <w:szCs w:val="14"/>
        </w:rPr>
        <w:t xml:space="preserve"> se continuarán comparando con el índice de la base anterior</w:t>
      </w:r>
      <w:r>
        <w:rPr>
          <w:sz w:val="14"/>
          <w:szCs w:val="14"/>
        </w:rPr>
        <w:t>.</w:t>
      </w:r>
    </w:p>
    <w:p w14:paraId="226A3BBD" w14:textId="77777777" w:rsidR="004D5C5B" w:rsidRPr="006C0439" w:rsidRDefault="004D5C5B" w:rsidP="004D5C5B">
      <w:pPr>
        <w:pStyle w:val="n01"/>
        <w:keepLines w:val="0"/>
        <w:widowControl w:val="0"/>
        <w:spacing w:before="480"/>
        <w:ind w:left="0" w:firstLine="709"/>
        <w:rPr>
          <w:rFonts w:ascii="Arial" w:hAnsi="Arial"/>
          <w:b/>
          <w:i/>
          <w:snapToGrid w:val="0"/>
          <w:color w:val="000000"/>
        </w:rPr>
      </w:pPr>
      <w:r w:rsidRPr="006C0439">
        <w:rPr>
          <w:rFonts w:ascii="Arial" w:hAnsi="Arial"/>
          <w:b/>
          <w:i/>
          <w:snapToGrid w:val="0"/>
          <w:color w:val="000000"/>
        </w:rPr>
        <w:lastRenderedPageBreak/>
        <w:t xml:space="preserve">Por </w:t>
      </w:r>
      <w:r>
        <w:rPr>
          <w:rFonts w:ascii="Arial" w:hAnsi="Arial"/>
          <w:b/>
          <w:i/>
          <w:snapToGrid w:val="0"/>
          <w:color w:val="000000"/>
        </w:rPr>
        <w:t>d</w:t>
      </w:r>
      <w:r w:rsidRPr="006C0439">
        <w:rPr>
          <w:rFonts w:ascii="Arial" w:hAnsi="Arial"/>
          <w:b/>
          <w:i/>
          <w:snapToGrid w:val="0"/>
          <w:color w:val="000000"/>
        </w:rPr>
        <w:t>estino de la producción</w:t>
      </w:r>
    </w:p>
    <w:p w14:paraId="608298F3" w14:textId="47CD40F7" w:rsidR="004D5C5B" w:rsidRPr="007F0AE0" w:rsidRDefault="004D5C5B" w:rsidP="004D5C5B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7F0AE0">
        <w:rPr>
          <w:snapToGrid w:val="0"/>
        </w:rPr>
        <w:t xml:space="preserve">Por destino de la producción, los precios de los bienes finales de Demanda interna </w:t>
      </w:r>
      <w:r w:rsidR="00126792">
        <w:rPr>
          <w:snapToGrid w:val="0"/>
        </w:rPr>
        <w:t xml:space="preserve">observaron un aumento </w:t>
      </w:r>
      <w:r>
        <w:rPr>
          <w:snapToGrid w:val="0"/>
        </w:rPr>
        <w:t>mensual de 0.49%</w:t>
      </w:r>
      <w:r w:rsidR="00126792">
        <w:rPr>
          <w:snapToGrid w:val="0"/>
        </w:rPr>
        <w:t xml:space="preserve"> y de </w:t>
      </w:r>
      <w:r>
        <w:rPr>
          <w:snapToGrid w:val="0"/>
        </w:rPr>
        <w:t>3.16</w:t>
      </w:r>
      <w:r w:rsidR="00126792">
        <w:rPr>
          <w:snapToGrid w:val="0"/>
        </w:rPr>
        <w:t>% anual</w:t>
      </w:r>
      <w:r w:rsidRPr="007F0AE0">
        <w:rPr>
          <w:snapToGrid w:val="0"/>
        </w:rPr>
        <w:t>. A su interior, los precios de los bi</w:t>
      </w:r>
      <w:r>
        <w:rPr>
          <w:snapToGrid w:val="0"/>
        </w:rPr>
        <w:t>enes de Consumo se incrementaron 0.60% mensual y 3.58%</w:t>
      </w:r>
      <w:r w:rsidRPr="007F0AE0">
        <w:rPr>
          <w:snapToGrid w:val="0"/>
        </w:rPr>
        <w:t xml:space="preserve"> anual y los destinados a la Formación de capital </w:t>
      </w:r>
      <w:r>
        <w:rPr>
          <w:snapToGrid w:val="0"/>
        </w:rPr>
        <w:t xml:space="preserve">0.21% </w:t>
      </w:r>
      <w:r w:rsidR="00126792">
        <w:rPr>
          <w:snapToGrid w:val="0"/>
        </w:rPr>
        <w:t xml:space="preserve">mensual </w:t>
      </w:r>
      <w:r>
        <w:rPr>
          <w:snapToGrid w:val="0"/>
        </w:rPr>
        <w:t>y 1.91%</w:t>
      </w:r>
      <w:r w:rsidRPr="007F0AE0">
        <w:rPr>
          <w:snapToGrid w:val="0"/>
        </w:rPr>
        <w:t xml:space="preserve"> anual.</w:t>
      </w:r>
    </w:p>
    <w:p w14:paraId="0D329393" w14:textId="776C0112" w:rsidR="004D5C5B" w:rsidRDefault="004D5C5B" w:rsidP="004D5C5B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7F0AE0">
        <w:rPr>
          <w:snapToGrid w:val="0"/>
        </w:rPr>
        <w:t>Los precios de los bienes orien</w:t>
      </w:r>
      <w:r>
        <w:rPr>
          <w:snapToGrid w:val="0"/>
        </w:rPr>
        <w:t>tados a la Exportación s</w:t>
      </w:r>
      <w:r w:rsidR="00126792">
        <w:rPr>
          <w:snapToGrid w:val="0"/>
        </w:rPr>
        <w:t xml:space="preserve">e elevaron </w:t>
      </w:r>
      <w:r>
        <w:rPr>
          <w:snapToGrid w:val="0"/>
        </w:rPr>
        <w:t>0.47%</w:t>
      </w:r>
      <w:r w:rsidRPr="007F0AE0">
        <w:rPr>
          <w:snapToGrid w:val="0"/>
        </w:rPr>
        <w:t xml:space="preserve"> en </w:t>
      </w:r>
      <w:r w:rsidR="00126792">
        <w:rPr>
          <w:snapToGrid w:val="0"/>
        </w:rPr>
        <w:t xml:space="preserve">el noveno mes </w:t>
      </w:r>
      <w:r w:rsidRPr="007F0AE0">
        <w:rPr>
          <w:snapToGrid w:val="0"/>
        </w:rPr>
        <w:t>d</w:t>
      </w:r>
      <w:r>
        <w:rPr>
          <w:snapToGrid w:val="0"/>
        </w:rPr>
        <w:t>e 2019 respecto al mes pre</w:t>
      </w:r>
      <w:r w:rsidR="00126792">
        <w:rPr>
          <w:snapToGrid w:val="0"/>
        </w:rPr>
        <w:t>cedente</w:t>
      </w:r>
      <w:r>
        <w:rPr>
          <w:snapToGrid w:val="0"/>
        </w:rPr>
        <w:t xml:space="preserve"> y 4.24%</w:t>
      </w:r>
      <w:r w:rsidRPr="007F0AE0">
        <w:rPr>
          <w:snapToGrid w:val="0"/>
        </w:rPr>
        <w:t xml:space="preserve"> a tasa anu</w:t>
      </w:r>
      <w:r>
        <w:rPr>
          <w:snapToGrid w:val="0"/>
        </w:rPr>
        <w:t>al.</w:t>
      </w:r>
    </w:p>
    <w:p w14:paraId="68541417" w14:textId="77777777" w:rsidR="004D5C5B" w:rsidRPr="00742534" w:rsidRDefault="004D5C5B" w:rsidP="004D5C5B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  <w:r w:rsidRPr="00742534">
        <w:rPr>
          <w:snapToGrid w:val="0"/>
          <w:sz w:val="20"/>
          <w:szCs w:val="20"/>
        </w:rPr>
        <w:t xml:space="preserve">Cuadro </w:t>
      </w:r>
      <w:r>
        <w:rPr>
          <w:snapToGrid w:val="0"/>
          <w:sz w:val="20"/>
          <w:szCs w:val="20"/>
        </w:rPr>
        <w:t>13</w:t>
      </w:r>
    </w:p>
    <w:p w14:paraId="7C939E34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462927A7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FINALES,</w:t>
      </w:r>
      <w:r>
        <w:rPr>
          <w:b/>
          <w:snapToGrid w:val="0"/>
          <w:sz w:val="22"/>
          <w:szCs w:val="22"/>
        </w:rPr>
        <w:t xml:space="preserve"> </w:t>
      </w:r>
    </w:p>
    <w:p w14:paraId="33E307C3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C300D3">
        <w:rPr>
          <w:b/>
          <w:snapToGrid w:val="0"/>
          <w:sz w:val="22"/>
          <w:szCs w:val="22"/>
          <w:u w:val="single"/>
        </w:rPr>
        <w:t>EXCLUYENDO PETRÓLEO</w:t>
      </w:r>
      <w:r w:rsidRPr="00875DDC">
        <w:rPr>
          <w:b/>
          <w:snapToGrid w:val="0"/>
          <w:sz w:val="22"/>
          <w:szCs w:val="22"/>
        </w:rPr>
        <w:t xml:space="preserve">, DURANTE </w:t>
      </w:r>
      <w:r>
        <w:rPr>
          <w:b/>
          <w:bCs/>
          <w:color w:val="000000"/>
          <w:spacing w:val="1"/>
          <w:sz w:val="22"/>
          <w:szCs w:val="22"/>
        </w:rPr>
        <w:t>SEPTIEMBRE DE 2019</w:t>
      </w:r>
    </w:p>
    <w:p w14:paraId="27AD925E" w14:textId="77777777" w:rsidR="004D5C5B" w:rsidRPr="00910135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</w:t>
      </w:r>
      <w:r w:rsidRPr="00910135">
        <w:rPr>
          <w:snapToGrid w:val="0"/>
          <w:sz w:val="22"/>
          <w:szCs w:val="22"/>
        </w:rPr>
        <w:t>lasificación por destino</w:t>
      </w:r>
    </w:p>
    <w:p w14:paraId="48D4E169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498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9"/>
        <w:gridCol w:w="1119"/>
        <w:gridCol w:w="1122"/>
        <w:gridCol w:w="1122"/>
        <w:gridCol w:w="1122"/>
        <w:gridCol w:w="1122"/>
        <w:gridCol w:w="1122"/>
      </w:tblGrid>
      <w:tr w:rsidR="0044294A" w:rsidRPr="00A9663B" w14:paraId="0C395B59" w14:textId="77777777" w:rsidTr="002227CF">
        <w:trPr>
          <w:trHeight w:val="255"/>
          <w:jc w:val="center"/>
        </w:trPr>
        <w:tc>
          <w:tcPr>
            <w:tcW w:w="261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3BD0903" w14:textId="77777777" w:rsidR="0044294A" w:rsidRPr="00A9663B" w:rsidRDefault="0044294A" w:rsidP="002227C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3363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60FA1F7" w14:textId="77777777" w:rsidR="0044294A" w:rsidRPr="00A9663B" w:rsidRDefault="0044294A" w:rsidP="002227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mensual</w:t>
            </w:r>
          </w:p>
        </w:tc>
        <w:tc>
          <w:tcPr>
            <w:tcW w:w="336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0C54D75" w14:textId="77777777" w:rsidR="0044294A" w:rsidRPr="00A9663B" w:rsidRDefault="0044294A" w:rsidP="002227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C51721">
              <w:rPr>
                <w:bCs/>
                <w:color w:val="000000"/>
                <w:sz w:val="16"/>
                <w:szCs w:val="16"/>
                <w:vertAlign w:val="superscript"/>
              </w:rPr>
              <w:t>/</w:t>
            </w:r>
          </w:p>
        </w:tc>
      </w:tr>
      <w:tr w:rsidR="0044294A" w:rsidRPr="00A9663B" w14:paraId="6CC776C4" w14:textId="77777777" w:rsidTr="002227CF">
        <w:trPr>
          <w:trHeight w:val="255"/>
          <w:jc w:val="center"/>
        </w:trPr>
        <w:tc>
          <w:tcPr>
            <w:tcW w:w="261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F7210A5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9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5F53CF8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Mercancías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C30C452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5E8498C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B5A2579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Mercancías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C5C73D8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1D4D3A0" w14:textId="77777777" w:rsidR="0044294A" w:rsidRPr="00A9663B" w:rsidRDefault="0044294A" w:rsidP="002227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44294A" w:rsidRPr="00807273" w14:paraId="3DA86891" w14:textId="77777777" w:rsidTr="002227CF">
        <w:trPr>
          <w:trHeight w:val="227"/>
          <w:jc w:val="center"/>
        </w:trPr>
        <w:tc>
          <w:tcPr>
            <w:tcW w:w="261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B242EA5" w14:textId="77777777" w:rsidR="0044294A" w:rsidRPr="00841586" w:rsidRDefault="0044294A" w:rsidP="002227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INPP </w:t>
            </w:r>
          </w:p>
        </w:tc>
        <w:tc>
          <w:tcPr>
            <w:tcW w:w="1119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61E4A14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30CCED1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66CA9F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77ED11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3.34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2CE4B3E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3.69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29477E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3.48</w:t>
            </w:r>
          </w:p>
        </w:tc>
      </w:tr>
      <w:tr w:rsidR="0044294A" w:rsidRPr="00841586" w14:paraId="100F566E" w14:textId="77777777" w:rsidTr="002227CF">
        <w:trPr>
          <w:trHeight w:val="227"/>
          <w:jc w:val="center"/>
        </w:trPr>
        <w:tc>
          <w:tcPr>
            <w:tcW w:w="261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0C05A92" w14:textId="77777777" w:rsidR="0044294A" w:rsidRPr="00841586" w:rsidRDefault="0044294A" w:rsidP="002227CF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Demanda interna </w:t>
            </w:r>
          </w:p>
        </w:tc>
        <w:tc>
          <w:tcPr>
            <w:tcW w:w="1119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E5F48FC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87FE35B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D421085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A809ED3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2.70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59DCB2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3.66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9745C8D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3.16</w:t>
            </w:r>
          </w:p>
        </w:tc>
      </w:tr>
      <w:tr w:rsidR="0044294A" w:rsidRPr="00841586" w14:paraId="2AB0CE5F" w14:textId="77777777" w:rsidTr="002227CF">
        <w:trPr>
          <w:trHeight w:val="227"/>
          <w:jc w:val="center"/>
        </w:trPr>
        <w:tc>
          <w:tcPr>
            <w:tcW w:w="261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7737F32" w14:textId="77777777" w:rsidR="0044294A" w:rsidRPr="00841586" w:rsidRDefault="0044294A" w:rsidP="002227CF">
            <w:pPr>
              <w:autoSpaceDE w:val="0"/>
              <w:autoSpaceDN w:val="0"/>
              <w:adjustRightInd w:val="0"/>
              <w:ind w:left="227"/>
              <w:rPr>
                <w:color w:val="000000"/>
                <w:sz w:val="14"/>
                <w:szCs w:val="14"/>
                <w:vertAlign w:val="superscript"/>
              </w:rPr>
            </w:pPr>
            <w:r w:rsidRPr="00841586">
              <w:rPr>
                <w:color w:val="000000"/>
                <w:sz w:val="14"/>
                <w:szCs w:val="14"/>
              </w:rPr>
              <w:t xml:space="preserve">Consumo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1119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4E374B5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807273">
              <w:rPr>
                <w:bCs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50131E7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807273">
              <w:rPr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9E41ED9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807273">
              <w:rPr>
                <w:bCs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801996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807273">
              <w:rPr>
                <w:bCs/>
                <w:color w:val="000000"/>
                <w:sz w:val="14"/>
                <w:szCs w:val="14"/>
              </w:rPr>
              <w:t>3.35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627685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807273">
              <w:rPr>
                <w:bCs/>
                <w:color w:val="000000"/>
                <w:sz w:val="14"/>
                <w:szCs w:val="14"/>
              </w:rPr>
              <w:t>3.73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C699CC9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807273">
              <w:rPr>
                <w:bCs/>
                <w:color w:val="000000"/>
                <w:sz w:val="14"/>
                <w:szCs w:val="14"/>
              </w:rPr>
              <w:t>3.58</w:t>
            </w:r>
          </w:p>
        </w:tc>
      </w:tr>
      <w:tr w:rsidR="0044294A" w:rsidRPr="00841586" w14:paraId="5169AC2F" w14:textId="77777777" w:rsidTr="002227CF">
        <w:trPr>
          <w:trHeight w:val="227"/>
          <w:jc w:val="center"/>
        </w:trPr>
        <w:tc>
          <w:tcPr>
            <w:tcW w:w="261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BE9D605" w14:textId="77777777" w:rsidR="0044294A" w:rsidRPr="00841586" w:rsidRDefault="0044294A" w:rsidP="002227CF">
            <w:pPr>
              <w:autoSpaceDE w:val="0"/>
              <w:autoSpaceDN w:val="0"/>
              <w:adjustRightInd w:val="0"/>
              <w:ind w:left="227"/>
              <w:rPr>
                <w:color w:val="000000"/>
                <w:sz w:val="14"/>
                <w:szCs w:val="14"/>
              </w:rPr>
            </w:pPr>
            <w:r w:rsidRPr="00841586">
              <w:rPr>
                <w:color w:val="000000"/>
                <w:sz w:val="14"/>
                <w:szCs w:val="14"/>
              </w:rPr>
              <w:t xml:space="preserve">Formación de capital </w:t>
            </w:r>
          </w:p>
        </w:tc>
        <w:tc>
          <w:tcPr>
            <w:tcW w:w="1119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4C470E8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807273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F2C4E1E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807273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1BDCCF0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807273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96BC65D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807273">
              <w:rPr>
                <w:bCs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6A5B9F2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807273">
              <w:rPr>
                <w:bCs/>
                <w:color w:val="000000"/>
                <w:sz w:val="14"/>
                <w:szCs w:val="14"/>
              </w:rPr>
              <w:t>1.58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DB62CA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807273">
              <w:rPr>
                <w:bCs/>
                <w:color w:val="000000"/>
                <w:sz w:val="14"/>
                <w:szCs w:val="14"/>
              </w:rPr>
              <w:t>1.91</w:t>
            </w:r>
          </w:p>
        </w:tc>
      </w:tr>
      <w:tr w:rsidR="0044294A" w:rsidRPr="00841586" w14:paraId="127D2874" w14:textId="77777777" w:rsidTr="002227CF">
        <w:trPr>
          <w:trHeight w:val="227"/>
          <w:jc w:val="center"/>
        </w:trPr>
        <w:tc>
          <w:tcPr>
            <w:tcW w:w="261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DFF67E1" w14:textId="77777777" w:rsidR="0044294A" w:rsidRPr="00841586" w:rsidRDefault="0044294A" w:rsidP="002227CF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Exportaciones </w:t>
            </w:r>
          </w:p>
        </w:tc>
        <w:tc>
          <w:tcPr>
            <w:tcW w:w="1119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A4116A7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E0EDE6F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B781307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7ED10F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4.14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426D3F1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3.70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09D6D76" w14:textId="77777777" w:rsidR="0044294A" w:rsidRPr="00807273" w:rsidRDefault="0044294A" w:rsidP="002227CF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07273">
              <w:rPr>
                <w:b/>
                <w:bCs/>
                <w:color w:val="000000"/>
                <w:sz w:val="14"/>
                <w:szCs w:val="14"/>
              </w:rPr>
              <w:t>4.24</w:t>
            </w:r>
          </w:p>
        </w:tc>
      </w:tr>
    </w:tbl>
    <w:p w14:paraId="288C6073" w14:textId="77777777" w:rsidR="0054304E" w:rsidRDefault="0054304E" w:rsidP="0054304E">
      <w:pPr>
        <w:widowControl w:val="0"/>
        <w:autoSpaceDE w:val="0"/>
        <w:autoSpaceDN w:val="0"/>
        <w:adjustRightInd w:val="0"/>
        <w:ind w:left="283" w:right="113" w:hanging="170"/>
        <w:rPr>
          <w:sz w:val="16"/>
          <w:szCs w:val="18"/>
          <w:vertAlign w:val="superscript"/>
        </w:rPr>
      </w:pPr>
      <w:r>
        <w:rPr>
          <w:sz w:val="16"/>
          <w:szCs w:val="14"/>
          <w:vertAlign w:val="superscript"/>
        </w:rPr>
        <w:t>1</w:t>
      </w:r>
      <w:r w:rsidRPr="008D68CA">
        <w:rPr>
          <w:sz w:val="16"/>
          <w:szCs w:val="14"/>
          <w:vertAlign w:val="superscript"/>
        </w:rPr>
        <w:t>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>de 2019</w:t>
      </w:r>
      <w:r w:rsidRPr="008D68CA">
        <w:rPr>
          <w:sz w:val="14"/>
          <w:szCs w:val="14"/>
        </w:rPr>
        <w:t xml:space="preserve"> se continuarán comparando con el índice de la base anterior</w:t>
      </w:r>
      <w:r>
        <w:rPr>
          <w:sz w:val="14"/>
          <w:szCs w:val="14"/>
        </w:rPr>
        <w:t>.</w:t>
      </w:r>
    </w:p>
    <w:p w14:paraId="2C5CD639" w14:textId="77777777" w:rsidR="0054304E" w:rsidRPr="003F5E65" w:rsidRDefault="0054304E" w:rsidP="0054304E">
      <w:pPr>
        <w:widowControl w:val="0"/>
        <w:autoSpaceDE w:val="0"/>
        <w:autoSpaceDN w:val="0"/>
        <w:adjustRightInd w:val="0"/>
        <w:ind w:left="283" w:right="113" w:hanging="170"/>
        <w:rPr>
          <w:sz w:val="14"/>
          <w:szCs w:val="16"/>
        </w:rPr>
      </w:pPr>
      <w:r>
        <w:rPr>
          <w:sz w:val="16"/>
          <w:szCs w:val="18"/>
          <w:vertAlign w:val="superscript"/>
        </w:rPr>
        <w:t>2</w:t>
      </w:r>
      <w:r w:rsidRPr="003F5E65">
        <w:rPr>
          <w:sz w:val="16"/>
          <w:szCs w:val="18"/>
          <w:vertAlign w:val="superscript"/>
        </w:rPr>
        <w:t>/</w:t>
      </w:r>
      <w:r w:rsidRPr="003F5E65">
        <w:rPr>
          <w:sz w:val="14"/>
          <w:szCs w:val="16"/>
        </w:rPr>
        <w:tab/>
        <w:t>Consumo privado más consumo de gobierno individualizado.</w:t>
      </w:r>
    </w:p>
    <w:p w14:paraId="3ED54038" w14:textId="77777777" w:rsidR="004D5C5B" w:rsidRDefault="004D5C5B" w:rsidP="004D5C5B">
      <w:pPr>
        <w:autoSpaceDE w:val="0"/>
        <w:autoSpaceDN w:val="0"/>
        <w:adjustRightInd w:val="0"/>
        <w:spacing w:before="480"/>
        <w:rPr>
          <w:b/>
          <w:snapToGrid w:val="0"/>
        </w:rPr>
      </w:pPr>
      <w:r>
        <w:rPr>
          <w:b/>
          <w:snapToGrid w:val="0"/>
        </w:rPr>
        <w:t>Ge</w:t>
      </w:r>
      <w:r w:rsidRPr="00362589">
        <w:rPr>
          <w:b/>
          <w:snapToGrid w:val="0"/>
        </w:rPr>
        <w:t xml:space="preserve">néricos que </w:t>
      </w:r>
      <w:r>
        <w:rPr>
          <w:b/>
          <w:snapToGrid w:val="0"/>
        </w:rPr>
        <w:t xml:space="preserve">más </w:t>
      </w:r>
      <w:r w:rsidRPr="00362589">
        <w:rPr>
          <w:b/>
          <w:snapToGrid w:val="0"/>
        </w:rPr>
        <w:t xml:space="preserve">influyeron en el </w:t>
      </w:r>
      <w:r>
        <w:rPr>
          <w:b/>
          <w:snapToGrid w:val="0"/>
        </w:rPr>
        <w:t xml:space="preserve">resultado del </w:t>
      </w:r>
      <w:r w:rsidRPr="00362589">
        <w:rPr>
          <w:b/>
          <w:snapToGrid w:val="0"/>
        </w:rPr>
        <w:t xml:space="preserve">INPP </w:t>
      </w:r>
      <w:r>
        <w:rPr>
          <w:b/>
          <w:snapToGrid w:val="0"/>
        </w:rPr>
        <w:t xml:space="preserve">Total, </w:t>
      </w:r>
      <w:r w:rsidRPr="00DF30A4">
        <w:rPr>
          <w:b/>
          <w:snapToGrid w:val="0"/>
          <w:u w:val="single"/>
        </w:rPr>
        <w:t>incluyendo petróleo</w:t>
      </w:r>
      <w:r>
        <w:rPr>
          <w:b/>
          <w:snapToGrid w:val="0"/>
        </w:rPr>
        <w:t xml:space="preserve"> </w:t>
      </w:r>
    </w:p>
    <w:p w14:paraId="160D76EB" w14:textId="06509CDD" w:rsidR="004D5C5B" w:rsidRPr="00875DDC" w:rsidRDefault="004D5C5B" w:rsidP="004D5C5B">
      <w:pPr>
        <w:widowControl w:val="0"/>
        <w:autoSpaceDE w:val="0"/>
        <w:autoSpaceDN w:val="0"/>
        <w:adjustRightInd w:val="0"/>
        <w:spacing w:before="120"/>
        <w:rPr>
          <w:snapToGrid w:val="0"/>
        </w:rPr>
      </w:pPr>
      <w:r w:rsidRPr="00970E13">
        <w:rPr>
          <w:snapToGrid w:val="0"/>
        </w:rPr>
        <w:t>Las variaciones de precios de los productos genéricos que destacaron por su contribución al comportam</w:t>
      </w:r>
      <w:r>
        <w:rPr>
          <w:snapToGrid w:val="0"/>
        </w:rPr>
        <w:t xml:space="preserve">iento mensual del INPP Total, </w:t>
      </w:r>
      <w:r w:rsidRPr="00DF30A4">
        <w:rPr>
          <w:snapToGrid w:val="0"/>
          <w:u w:val="single"/>
        </w:rPr>
        <w:t>incluyendo petróleo</w:t>
      </w:r>
      <w:r w:rsidRPr="00970E13">
        <w:rPr>
          <w:snapToGrid w:val="0"/>
        </w:rPr>
        <w:t xml:space="preserve">, </w:t>
      </w:r>
      <w:r>
        <w:rPr>
          <w:snapToGrid w:val="0"/>
        </w:rPr>
        <w:t>durante</w:t>
      </w:r>
      <w:r w:rsidRPr="00970E13">
        <w:rPr>
          <w:snapToGrid w:val="0"/>
        </w:rPr>
        <w:t xml:space="preserve"> </w:t>
      </w:r>
      <w:r>
        <w:rPr>
          <w:snapToGrid w:val="0"/>
        </w:rPr>
        <w:t>septiembre</w:t>
      </w:r>
      <w:r w:rsidRPr="00970E13">
        <w:rPr>
          <w:snapToGrid w:val="0"/>
        </w:rPr>
        <w:t xml:space="preserve"> de </w:t>
      </w:r>
      <w:r w:rsidR="00126792">
        <w:rPr>
          <w:snapToGrid w:val="0"/>
        </w:rPr>
        <w:t>este año</w:t>
      </w:r>
      <w:r w:rsidRPr="00970E13">
        <w:rPr>
          <w:snapToGrid w:val="0"/>
        </w:rPr>
        <w:t>, se muestran en el cuadro siguiente</w:t>
      </w:r>
      <w:r>
        <w:rPr>
          <w:snapToGrid w:val="0"/>
        </w:rPr>
        <w:t>:</w:t>
      </w:r>
    </w:p>
    <w:p w14:paraId="1D97CF4B" w14:textId="77777777" w:rsidR="004D5C5B" w:rsidRDefault="004D5C5B" w:rsidP="004D5C5B">
      <w:pPr>
        <w:jc w:val="lef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br w:type="page"/>
      </w:r>
    </w:p>
    <w:p w14:paraId="63F83361" w14:textId="77777777" w:rsidR="004D5C5B" w:rsidRPr="000118A3" w:rsidRDefault="004D5C5B" w:rsidP="004D5C5B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 w:rsidRPr="00742534">
        <w:rPr>
          <w:snapToGrid w:val="0"/>
          <w:sz w:val="20"/>
          <w:szCs w:val="20"/>
        </w:rPr>
        <w:lastRenderedPageBreak/>
        <w:t xml:space="preserve">Cuadro </w:t>
      </w:r>
      <w:r>
        <w:rPr>
          <w:snapToGrid w:val="0"/>
          <w:sz w:val="20"/>
          <w:szCs w:val="20"/>
        </w:rPr>
        <w:t>14</w:t>
      </w:r>
    </w:p>
    <w:p w14:paraId="43D806DA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518BA147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DF30A4">
        <w:rPr>
          <w:b/>
          <w:snapToGrid w:val="0"/>
          <w:sz w:val="22"/>
          <w:szCs w:val="22"/>
          <w:u w:val="single"/>
        </w:rPr>
        <w:t>INCLUYENDO PETRÓLEO</w:t>
      </w:r>
      <w:r w:rsidRPr="00875DDC">
        <w:rPr>
          <w:b/>
          <w:snapToGrid w:val="0"/>
          <w:sz w:val="22"/>
          <w:szCs w:val="22"/>
        </w:rPr>
        <w:t>, DURANTE</w:t>
      </w:r>
      <w:r w:rsidRPr="00875DDC"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>SEPTIEMBRE DE 2019</w:t>
      </w:r>
    </w:p>
    <w:p w14:paraId="74B6F097" w14:textId="5389EC87" w:rsidR="004D5C5B" w:rsidRDefault="004D5C5B" w:rsidP="004D5C5B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3F5E65">
        <w:rPr>
          <w:bCs/>
          <w:color w:val="000000"/>
          <w:sz w:val="22"/>
          <w:szCs w:val="22"/>
        </w:rPr>
        <w:t>Genéricos con mayor incidencia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6"/>
        <w:gridCol w:w="926"/>
        <w:gridCol w:w="925"/>
        <w:gridCol w:w="2825"/>
        <w:gridCol w:w="942"/>
        <w:gridCol w:w="942"/>
      </w:tblGrid>
      <w:tr w:rsidR="0099003F" w:rsidRPr="00A9663B" w14:paraId="2F9C9498" w14:textId="77777777" w:rsidTr="002227CF">
        <w:trPr>
          <w:trHeight w:val="454"/>
          <w:jc w:val="center"/>
        </w:trPr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94F4FFE" w14:textId="77777777" w:rsidR="0099003F" w:rsidRPr="00A9663B" w:rsidRDefault="0099003F" w:rsidP="002227C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Productos con precios al alza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2BCA488" w14:textId="77777777" w:rsidR="0099003F" w:rsidRPr="00A9663B" w:rsidRDefault="0099003F" w:rsidP="002227CF">
            <w:pPr>
              <w:autoSpaceDE w:val="0"/>
              <w:autoSpaceDN w:val="0"/>
              <w:adjustRightInd w:val="0"/>
              <w:ind w:left="-88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% mensual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3A00C668" w14:textId="77777777" w:rsidR="0099003F" w:rsidRPr="00A9663B" w:rsidRDefault="0099003F" w:rsidP="002227CF">
            <w:pPr>
              <w:autoSpaceDE w:val="0"/>
              <w:autoSpaceDN w:val="0"/>
              <w:adjustRightInd w:val="0"/>
              <w:ind w:left="-57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Incidencia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</w:rPr>
              <w:t xml:space="preserve"> mensual</w:t>
            </w:r>
          </w:p>
        </w:tc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AC844D2" w14:textId="77777777" w:rsidR="0099003F" w:rsidRPr="00A9663B" w:rsidRDefault="0099003F" w:rsidP="002227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Productos con precios a la baja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vAlign w:val="center"/>
          </w:tcPr>
          <w:p w14:paraId="0004F93F" w14:textId="77777777" w:rsidR="0099003F" w:rsidRPr="00A9663B" w:rsidRDefault="0099003F" w:rsidP="002227CF">
            <w:pPr>
              <w:autoSpaceDE w:val="0"/>
              <w:autoSpaceDN w:val="0"/>
              <w:adjustRightInd w:val="0"/>
              <w:ind w:left="-55" w:right="-63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% mensual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59DA87E7" w14:textId="77777777" w:rsidR="0099003F" w:rsidRPr="00A9663B" w:rsidRDefault="0099003F" w:rsidP="002227CF">
            <w:pPr>
              <w:autoSpaceDE w:val="0"/>
              <w:autoSpaceDN w:val="0"/>
              <w:adjustRightInd w:val="0"/>
              <w:ind w:left="-55" w:right="-63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Incidencia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</w:rPr>
              <w:t xml:space="preserve"> mensual</w:t>
            </w:r>
          </w:p>
        </w:tc>
      </w:tr>
      <w:tr w:rsidR="0099003F" w:rsidRPr="00841586" w14:paraId="3BB54577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4FD4D3C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Petróleo crudo 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488AB40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14.90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A1E6F6C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0.346</w:t>
            </w:r>
          </w:p>
        </w:tc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CA54C69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Transporte aéreo de pasajeros 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C71519B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-6.16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2546BB8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-0.030</w:t>
            </w:r>
          </w:p>
        </w:tc>
      </w:tr>
      <w:tr w:rsidR="0099003F" w:rsidRPr="00841586" w14:paraId="3A955325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436B4FB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Aves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1C9D75A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31.55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7576D31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0.206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004ADF1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Notarios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E91D8C8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-12.71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C364F84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-0.026</w:t>
            </w:r>
          </w:p>
        </w:tc>
      </w:tr>
      <w:tr w:rsidR="0099003F" w:rsidRPr="00841586" w14:paraId="3281EAC0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DA38444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Cobre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515E5AA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418971B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0.050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E69B34F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Lámina de acero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810C8FF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-3.49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6FBBCAB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-0.014</w:t>
            </w:r>
          </w:p>
        </w:tc>
      </w:tr>
      <w:tr w:rsidR="0099003F" w:rsidRPr="00841586" w14:paraId="58E67E23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D17A0B1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Plata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E7C7114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7.07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70AF0BF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0.045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9C2991E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Aguacate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978E38C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-6.32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DBE4EEC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-0.013</w:t>
            </w:r>
          </w:p>
        </w:tc>
      </w:tr>
      <w:tr w:rsidR="0099003F" w:rsidRPr="00841586" w14:paraId="386D014E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D81ECB8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Primaria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C6306D1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4.17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094DB4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0.041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5F6BAB2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Otros petrolíferos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65235E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-2.32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40AABC8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-0.012</w:t>
            </w:r>
          </w:p>
        </w:tc>
      </w:tr>
      <w:tr w:rsidR="0099003F" w:rsidRPr="00841586" w14:paraId="0DD1B49A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8D7EB85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Secundaria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E733385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3.89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48C45DD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461133D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Hoteles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B2BF0D7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-1.34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FC32E3D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-0.012</w:t>
            </w:r>
          </w:p>
        </w:tc>
      </w:tr>
      <w:tr w:rsidR="0099003F" w:rsidRPr="00841586" w14:paraId="0B331889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10A34A3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Preprimaria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F923000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4.94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6484138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CFAFDA5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Combustóleo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3E1B042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-8.34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4339DA2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-0.009</w:t>
            </w:r>
          </w:p>
        </w:tc>
      </w:tr>
      <w:tr w:rsidR="0099003F" w:rsidRPr="00841586" w14:paraId="1B7A888A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240FA97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Vivienda propia y rentada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1DA3CE2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C5E95A0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39EE7B4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Carne de ave en canal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22BB04B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-0.69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1170728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-0.009</w:t>
            </w:r>
          </w:p>
        </w:tc>
      </w:tr>
      <w:tr w:rsidR="0099003F" w:rsidRPr="00841586" w14:paraId="32E4BF6B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6D4C51D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Oro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B9ABF1A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AA232EC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B883F8F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Lingote y plancha de acero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4FB10CA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-6.34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EBFE5EE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-0.008</w:t>
            </w:r>
          </w:p>
        </w:tc>
      </w:tr>
      <w:tr w:rsidR="0099003F" w:rsidRPr="00841586" w14:paraId="2B6A0058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C902B30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Autotransporte de carga general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1D59693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9FE397A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8EFE060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Electricidad industrial en media tensión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57FA1A8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-0.73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C69A19D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-0.007</w:t>
            </w:r>
          </w:p>
        </w:tc>
      </w:tr>
      <w:tr w:rsidR="0099003F" w:rsidRPr="00841586" w14:paraId="4056F990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C9BF0A2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Diesel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56B4754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F9C1824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256E084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Autobús foráneo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9EFEDB7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7F3D14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-0.005</w:t>
            </w:r>
          </w:p>
        </w:tc>
      </w:tr>
      <w:tr w:rsidR="0099003F" w:rsidRPr="00841586" w14:paraId="6E3EAD62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3B0E639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Comida rápida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47CFB8A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2.38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CAA704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E75FBAE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Edificación residencial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F44F0AA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D19B45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-0.003</w:t>
            </w:r>
          </w:p>
        </w:tc>
      </w:tr>
      <w:tr w:rsidR="0099003F" w:rsidRPr="00841586" w14:paraId="0D31328D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58E8A99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Construcc</w:t>
            </w:r>
            <w:r>
              <w:rPr>
                <w:color w:val="000000"/>
                <w:sz w:val="14"/>
                <w:szCs w:val="14"/>
              </w:rPr>
              <w:t xml:space="preserve">ión de obras viales y para el </w:t>
            </w:r>
            <w:r w:rsidRPr="00F840A6">
              <w:rPr>
                <w:color w:val="000000"/>
                <w:sz w:val="14"/>
                <w:szCs w:val="14"/>
              </w:rPr>
              <w:t>autotransporte</w:t>
            </w:r>
            <w:r w:rsidRPr="00BD62AF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868157A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0CD9F0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411A654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Cebolla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426ABB2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-9.13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A95BAEE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-0.003</w:t>
            </w:r>
          </w:p>
        </w:tc>
      </w:tr>
      <w:tr w:rsidR="0099003F" w:rsidRPr="00841586" w14:paraId="1DBABD03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36D08E4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Jitomate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8FAD91C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10.61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A67EF8C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05DA8C0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Varilla corrugada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41F8DE3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-2.39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99329E2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-0.003</w:t>
            </w:r>
          </w:p>
        </w:tc>
      </w:tr>
      <w:tr w:rsidR="0099003F" w:rsidRPr="00841586" w14:paraId="6B77476A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FF1E3F3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Universidad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DC29C2C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DEE14FB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1A7C896" w14:textId="77777777" w:rsidR="0099003F" w:rsidRPr="00BD62AF" w:rsidRDefault="0099003F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 xml:space="preserve">Agencias de viajes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CC6EF71" w14:textId="77777777" w:rsidR="0099003F" w:rsidRPr="00BD62AF" w:rsidRDefault="0099003F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BD62AF">
              <w:rPr>
                <w:bCs/>
                <w:color w:val="000000"/>
                <w:sz w:val="14"/>
                <w:szCs w:val="14"/>
              </w:rPr>
              <w:t>-3.24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DCB0CB" w14:textId="77777777" w:rsidR="0099003F" w:rsidRPr="00BD62AF" w:rsidRDefault="0099003F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BD62AF">
              <w:rPr>
                <w:color w:val="000000"/>
                <w:sz w:val="14"/>
                <w:szCs w:val="14"/>
              </w:rPr>
              <w:t>-0.003</w:t>
            </w:r>
          </w:p>
        </w:tc>
      </w:tr>
    </w:tbl>
    <w:p w14:paraId="71658050" w14:textId="77777777" w:rsidR="0054304E" w:rsidRDefault="0054304E" w:rsidP="0054304E">
      <w:pPr>
        <w:autoSpaceDE w:val="0"/>
        <w:autoSpaceDN w:val="0"/>
        <w:adjustRightInd w:val="0"/>
        <w:ind w:left="294" w:hanging="154"/>
        <w:jc w:val="left"/>
        <w:rPr>
          <w:sz w:val="14"/>
          <w:szCs w:val="16"/>
        </w:rPr>
      </w:pPr>
      <w:r w:rsidRPr="003F5E65">
        <w:rPr>
          <w:sz w:val="16"/>
          <w:szCs w:val="18"/>
          <w:vertAlign w:val="superscript"/>
        </w:rPr>
        <w:t>1/</w:t>
      </w:r>
      <w:r w:rsidRPr="003F5E65">
        <w:rPr>
          <w:sz w:val="16"/>
          <w:szCs w:val="18"/>
          <w:vertAlign w:val="superscript"/>
        </w:rPr>
        <w:tab/>
      </w:r>
      <w:r w:rsidRPr="001E4D9A">
        <w:rPr>
          <w:sz w:val="14"/>
          <w:szCs w:val="16"/>
        </w:rPr>
        <w:t>La incidencia se refiere a la contribución en puntos porcentuales de cada componente del INPP en la variación porcentual del índice general. Ésta se calcula utilizando los ponderadores de cada subíndice, así como los precios relativos y sus respectivas variaciones.</w:t>
      </w:r>
    </w:p>
    <w:p w14:paraId="0322B599" w14:textId="77777777" w:rsidR="004D5C5B" w:rsidRDefault="004D5C5B" w:rsidP="004D5C5B">
      <w:pPr>
        <w:autoSpaceDE w:val="0"/>
        <w:autoSpaceDN w:val="0"/>
        <w:adjustRightInd w:val="0"/>
        <w:spacing w:before="480"/>
        <w:rPr>
          <w:b/>
          <w:snapToGrid w:val="0"/>
        </w:rPr>
      </w:pPr>
      <w:r>
        <w:rPr>
          <w:b/>
          <w:snapToGrid w:val="0"/>
        </w:rPr>
        <w:t>Ge</w:t>
      </w:r>
      <w:r w:rsidRPr="00362589">
        <w:rPr>
          <w:b/>
          <w:snapToGrid w:val="0"/>
        </w:rPr>
        <w:t xml:space="preserve">néricos que </w:t>
      </w:r>
      <w:r>
        <w:rPr>
          <w:b/>
          <w:snapToGrid w:val="0"/>
        </w:rPr>
        <w:t xml:space="preserve">más </w:t>
      </w:r>
      <w:r w:rsidRPr="00362589">
        <w:rPr>
          <w:b/>
          <w:snapToGrid w:val="0"/>
        </w:rPr>
        <w:t xml:space="preserve">influyeron en el </w:t>
      </w:r>
      <w:r>
        <w:rPr>
          <w:b/>
          <w:snapToGrid w:val="0"/>
        </w:rPr>
        <w:t xml:space="preserve">resultado del </w:t>
      </w:r>
      <w:r w:rsidRPr="00362589">
        <w:rPr>
          <w:b/>
          <w:snapToGrid w:val="0"/>
        </w:rPr>
        <w:t xml:space="preserve">INPP </w:t>
      </w:r>
      <w:r>
        <w:rPr>
          <w:b/>
          <w:snapToGrid w:val="0"/>
        </w:rPr>
        <w:t xml:space="preserve">Total, </w:t>
      </w:r>
      <w:r w:rsidRPr="00C300D3">
        <w:rPr>
          <w:b/>
          <w:snapToGrid w:val="0"/>
          <w:u w:val="single"/>
        </w:rPr>
        <w:t>excluyendo petróleo</w:t>
      </w:r>
      <w:r>
        <w:rPr>
          <w:b/>
          <w:snapToGrid w:val="0"/>
        </w:rPr>
        <w:t xml:space="preserve"> </w:t>
      </w:r>
    </w:p>
    <w:p w14:paraId="659D5F82" w14:textId="5436A497" w:rsidR="004D5C5B" w:rsidRPr="00875DDC" w:rsidRDefault="00126792" w:rsidP="004D5C5B">
      <w:pPr>
        <w:widowControl w:val="0"/>
        <w:autoSpaceDE w:val="0"/>
        <w:autoSpaceDN w:val="0"/>
        <w:adjustRightInd w:val="0"/>
        <w:spacing w:before="120"/>
        <w:rPr>
          <w:snapToGrid w:val="0"/>
        </w:rPr>
      </w:pPr>
      <w:r>
        <w:rPr>
          <w:snapToGrid w:val="0"/>
        </w:rPr>
        <w:t>G</w:t>
      </w:r>
      <w:r w:rsidR="004D5C5B" w:rsidRPr="00970E13">
        <w:rPr>
          <w:snapToGrid w:val="0"/>
        </w:rPr>
        <w:t xml:space="preserve">enéricos que </w:t>
      </w:r>
      <w:r>
        <w:rPr>
          <w:snapToGrid w:val="0"/>
        </w:rPr>
        <w:t xml:space="preserve">más </w:t>
      </w:r>
      <w:r w:rsidR="004D5C5B" w:rsidRPr="00970E13">
        <w:rPr>
          <w:snapToGrid w:val="0"/>
        </w:rPr>
        <w:t xml:space="preserve">destacaron por su contribución al comportamiento mensual del INPP Total, </w:t>
      </w:r>
      <w:r w:rsidR="004D5C5B" w:rsidRPr="00863160">
        <w:rPr>
          <w:snapToGrid w:val="0"/>
          <w:u w:val="single"/>
        </w:rPr>
        <w:t>excluyendo petróleo</w:t>
      </w:r>
      <w:r w:rsidR="004D5C5B" w:rsidRPr="00970E13">
        <w:rPr>
          <w:snapToGrid w:val="0"/>
        </w:rPr>
        <w:t xml:space="preserve">, </w:t>
      </w:r>
      <w:r>
        <w:rPr>
          <w:snapToGrid w:val="0"/>
        </w:rPr>
        <w:t xml:space="preserve">en </w:t>
      </w:r>
      <w:r w:rsidR="004D5C5B">
        <w:rPr>
          <w:snapToGrid w:val="0"/>
        </w:rPr>
        <w:t>septiembre</w:t>
      </w:r>
      <w:r w:rsidR="004D5C5B" w:rsidRPr="00970E13">
        <w:rPr>
          <w:snapToGrid w:val="0"/>
        </w:rPr>
        <w:t xml:space="preserve"> de 2019</w:t>
      </w:r>
      <w:r w:rsidR="004D5C5B">
        <w:rPr>
          <w:snapToGrid w:val="0"/>
        </w:rPr>
        <w:t>:</w:t>
      </w:r>
    </w:p>
    <w:p w14:paraId="6165FB04" w14:textId="77777777" w:rsidR="004D5C5B" w:rsidRPr="00742534" w:rsidRDefault="004D5C5B" w:rsidP="004D5C5B">
      <w:pPr>
        <w:widowControl w:val="0"/>
        <w:autoSpaceDE w:val="0"/>
        <w:autoSpaceDN w:val="0"/>
        <w:adjustRightInd w:val="0"/>
        <w:spacing w:before="24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Cuadro 15</w:t>
      </w:r>
    </w:p>
    <w:p w14:paraId="205BB28E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78DDACDA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C300D3">
        <w:rPr>
          <w:b/>
          <w:snapToGrid w:val="0"/>
          <w:sz w:val="22"/>
          <w:szCs w:val="22"/>
          <w:u w:val="single"/>
        </w:rPr>
        <w:t>EXCLUYENDO PETRÓLEO</w:t>
      </w:r>
      <w:r w:rsidRPr="00875DDC">
        <w:rPr>
          <w:b/>
          <w:snapToGrid w:val="0"/>
          <w:sz w:val="22"/>
          <w:szCs w:val="22"/>
        </w:rPr>
        <w:t>, DURANTE</w:t>
      </w:r>
      <w:r w:rsidRPr="00875DDC"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>SEPTIEMBRE DE 2019</w:t>
      </w:r>
    </w:p>
    <w:p w14:paraId="6B3D1B08" w14:textId="77777777" w:rsidR="004D5C5B" w:rsidRDefault="004D5C5B" w:rsidP="004D5C5B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3F5E65">
        <w:rPr>
          <w:bCs/>
          <w:color w:val="000000"/>
          <w:sz w:val="22"/>
          <w:szCs w:val="22"/>
        </w:rPr>
        <w:t>Genéricos con mayor incidencia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6"/>
        <w:gridCol w:w="926"/>
        <w:gridCol w:w="925"/>
        <w:gridCol w:w="2825"/>
        <w:gridCol w:w="942"/>
        <w:gridCol w:w="942"/>
      </w:tblGrid>
      <w:tr w:rsidR="0044294A" w:rsidRPr="00A9663B" w14:paraId="7109D4EA" w14:textId="77777777" w:rsidTr="002227CF">
        <w:trPr>
          <w:trHeight w:val="454"/>
          <w:jc w:val="center"/>
        </w:trPr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50C2579" w14:textId="77777777" w:rsidR="0044294A" w:rsidRPr="00A9663B" w:rsidRDefault="0044294A" w:rsidP="002227CF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</w:rPr>
            </w:pPr>
            <w:bookmarkStart w:id="8" w:name="_Hlk2757980"/>
            <w:r w:rsidRPr="00A9663B">
              <w:rPr>
                <w:bCs/>
                <w:color w:val="000000"/>
                <w:sz w:val="16"/>
                <w:szCs w:val="16"/>
              </w:rPr>
              <w:t>Productos con precios al alza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E067185" w14:textId="77777777" w:rsidR="0044294A" w:rsidRPr="00A9663B" w:rsidRDefault="0044294A" w:rsidP="002227CF">
            <w:pPr>
              <w:autoSpaceDE w:val="0"/>
              <w:autoSpaceDN w:val="0"/>
              <w:adjustRightInd w:val="0"/>
              <w:ind w:left="-88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% mensual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783DB7A1" w14:textId="77777777" w:rsidR="0044294A" w:rsidRPr="00A9663B" w:rsidRDefault="0044294A" w:rsidP="002227CF">
            <w:pPr>
              <w:autoSpaceDE w:val="0"/>
              <w:autoSpaceDN w:val="0"/>
              <w:adjustRightInd w:val="0"/>
              <w:ind w:left="-57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Incidencia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</w:rPr>
              <w:t xml:space="preserve"> mensual</w:t>
            </w:r>
          </w:p>
        </w:tc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2BAA428" w14:textId="77777777" w:rsidR="0044294A" w:rsidRPr="00A9663B" w:rsidRDefault="0044294A" w:rsidP="002227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Productos con precios a la baja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vAlign w:val="center"/>
          </w:tcPr>
          <w:p w14:paraId="7D38785B" w14:textId="77777777" w:rsidR="0044294A" w:rsidRPr="00A9663B" w:rsidRDefault="0044294A" w:rsidP="002227CF">
            <w:pPr>
              <w:autoSpaceDE w:val="0"/>
              <w:autoSpaceDN w:val="0"/>
              <w:adjustRightInd w:val="0"/>
              <w:ind w:left="-55" w:right="-63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% mensual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7A6E3590" w14:textId="77777777" w:rsidR="0044294A" w:rsidRPr="00A9663B" w:rsidRDefault="0044294A" w:rsidP="002227CF">
            <w:pPr>
              <w:autoSpaceDE w:val="0"/>
              <w:autoSpaceDN w:val="0"/>
              <w:adjustRightInd w:val="0"/>
              <w:ind w:left="-55" w:right="-63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Incidencia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</w:rPr>
              <w:t xml:space="preserve"> mensual</w:t>
            </w:r>
          </w:p>
        </w:tc>
      </w:tr>
      <w:tr w:rsidR="0044294A" w:rsidRPr="00841586" w14:paraId="79A008E8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139FBBD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Aves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87B3656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31.55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9E04F51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0.211</w:t>
            </w:r>
          </w:p>
        </w:tc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D4FBA9A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Transporte aéreo de pasajeros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6B6A088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-6.16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7393B2D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-0.030</w:t>
            </w:r>
          </w:p>
        </w:tc>
      </w:tr>
      <w:tr w:rsidR="0044294A" w:rsidRPr="00841586" w14:paraId="0517607C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B82AB23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Plata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EEC251F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7.07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458F413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0.046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3984043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Notarios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2E62F7F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-12.71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3B8D6DB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-0.027</w:t>
            </w:r>
          </w:p>
        </w:tc>
      </w:tr>
      <w:tr w:rsidR="0044294A" w:rsidRPr="00841586" w14:paraId="33A6E9DE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CDD2F1D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Primaria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C6562F8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4.17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892B29D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0.042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EDB07E1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Lámina de acero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3CA0A39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-3.49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8F6EB1F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-0.015</w:t>
            </w:r>
          </w:p>
        </w:tc>
      </w:tr>
      <w:tr w:rsidR="0044294A" w:rsidRPr="00841586" w14:paraId="5B8640F7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566A8D1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Secundaria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E67121F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3.89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32F11F2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FD02CEF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Aguacate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0589343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-6.32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1631ED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-0.013</w:t>
            </w:r>
          </w:p>
        </w:tc>
      </w:tr>
      <w:tr w:rsidR="0044294A" w:rsidRPr="00841586" w14:paraId="5F325A7C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87724D6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Preprimaria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DCD0F2B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4.94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CBADE6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0.019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6DB431F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Otros petrolíferos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4AACBAF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-2.32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754E719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-0.012</w:t>
            </w:r>
          </w:p>
        </w:tc>
      </w:tr>
      <w:tr w:rsidR="0044294A" w:rsidRPr="00841586" w14:paraId="5CF12929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9C62DED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Vivienda propia y rentada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2DC9FA3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4E4EF14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DB4BB50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Hoteles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982DF3A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-1.34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CBA94F4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-0.012</w:t>
            </w:r>
          </w:p>
        </w:tc>
      </w:tr>
      <w:tr w:rsidR="0044294A" w:rsidRPr="00841586" w14:paraId="0637FCF6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AC4DF8A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Oro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DC07C36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C69FD9B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0.014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93302EB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Combustóleo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03C285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-8.34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C4A374B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-0.009</w:t>
            </w:r>
          </w:p>
        </w:tc>
      </w:tr>
      <w:tr w:rsidR="0044294A" w:rsidRPr="00841586" w14:paraId="0BD9F6F9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F00C23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Autotransporte de carga general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00E58FC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1786CDA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3F4AE9A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Carne de ave en canal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CDB27C1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-0.69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E9100D7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-0.009</w:t>
            </w:r>
          </w:p>
        </w:tc>
      </w:tr>
      <w:tr w:rsidR="0044294A" w:rsidRPr="00841586" w14:paraId="399891D5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3E47125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Diesel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D5653F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E99DC54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FA6766F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Lingote y plancha de acero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01A33CD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-6.34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8421126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-0.008</w:t>
            </w:r>
          </w:p>
        </w:tc>
      </w:tr>
      <w:tr w:rsidR="0044294A" w:rsidRPr="00841586" w14:paraId="123A57C7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1F669B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Comida rápida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8B01410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2.38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FE75CB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DF9A745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Electricidad industrial en media tensión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D92B039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-0.73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F7F505A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-0.007</w:t>
            </w:r>
          </w:p>
        </w:tc>
      </w:tr>
      <w:tr w:rsidR="0044294A" w:rsidRPr="00841586" w14:paraId="50CECBCB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34620EB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Construcción de obras viales y para el autotransporte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469B6FC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69D8C55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51D67DA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Autobús foráneo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4260144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-0.36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10B7D33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-0.005</w:t>
            </w:r>
          </w:p>
        </w:tc>
      </w:tr>
      <w:tr w:rsidR="0044294A" w:rsidRPr="00841586" w14:paraId="190D004F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86D026A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Jitomate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90263E9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10.61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BFE5D1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BE06CA6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Edificación residencial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BB50189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A08A774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-0.003</w:t>
            </w:r>
          </w:p>
        </w:tc>
      </w:tr>
      <w:tr w:rsidR="0044294A" w:rsidRPr="00841586" w14:paraId="2E78E502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2D19125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Universidad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CBA05FE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784BB09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A083956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Cebolla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88C75C0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-9.13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F8E3AF7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-0.003</w:t>
            </w:r>
          </w:p>
        </w:tc>
      </w:tr>
      <w:tr w:rsidR="0044294A" w:rsidRPr="00841586" w14:paraId="5279B42B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EF637F1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Limón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6CD1DEC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17.54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601CCDD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E1D03F0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Varilla corrugada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A2CFD3B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-2.39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AFBA1C3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-0.003</w:t>
            </w:r>
          </w:p>
        </w:tc>
      </w:tr>
      <w:tr w:rsidR="0044294A" w:rsidRPr="00841586" w14:paraId="173B1E8B" w14:textId="77777777" w:rsidTr="002227CF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201B90E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Computadoras y accesorios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72502FC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1F06088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DB3F2DD" w14:textId="77777777" w:rsidR="0044294A" w:rsidRPr="00173453" w:rsidRDefault="0044294A" w:rsidP="002227CF">
            <w:pPr>
              <w:ind w:left="57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Agencias de viajes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B78B745" w14:textId="77777777" w:rsidR="0044294A" w:rsidRPr="00173453" w:rsidRDefault="0044294A" w:rsidP="002227CF">
            <w:pPr>
              <w:autoSpaceDE w:val="0"/>
              <w:autoSpaceDN w:val="0"/>
              <w:adjustRightInd w:val="0"/>
              <w:ind w:right="284"/>
              <w:jc w:val="right"/>
              <w:rPr>
                <w:bCs/>
                <w:color w:val="000000"/>
                <w:sz w:val="14"/>
                <w:szCs w:val="14"/>
              </w:rPr>
            </w:pPr>
            <w:r w:rsidRPr="00173453">
              <w:rPr>
                <w:bCs/>
                <w:color w:val="000000"/>
                <w:sz w:val="14"/>
                <w:szCs w:val="14"/>
              </w:rPr>
              <w:t>-3.24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11B8147" w14:textId="77777777" w:rsidR="0044294A" w:rsidRPr="00173453" w:rsidRDefault="0044294A" w:rsidP="002227CF">
            <w:pPr>
              <w:ind w:left="57"/>
              <w:jc w:val="center"/>
              <w:rPr>
                <w:color w:val="000000"/>
                <w:sz w:val="14"/>
                <w:szCs w:val="14"/>
              </w:rPr>
            </w:pPr>
            <w:r w:rsidRPr="00173453">
              <w:rPr>
                <w:color w:val="000000"/>
                <w:sz w:val="14"/>
                <w:szCs w:val="14"/>
              </w:rPr>
              <w:t>-0.003</w:t>
            </w:r>
          </w:p>
        </w:tc>
      </w:tr>
    </w:tbl>
    <w:bookmarkEnd w:id="8"/>
    <w:p w14:paraId="2FA48EC3" w14:textId="77777777" w:rsidR="0054304E" w:rsidRDefault="0054304E" w:rsidP="0054304E">
      <w:pPr>
        <w:autoSpaceDE w:val="0"/>
        <w:autoSpaceDN w:val="0"/>
        <w:adjustRightInd w:val="0"/>
        <w:ind w:left="294" w:hanging="154"/>
        <w:jc w:val="left"/>
        <w:rPr>
          <w:sz w:val="14"/>
          <w:szCs w:val="16"/>
        </w:rPr>
      </w:pPr>
      <w:r w:rsidRPr="003F5E65">
        <w:rPr>
          <w:sz w:val="16"/>
          <w:szCs w:val="18"/>
          <w:vertAlign w:val="superscript"/>
        </w:rPr>
        <w:t>1/</w:t>
      </w:r>
      <w:r w:rsidRPr="003F5E65">
        <w:rPr>
          <w:sz w:val="16"/>
          <w:szCs w:val="18"/>
          <w:vertAlign w:val="superscript"/>
        </w:rPr>
        <w:tab/>
      </w:r>
      <w:r w:rsidRPr="001E4D9A">
        <w:rPr>
          <w:sz w:val="14"/>
          <w:szCs w:val="16"/>
        </w:rPr>
        <w:t>La incidencia se refiere a la contribución en puntos porcentuales de cada componente del INPP en la variación porcentual del índice general. Ésta se calcula utilizando los ponderadores de cada subíndice, así como los precios relativos y sus respectivas variaciones.</w:t>
      </w:r>
    </w:p>
    <w:p w14:paraId="298ECEDA" w14:textId="77777777" w:rsidR="004D5C5B" w:rsidRPr="00866182" w:rsidRDefault="004D5C5B" w:rsidP="004D5C5B">
      <w:pPr>
        <w:widowControl w:val="0"/>
        <w:autoSpaceDE w:val="0"/>
        <w:autoSpaceDN w:val="0"/>
        <w:adjustRightInd w:val="0"/>
        <w:spacing w:before="720"/>
        <w:rPr>
          <w:b/>
          <w:i/>
          <w:color w:val="000000" w:themeColor="text1"/>
        </w:rPr>
      </w:pPr>
      <w:r w:rsidRPr="00866182">
        <w:rPr>
          <w:b/>
          <w:i/>
          <w:color w:val="000000" w:themeColor="text1"/>
        </w:rPr>
        <w:lastRenderedPageBreak/>
        <w:t xml:space="preserve">Nota al usuario </w:t>
      </w:r>
    </w:p>
    <w:p w14:paraId="66A23BA3" w14:textId="77777777" w:rsidR="004D5C5B" w:rsidRPr="0054304E" w:rsidRDefault="004D5C5B" w:rsidP="004D5C5B">
      <w:pPr>
        <w:spacing w:before="240"/>
        <w:rPr>
          <w:szCs w:val="22"/>
        </w:rPr>
      </w:pPr>
      <w:r w:rsidRPr="0054304E">
        <w:rPr>
          <w:szCs w:val="22"/>
        </w:rPr>
        <w:t>Como se informó en su oportunidad, el INEGI ha dado a conocer el Índice Nacional de Precios Productor (INPP) con una nueva base en julio de 2019=100.</w:t>
      </w:r>
    </w:p>
    <w:p w14:paraId="78D6D020" w14:textId="77777777" w:rsidR="004D5C5B" w:rsidRPr="0054304E" w:rsidRDefault="004D5C5B" w:rsidP="004D5C5B">
      <w:pPr>
        <w:spacing w:before="240"/>
        <w:rPr>
          <w:sz w:val="22"/>
          <w:szCs w:val="22"/>
          <w:shd w:val="clear" w:color="auto" w:fill="FFFFFF"/>
        </w:rPr>
      </w:pPr>
      <w:r w:rsidRPr="0054304E">
        <w:rPr>
          <w:szCs w:val="22"/>
          <w:shd w:val="clear" w:color="auto" w:fill="FFFFFF"/>
        </w:rPr>
        <w:t xml:space="preserve">A partir del mes de noviembre se publicarán en esta nota técnica únicamente datos del INPP correspondientes a la producción total incluyendo petróleo.  Las cifras del INPP excluyendo petróleo podrán seguirse consultando en el sitio web del INEGI </w:t>
      </w:r>
      <w:hyperlink r:id="rId31" w:anchor="Tabulados" w:history="1">
        <w:r w:rsidRPr="009440E7">
          <w:rPr>
            <w:rStyle w:val="Hipervnculo"/>
            <w:sz w:val="22"/>
            <w:szCs w:val="22"/>
          </w:rPr>
          <w:t>https://www.inegi.org.mx/temas/inpp/default.html#Tabulados</w:t>
        </w:r>
      </w:hyperlink>
    </w:p>
    <w:p w14:paraId="63FB5BC0" w14:textId="2FC5BBCA" w:rsidR="004D5C5B" w:rsidRPr="0054304E" w:rsidRDefault="004D5C5B" w:rsidP="004D5C5B">
      <w:pPr>
        <w:spacing w:before="240"/>
        <w:rPr>
          <w:strike/>
          <w:szCs w:val="22"/>
        </w:rPr>
      </w:pPr>
      <w:r w:rsidRPr="0054304E">
        <w:rPr>
          <w:szCs w:val="22"/>
        </w:rPr>
        <w:t xml:space="preserve">El documento que explica las actualizaciones realizadas al INPP en la nueva base, se puede extraer </w:t>
      </w:r>
      <w:r w:rsidRPr="00066C10">
        <w:rPr>
          <w:szCs w:val="22"/>
        </w:rPr>
        <w:t>de la siguiente liga:</w:t>
      </w:r>
    </w:p>
    <w:p w14:paraId="3CFBC5F8" w14:textId="57B4F4B4" w:rsidR="004D5C5B" w:rsidRPr="000C7121" w:rsidRDefault="007B32EE" w:rsidP="004D5C5B">
      <w:pPr>
        <w:rPr>
          <w:sz w:val="22"/>
          <w:szCs w:val="22"/>
        </w:rPr>
      </w:pPr>
      <w:hyperlink r:id="rId32" w:anchor="Documentacion" w:history="1">
        <w:r w:rsidR="00F3594C" w:rsidRPr="008D011C">
          <w:rPr>
            <w:rStyle w:val="Hipervnculo"/>
            <w:sz w:val="22"/>
            <w:szCs w:val="22"/>
          </w:rPr>
          <w:t>https://www.inegi.org.mx/programas/inpp/2019/default.html#Documentacion</w:t>
        </w:r>
      </w:hyperlink>
    </w:p>
    <w:p w14:paraId="21E6802E" w14:textId="77777777" w:rsidR="004D5C5B" w:rsidRPr="00875DDC" w:rsidRDefault="004D5C5B" w:rsidP="004D5C5B">
      <w:pPr>
        <w:keepNext/>
        <w:keepLines/>
        <w:spacing w:before="480"/>
        <w:jc w:val="left"/>
        <w:rPr>
          <w:b/>
          <w:i/>
        </w:rPr>
      </w:pPr>
      <w:r w:rsidRPr="00875DDC">
        <w:rPr>
          <w:b/>
          <w:i/>
        </w:rPr>
        <w:t>Nota metodológica y fuentes de información</w:t>
      </w:r>
    </w:p>
    <w:p w14:paraId="22D02A52" w14:textId="77777777" w:rsidR="004D5C5B" w:rsidRPr="007F0AE0" w:rsidRDefault="004D5C5B" w:rsidP="004D5C5B">
      <w:pPr>
        <w:autoSpaceDE w:val="0"/>
        <w:autoSpaceDN w:val="0"/>
        <w:adjustRightInd w:val="0"/>
        <w:spacing w:before="240"/>
        <w:rPr>
          <w:snapToGrid w:val="0"/>
        </w:rPr>
      </w:pPr>
      <w:r w:rsidRPr="007F0AE0">
        <w:rPr>
          <w:snapToGrid w:val="0"/>
        </w:rPr>
        <w:t>Para la elaboración de los cálculos del INPP se recopilan de manera periódica y directa, los precios de los productos es</w:t>
      </w:r>
      <w:r>
        <w:rPr>
          <w:snapToGrid w:val="0"/>
        </w:rPr>
        <w:t>pecíficos más representativos de la producción nacional</w:t>
      </w:r>
      <w:r w:rsidRPr="007F0AE0">
        <w:rPr>
          <w:snapToGrid w:val="0"/>
        </w:rPr>
        <w:t>.</w:t>
      </w:r>
    </w:p>
    <w:p w14:paraId="26F45BD0" w14:textId="77777777" w:rsidR="004D5C5B" w:rsidRDefault="004D5C5B" w:rsidP="004D5C5B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>Para mejorar la cobertura y representatividad del INPP, se conformó el diseño estadístico que incluye la determinación de un marco de muestreo, del cual se han seleccionado a las unidades económicas que se consideran como fuentes de información para realizar las cotizaciones correspondientes, todo esto mediante la utilización de técnicas estadísticas comúnmente aceptadas.</w:t>
      </w:r>
    </w:p>
    <w:p w14:paraId="0773141B" w14:textId="77777777" w:rsidR="004D5C5B" w:rsidRPr="007F0AE0" w:rsidRDefault="004D5C5B" w:rsidP="004D5C5B">
      <w:pPr>
        <w:autoSpaceDE w:val="0"/>
        <w:autoSpaceDN w:val="0"/>
        <w:adjustRightInd w:val="0"/>
        <w:spacing w:before="180"/>
        <w:rPr>
          <w:snapToGrid w:val="0"/>
        </w:rPr>
      </w:pPr>
      <w:r w:rsidRPr="000B21FF">
        <w:rPr>
          <w:snapToGrid w:val="0"/>
        </w:rPr>
        <w:t>A fin de contar con un indicador que sea representativo, se han implementado las siguientes medidas: a) se ha seleccionado una canasta de bienes y servicios integrada por 560 conceptos, de los cuales 68 corresponden al sector primario, 382 al industrial y 110 al de los servicios; b) se ha utilizado el Sistema de Clasificación Industrial de América del Norte 2013 (SCIAN 2013) para la codificación y agrupación de los productos y servicios genéricos que componen la canasta; y, c) se incluye la información actualizada del Sistema de Cuentas Nacionales de México 2013 (SCNM-2013), los Censos Económicos 2014 (CE-2014), la Matriz de Insumo Producto 2013 (MIP-2013) y los Cuadros de Oferta y Utilización 2017 (COU-2017).</w:t>
      </w:r>
    </w:p>
    <w:p w14:paraId="64D7059B" w14:textId="77777777" w:rsidR="004D5C5B" w:rsidRPr="00180B3E" w:rsidRDefault="004D5C5B" w:rsidP="004D5C5B">
      <w:pPr>
        <w:autoSpaceDE w:val="0"/>
        <w:autoSpaceDN w:val="0"/>
        <w:adjustRightInd w:val="0"/>
        <w:spacing w:before="180"/>
        <w:rPr>
          <w:snapToGrid w:val="0"/>
        </w:rPr>
      </w:pPr>
      <w:r>
        <w:rPr>
          <w:snapToGrid w:val="0"/>
        </w:rPr>
        <w:t>Con la información antes descrita, se definen los ponderadores finales que se actualizan mediante precios relativos al periodo de referencia julio de 2019.</w:t>
      </w:r>
    </w:p>
    <w:p w14:paraId="27FEF52F" w14:textId="77777777" w:rsidR="004D5C5B" w:rsidRPr="007F0AE0" w:rsidRDefault="004D5C5B" w:rsidP="004D5C5B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 xml:space="preserve">La fórmula del cálculo del INPP es la de ponderaciones fijas de Laspeyres. Con esta fórmula se utiliza una canasta de artículos y una estructura de ponderaciones fijas, que representan los bienes y servicios producidos en el país en el periodo base. </w:t>
      </w:r>
    </w:p>
    <w:p w14:paraId="7B10D8CC" w14:textId="77777777" w:rsidR="004D5C5B" w:rsidRPr="007F0AE0" w:rsidRDefault="004D5C5B" w:rsidP="004D5C5B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 xml:space="preserve">La producción característica de cada actividad para el cálculo del sistema de ponderaciones está valorada a precios básicos y sin considerar la producción para autoconsumo, de tal forma que el valor de la producción en la que se asocia a cada bien </w:t>
      </w:r>
      <w:r w:rsidRPr="007F0AE0">
        <w:rPr>
          <w:snapToGrid w:val="0"/>
        </w:rPr>
        <w:lastRenderedPageBreak/>
        <w:t xml:space="preserve">o servicio, con el objeto de obtener la estructura de ponderadores de la producción neta. Con esto se evita un “doble-conteo” en la formación de los precios de cada actividad, al no considerar los productos que se generan para usarlos como insumo en la misma actividad. </w:t>
      </w:r>
    </w:p>
    <w:p w14:paraId="505A0A50" w14:textId="77777777" w:rsidR="004D5C5B" w:rsidRPr="007F0AE0" w:rsidRDefault="004D5C5B" w:rsidP="004D5C5B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>Las recomendaciones internacionales establecen que con la finalidad de apoyar o facilitar el análisis e interpretación de los resultados, el INPP se puede calcular por fase del ciclo de producción; es decir, considerando por separado los productos intermedios y los productos para la demanda final. Lo que permite identificar si las variaciones de los precios se deben a cambios en los costos de los bienes de demanda intermedia o en el valor de los productos finales, además del impacto que cualquiera de ellos puede causar en la producción total.</w:t>
      </w:r>
    </w:p>
    <w:p w14:paraId="294A70D0" w14:textId="77777777" w:rsidR="004D5C5B" w:rsidRPr="007F0AE0" w:rsidRDefault="004D5C5B" w:rsidP="004D5C5B">
      <w:pPr>
        <w:autoSpaceDE w:val="0"/>
        <w:autoSpaceDN w:val="0"/>
        <w:adjustRightInd w:val="0"/>
        <w:spacing w:before="180"/>
        <w:rPr>
          <w:snapToGrid w:val="0"/>
        </w:rPr>
      </w:pPr>
      <w:r w:rsidRPr="0054304E">
        <w:rPr>
          <w:snapToGrid w:val="0"/>
        </w:rPr>
        <w:t>Cabe señalar que, debido a la naturaleza de los precios utilizados en la elaboración del INPP, los resultados del índice son preliminares, en tanto que las fuentes de información consolidan las cifras definitivas.</w:t>
      </w:r>
    </w:p>
    <w:p w14:paraId="27D6958F" w14:textId="77777777" w:rsidR="004D5C5B" w:rsidRPr="007F0AE0" w:rsidRDefault="004D5C5B" w:rsidP="004D5C5B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>La información contenida en este documento es generada por el INEGI y se da a conocer en la fecha establecida en el Calendario de difusión de información estadística y geográfica y de Interés Nacional.</w:t>
      </w:r>
    </w:p>
    <w:p w14:paraId="6E34590D" w14:textId="77777777" w:rsidR="004D5C5B" w:rsidRDefault="004D5C5B" w:rsidP="004D5C5B">
      <w:pPr>
        <w:autoSpaceDE w:val="0"/>
        <w:autoSpaceDN w:val="0"/>
        <w:adjustRightInd w:val="0"/>
        <w:spacing w:before="180"/>
        <w:rPr>
          <w:snapToGrid w:val="0"/>
        </w:rPr>
      </w:pPr>
      <w:r w:rsidRPr="007F0AE0">
        <w:rPr>
          <w:snapToGrid w:val="0"/>
        </w:rPr>
        <w:t>Las cifras aquí mencionadas, podrán ser consultadas en la página del INEGI en Internet</w:t>
      </w:r>
      <w:r w:rsidRPr="00453648">
        <w:rPr>
          <w:snapToGrid w:val="0"/>
        </w:rPr>
        <w:t>:</w:t>
      </w:r>
    </w:p>
    <w:p w14:paraId="69493A36" w14:textId="77777777" w:rsidR="004D5C5B" w:rsidRDefault="007B32EE" w:rsidP="004D5C5B">
      <w:pPr>
        <w:rPr>
          <w:rStyle w:val="Hipervnculo"/>
          <w:sz w:val="22"/>
          <w:szCs w:val="22"/>
        </w:rPr>
      </w:pPr>
      <w:hyperlink r:id="rId33" w:history="1">
        <w:r w:rsidR="004D5C5B" w:rsidRPr="004847DD">
          <w:rPr>
            <w:rStyle w:val="Hipervnculo"/>
            <w:sz w:val="22"/>
            <w:szCs w:val="22"/>
          </w:rPr>
          <w:t>https://www.inegi.org.mx/temas/inpp/</w:t>
        </w:r>
      </w:hyperlink>
    </w:p>
    <w:p w14:paraId="394B1870" w14:textId="77777777" w:rsidR="004D5C5B" w:rsidRPr="00B768B6" w:rsidRDefault="007B32EE" w:rsidP="004D5C5B">
      <w:pPr>
        <w:rPr>
          <w:rStyle w:val="Hipervnculo"/>
          <w:color w:val="auto"/>
          <w:sz w:val="22"/>
          <w:u w:val="none"/>
        </w:rPr>
      </w:pPr>
      <w:hyperlink r:id="rId34" w:history="1">
        <w:r w:rsidR="004D5C5B" w:rsidRPr="00B768B6">
          <w:rPr>
            <w:color w:val="0000FF"/>
            <w:sz w:val="22"/>
            <w:u w:val="single"/>
          </w:rPr>
          <w:t>https://www.inegi.org.mx/programas/inpp/2019/</w:t>
        </w:r>
      </w:hyperlink>
      <w:r w:rsidR="004D5C5B" w:rsidRPr="00B768B6">
        <w:rPr>
          <w:sz w:val="22"/>
        </w:rPr>
        <w:t xml:space="preserve"> </w:t>
      </w:r>
    </w:p>
    <w:sectPr w:rsidR="004D5C5B" w:rsidRPr="00B768B6" w:rsidSect="008A3BD4">
      <w:headerReference w:type="default" r:id="rId35"/>
      <w:footerReference w:type="default" r:id="rId36"/>
      <w:footnotePr>
        <w:numRestart w:val="eachPage"/>
      </w:footnotePr>
      <w:pgSz w:w="12242" w:h="15842" w:code="1"/>
      <w:pgMar w:top="2552" w:right="1418" w:bottom="1134" w:left="1418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2617" w14:textId="77777777" w:rsidR="007B32EE" w:rsidRDefault="007B32EE">
      <w:r>
        <w:separator/>
      </w:r>
    </w:p>
  </w:endnote>
  <w:endnote w:type="continuationSeparator" w:id="0">
    <w:p w14:paraId="1D7D83B5" w14:textId="77777777" w:rsidR="007B32EE" w:rsidRDefault="007B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02AE3" w14:textId="77777777" w:rsidR="00B23F14" w:rsidRDefault="00B23F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C90C4" w14:textId="77777777" w:rsidR="00DC48F6" w:rsidRPr="002C0DF9" w:rsidRDefault="00DC48F6" w:rsidP="00DC48F6">
    <w:pPr>
      <w:pStyle w:val="Piedepgina"/>
      <w:contextualSpacing/>
      <w:jc w:val="center"/>
      <w:rPr>
        <w:color w:val="002060"/>
        <w:sz w:val="18"/>
        <w:szCs w:val="18"/>
      </w:rPr>
    </w:pPr>
    <w:r w:rsidRPr="002C0DF9">
      <w:rPr>
        <w:b/>
        <w:color w:val="002060"/>
        <w:sz w:val="18"/>
        <w:szCs w:val="18"/>
      </w:rPr>
      <w:t>COMUNICACIÓN SOCIAL</w:t>
    </w:r>
  </w:p>
  <w:p w14:paraId="6F5A7C3B" w14:textId="77777777" w:rsidR="00DC48F6" w:rsidRPr="00BA5C45" w:rsidRDefault="00DC48F6" w:rsidP="00DC48F6">
    <w:pPr>
      <w:pStyle w:val="Piedepgina"/>
      <w:spacing w:before="60"/>
      <w:contextualSpacing/>
      <w:jc w:val="center"/>
      <w:rPr>
        <w:color w:val="002060"/>
        <w:sz w:val="18"/>
        <w:szCs w:val="18"/>
      </w:rPr>
    </w:pPr>
  </w:p>
  <w:p w14:paraId="7D5CC9C8" w14:textId="77777777" w:rsidR="00DC48F6" w:rsidRPr="00265B8C" w:rsidRDefault="00DC48F6" w:rsidP="00DC48F6">
    <w:pPr>
      <w:pStyle w:val="Piedepgina"/>
      <w:contextualSpacing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5B596" w14:textId="77777777" w:rsidR="00B23F14" w:rsidRDefault="00B23F1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776F" w14:textId="77777777" w:rsidR="00DC48F6" w:rsidRDefault="00DC48F6" w:rsidP="003076C4">
    <w:pPr>
      <w:pStyle w:val="Piedepgina"/>
      <w:jc w:val="center"/>
      <w:rPr>
        <w:b/>
        <w:lang w:val="es-MX"/>
      </w:rPr>
    </w:pPr>
    <w:r>
      <w:rPr>
        <w:b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6936E" w14:textId="77777777" w:rsidR="007B32EE" w:rsidRDefault="007B32EE">
      <w:r>
        <w:separator/>
      </w:r>
    </w:p>
  </w:footnote>
  <w:footnote w:type="continuationSeparator" w:id="0">
    <w:p w14:paraId="20FE8633" w14:textId="77777777" w:rsidR="007B32EE" w:rsidRDefault="007B32EE">
      <w:r>
        <w:continuationSeparator/>
      </w:r>
    </w:p>
  </w:footnote>
  <w:footnote w:id="1">
    <w:p w14:paraId="5A71F5EC" w14:textId="77777777" w:rsidR="00DC48F6" w:rsidRPr="00717509" w:rsidRDefault="00DC48F6" w:rsidP="000F5C3B">
      <w:pPr>
        <w:pStyle w:val="Textonotapie"/>
        <w:ind w:left="170" w:right="-596" w:hanging="170"/>
        <w:rPr>
          <w:lang w:val="es-MX"/>
        </w:rPr>
      </w:pPr>
      <w:r>
        <w:rPr>
          <w:rStyle w:val="Refdenotaalpie"/>
        </w:rPr>
        <w:footnoteRef/>
      </w:r>
      <w:r>
        <w:tab/>
      </w:r>
      <w:r w:rsidRPr="00561AFD">
        <w:rPr>
          <w:sz w:val="16"/>
        </w:rPr>
        <w:t>Nota general:</w:t>
      </w:r>
      <w:r w:rsidRPr="00561AFD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Todas l</w:t>
      </w:r>
      <w:r w:rsidRPr="00034732">
        <w:rPr>
          <w:spacing w:val="-2"/>
          <w:sz w:val="16"/>
          <w:szCs w:val="16"/>
        </w:rPr>
        <w:t>as variaciones anuales durante el primer año del INPP base julio de 2019 se continuarán comparando con el índice de la base anterior.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858F1" w14:textId="77777777" w:rsidR="00B23F14" w:rsidRDefault="00B23F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5678" w14:textId="6AA06267" w:rsidR="00DC48F6" w:rsidRPr="00265B8C" w:rsidRDefault="00DC48F6" w:rsidP="00B23F14">
    <w:pPr>
      <w:pStyle w:val="Encabezado"/>
      <w:framePr w:w="5567" w:hSpace="141" w:wrap="auto" w:vAnchor="text" w:hAnchor="page" w:x="5539" w:y="34"/>
      <w:ind w:left="567" w:hanging="11"/>
      <w:jc w:val="right"/>
      <w:rPr>
        <w:b/>
        <w:color w:val="002060"/>
      </w:rPr>
    </w:pPr>
    <w:r w:rsidRPr="00265B8C">
      <w:rPr>
        <w:b/>
        <w:color w:val="002060"/>
      </w:rPr>
      <w:t xml:space="preserve">COMUNICADO DE PRENSA NÚM. </w:t>
    </w:r>
    <w:r w:rsidR="00B23F14">
      <w:rPr>
        <w:b/>
        <w:color w:val="002060"/>
      </w:rPr>
      <w:t>487</w:t>
    </w:r>
    <w:r w:rsidRPr="00265B8C">
      <w:rPr>
        <w:b/>
        <w:color w:val="002060"/>
      </w:rPr>
      <w:t>/1</w:t>
    </w:r>
    <w:r>
      <w:rPr>
        <w:b/>
        <w:color w:val="002060"/>
      </w:rPr>
      <w:t>9</w:t>
    </w:r>
  </w:p>
  <w:p w14:paraId="18A61D7A" w14:textId="77777777" w:rsidR="00DC48F6" w:rsidRPr="00265B8C" w:rsidRDefault="00DC48F6" w:rsidP="00B23F14">
    <w:pPr>
      <w:pStyle w:val="Encabezado"/>
      <w:framePr w:w="5567" w:hSpace="141" w:wrap="auto" w:vAnchor="text" w:hAnchor="page" w:x="5539" w:y="34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9</w:t>
    </w:r>
    <w:r w:rsidRPr="00265B8C">
      <w:rPr>
        <w:b/>
        <w:color w:val="002060"/>
        <w:lang w:val="pt-BR"/>
      </w:rPr>
      <w:t xml:space="preserve"> DE</w:t>
    </w:r>
    <w:r>
      <w:rPr>
        <w:b/>
        <w:color w:val="002060"/>
        <w:lang w:val="pt-BR"/>
      </w:rPr>
      <w:t xml:space="preserve"> OCTUBRE DE 2019</w:t>
    </w:r>
  </w:p>
  <w:p w14:paraId="37C589AB" w14:textId="1776D34E" w:rsidR="00DC48F6" w:rsidRPr="00265B8C" w:rsidRDefault="00DC48F6" w:rsidP="00B23F14">
    <w:pPr>
      <w:pStyle w:val="Encabezado"/>
      <w:framePr w:w="5567" w:hSpace="141" w:wrap="auto" w:vAnchor="text" w:hAnchor="page" w:x="5539" w:y="34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 w:rsidR="002822D7">
      <w:rPr>
        <w:b/>
        <w:noProof/>
        <w:color w:val="002060"/>
        <w:lang w:val="pt-BR"/>
      </w:rPr>
      <w:t>4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</w:t>
    </w:r>
    <w:r>
      <w:rPr>
        <w:b/>
        <w:color w:val="002060"/>
        <w:lang w:val="pt-BR"/>
      </w:rPr>
      <w:t>4</w:t>
    </w:r>
  </w:p>
  <w:p w14:paraId="303F2F60" w14:textId="77777777" w:rsidR="00DC48F6" w:rsidRDefault="00DC48F6" w:rsidP="00DC48F6">
    <w:pPr>
      <w:pStyle w:val="Encabezado"/>
      <w:ind w:left="-993"/>
    </w:pPr>
    <w:r>
      <w:rPr>
        <w:noProof/>
        <w:lang w:val="es-MX" w:eastAsia="es-MX"/>
      </w:rPr>
      <w:drawing>
        <wp:inline distT="0" distB="0" distL="0" distR="0" wp14:anchorId="4090AA64" wp14:editId="08E5A38F">
          <wp:extent cx="927615" cy="963545"/>
          <wp:effectExtent l="0" t="0" r="6350" b="825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847" cy="99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9B3A" w14:textId="77777777" w:rsidR="00B23F14" w:rsidRDefault="00B23F1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90D4" w14:textId="73F1803D" w:rsidR="00DC48F6" w:rsidRDefault="00DC48F6" w:rsidP="009D6B5F">
    <w:pPr>
      <w:pStyle w:val="Encabezado"/>
      <w:tabs>
        <w:tab w:val="clear" w:pos="4320"/>
        <w:tab w:val="clear" w:pos="8640"/>
        <w:tab w:val="center" w:pos="2892"/>
      </w:tabs>
      <w:spacing w:after="240"/>
      <w:jc w:val="center"/>
    </w:pPr>
    <w:r>
      <w:ptab w:relativeTo="margin" w:alignment="left" w:leader="none"/>
    </w:r>
    <w:r>
      <w:rPr>
        <w:noProof/>
        <w:lang w:val="es-MX" w:eastAsia="es-MX"/>
      </w:rPr>
      <w:drawing>
        <wp:inline distT="0" distB="0" distL="0" distR="0" wp14:anchorId="3B9F33C1" wp14:editId="65914156">
          <wp:extent cx="928800" cy="964800"/>
          <wp:effectExtent l="0" t="0" r="5080" b="6985"/>
          <wp:docPr id="6" name="Imagen 6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078E5"/>
    <w:multiLevelType w:val="hybridMultilevel"/>
    <w:tmpl w:val="5FD87AF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A79"/>
    <w:multiLevelType w:val="hybridMultilevel"/>
    <w:tmpl w:val="DC36898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873FB1"/>
    <w:multiLevelType w:val="hybridMultilevel"/>
    <w:tmpl w:val="4F9A5D6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2E30AB"/>
    <w:multiLevelType w:val="hybridMultilevel"/>
    <w:tmpl w:val="8BB40BE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7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17"/>
  </w:num>
  <w:num w:numId="13">
    <w:abstractNumId w:val="18"/>
  </w:num>
  <w:num w:numId="14">
    <w:abstractNumId w:val="12"/>
  </w:num>
  <w:num w:numId="15">
    <w:abstractNumId w:val="9"/>
  </w:num>
  <w:num w:numId="16">
    <w:abstractNumId w:val="15"/>
  </w:num>
  <w:num w:numId="17">
    <w:abstractNumId w:val="11"/>
  </w:num>
  <w:num w:numId="18">
    <w:abstractNumId w:val="14"/>
  </w:num>
  <w:num w:numId="19">
    <w:abstractNumId w:val="6"/>
  </w:num>
  <w:num w:numId="20">
    <w:abstractNumId w:val="3"/>
  </w:num>
  <w:num w:numId="21">
    <w:abstractNumId w:val="1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7E"/>
    <w:rsid w:val="0000043F"/>
    <w:rsid w:val="00000BEA"/>
    <w:rsid w:val="0000180F"/>
    <w:rsid w:val="00002117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9E8"/>
    <w:rsid w:val="00006B5A"/>
    <w:rsid w:val="00006DFC"/>
    <w:rsid w:val="000078B1"/>
    <w:rsid w:val="00007A1A"/>
    <w:rsid w:val="00010A59"/>
    <w:rsid w:val="000112A7"/>
    <w:rsid w:val="0001151F"/>
    <w:rsid w:val="00011840"/>
    <w:rsid w:val="00011AC0"/>
    <w:rsid w:val="00011BD3"/>
    <w:rsid w:val="00012278"/>
    <w:rsid w:val="000122CF"/>
    <w:rsid w:val="00012A27"/>
    <w:rsid w:val="00012E16"/>
    <w:rsid w:val="0001302A"/>
    <w:rsid w:val="000132A4"/>
    <w:rsid w:val="00013319"/>
    <w:rsid w:val="00013B98"/>
    <w:rsid w:val="00013E55"/>
    <w:rsid w:val="0001447E"/>
    <w:rsid w:val="000144ED"/>
    <w:rsid w:val="00014FBD"/>
    <w:rsid w:val="00015302"/>
    <w:rsid w:val="00015BCE"/>
    <w:rsid w:val="00016590"/>
    <w:rsid w:val="00016B4E"/>
    <w:rsid w:val="00016B7D"/>
    <w:rsid w:val="00016D3A"/>
    <w:rsid w:val="0001718D"/>
    <w:rsid w:val="000176AC"/>
    <w:rsid w:val="00021432"/>
    <w:rsid w:val="00021492"/>
    <w:rsid w:val="000216A3"/>
    <w:rsid w:val="00022562"/>
    <w:rsid w:val="000228C4"/>
    <w:rsid w:val="00022CA3"/>
    <w:rsid w:val="000243B5"/>
    <w:rsid w:val="000260EE"/>
    <w:rsid w:val="00026B3C"/>
    <w:rsid w:val="00026B52"/>
    <w:rsid w:val="00026C14"/>
    <w:rsid w:val="00030480"/>
    <w:rsid w:val="0003065F"/>
    <w:rsid w:val="00030D10"/>
    <w:rsid w:val="00031231"/>
    <w:rsid w:val="000314D3"/>
    <w:rsid w:val="00031BCF"/>
    <w:rsid w:val="00031CA9"/>
    <w:rsid w:val="000328B5"/>
    <w:rsid w:val="000328D5"/>
    <w:rsid w:val="00032B16"/>
    <w:rsid w:val="00033603"/>
    <w:rsid w:val="00033A14"/>
    <w:rsid w:val="0003447A"/>
    <w:rsid w:val="00034732"/>
    <w:rsid w:val="00034BC3"/>
    <w:rsid w:val="00034C7A"/>
    <w:rsid w:val="00034FEC"/>
    <w:rsid w:val="000353F3"/>
    <w:rsid w:val="00035600"/>
    <w:rsid w:val="00035B2D"/>
    <w:rsid w:val="00035DA7"/>
    <w:rsid w:val="00036205"/>
    <w:rsid w:val="000362C3"/>
    <w:rsid w:val="00036D72"/>
    <w:rsid w:val="00037089"/>
    <w:rsid w:val="00037177"/>
    <w:rsid w:val="00037A1B"/>
    <w:rsid w:val="00037CC4"/>
    <w:rsid w:val="0004066E"/>
    <w:rsid w:val="00040F75"/>
    <w:rsid w:val="00041FF7"/>
    <w:rsid w:val="0004225C"/>
    <w:rsid w:val="00042F98"/>
    <w:rsid w:val="00043535"/>
    <w:rsid w:val="00043B32"/>
    <w:rsid w:val="00043E2B"/>
    <w:rsid w:val="00044296"/>
    <w:rsid w:val="00044699"/>
    <w:rsid w:val="00044700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77C"/>
    <w:rsid w:val="00047832"/>
    <w:rsid w:val="000501E0"/>
    <w:rsid w:val="00050934"/>
    <w:rsid w:val="00050FB5"/>
    <w:rsid w:val="00051511"/>
    <w:rsid w:val="0005167A"/>
    <w:rsid w:val="00051C72"/>
    <w:rsid w:val="00051D1C"/>
    <w:rsid w:val="00051D9E"/>
    <w:rsid w:val="00052705"/>
    <w:rsid w:val="00052F04"/>
    <w:rsid w:val="00052F1E"/>
    <w:rsid w:val="000536D2"/>
    <w:rsid w:val="00053B2C"/>
    <w:rsid w:val="00053BF4"/>
    <w:rsid w:val="00053EB7"/>
    <w:rsid w:val="00054A4F"/>
    <w:rsid w:val="00055047"/>
    <w:rsid w:val="0005587A"/>
    <w:rsid w:val="00055B54"/>
    <w:rsid w:val="00056F51"/>
    <w:rsid w:val="000573F5"/>
    <w:rsid w:val="00057F37"/>
    <w:rsid w:val="000602B0"/>
    <w:rsid w:val="000603F1"/>
    <w:rsid w:val="0006056C"/>
    <w:rsid w:val="0006211B"/>
    <w:rsid w:val="0006228A"/>
    <w:rsid w:val="00062696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638"/>
    <w:rsid w:val="000667EA"/>
    <w:rsid w:val="00066C10"/>
    <w:rsid w:val="00066EA7"/>
    <w:rsid w:val="00067BD8"/>
    <w:rsid w:val="0007012A"/>
    <w:rsid w:val="0007017F"/>
    <w:rsid w:val="00070431"/>
    <w:rsid w:val="00070702"/>
    <w:rsid w:val="000707FF"/>
    <w:rsid w:val="00070864"/>
    <w:rsid w:val="00070E78"/>
    <w:rsid w:val="000712EF"/>
    <w:rsid w:val="0007145A"/>
    <w:rsid w:val="00071F33"/>
    <w:rsid w:val="000725AC"/>
    <w:rsid w:val="00072B18"/>
    <w:rsid w:val="000730F3"/>
    <w:rsid w:val="00073491"/>
    <w:rsid w:val="000736DB"/>
    <w:rsid w:val="000739D2"/>
    <w:rsid w:val="00073EF4"/>
    <w:rsid w:val="000744A7"/>
    <w:rsid w:val="000753EC"/>
    <w:rsid w:val="0007567F"/>
    <w:rsid w:val="000756C1"/>
    <w:rsid w:val="00075B3A"/>
    <w:rsid w:val="00075DEC"/>
    <w:rsid w:val="00076234"/>
    <w:rsid w:val="000767F7"/>
    <w:rsid w:val="00076EE9"/>
    <w:rsid w:val="00077C46"/>
    <w:rsid w:val="0008027F"/>
    <w:rsid w:val="0008084D"/>
    <w:rsid w:val="000814ED"/>
    <w:rsid w:val="0008175A"/>
    <w:rsid w:val="0008195B"/>
    <w:rsid w:val="000826F7"/>
    <w:rsid w:val="00082F11"/>
    <w:rsid w:val="0008325D"/>
    <w:rsid w:val="000834DD"/>
    <w:rsid w:val="00084687"/>
    <w:rsid w:val="000849B5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B9C"/>
    <w:rsid w:val="00090D7B"/>
    <w:rsid w:val="00091474"/>
    <w:rsid w:val="000915F7"/>
    <w:rsid w:val="00092764"/>
    <w:rsid w:val="0009292F"/>
    <w:rsid w:val="00092F4C"/>
    <w:rsid w:val="00094496"/>
    <w:rsid w:val="00094AE9"/>
    <w:rsid w:val="000950E7"/>
    <w:rsid w:val="00095360"/>
    <w:rsid w:val="000955AA"/>
    <w:rsid w:val="000957BC"/>
    <w:rsid w:val="00096737"/>
    <w:rsid w:val="00097C0A"/>
    <w:rsid w:val="000A0344"/>
    <w:rsid w:val="000A0823"/>
    <w:rsid w:val="000A21D6"/>
    <w:rsid w:val="000A2F4F"/>
    <w:rsid w:val="000A31EF"/>
    <w:rsid w:val="000A3354"/>
    <w:rsid w:val="000A3733"/>
    <w:rsid w:val="000A43B0"/>
    <w:rsid w:val="000A5092"/>
    <w:rsid w:val="000A53E6"/>
    <w:rsid w:val="000A574B"/>
    <w:rsid w:val="000A5B04"/>
    <w:rsid w:val="000A5B0D"/>
    <w:rsid w:val="000A5E2A"/>
    <w:rsid w:val="000A643B"/>
    <w:rsid w:val="000A6CE9"/>
    <w:rsid w:val="000A707A"/>
    <w:rsid w:val="000A7808"/>
    <w:rsid w:val="000A78BA"/>
    <w:rsid w:val="000B0710"/>
    <w:rsid w:val="000B0D5A"/>
    <w:rsid w:val="000B1C11"/>
    <w:rsid w:val="000B1D13"/>
    <w:rsid w:val="000B26AB"/>
    <w:rsid w:val="000B29B8"/>
    <w:rsid w:val="000B2A27"/>
    <w:rsid w:val="000B42D9"/>
    <w:rsid w:val="000B4A6A"/>
    <w:rsid w:val="000B50FB"/>
    <w:rsid w:val="000B515D"/>
    <w:rsid w:val="000B5A74"/>
    <w:rsid w:val="000B5FA3"/>
    <w:rsid w:val="000B6AF6"/>
    <w:rsid w:val="000B6C67"/>
    <w:rsid w:val="000B7827"/>
    <w:rsid w:val="000C044D"/>
    <w:rsid w:val="000C1051"/>
    <w:rsid w:val="000C1F04"/>
    <w:rsid w:val="000C2892"/>
    <w:rsid w:val="000C2B3C"/>
    <w:rsid w:val="000C30D7"/>
    <w:rsid w:val="000C3105"/>
    <w:rsid w:val="000C34DD"/>
    <w:rsid w:val="000C37BC"/>
    <w:rsid w:val="000C482F"/>
    <w:rsid w:val="000C4992"/>
    <w:rsid w:val="000C5299"/>
    <w:rsid w:val="000C5468"/>
    <w:rsid w:val="000C55CC"/>
    <w:rsid w:val="000C5852"/>
    <w:rsid w:val="000C5D0E"/>
    <w:rsid w:val="000C6A4A"/>
    <w:rsid w:val="000C6AFD"/>
    <w:rsid w:val="000D06FA"/>
    <w:rsid w:val="000D0826"/>
    <w:rsid w:val="000D0DDA"/>
    <w:rsid w:val="000D0ED5"/>
    <w:rsid w:val="000D113E"/>
    <w:rsid w:val="000D1169"/>
    <w:rsid w:val="000D15C5"/>
    <w:rsid w:val="000D258D"/>
    <w:rsid w:val="000D25A3"/>
    <w:rsid w:val="000D28A5"/>
    <w:rsid w:val="000D2DB1"/>
    <w:rsid w:val="000D31C1"/>
    <w:rsid w:val="000D36B2"/>
    <w:rsid w:val="000D39FD"/>
    <w:rsid w:val="000D451F"/>
    <w:rsid w:val="000D4833"/>
    <w:rsid w:val="000D49D2"/>
    <w:rsid w:val="000D4A88"/>
    <w:rsid w:val="000D4BBC"/>
    <w:rsid w:val="000D4D90"/>
    <w:rsid w:val="000D4E26"/>
    <w:rsid w:val="000D5176"/>
    <w:rsid w:val="000D5EDB"/>
    <w:rsid w:val="000D6C0F"/>
    <w:rsid w:val="000D6F1E"/>
    <w:rsid w:val="000D7A95"/>
    <w:rsid w:val="000D7BBD"/>
    <w:rsid w:val="000E03C0"/>
    <w:rsid w:val="000E0654"/>
    <w:rsid w:val="000E08DB"/>
    <w:rsid w:val="000E19B3"/>
    <w:rsid w:val="000E28A6"/>
    <w:rsid w:val="000E2970"/>
    <w:rsid w:val="000E3CC1"/>
    <w:rsid w:val="000E5331"/>
    <w:rsid w:val="000E5526"/>
    <w:rsid w:val="000E5D6B"/>
    <w:rsid w:val="000E5FE0"/>
    <w:rsid w:val="000E62E2"/>
    <w:rsid w:val="000E6D5D"/>
    <w:rsid w:val="000E75C3"/>
    <w:rsid w:val="000F05D5"/>
    <w:rsid w:val="000F08E7"/>
    <w:rsid w:val="000F17E0"/>
    <w:rsid w:val="000F1DEB"/>
    <w:rsid w:val="000F3491"/>
    <w:rsid w:val="000F3DE6"/>
    <w:rsid w:val="000F44E7"/>
    <w:rsid w:val="000F44F2"/>
    <w:rsid w:val="000F49F1"/>
    <w:rsid w:val="000F4C41"/>
    <w:rsid w:val="000F4FA7"/>
    <w:rsid w:val="000F536A"/>
    <w:rsid w:val="000F541D"/>
    <w:rsid w:val="000F5AD1"/>
    <w:rsid w:val="000F5C3B"/>
    <w:rsid w:val="000F69FA"/>
    <w:rsid w:val="000F7577"/>
    <w:rsid w:val="000F7974"/>
    <w:rsid w:val="000F7ECD"/>
    <w:rsid w:val="000F7FB5"/>
    <w:rsid w:val="00100317"/>
    <w:rsid w:val="001011EC"/>
    <w:rsid w:val="001017C1"/>
    <w:rsid w:val="00101CC3"/>
    <w:rsid w:val="00101E92"/>
    <w:rsid w:val="00101F40"/>
    <w:rsid w:val="00103847"/>
    <w:rsid w:val="00103913"/>
    <w:rsid w:val="00103B21"/>
    <w:rsid w:val="00105234"/>
    <w:rsid w:val="00105E2B"/>
    <w:rsid w:val="0010619C"/>
    <w:rsid w:val="0010647A"/>
    <w:rsid w:val="0010664D"/>
    <w:rsid w:val="00107CAD"/>
    <w:rsid w:val="00110510"/>
    <w:rsid w:val="0011076D"/>
    <w:rsid w:val="00110DB1"/>
    <w:rsid w:val="00110DF0"/>
    <w:rsid w:val="001114D0"/>
    <w:rsid w:val="00111703"/>
    <w:rsid w:val="00111AA3"/>
    <w:rsid w:val="00111F29"/>
    <w:rsid w:val="00113348"/>
    <w:rsid w:val="00113404"/>
    <w:rsid w:val="001134B4"/>
    <w:rsid w:val="00113DE8"/>
    <w:rsid w:val="0011424C"/>
    <w:rsid w:val="001142CA"/>
    <w:rsid w:val="0011478A"/>
    <w:rsid w:val="00114B56"/>
    <w:rsid w:val="00114B96"/>
    <w:rsid w:val="00114E47"/>
    <w:rsid w:val="00115A20"/>
    <w:rsid w:val="00116647"/>
    <w:rsid w:val="00116F84"/>
    <w:rsid w:val="00117D7A"/>
    <w:rsid w:val="00120112"/>
    <w:rsid w:val="0012050B"/>
    <w:rsid w:val="00120EA1"/>
    <w:rsid w:val="0012181E"/>
    <w:rsid w:val="00122048"/>
    <w:rsid w:val="001228A0"/>
    <w:rsid w:val="00123EFF"/>
    <w:rsid w:val="001241F7"/>
    <w:rsid w:val="00124D1A"/>
    <w:rsid w:val="001251AF"/>
    <w:rsid w:val="00125654"/>
    <w:rsid w:val="00125D0D"/>
    <w:rsid w:val="00125D9D"/>
    <w:rsid w:val="001263E8"/>
    <w:rsid w:val="00126792"/>
    <w:rsid w:val="00127810"/>
    <w:rsid w:val="001301E6"/>
    <w:rsid w:val="001304F2"/>
    <w:rsid w:val="00130C4C"/>
    <w:rsid w:val="001313EB"/>
    <w:rsid w:val="0013222E"/>
    <w:rsid w:val="00132507"/>
    <w:rsid w:val="00132940"/>
    <w:rsid w:val="00134904"/>
    <w:rsid w:val="001349AB"/>
    <w:rsid w:val="00134F4E"/>
    <w:rsid w:val="00134FB0"/>
    <w:rsid w:val="001350AC"/>
    <w:rsid w:val="001352EC"/>
    <w:rsid w:val="00135E0B"/>
    <w:rsid w:val="001361A8"/>
    <w:rsid w:val="001365A5"/>
    <w:rsid w:val="001368CC"/>
    <w:rsid w:val="00136CA0"/>
    <w:rsid w:val="00136F09"/>
    <w:rsid w:val="001372CA"/>
    <w:rsid w:val="00137AFD"/>
    <w:rsid w:val="0014012A"/>
    <w:rsid w:val="00140999"/>
    <w:rsid w:val="00140AD8"/>
    <w:rsid w:val="00140BE4"/>
    <w:rsid w:val="001411DE"/>
    <w:rsid w:val="00141399"/>
    <w:rsid w:val="00141A0B"/>
    <w:rsid w:val="00141AF4"/>
    <w:rsid w:val="00142E09"/>
    <w:rsid w:val="0014377B"/>
    <w:rsid w:val="00143D3A"/>
    <w:rsid w:val="00145F65"/>
    <w:rsid w:val="001460E0"/>
    <w:rsid w:val="00146902"/>
    <w:rsid w:val="00146DFA"/>
    <w:rsid w:val="0015018D"/>
    <w:rsid w:val="00150228"/>
    <w:rsid w:val="001502C3"/>
    <w:rsid w:val="001504E8"/>
    <w:rsid w:val="00150536"/>
    <w:rsid w:val="00150E52"/>
    <w:rsid w:val="00151D04"/>
    <w:rsid w:val="001533B2"/>
    <w:rsid w:val="001534CA"/>
    <w:rsid w:val="0015369A"/>
    <w:rsid w:val="0015386A"/>
    <w:rsid w:val="001540F9"/>
    <w:rsid w:val="00154E90"/>
    <w:rsid w:val="001557A9"/>
    <w:rsid w:val="00155878"/>
    <w:rsid w:val="0015599D"/>
    <w:rsid w:val="001559B4"/>
    <w:rsid w:val="00155A36"/>
    <w:rsid w:val="0015755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A20"/>
    <w:rsid w:val="0016470C"/>
    <w:rsid w:val="00164CD1"/>
    <w:rsid w:val="001655BD"/>
    <w:rsid w:val="00165810"/>
    <w:rsid w:val="00165A07"/>
    <w:rsid w:val="00165E36"/>
    <w:rsid w:val="0016614B"/>
    <w:rsid w:val="001665FD"/>
    <w:rsid w:val="00167A72"/>
    <w:rsid w:val="0017080F"/>
    <w:rsid w:val="00170972"/>
    <w:rsid w:val="00170BD4"/>
    <w:rsid w:val="00171176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0C81"/>
    <w:rsid w:val="001813AB"/>
    <w:rsid w:val="001819C6"/>
    <w:rsid w:val="00181B78"/>
    <w:rsid w:val="0018211C"/>
    <w:rsid w:val="001821F8"/>
    <w:rsid w:val="00182CBE"/>
    <w:rsid w:val="001831B3"/>
    <w:rsid w:val="001845FA"/>
    <w:rsid w:val="0018522B"/>
    <w:rsid w:val="001854A8"/>
    <w:rsid w:val="00185D40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F73"/>
    <w:rsid w:val="00195EC2"/>
    <w:rsid w:val="00195F99"/>
    <w:rsid w:val="00196542"/>
    <w:rsid w:val="001A016C"/>
    <w:rsid w:val="001A0422"/>
    <w:rsid w:val="001A0556"/>
    <w:rsid w:val="001A101D"/>
    <w:rsid w:val="001A102F"/>
    <w:rsid w:val="001A1A27"/>
    <w:rsid w:val="001A1ED0"/>
    <w:rsid w:val="001A35A6"/>
    <w:rsid w:val="001A368A"/>
    <w:rsid w:val="001A3963"/>
    <w:rsid w:val="001A41DF"/>
    <w:rsid w:val="001A43F5"/>
    <w:rsid w:val="001A4E0E"/>
    <w:rsid w:val="001A4E79"/>
    <w:rsid w:val="001A4E8C"/>
    <w:rsid w:val="001A4EF7"/>
    <w:rsid w:val="001A4F6E"/>
    <w:rsid w:val="001A52DD"/>
    <w:rsid w:val="001A5ABD"/>
    <w:rsid w:val="001A5CE0"/>
    <w:rsid w:val="001A60E2"/>
    <w:rsid w:val="001A69F0"/>
    <w:rsid w:val="001A79AA"/>
    <w:rsid w:val="001A7F95"/>
    <w:rsid w:val="001B07B0"/>
    <w:rsid w:val="001B0992"/>
    <w:rsid w:val="001B0A70"/>
    <w:rsid w:val="001B0AC4"/>
    <w:rsid w:val="001B1120"/>
    <w:rsid w:val="001B15E2"/>
    <w:rsid w:val="001B163A"/>
    <w:rsid w:val="001B16FD"/>
    <w:rsid w:val="001B253D"/>
    <w:rsid w:val="001B277C"/>
    <w:rsid w:val="001B2C6A"/>
    <w:rsid w:val="001B2F19"/>
    <w:rsid w:val="001B35ED"/>
    <w:rsid w:val="001B369D"/>
    <w:rsid w:val="001B3952"/>
    <w:rsid w:val="001B450E"/>
    <w:rsid w:val="001B46DB"/>
    <w:rsid w:val="001B4F75"/>
    <w:rsid w:val="001B538F"/>
    <w:rsid w:val="001B5DDB"/>
    <w:rsid w:val="001B62D3"/>
    <w:rsid w:val="001B74F4"/>
    <w:rsid w:val="001B75DC"/>
    <w:rsid w:val="001C0136"/>
    <w:rsid w:val="001C0A6E"/>
    <w:rsid w:val="001C0AD1"/>
    <w:rsid w:val="001C0BCC"/>
    <w:rsid w:val="001C117D"/>
    <w:rsid w:val="001C1F9C"/>
    <w:rsid w:val="001C226A"/>
    <w:rsid w:val="001C236E"/>
    <w:rsid w:val="001C29E7"/>
    <w:rsid w:val="001C32C6"/>
    <w:rsid w:val="001C3893"/>
    <w:rsid w:val="001C3E2D"/>
    <w:rsid w:val="001C48C7"/>
    <w:rsid w:val="001C4A9E"/>
    <w:rsid w:val="001C5256"/>
    <w:rsid w:val="001C6CAB"/>
    <w:rsid w:val="001C6CC1"/>
    <w:rsid w:val="001C7130"/>
    <w:rsid w:val="001C7E70"/>
    <w:rsid w:val="001D0068"/>
    <w:rsid w:val="001D01C6"/>
    <w:rsid w:val="001D0870"/>
    <w:rsid w:val="001D092F"/>
    <w:rsid w:val="001D1471"/>
    <w:rsid w:val="001D1AEF"/>
    <w:rsid w:val="001D244E"/>
    <w:rsid w:val="001D24F1"/>
    <w:rsid w:val="001D3AD1"/>
    <w:rsid w:val="001D478B"/>
    <w:rsid w:val="001D4970"/>
    <w:rsid w:val="001D4BF9"/>
    <w:rsid w:val="001D5F02"/>
    <w:rsid w:val="001D6186"/>
    <w:rsid w:val="001D62AF"/>
    <w:rsid w:val="001D637E"/>
    <w:rsid w:val="001D6652"/>
    <w:rsid w:val="001D69E5"/>
    <w:rsid w:val="001D6AE2"/>
    <w:rsid w:val="001D6B3D"/>
    <w:rsid w:val="001D7104"/>
    <w:rsid w:val="001E0411"/>
    <w:rsid w:val="001E075F"/>
    <w:rsid w:val="001E0933"/>
    <w:rsid w:val="001E09AF"/>
    <w:rsid w:val="001E14E8"/>
    <w:rsid w:val="001E1627"/>
    <w:rsid w:val="001E18BD"/>
    <w:rsid w:val="001E1DBA"/>
    <w:rsid w:val="001E1EF2"/>
    <w:rsid w:val="001E28DE"/>
    <w:rsid w:val="001E290B"/>
    <w:rsid w:val="001E385F"/>
    <w:rsid w:val="001E39E4"/>
    <w:rsid w:val="001E490C"/>
    <w:rsid w:val="001E4C68"/>
    <w:rsid w:val="001E4D9A"/>
    <w:rsid w:val="001E50FD"/>
    <w:rsid w:val="001E5310"/>
    <w:rsid w:val="001E59DC"/>
    <w:rsid w:val="001E5DD7"/>
    <w:rsid w:val="001E5EEE"/>
    <w:rsid w:val="001E7358"/>
    <w:rsid w:val="001E7C2A"/>
    <w:rsid w:val="001E7C72"/>
    <w:rsid w:val="001E7D14"/>
    <w:rsid w:val="001E7EDD"/>
    <w:rsid w:val="001E7F19"/>
    <w:rsid w:val="001F02CD"/>
    <w:rsid w:val="001F0B7F"/>
    <w:rsid w:val="001F0CD0"/>
    <w:rsid w:val="001F0F71"/>
    <w:rsid w:val="001F14ED"/>
    <w:rsid w:val="001F19D1"/>
    <w:rsid w:val="001F1B69"/>
    <w:rsid w:val="001F1D9A"/>
    <w:rsid w:val="001F2740"/>
    <w:rsid w:val="001F2C3A"/>
    <w:rsid w:val="001F3531"/>
    <w:rsid w:val="001F3696"/>
    <w:rsid w:val="001F42FF"/>
    <w:rsid w:val="001F445D"/>
    <w:rsid w:val="001F44B4"/>
    <w:rsid w:val="001F44D3"/>
    <w:rsid w:val="001F4510"/>
    <w:rsid w:val="001F58D3"/>
    <w:rsid w:val="001F65A4"/>
    <w:rsid w:val="001F65E0"/>
    <w:rsid w:val="001F6EE3"/>
    <w:rsid w:val="001F7362"/>
    <w:rsid w:val="001F7AE9"/>
    <w:rsid w:val="001F7CFD"/>
    <w:rsid w:val="001F7D5E"/>
    <w:rsid w:val="002011D5"/>
    <w:rsid w:val="00201203"/>
    <w:rsid w:val="00201C2D"/>
    <w:rsid w:val="00203367"/>
    <w:rsid w:val="00204438"/>
    <w:rsid w:val="00204A44"/>
    <w:rsid w:val="00204CD0"/>
    <w:rsid w:val="00206147"/>
    <w:rsid w:val="002064F3"/>
    <w:rsid w:val="002069A8"/>
    <w:rsid w:val="00206EE7"/>
    <w:rsid w:val="002070C0"/>
    <w:rsid w:val="0020789A"/>
    <w:rsid w:val="00207C83"/>
    <w:rsid w:val="00210869"/>
    <w:rsid w:val="002116AD"/>
    <w:rsid w:val="00211999"/>
    <w:rsid w:val="0021222E"/>
    <w:rsid w:val="002123A4"/>
    <w:rsid w:val="002126CD"/>
    <w:rsid w:val="00213773"/>
    <w:rsid w:val="00213B0E"/>
    <w:rsid w:val="00213CBC"/>
    <w:rsid w:val="002141FB"/>
    <w:rsid w:val="002146CA"/>
    <w:rsid w:val="002147D6"/>
    <w:rsid w:val="0021575B"/>
    <w:rsid w:val="00215783"/>
    <w:rsid w:val="0021669B"/>
    <w:rsid w:val="00216876"/>
    <w:rsid w:val="0022018A"/>
    <w:rsid w:val="00220ADA"/>
    <w:rsid w:val="00220B7B"/>
    <w:rsid w:val="0022180E"/>
    <w:rsid w:val="002220BA"/>
    <w:rsid w:val="002227B3"/>
    <w:rsid w:val="002227CF"/>
    <w:rsid w:val="0022296F"/>
    <w:rsid w:val="00222CE3"/>
    <w:rsid w:val="002235D7"/>
    <w:rsid w:val="002239C4"/>
    <w:rsid w:val="00224617"/>
    <w:rsid w:val="00224922"/>
    <w:rsid w:val="00225591"/>
    <w:rsid w:val="00225690"/>
    <w:rsid w:val="0022574F"/>
    <w:rsid w:val="0022593A"/>
    <w:rsid w:val="00225B52"/>
    <w:rsid w:val="00225CE3"/>
    <w:rsid w:val="002260D7"/>
    <w:rsid w:val="00226B17"/>
    <w:rsid w:val="0022712B"/>
    <w:rsid w:val="002276A4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62B"/>
    <w:rsid w:val="00232A4E"/>
    <w:rsid w:val="00232AE1"/>
    <w:rsid w:val="00232FF2"/>
    <w:rsid w:val="00233A7D"/>
    <w:rsid w:val="00233BA3"/>
    <w:rsid w:val="0023482B"/>
    <w:rsid w:val="0023482C"/>
    <w:rsid w:val="00234AA4"/>
    <w:rsid w:val="00234C7F"/>
    <w:rsid w:val="00234E62"/>
    <w:rsid w:val="00234F8F"/>
    <w:rsid w:val="002364AC"/>
    <w:rsid w:val="0023658F"/>
    <w:rsid w:val="00236872"/>
    <w:rsid w:val="00236890"/>
    <w:rsid w:val="002368C0"/>
    <w:rsid w:val="00236CC2"/>
    <w:rsid w:val="00236CDE"/>
    <w:rsid w:val="0023763A"/>
    <w:rsid w:val="00237D7D"/>
    <w:rsid w:val="002404D1"/>
    <w:rsid w:val="002405C8"/>
    <w:rsid w:val="00240DF5"/>
    <w:rsid w:val="00240ECB"/>
    <w:rsid w:val="002415DA"/>
    <w:rsid w:val="00241620"/>
    <w:rsid w:val="00241857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097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1594"/>
    <w:rsid w:val="00252525"/>
    <w:rsid w:val="002526B9"/>
    <w:rsid w:val="00252DD3"/>
    <w:rsid w:val="00253371"/>
    <w:rsid w:val="0025394F"/>
    <w:rsid w:val="00253B97"/>
    <w:rsid w:val="002544CB"/>
    <w:rsid w:val="00254724"/>
    <w:rsid w:val="00255D8E"/>
    <w:rsid w:val="00256584"/>
    <w:rsid w:val="00256C48"/>
    <w:rsid w:val="00256EF8"/>
    <w:rsid w:val="002570D5"/>
    <w:rsid w:val="00257177"/>
    <w:rsid w:val="00257730"/>
    <w:rsid w:val="00257803"/>
    <w:rsid w:val="00257B74"/>
    <w:rsid w:val="00257CD8"/>
    <w:rsid w:val="00260CF8"/>
    <w:rsid w:val="002610D8"/>
    <w:rsid w:val="00261A6C"/>
    <w:rsid w:val="002629E2"/>
    <w:rsid w:val="00262BA8"/>
    <w:rsid w:val="00262BC8"/>
    <w:rsid w:val="00263324"/>
    <w:rsid w:val="002641D9"/>
    <w:rsid w:val="002643C5"/>
    <w:rsid w:val="00264917"/>
    <w:rsid w:val="002651EC"/>
    <w:rsid w:val="00265A8D"/>
    <w:rsid w:val="00265DC2"/>
    <w:rsid w:val="0026638C"/>
    <w:rsid w:val="00266F00"/>
    <w:rsid w:val="002670EF"/>
    <w:rsid w:val="002671A2"/>
    <w:rsid w:val="00267A38"/>
    <w:rsid w:val="00267F5F"/>
    <w:rsid w:val="00270965"/>
    <w:rsid w:val="00271E5D"/>
    <w:rsid w:val="00272082"/>
    <w:rsid w:val="0027349D"/>
    <w:rsid w:val="00273516"/>
    <w:rsid w:val="00273985"/>
    <w:rsid w:val="00273B82"/>
    <w:rsid w:val="00273E7A"/>
    <w:rsid w:val="00274372"/>
    <w:rsid w:val="0027475A"/>
    <w:rsid w:val="0027521D"/>
    <w:rsid w:val="00275F56"/>
    <w:rsid w:val="002765B7"/>
    <w:rsid w:val="00276EAA"/>
    <w:rsid w:val="00277713"/>
    <w:rsid w:val="00277DBC"/>
    <w:rsid w:val="00277F64"/>
    <w:rsid w:val="00280550"/>
    <w:rsid w:val="00281063"/>
    <w:rsid w:val="00281605"/>
    <w:rsid w:val="00281676"/>
    <w:rsid w:val="00281E32"/>
    <w:rsid w:val="002822D7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0E8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C64"/>
    <w:rsid w:val="00293271"/>
    <w:rsid w:val="00293587"/>
    <w:rsid w:val="00293896"/>
    <w:rsid w:val="00293ED1"/>
    <w:rsid w:val="002940C5"/>
    <w:rsid w:val="0029454A"/>
    <w:rsid w:val="002948BB"/>
    <w:rsid w:val="00294A06"/>
    <w:rsid w:val="00294FFB"/>
    <w:rsid w:val="002954FD"/>
    <w:rsid w:val="00295A96"/>
    <w:rsid w:val="00296242"/>
    <w:rsid w:val="0029686B"/>
    <w:rsid w:val="00296CE6"/>
    <w:rsid w:val="002973DF"/>
    <w:rsid w:val="00297D6A"/>
    <w:rsid w:val="00297DAE"/>
    <w:rsid w:val="002A0190"/>
    <w:rsid w:val="002A0801"/>
    <w:rsid w:val="002A0983"/>
    <w:rsid w:val="002A0BF5"/>
    <w:rsid w:val="002A1128"/>
    <w:rsid w:val="002A158C"/>
    <w:rsid w:val="002A24EB"/>
    <w:rsid w:val="002A2A83"/>
    <w:rsid w:val="002A2C5E"/>
    <w:rsid w:val="002A2D66"/>
    <w:rsid w:val="002A428E"/>
    <w:rsid w:val="002A46FA"/>
    <w:rsid w:val="002A4920"/>
    <w:rsid w:val="002A5227"/>
    <w:rsid w:val="002A57BC"/>
    <w:rsid w:val="002A581C"/>
    <w:rsid w:val="002B00FE"/>
    <w:rsid w:val="002B0E27"/>
    <w:rsid w:val="002B10B6"/>
    <w:rsid w:val="002B10D3"/>
    <w:rsid w:val="002B1113"/>
    <w:rsid w:val="002B1867"/>
    <w:rsid w:val="002B1EA3"/>
    <w:rsid w:val="002B2A55"/>
    <w:rsid w:val="002B2DA9"/>
    <w:rsid w:val="002B30C8"/>
    <w:rsid w:val="002B31FA"/>
    <w:rsid w:val="002B33D5"/>
    <w:rsid w:val="002B3A06"/>
    <w:rsid w:val="002B4552"/>
    <w:rsid w:val="002B4C84"/>
    <w:rsid w:val="002B5746"/>
    <w:rsid w:val="002B6389"/>
    <w:rsid w:val="002B63D3"/>
    <w:rsid w:val="002B6815"/>
    <w:rsid w:val="002B6AB1"/>
    <w:rsid w:val="002B71D1"/>
    <w:rsid w:val="002B76CB"/>
    <w:rsid w:val="002C0144"/>
    <w:rsid w:val="002C0CAC"/>
    <w:rsid w:val="002C1F28"/>
    <w:rsid w:val="002C254B"/>
    <w:rsid w:val="002C25DE"/>
    <w:rsid w:val="002C27E8"/>
    <w:rsid w:val="002C2ACB"/>
    <w:rsid w:val="002C2F60"/>
    <w:rsid w:val="002C41CB"/>
    <w:rsid w:val="002C469D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2476"/>
    <w:rsid w:val="002D3CFD"/>
    <w:rsid w:val="002D3D3F"/>
    <w:rsid w:val="002D40A5"/>
    <w:rsid w:val="002D48D7"/>
    <w:rsid w:val="002D48E1"/>
    <w:rsid w:val="002D61C8"/>
    <w:rsid w:val="002D629E"/>
    <w:rsid w:val="002D6E9A"/>
    <w:rsid w:val="002D726B"/>
    <w:rsid w:val="002D75DB"/>
    <w:rsid w:val="002D7D71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CA7"/>
    <w:rsid w:val="002E668B"/>
    <w:rsid w:val="002E6EA4"/>
    <w:rsid w:val="002E7235"/>
    <w:rsid w:val="002E7DEA"/>
    <w:rsid w:val="002F0276"/>
    <w:rsid w:val="002F10E7"/>
    <w:rsid w:val="002F11F9"/>
    <w:rsid w:val="002F1274"/>
    <w:rsid w:val="002F13E0"/>
    <w:rsid w:val="002F16CB"/>
    <w:rsid w:val="002F1742"/>
    <w:rsid w:val="002F1AB0"/>
    <w:rsid w:val="002F2133"/>
    <w:rsid w:val="002F3C64"/>
    <w:rsid w:val="002F3D31"/>
    <w:rsid w:val="002F4431"/>
    <w:rsid w:val="002F478D"/>
    <w:rsid w:val="002F47E7"/>
    <w:rsid w:val="002F510D"/>
    <w:rsid w:val="002F520A"/>
    <w:rsid w:val="002F5F61"/>
    <w:rsid w:val="00300081"/>
    <w:rsid w:val="0030023E"/>
    <w:rsid w:val="0030059B"/>
    <w:rsid w:val="00300FC5"/>
    <w:rsid w:val="00301277"/>
    <w:rsid w:val="00301837"/>
    <w:rsid w:val="003019CD"/>
    <w:rsid w:val="00301AD7"/>
    <w:rsid w:val="00302483"/>
    <w:rsid w:val="0030341B"/>
    <w:rsid w:val="003034D2"/>
    <w:rsid w:val="0030373E"/>
    <w:rsid w:val="00303A1B"/>
    <w:rsid w:val="003045BE"/>
    <w:rsid w:val="00305766"/>
    <w:rsid w:val="00305F53"/>
    <w:rsid w:val="003060F3"/>
    <w:rsid w:val="0030612A"/>
    <w:rsid w:val="003068EC"/>
    <w:rsid w:val="00306C01"/>
    <w:rsid w:val="0030759B"/>
    <w:rsid w:val="003076C4"/>
    <w:rsid w:val="003079A6"/>
    <w:rsid w:val="003106C8"/>
    <w:rsid w:val="00310E3F"/>
    <w:rsid w:val="00311270"/>
    <w:rsid w:val="0031175D"/>
    <w:rsid w:val="003119DD"/>
    <w:rsid w:val="00312297"/>
    <w:rsid w:val="00313221"/>
    <w:rsid w:val="00313367"/>
    <w:rsid w:val="0031354F"/>
    <w:rsid w:val="00314614"/>
    <w:rsid w:val="00314739"/>
    <w:rsid w:val="00314773"/>
    <w:rsid w:val="00314F8A"/>
    <w:rsid w:val="003150A9"/>
    <w:rsid w:val="003151F3"/>
    <w:rsid w:val="003152FA"/>
    <w:rsid w:val="00315384"/>
    <w:rsid w:val="003154DB"/>
    <w:rsid w:val="0031623F"/>
    <w:rsid w:val="00316779"/>
    <w:rsid w:val="00317DA5"/>
    <w:rsid w:val="003201D0"/>
    <w:rsid w:val="003205E0"/>
    <w:rsid w:val="00321386"/>
    <w:rsid w:val="00321788"/>
    <w:rsid w:val="00321848"/>
    <w:rsid w:val="00321CB3"/>
    <w:rsid w:val="00322341"/>
    <w:rsid w:val="003226A7"/>
    <w:rsid w:val="00323457"/>
    <w:rsid w:val="0032345B"/>
    <w:rsid w:val="003235FE"/>
    <w:rsid w:val="00324FF5"/>
    <w:rsid w:val="003256A0"/>
    <w:rsid w:val="003265DE"/>
    <w:rsid w:val="00326A08"/>
    <w:rsid w:val="003274C7"/>
    <w:rsid w:val="003275D6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3C8"/>
    <w:rsid w:val="00331659"/>
    <w:rsid w:val="003319C5"/>
    <w:rsid w:val="00331A58"/>
    <w:rsid w:val="003320F9"/>
    <w:rsid w:val="003327BD"/>
    <w:rsid w:val="003338EB"/>
    <w:rsid w:val="00334446"/>
    <w:rsid w:val="0033444C"/>
    <w:rsid w:val="00334725"/>
    <w:rsid w:val="00334A38"/>
    <w:rsid w:val="00334AF1"/>
    <w:rsid w:val="00335332"/>
    <w:rsid w:val="003353D5"/>
    <w:rsid w:val="0033598A"/>
    <w:rsid w:val="00335A53"/>
    <w:rsid w:val="00336328"/>
    <w:rsid w:val="003379A4"/>
    <w:rsid w:val="00337BB0"/>
    <w:rsid w:val="00337BDD"/>
    <w:rsid w:val="00337CB6"/>
    <w:rsid w:val="003403AE"/>
    <w:rsid w:val="003409BD"/>
    <w:rsid w:val="00340E3E"/>
    <w:rsid w:val="0034111B"/>
    <w:rsid w:val="00342559"/>
    <w:rsid w:val="00342D1A"/>
    <w:rsid w:val="0034339B"/>
    <w:rsid w:val="00343860"/>
    <w:rsid w:val="00343AB5"/>
    <w:rsid w:val="00344CE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57D"/>
    <w:rsid w:val="00347A1B"/>
    <w:rsid w:val="00347CA3"/>
    <w:rsid w:val="00347F9F"/>
    <w:rsid w:val="00351032"/>
    <w:rsid w:val="0035149A"/>
    <w:rsid w:val="00351668"/>
    <w:rsid w:val="00351FA4"/>
    <w:rsid w:val="00352775"/>
    <w:rsid w:val="00352F14"/>
    <w:rsid w:val="003530B3"/>
    <w:rsid w:val="00355317"/>
    <w:rsid w:val="0035546F"/>
    <w:rsid w:val="003554BD"/>
    <w:rsid w:val="003554CE"/>
    <w:rsid w:val="00356586"/>
    <w:rsid w:val="00356792"/>
    <w:rsid w:val="003571E2"/>
    <w:rsid w:val="003576C9"/>
    <w:rsid w:val="00360A82"/>
    <w:rsid w:val="00361062"/>
    <w:rsid w:val="003610F5"/>
    <w:rsid w:val="003616F4"/>
    <w:rsid w:val="00362B5E"/>
    <w:rsid w:val="003638E9"/>
    <w:rsid w:val="003643A5"/>
    <w:rsid w:val="00364D97"/>
    <w:rsid w:val="0036533F"/>
    <w:rsid w:val="00365370"/>
    <w:rsid w:val="0036554C"/>
    <w:rsid w:val="003661C9"/>
    <w:rsid w:val="0036693A"/>
    <w:rsid w:val="00366AFA"/>
    <w:rsid w:val="00366C31"/>
    <w:rsid w:val="00366E38"/>
    <w:rsid w:val="00366E4E"/>
    <w:rsid w:val="003676E5"/>
    <w:rsid w:val="003676EA"/>
    <w:rsid w:val="00367886"/>
    <w:rsid w:val="00367AD9"/>
    <w:rsid w:val="00367CC7"/>
    <w:rsid w:val="00367F73"/>
    <w:rsid w:val="00370219"/>
    <w:rsid w:val="0037051E"/>
    <w:rsid w:val="00370859"/>
    <w:rsid w:val="00370C8A"/>
    <w:rsid w:val="00371208"/>
    <w:rsid w:val="003718D9"/>
    <w:rsid w:val="00371E8D"/>
    <w:rsid w:val="0037207D"/>
    <w:rsid w:val="00372389"/>
    <w:rsid w:val="003723E4"/>
    <w:rsid w:val="00372564"/>
    <w:rsid w:val="00372644"/>
    <w:rsid w:val="00372B3F"/>
    <w:rsid w:val="00372C6C"/>
    <w:rsid w:val="0037334A"/>
    <w:rsid w:val="003734B3"/>
    <w:rsid w:val="0037443B"/>
    <w:rsid w:val="00374D3E"/>
    <w:rsid w:val="00375820"/>
    <w:rsid w:val="00375B14"/>
    <w:rsid w:val="00375D85"/>
    <w:rsid w:val="00375E72"/>
    <w:rsid w:val="003760FD"/>
    <w:rsid w:val="003769D5"/>
    <w:rsid w:val="00377475"/>
    <w:rsid w:val="00377A8C"/>
    <w:rsid w:val="00377F4C"/>
    <w:rsid w:val="0038054C"/>
    <w:rsid w:val="0038061C"/>
    <w:rsid w:val="0038090C"/>
    <w:rsid w:val="00381168"/>
    <w:rsid w:val="00381E3D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6891"/>
    <w:rsid w:val="00386A21"/>
    <w:rsid w:val="0038735C"/>
    <w:rsid w:val="003874B4"/>
    <w:rsid w:val="00387631"/>
    <w:rsid w:val="00387823"/>
    <w:rsid w:val="00387CB2"/>
    <w:rsid w:val="00390044"/>
    <w:rsid w:val="003903FB"/>
    <w:rsid w:val="00390644"/>
    <w:rsid w:val="0039066F"/>
    <w:rsid w:val="00390809"/>
    <w:rsid w:val="00390D50"/>
    <w:rsid w:val="00390EAD"/>
    <w:rsid w:val="00390EAF"/>
    <w:rsid w:val="003915CD"/>
    <w:rsid w:val="00391CBB"/>
    <w:rsid w:val="00391D90"/>
    <w:rsid w:val="00391DDE"/>
    <w:rsid w:val="0039208E"/>
    <w:rsid w:val="003923A6"/>
    <w:rsid w:val="0039257A"/>
    <w:rsid w:val="00393231"/>
    <w:rsid w:val="0039372B"/>
    <w:rsid w:val="0039383D"/>
    <w:rsid w:val="00394932"/>
    <w:rsid w:val="00394FE8"/>
    <w:rsid w:val="00395069"/>
    <w:rsid w:val="003955AD"/>
    <w:rsid w:val="00395990"/>
    <w:rsid w:val="00395A0A"/>
    <w:rsid w:val="00396C46"/>
    <w:rsid w:val="00397A3A"/>
    <w:rsid w:val="00397BF1"/>
    <w:rsid w:val="003A0A67"/>
    <w:rsid w:val="003A1273"/>
    <w:rsid w:val="003A1596"/>
    <w:rsid w:val="003A1FEA"/>
    <w:rsid w:val="003A27ED"/>
    <w:rsid w:val="003A344A"/>
    <w:rsid w:val="003A3622"/>
    <w:rsid w:val="003A3681"/>
    <w:rsid w:val="003A36D4"/>
    <w:rsid w:val="003A4139"/>
    <w:rsid w:val="003A41B8"/>
    <w:rsid w:val="003A495B"/>
    <w:rsid w:val="003A4B2F"/>
    <w:rsid w:val="003A4C4A"/>
    <w:rsid w:val="003A4F9E"/>
    <w:rsid w:val="003A5033"/>
    <w:rsid w:val="003A53AA"/>
    <w:rsid w:val="003A5EEB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42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644"/>
    <w:rsid w:val="003B47A9"/>
    <w:rsid w:val="003B4B26"/>
    <w:rsid w:val="003B4E29"/>
    <w:rsid w:val="003B5306"/>
    <w:rsid w:val="003B5757"/>
    <w:rsid w:val="003B6179"/>
    <w:rsid w:val="003B69D0"/>
    <w:rsid w:val="003B7B4D"/>
    <w:rsid w:val="003C0125"/>
    <w:rsid w:val="003C03F7"/>
    <w:rsid w:val="003C05CD"/>
    <w:rsid w:val="003C0FE5"/>
    <w:rsid w:val="003C1CAF"/>
    <w:rsid w:val="003C22D4"/>
    <w:rsid w:val="003C29AF"/>
    <w:rsid w:val="003C3F73"/>
    <w:rsid w:val="003C40A2"/>
    <w:rsid w:val="003C5519"/>
    <w:rsid w:val="003C5A97"/>
    <w:rsid w:val="003C616B"/>
    <w:rsid w:val="003C681D"/>
    <w:rsid w:val="003C6BED"/>
    <w:rsid w:val="003C7965"/>
    <w:rsid w:val="003C7D06"/>
    <w:rsid w:val="003C7EF7"/>
    <w:rsid w:val="003D0E1F"/>
    <w:rsid w:val="003D1182"/>
    <w:rsid w:val="003D1AE0"/>
    <w:rsid w:val="003D22DA"/>
    <w:rsid w:val="003D2706"/>
    <w:rsid w:val="003D32E8"/>
    <w:rsid w:val="003D3779"/>
    <w:rsid w:val="003D425A"/>
    <w:rsid w:val="003D4866"/>
    <w:rsid w:val="003D507A"/>
    <w:rsid w:val="003D6280"/>
    <w:rsid w:val="003D66CB"/>
    <w:rsid w:val="003D687A"/>
    <w:rsid w:val="003D6A57"/>
    <w:rsid w:val="003D6E45"/>
    <w:rsid w:val="003D79FE"/>
    <w:rsid w:val="003D7A2D"/>
    <w:rsid w:val="003D7C91"/>
    <w:rsid w:val="003E043F"/>
    <w:rsid w:val="003E07F1"/>
    <w:rsid w:val="003E0E8C"/>
    <w:rsid w:val="003E113F"/>
    <w:rsid w:val="003E1418"/>
    <w:rsid w:val="003E4478"/>
    <w:rsid w:val="003E4979"/>
    <w:rsid w:val="003E4B79"/>
    <w:rsid w:val="003E4B85"/>
    <w:rsid w:val="003E581F"/>
    <w:rsid w:val="003E5F16"/>
    <w:rsid w:val="003E6340"/>
    <w:rsid w:val="003E634D"/>
    <w:rsid w:val="003E64BB"/>
    <w:rsid w:val="003E6AC1"/>
    <w:rsid w:val="003E7EEA"/>
    <w:rsid w:val="003F01E7"/>
    <w:rsid w:val="003F1726"/>
    <w:rsid w:val="003F18CF"/>
    <w:rsid w:val="003F1A42"/>
    <w:rsid w:val="003F1EB2"/>
    <w:rsid w:val="003F2BFE"/>
    <w:rsid w:val="003F3A44"/>
    <w:rsid w:val="003F5A7B"/>
    <w:rsid w:val="003F5E65"/>
    <w:rsid w:val="003F5F0A"/>
    <w:rsid w:val="003F68DB"/>
    <w:rsid w:val="003F6DF4"/>
    <w:rsid w:val="003F7022"/>
    <w:rsid w:val="003F7263"/>
    <w:rsid w:val="003F7D77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40E3"/>
    <w:rsid w:val="00404D4D"/>
    <w:rsid w:val="00407CDA"/>
    <w:rsid w:val="004100FD"/>
    <w:rsid w:val="0041029D"/>
    <w:rsid w:val="00410347"/>
    <w:rsid w:val="004104BF"/>
    <w:rsid w:val="0041068A"/>
    <w:rsid w:val="00410DEC"/>
    <w:rsid w:val="0041138F"/>
    <w:rsid w:val="004118D5"/>
    <w:rsid w:val="00412C31"/>
    <w:rsid w:val="00412EF3"/>
    <w:rsid w:val="004133CD"/>
    <w:rsid w:val="00413549"/>
    <w:rsid w:val="00414538"/>
    <w:rsid w:val="0041479C"/>
    <w:rsid w:val="00416787"/>
    <w:rsid w:val="00417C7F"/>
    <w:rsid w:val="004203CA"/>
    <w:rsid w:val="004208D7"/>
    <w:rsid w:val="00420CA2"/>
    <w:rsid w:val="004210BA"/>
    <w:rsid w:val="004215FA"/>
    <w:rsid w:val="00421878"/>
    <w:rsid w:val="004228EE"/>
    <w:rsid w:val="00422BB1"/>
    <w:rsid w:val="00422D87"/>
    <w:rsid w:val="0042325A"/>
    <w:rsid w:val="0042336F"/>
    <w:rsid w:val="004234EF"/>
    <w:rsid w:val="004242F2"/>
    <w:rsid w:val="004249DB"/>
    <w:rsid w:val="00424C76"/>
    <w:rsid w:val="00425554"/>
    <w:rsid w:val="0042556A"/>
    <w:rsid w:val="00425B68"/>
    <w:rsid w:val="00425C9F"/>
    <w:rsid w:val="004268A5"/>
    <w:rsid w:val="00427A53"/>
    <w:rsid w:val="004300E1"/>
    <w:rsid w:val="00430294"/>
    <w:rsid w:val="004309CF"/>
    <w:rsid w:val="00430B44"/>
    <w:rsid w:val="00430F27"/>
    <w:rsid w:val="00431001"/>
    <w:rsid w:val="0043104B"/>
    <w:rsid w:val="0043151E"/>
    <w:rsid w:val="0043181D"/>
    <w:rsid w:val="004328E4"/>
    <w:rsid w:val="00432937"/>
    <w:rsid w:val="00433460"/>
    <w:rsid w:val="00433D87"/>
    <w:rsid w:val="00433ECE"/>
    <w:rsid w:val="004343C2"/>
    <w:rsid w:val="004347A7"/>
    <w:rsid w:val="00434800"/>
    <w:rsid w:val="00434F9C"/>
    <w:rsid w:val="00435BEB"/>
    <w:rsid w:val="00435F09"/>
    <w:rsid w:val="00435F6F"/>
    <w:rsid w:val="00436548"/>
    <w:rsid w:val="00436C20"/>
    <w:rsid w:val="004373A1"/>
    <w:rsid w:val="00437844"/>
    <w:rsid w:val="00437FBE"/>
    <w:rsid w:val="00440392"/>
    <w:rsid w:val="00440502"/>
    <w:rsid w:val="00440B8C"/>
    <w:rsid w:val="00440C3A"/>
    <w:rsid w:val="00441069"/>
    <w:rsid w:val="004412E5"/>
    <w:rsid w:val="004415FC"/>
    <w:rsid w:val="00441989"/>
    <w:rsid w:val="00442112"/>
    <w:rsid w:val="00442822"/>
    <w:rsid w:val="0044294A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648"/>
    <w:rsid w:val="00453BF4"/>
    <w:rsid w:val="00454571"/>
    <w:rsid w:val="00455AFA"/>
    <w:rsid w:val="00456308"/>
    <w:rsid w:val="004566BE"/>
    <w:rsid w:val="0045682E"/>
    <w:rsid w:val="004568B4"/>
    <w:rsid w:val="00457142"/>
    <w:rsid w:val="004573A4"/>
    <w:rsid w:val="00457493"/>
    <w:rsid w:val="004578A5"/>
    <w:rsid w:val="00457958"/>
    <w:rsid w:val="0046087C"/>
    <w:rsid w:val="0046115F"/>
    <w:rsid w:val="0046148D"/>
    <w:rsid w:val="00461535"/>
    <w:rsid w:val="004619CF"/>
    <w:rsid w:val="004620E9"/>
    <w:rsid w:val="004627CF"/>
    <w:rsid w:val="00462977"/>
    <w:rsid w:val="00462DBA"/>
    <w:rsid w:val="004635B7"/>
    <w:rsid w:val="00464027"/>
    <w:rsid w:val="004641CB"/>
    <w:rsid w:val="0046443B"/>
    <w:rsid w:val="00464BC7"/>
    <w:rsid w:val="004651B8"/>
    <w:rsid w:val="00465580"/>
    <w:rsid w:val="00465972"/>
    <w:rsid w:val="00465E7E"/>
    <w:rsid w:val="00466BB5"/>
    <w:rsid w:val="004672E8"/>
    <w:rsid w:val="004677E9"/>
    <w:rsid w:val="00470535"/>
    <w:rsid w:val="00470F0D"/>
    <w:rsid w:val="00471183"/>
    <w:rsid w:val="0047123C"/>
    <w:rsid w:val="004714F6"/>
    <w:rsid w:val="0047289C"/>
    <w:rsid w:val="00472E22"/>
    <w:rsid w:val="00472F67"/>
    <w:rsid w:val="004733A8"/>
    <w:rsid w:val="004739A1"/>
    <w:rsid w:val="0047430D"/>
    <w:rsid w:val="00474FDF"/>
    <w:rsid w:val="00475688"/>
    <w:rsid w:val="004758F6"/>
    <w:rsid w:val="004759E3"/>
    <w:rsid w:val="00475C51"/>
    <w:rsid w:val="00476161"/>
    <w:rsid w:val="00476658"/>
    <w:rsid w:val="00476E34"/>
    <w:rsid w:val="00476EE1"/>
    <w:rsid w:val="00477163"/>
    <w:rsid w:val="00477B0E"/>
    <w:rsid w:val="00477B39"/>
    <w:rsid w:val="00481688"/>
    <w:rsid w:val="004820E0"/>
    <w:rsid w:val="004822CA"/>
    <w:rsid w:val="00483F95"/>
    <w:rsid w:val="004847DD"/>
    <w:rsid w:val="00484D20"/>
    <w:rsid w:val="004850C1"/>
    <w:rsid w:val="004862A1"/>
    <w:rsid w:val="00486F54"/>
    <w:rsid w:val="004871B4"/>
    <w:rsid w:val="004876DD"/>
    <w:rsid w:val="00490973"/>
    <w:rsid w:val="004915E7"/>
    <w:rsid w:val="0049178A"/>
    <w:rsid w:val="00491C1D"/>
    <w:rsid w:val="00491DF1"/>
    <w:rsid w:val="00492535"/>
    <w:rsid w:val="004927C9"/>
    <w:rsid w:val="00493435"/>
    <w:rsid w:val="00494B28"/>
    <w:rsid w:val="00495FFF"/>
    <w:rsid w:val="00496A9F"/>
    <w:rsid w:val="00497358"/>
    <w:rsid w:val="00497FA5"/>
    <w:rsid w:val="004A03B3"/>
    <w:rsid w:val="004A04D5"/>
    <w:rsid w:val="004A1253"/>
    <w:rsid w:val="004A13FE"/>
    <w:rsid w:val="004A1B07"/>
    <w:rsid w:val="004A2E04"/>
    <w:rsid w:val="004A3226"/>
    <w:rsid w:val="004A399F"/>
    <w:rsid w:val="004A4096"/>
    <w:rsid w:val="004A4692"/>
    <w:rsid w:val="004A669F"/>
    <w:rsid w:val="004A6842"/>
    <w:rsid w:val="004A718C"/>
    <w:rsid w:val="004A76A2"/>
    <w:rsid w:val="004A7DBE"/>
    <w:rsid w:val="004A7F94"/>
    <w:rsid w:val="004B08AC"/>
    <w:rsid w:val="004B097E"/>
    <w:rsid w:val="004B0D88"/>
    <w:rsid w:val="004B1C77"/>
    <w:rsid w:val="004B206E"/>
    <w:rsid w:val="004B229E"/>
    <w:rsid w:val="004B29C2"/>
    <w:rsid w:val="004B29E1"/>
    <w:rsid w:val="004B2C52"/>
    <w:rsid w:val="004B2F46"/>
    <w:rsid w:val="004B2FEB"/>
    <w:rsid w:val="004B395D"/>
    <w:rsid w:val="004B3AE1"/>
    <w:rsid w:val="004B3F34"/>
    <w:rsid w:val="004B4194"/>
    <w:rsid w:val="004B457E"/>
    <w:rsid w:val="004B55F0"/>
    <w:rsid w:val="004B56C3"/>
    <w:rsid w:val="004B6928"/>
    <w:rsid w:val="004B79FA"/>
    <w:rsid w:val="004B7D94"/>
    <w:rsid w:val="004C0FB7"/>
    <w:rsid w:val="004C104B"/>
    <w:rsid w:val="004C1145"/>
    <w:rsid w:val="004C164A"/>
    <w:rsid w:val="004C2E14"/>
    <w:rsid w:val="004C2FE3"/>
    <w:rsid w:val="004C305A"/>
    <w:rsid w:val="004C35EF"/>
    <w:rsid w:val="004C3BCF"/>
    <w:rsid w:val="004C4829"/>
    <w:rsid w:val="004C4C58"/>
    <w:rsid w:val="004C4D30"/>
    <w:rsid w:val="004C4EAB"/>
    <w:rsid w:val="004C5570"/>
    <w:rsid w:val="004C5BD0"/>
    <w:rsid w:val="004C5D52"/>
    <w:rsid w:val="004C5DB0"/>
    <w:rsid w:val="004C60D8"/>
    <w:rsid w:val="004C6197"/>
    <w:rsid w:val="004C62EE"/>
    <w:rsid w:val="004C6A0D"/>
    <w:rsid w:val="004C6DF3"/>
    <w:rsid w:val="004C771C"/>
    <w:rsid w:val="004C7D1D"/>
    <w:rsid w:val="004D1000"/>
    <w:rsid w:val="004D147D"/>
    <w:rsid w:val="004D1D27"/>
    <w:rsid w:val="004D2EC3"/>
    <w:rsid w:val="004D2FF6"/>
    <w:rsid w:val="004D3FD6"/>
    <w:rsid w:val="004D405F"/>
    <w:rsid w:val="004D55CA"/>
    <w:rsid w:val="004D5A27"/>
    <w:rsid w:val="004D5C5B"/>
    <w:rsid w:val="004D5F0E"/>
    <w:rsid w:val="004D6626"/>
    <w:rsid w:val="004D6758"/>
    <w:rsid w:val="004D7B1A"/>
    <w:rsid w:val="004E0830"/>
    <w:rsid w:val="004E0CE3"/>
    <w:rsid w:val="004E169C"/>
    <w:rsid w:val="004E1BF0"/>
    <w:rsid w:val="004E1E6A"/>
    <w:rsid w:val="004E28E1"/>
    <w:rsid w:val="004E2B01"/>
    <w:rsid w:val="004E34C7"/>
    <w:rsid w:val="004E356A"/>
    <w:rsid w:val="004E3750"/>
    <w:rsid w:val="004E375D"/>
    <w:rsid w:val="004E3850"/>
    <w:rsid w:val="004E3FC1"/>
    <w:rsid w:val="004E56A1"/>
    <w:rsid w:val="004E58EA"/>
    <w:rsid w:val="004E5F65"/>
    <w:rsid w:val="004E6C7A"/>
    <w:rsid w:val="004E7615"/>
    <w:rsid w:val="004E7CDF"/>
    <w:rsid w:val="004F078C"/>
    <w:rsid w:val="004F1324"/>
    <w:rsid w:val="004F1C7D"/>
    <w:rsid w:val="004F1D24"/>
    <w:rsid w:val="004F21D2"/>
    <w:rsid w:val="004F2621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C09"/>
    <w:rsid w:val="004F5E4E"/>
    <w:rsid w:val="004F63CC"/>
    <w:rsid w:val="004F6678"/>
    <w:rsid w:val="004F6B28"/>
    <w:rsid w:val="004F6C65"/>
    <w:rsid w:val="004F6D2E"/>
    <w:rsid w:val="004F7F0F"/>
    <w:rsid w:val="004F7FBC"/>
    <w:rsid w:val="005001AE"/>
    <w:rsid w:val="005007E7"/>
    <w:rsid w:val="005012FC"/>
    <w:rsid w:val="00501EBE"/>
    <w:rsid w:val="0050261A"/>
    <w:rsid w:val="00503551"/>
    <w:rsid w:val="00503F38"/>
    <w:rsid w:val="005043FC"/>
    <w:rsid w:val="00504A55"/>
    <w:rsid w:val="00505F08"/>
    <w:rsid w:val="0050671D"/>
    <w:rsid w:val="0050672C"/>
    <w:rsid w:val="00506C4C"/>
    <w:rsid w:val="0050700E"/>
    <w:rsid w:val="005079D7"/>
    <w:rsid w:val="00507B2A"/>
    <w:rsid w:val="00507EC1"/>
    <w:rsid w:val="00510A22"/>
    <w:rsid w:val="00510D8A"/>
    <w:rsid w:val="00511EBC"/>
    <w:rsid w:val="005125D5"/>
    <w:rsid w:val="00512D51"/>
    <w:rsid w:val="00512E95"/>
    <w:rsid w:val="00514674"/>
    <w:rsid w:val="0051477F"/>
    <w:rsid w:val="00514C46"/>
    <w:rsid w:val="00514F12"/>
    <w:rsid w:val="00515BCF"/>
    <w:rsid w:val="00516083"/>
    <w:rsid w:val="0051635A"/>
    <w:rsid w:val="0051646E"/>
    <w:rsid w:val="005166C3"/>
    <w:rsid w:val="00516EA5"/>
    <w:rsid w:val="005179DA"/>
    <w:rsid w:val="00517E2A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4D2C"/>
    <w:rsid w:val="00525789"/>
    <w:rsid w:val="00525890"/>
    <w:rsid w:val="00526452"/>
    <w:rsid w:val="00526816"/>
    <w:rsid w:val="00526F09"/>
    <w:rsid w:val="00527F4F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142"/>
    <w:rsid w:val="00533EE8"/>
    <w:rsid w:val="0053417D"/>
    <w:rsid w:val="0053490C"/>
    <w:rsid w:val="00535585"/>
    <w:rsid w:val="00536A58"/>
    <w:rsid w:val="00536AB4"/>
    <w:rsid w:val="00536AC6"/>
    <w:rsid w:val="00537127"/>
    <w:rsid w:val="0053764B"/>
    <w:rsid w:val="0054069F"/>
    <w:rsid w:val="00541307"/>
    <w:rsid w:val="00541B60"/>
    <w:rsid w:val="00541DB8"/>
    <w:rsid w:val="00541F9A"/>
    <w:rsid w:val="00542247"/>
    <w:rsid w:val="00542599"/>
    <w:rsid w:val="00542EB4"/>
    <w:rsid w:val="0054304E"/>
    <w:rsid w:val="005448B9"/>
    <w:rsid w:val="00545136"/>
    <w:rsid w:val="005452C1"/>
    <w:rsid w:val="00545B42"/>
    <w:rsid w:val="0054612B"/>
    <w:rsid w:val="00546E7B"/>
    <w:rsid w:val="00547753"/>
    <w:rsid w:val="005479F5"/>
    <w:rsid w:val="00547D90"/>
    <w:rsid w:val="00547F76"/>
    <w:rsid w:val="005500F2"/>
    <w:rsid w:val="005508EF"/>
    <w:rsid w:val="005510E3"/>
    <w:rsid w:val="0055173F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400F"/>
    <w:rsid w:val="005548DD"/>
    <w:rsid w:val="00555500"/>
    <w:rsid w:val="00555FC3"/>
    <w:rsid w:val="00556027"/>
    <w:rsid w:val="00556506"/>
    <w:rsid w:val="0055659A"/>
    <w:rsid w:val="00556616"/>
    <w:rsid w:val="00556731"/>
    <w:rsid w:val="00557401"/>
    <w:rsid w:val="0055747C"/>
    <w:rsid w:val="00557D41"/>
    <w:rsid w:val="00557F5B"/>
    <w:rsid w:val="00557FE2"/>
    <w:rsid w:val="00560729"/>
    <w:rsid w:val="00560A6F"/>
    <w:rsid w:val="00560A86"/>
    <w:rsid w:val="00561AFD"/>
    <w:rsid w:val="00561C64"/>
    <w:rsid w:val="0056218D"/>
    <w:rsid w:val="00562EAD"/>
    <w:rsid w:val="00563222"/>
    <w:rsid w:val="00563A7C"/>
    <w:rsid w:val="00563AEB"/>
    <w:rsid w:val="00564775"/>
    <w:rsid w:val="00565225"/>
    <w:rsid w:val="00565469"/>
    <w:rsid w:val="00566C28"/>
    <w:rsid w:val="00566EBC"/>
    <w:rsid w:val="00567424"/>
    <w:rsid w:val="00567500"/>
    <w:rsid w:val="0056753D"/>
    <w:rsid w:val="00567811"/>
    <w:rsid w:val="00567CDA"/>
    <w:rsid w:val="00570163"/>
    <w:rsid w:val="005701B3"/>
    <w:rsid w:val="005702BD"/>
    <w:rsid w:val="0057041C"/>
    <w:rsid w:val="005704B1"/>
    <w:rsid w:val="00571005"/>
    <w:rsid w:val="00572749"/>
    <w:rsid w:val="005739F4"/>
    <w:rsid w:val="00573A7F"/>
    <w:rsid w:val="00573EE1"/>
    <w:rsid w:val="0057406C"/>
    <w:rsid w:val="00575051"/>
    <w:rsid w:val="005758E3"/>
    <w:rsid w:val="00576D35"/>
    <w:rsid w:val="005777C8"/>
    <w:rsid w:val="00577AD5"/>
    <w:rsid w:val="00577F23"/>
    <w:rsid w:val="00580A72"/>
    <w:rsid w:val="0058107B"/>
    <w:rsid w:val="0058149F"/>
    <w:rsid w:val="0058161B"/>
    <w:rsid w:val="005817A5"/>
    <w:rsid w:val="00581DF3"/>
    <w:rsid w:val="00582853"/>
    <w:rsid w:val="00582893"/>
    <w:rsid w:val="00582C76"/>
    <w:rsid w:val="00583A87"/>
    <w:rsid w:val="0058403B"/>
    <w:rsid w:val="005842BA"/>
    <w:rsid w:val="005843E6"/>
    <w:rsid w:val="005845FA"/>
    <w:rsid w:val="00584AC0"/>
    <w:rsid w:val="00585C21"/>
    <w:rsid w:val="005874CD"/>
    <w:rsid w:val="00587597"/>
    <w:rsid w:val="00590D18"/>
    <w:rsid w:val="00590EDD"/>
    <w:rsid w:val="00591988"/>
    <w:rsid w:val="00591CA1"/>
    <w:rsid w:val="005921C8"/>
    <w:rsid w:val="005922A3"/>
    <w:rsid w:val="0059239E"/>
    <w:rsid w:val="005924DB"/>
    <w:rsid w:val="005929E8"/>
    <w:rsid w:val="00592A2E"/>
    <w:rsid w:val="00592C64"/>
    <w:rsid w:val="00593155"/>
    <w:rsid w:val="0059353B"/>
    <w:rsid w:val="005938DB"/>
    <w:rsid w:val="00593F5D"/>
    <w:rsid w:val="005949FB"/>
    <w:rsid w:val="00594C1A"/>
    <w:rsid w:val="00595106"/>
    <w:rsid w:val="00595692"/>
    <w:rsid w:val="00595B7B"/>
    <w:rsid w:val="00596020"/>
    <w:rsid w:val="0059632F"/>
    <w:rsid w:val="00596436"/>
    <w:rsid w:val="005974CE"/>
    <w:rsid w:val="00597799"/>
    <w:rsid w:val="005977F9"/>
    <w:rsid w:val="00597BA8"/>
    <w:rsid w:val="005A01E7"/>
    <w:rsid w:val="005A02C8"/>
    <w:rsid w:val="005A09E5"/>
    <w:rsid w:val="005A1473"/>
    <w:rsid w:val="005A19FF"/>
    <w:rsid w:val="005A2074"/>
    <w:rsid w:val="005A24AE"/>
    <w:rsid w:val="005A2B7A"/>
    <w:rsid w:val="005A3394"/>
    <w:rsid w:val="005A403A"/>
    <w:rsid w:val="005A43BE"/>
    <w:rsid w:val="005A4624"/>
    <w:rsid w:val="005A5011"/>
    <w:rsid w:val="005A508D"/>
    <w:rsid w:val="005A60BA"/>
    <w:rsid w:val="005A761B"/>
    <w:rsid w:val="005B096F"/>
    <w:rsid w:val="005B0987"/>
    <w:rsid w:val="005B0FB5"/>
    <w:rsid w:val="005B1191"/>
    <w:rsid w:val="005B1205"/>
    <w:rsid w:val="005B1D3B"/>
    <w:rsid w:val="005B2088"/>
    <w:rsid w:val="005B2466"/>
    <w:rsid w:val="005B2BBB"/>
    <w:rsid w:val="005B2BF5"/>
    <w:rsid w:val="005B2FD3"/>
    <w:rsid w:val="005B362A"/>
    <w:rsid w:val="005B41B3"/>
    <w:rsid w:val="005B4289"/>
    <w:rsid w:val="005B5841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12AC"/>
    <w:rsid w:val="005C1C90"/>
    <w:rsid w:val="005C1CEF"/>
    <w:rsid w:val="005C21B6"/>
    <w:rsid w:val="005C21FB"/>
    <w:rsid w:val="005C34AE"/>
    <w:rsid w:val="005C3964"/>
    <w:rsid w:val="005C428A"/>
    <w:rsid w:val="005C4330"/>
    <w:rsid w:val="005C4787"/>
    <w:rsid w:val="005C5113"/>
    <w:rsid w:val="005C54B8"/>
    <w:rsid w:val="005C557C"/>
    <w:rsid w:val="005C56B7"/>
    <w:rsid w:val="005C5CDF"/>
    <w:rsid w:val="005C677E"/>
    <w:rsid w:val="005C6CD0"/>
    <w:rsid w:val="005C7072"/>
    <w:rsid w:val="005C757A"/>
    <w:rsid w:val="005C785E"/>
    <w:rsid w:val="005C78D5"/>
    <w:rsid w:val="005D00B6"/>
    <w:rsid w:val="005D101F"/>
    <w:rsid w:val="005D1247"/>
    <w:rsid w:val="005D1D60"/>
    <w:rsid w:val="005D205D"/>
    <w:rsid w:val="005D2F54"/>
    <w:rsid w:val="005D33D2"/>
    <w:rsid w:val="005D353D"/>
    <w:rsid w:val="005D380F"/>
    <w:rsid w:val="005D3FD5"/>
    <w:rsid w:val="005D593D"/>
    <w:rsid w:val="005D636B"/>
    <w:rsid w:val="005D63A5"/>
    <w:rsid w:val="005D647D"/>
    <w:rsid w:val="005D69A4"/>
    <w:rsid w:val="005D79B5"/>
    <w:rsid w:val="005D7BDA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850"/>
    <w:rsid w:val="005E3EB4"/>
    <w:rsid w:val="005E40C8"/>
    <w:rsid w:val="005E43DF"/>
    <w:rsid w:val="005E48DE"/>
    <w:rsid w:val="005E566F"/>
    <w:rsid w:val="005E5774"/>
    <w:rsid w:val="005E64AF"/>
    <w:rsid w:val="005E6BE9"/>
    <w:rsid w:val="005E6D97"/>
    <w:rsid w:val="005E71A5"/>
    <w:rsid w:val="005E777B"/>
    <w:rsid w:val="005E77F8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DE7"/>
    <w:rsid w:val="005F5E8E"/>
    <w:rsid w:val="005F60E6"/>
    <w:rsid w:val="005F61DD"/>
    <w:rsid w:val="005F764A"/>
    <w:rsid w:val="0060008E"/>
    <w:rsid w:val="006005C1"/>
    <w:rsid w:val="006011A0"/>
    <w:rsid w:val="00602A78"/>
    <w:rsid w:val="00602BCA"/>
    <w:rsid w:val="0060305F"/>
    <w:rsid w:val="006034C7"/>
    <w:rsid w:val="00603B40"/>
    <w:rsid w:val="00604603"/>
    <w:rsid w:val="00604617"/>
    <w:rsid w:val="00604730"/>
    <w:rsid w:val="006049CE"/>
    <w:rsid w:val="00604AE3"/>
    <w:rsid w:val="00604D1B"/>
    <w:rsid w:val="006052A3"/>
    <w:rsid w:val="006053D8"/>
    <w:rsid w:val="006057CF"/>
    <w:rsid w:val="00605970"/>
    <w:rsid w:val="006059A0"/>
    <w:rsid w:val="00605A1A"/>
    <w:rsid w:val="00606054"/>
    <w:rsid w:val="0060611E"/>
    <w:rsid w:val="006063E0"/>
    <w:rsid w:val="00606906"/>
    <w:rsid w:val="00606EE7"/>
    <w:rsid w:val="00606FAA"/>
    <w:rsid w:val="00607B3C"/>
    <w:rsid w:val="00607C10"/>
    <w:rsid w:val="00607F9D"/>
    <w:rsid w:val="00611BA6"/>
    <w:rsid w:val="00612D19"/>
    <w:rsid w:val="0061330F"/>
    <w:rsid w:val="00613641"/>
    <w:rsid w:val="00614139"/>
    <w:rsid w:val="00614483"/>
    <w:rsid w:val="0061478C"/>
    <w:rsid w:val="00615030"/>
    <w:rsid w:val="0061516E"/>
    <w:rsid w:val="006151BC"/>
    <w:rsid w:val="00615204"/>
    <w:rsid w:val="006154F0"/>
    <w:rsid w:val="00615E77"/>
    <w:rsid w:val="006162A3"/>
    <w:rsid w:val="006165D6"/>
    <w:rsid w:val="00616C7D"/>
    <w:rsid w:val="0061735F"/>
    <w:rsid w:val="006205E1"/>
    <w:rsid w:val="006208EE"/>
    <w:rsid w:val="0062091D"/>
    <w:rsid w:val="00620C44"/>
    <w:rsid w:val="0062100E"/>
    <w:rsid w:val="006211A5"/>
    <w:rsid w:val="006219BC"/>
    <w:rsid w:val="00621DD8"/>
    <w:rsid w:val="00622789"/>
    <w:rsid w:val="006233C1"/>
    <w:rsid w:val="00624649"/>
    <w:rsid w:val="006249A7"/>
    <w:rsid w:val="006249D1"/>
    <w:rsid w:val="00624D4F"/>
    <w:rsid w:val="00625713"/>
    <w:rsid w:val="00625B22"/>
    <w:rsid w:val="00625C53"/>
    <w:rsid w:val="00626415"/>
    <w:rsid w:val="006265B4"/>
    <w:rsid w:val="00626FCF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727"/>
    <w:rsid w:val="006338DA"/>
    <w:rsid w:val="0063390C"/>
    <w:rsid w:val="00633A5E"/>
    <w:rsid w:val="00633F74"/>
    <w:rsid w:val="00635AEB"/>
    <w:rsid w:val="00636EF8"/>
    <w:rsid w:val="00636FEF"/>
    <w:rsid w:val="0063715F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43B2"/>
    <w:rsid w:val="00644FE8"/>
    <w:rsid w:val="00645210"/>
    <w:rsid w:val="00645933"/>
    <w:rsid w:val="006459B3"/>
    <w:rsid w:val="00645D57"/>
    <w:rsid w:val="006463B7"/>
    <w:rsid w:val="00646761"/>
    <w:rsid w:val="00646970"/>
    <w:rsid w:val="00646FDD"/>
    <w:rsid w:val="00647C38"/>
    <w:rsid w:val="00647D39"/>
    <w:rsid w:val="006500A2"/>
    <w:rsid w:val="0065058D"/>
    <w:rsid w:val="00650C5E"/>
    <w:rsid w:val="00651147"/>
    <w:rsid w:val="0065131D"/>
    <w:rsid w:val="00651DC1"/>
    <w:rsid w:val="00651FD6"/>
    <w:rsid w:val="0065234B"/>
    <w:rsid w:val="0065252C"/>
    <w:rsid w:val="00653AC4"/>
    <w:rsid w:val="00653C52"/>
    <w:rsid w:val="006540C1"/>
    <w:rsid w:val="00654642"/>
    <w:rsid w:val="00654AF4"/>
    <w:rsid w:val="00654CB8"/>
    <w:rsid w:val="0065561D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4FE"/>
    <w:rsid w:val="00660680"/>
    <w:rsid w:val="00660BFB"/>
    <w:rsid w:val="00660C96"/>
    <w:rsid w:val="00660E23"/>
    <w:rsid w:val="00662A70"/>
    <w:rsid w:val="00662AF9"/>
    <w:rsid w:val="00662C14"/>
    <w:rsid w:val="00662C97"/>
    <w:rsid w:val="00662CBB"/>
    <w:rsid w:val="00662EFC"/>
    <w:rsid w:val="00662F3E"/>
    <w:rsid w:val="00662FB3"/>
    <w:rsid w:val="0066398B"/>
    <w:rsid w:val="00663F53"/>
    <w:rsid w:val="0066486A"/>
    <w:rsid w:val="006650D2"/>
    <w:rsid w:val="0066527F"/>
    <w:rsid w:val="00666754"/>
    <w:rsid w:val="00666AEA"/>
    <w:rsid w:val="00667FB2"/>
    <w:rsid w:val="00670D2E"/>
    <w:rsid w:val="0067269F"/>
    <w:rsid w:val="006726CB"/>
    <w:rsid w:val="0067272F"/>
    <w:rsid w:val="00673BA4"/>
    <w:rsid w:val="00674C5D"/>
    <w:rsid w:val="00674ED8"/>
    <w:rsid w:val="00675793"/>
    <w:rsid w:val="00675C5E"/>
    <w:rsid w:val="00676F0B"/>
    <w:rsid w:val="006773D1"/>
    <w:rsid w:val="006801BB"/>
    <w:rsid w:val="006802E3"/>
    <w:rsid w:val="00680A87"/>
    <w:rsid w:val="00680CC6"/>
    <w:rsid w:val="0068241B"/>
    <w:rsid w:val="00683889"/>
    <w:rsid w:val="00683CFF"/>
    <w:rsid w:val="00683F41"/>
    <w:rsid w:val="006842A2"/>
    <w:rsid w:val="006848BB"/>
    <w:rsid w:val="00685075"/>
    <w:rsid w:val="00685339"/>
    <w:rsid w:val="00685597"/>
    <w:rsid w:val="00686338"/>
    <w:rsid w:val="00686FB8"/>
    <w:rsid w:val="0068731C"/>
    <w:rsid w:val="006904AD"/>
    <w:rsid w:val="006905F1"/>
    <w:rsid w:val="006909BD"/>
    <w:rsid w:val="00690CF4"/>
    <w:rsid w:val="006912E6"/>
    <w:rsid w:val="006914E9"/>
    <w:rsid w:val="00691815"/>
    <w:rsid w:val="00691D87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52"/>
    <w:rsid w:val="006962E6"/>
    <w:rsid w:val="0069644C"/>
    <w:rsid w:val="0069657D"/>
    <w:rsid w:val="00696A8E"/>
    <w:rsid w:val="0069703E"/>
    <w:rsid w:val="006971FD"/>
    <w:rsid w:val="00697208"/>
    <w:rsid w:val="00697A32"/>
    <w:rsid w:val="006A06E3"/>
    <w:rsid w:val="006A0B03"/>
    <w:rsid w:val="006A0ECA"/>
    <w:rsid w:val="006A11F4"/>
    <w:rsid w:val="006A14A8"/>
    <w:rsid w:val="006A182D"/>
    <w:rsid w:val="006A1ADF"/>
    <w:rsid w:val="006A23AC"/>
    <w:rsid w:val="006A2835"/>
    <w:rsid w:val="006A3A19"/>
    <w:rsid w:val="006A3B6E"/>
    <w:rsid w:val="006A3B9E"/>
    <w:rsid w:val="006A3D6D"/>
    <w:rsid w:val="006A3D73"/>
    <w:rsid w:val="006A43EA"/>
    <w:rsid w:val="006A471A"/>
    <w:rsid w:val="006A5290"/>
    <w:rsid w:val="006A777A"/>
    <w:rsid w:val="006A77BF"/>
    <w:rsid w:val="006A7AE9"/>
    <w:rsid w:val="006A7C9D"/>
    <w:rsid w:val="006B0264"/>
    <w:rsid w:val="006B0D9A"/>
    <w:rsid w:val="006B1E59"/>
    <w:rsid w:val="006B2995"/>
    <w:rsid w:val="006B2F13"/>
    <w:rsid w:val="006B3EFD"/>
    <w:rsid w:val="006B40C8"/>
    <w:rsid w:val="006B423F"/>
    <w:rsid w:val="006B472A"/>
    <w:rsid w:val="006B549F"/>
    <w:rsid w:val="006B65CB"/>
    <w:rsid w:val="006B765D"/>
    <w:rsid w:val="006C0867"/>
    <w:rsid w:val="006C12F3"/>
    <w:rsid w:val="006C150F"/>
    <w:rsid w:val="006C215A"/>
    <w:rsid w:val="006C24C7"/>
    <w:rsid w:val="006C273C"/>
    <w:rsid w:val="006C374A"/>
    <w:rsid w:val="006C3A0F"/>
    <w:rsid w:val="006C479E"/>
    <w:rsid w:val="006C57FE"/>
    <w:rsid w:val="006C5AB5"/>
    <w:rsid w:val="006C621D"/>
    <w:rsid w:val="006C6E36"/>
    <w:rsid w:val="006C705E"/>
    <w:rsid w:val="006C7216"/>
    <w:rsid w:val="006C7266"/>
    <w:rsid w:val="006C7C27"/>
    <w:rsid w:val="006D045E"/>
    <w:rsid w:val="006D057A"/>
    <w:rsid w:val="006D0B6D"/>
    <w:rsid w:val="006D1549"/>
    <w:rsid w:val="006D1A5F"/>
    <w:rsid w:val="006D1CEA"/>
    <w:rsid w:val="006D1D71"/>
    <w:rsid w:val="006D381C"/>
    <w:rsid w:val="006D39EA"/>
    <w:rsid w:val="006D3CE0"/>
    <w:rsid w:val="006D45FF"/>
    <w:rsid w:val="006D4801"/>
    <w:rsid w:val="006D487E"/>
    <w:rsid w:val="006D4A33"/>
    <w:rsid w:val="006D53DF"/>
    <w:rsid w:val="006D54F7"/>
    <w:rsid w:val="006D5604"/>
    <w:rsid w:val="006D5CDA"/>
    <w:rsid w:val="006D6906"/>
    <w:rsid w:val="006D6D04"/>
    <w:rsid w:val="006D7902"/>
    <w:rsid w:val="006D7C9D"/>
    <w:rsid w:val="006D7D85"/>
    <w:rsid w:val="006E045E"/>
    <w:rsid w:val="006E09E9"/>
    <w:rsid w:val="006E0B21"/>
    <w:rsid w:val="006E171B"/>
    <w:rsid w:val="006E1971"/>
    <w:rsid w:val="006E2C6D"/>
    <w:rsid w:val="006E33D2"/>
    <w:rsid w:val="006E374B"/>
    <w:rsid w:val="006E3B50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F020B"/>
    <w:rsid w:val="006F117D"/>
    <w:rsid w:val="006F1195"/>
    <w:rsid w:val="006F13F3"/>
    <w:rsid w:val="006F1DBD"/>
    <w:rsid w:val="006F1E00"/>
    <w:rsid w:val="006F2DA6"/>
    <w:rsid w:val="006F301F"/>
    <w:rsid w:val="006F3D30"/>
    <w:rsid w:val="006F5847"/>
    <w:rsid w:val="006F5B1A"/>
    <w:rsid w:val="006F5F76"/>
    <w:rsid w:val="006F6790"/>
    <w:rsid w:val="00700821"/>
    <w:rsid w:val="007010A7"/>
    <w:rsid w:val="007011D1"/>
    <w:rsid w:val="007011D8"/>
    <w:rsid w:val="00702723"/>
    <w:rsid w:val="0070303A"/>
    <w:rsid w:val="0070328F"/>
    <w:rsid w:val="00703F20"/>
    <w:rsid w:val="0070417B"/>
    <w:rsid w:val="00704346"/>
    <w:rsid w:val="00704464"/>
    <w:rsid w:val="00704527"/>
    <w:rsid w:val="0070522E"/>
    <w:rsid w:val="00705BD7"/>
    <w:rsid w:val="007061EC"/>
    <w:rsid w:val="00706461"/>
    <w:rsid w:val="007068C5"/>
    <w:rsid w:val="0070699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1F11"/>
    <w:rsid w:val="00712020"/>
    <w:rsid w:val="00712026"/>
    <w:rsid w:val="007121C0"/>
    <w:rsid w:val="00712588"/>
    <w:rsid w:val="00712638"/>
    <w:rsid w:val="0071276A"/>
    <w:rsid w:val="00712B22"/>
    <w:rsid w:val="00712D93"/>
    <w:rsid w:val="007139BF"/>
    <w:rsid w:val="00713C11"/>
    <w:rsid w:val="007140C1"/>
    <w:rsid w:val="0071438B"/>
    <w:rsid w:val="00714A38"/>
    <w:rsid w:val="00714B10"/>
    <w:rsid w:val="00714B64"/>
    <w:rsid w:val="00714BA7"/>
    <w:rsid w:val="00714F03"/>
    <w:rsid w:val="007153D0"/>
    <w:rsid w:val="00715C06"/>
    <w:rsid w:val="00716D4E"/>
    <w:rsid w:val="0071717E"/>
    <w:rsid w:val="00717312"/>
    <w:rsid w:val="007176D1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49D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2732"/>
    <w:rsid w:val="00733075"/>
    <w:rsid w:val="0073397C"/>
    <w:rsid w:val="00734051"/>
    <w:rsid w:val="00734519"/>
    <w:rsid w:val="0073458B"/>
    <w:rsid w:val="00734B84"/>
    <w:rsid w:val="00735EBF"/>
    <w:rsid w:val="007365ED"/>
    <w:rsid w:val="00736927"/>
    <w:rsid w:val="00737A4B"/>
    <w:rsid w:val="00740008"/>
    <w:rsid w:val="00741355"/>
    <w:rsid w:val="00741C56"/>
    <w:rsid w:val="00741C83"/>
    <w:rsid w:val="00741E9A"/>
    <w:rsid w:val="00742891"/>
    <w:rsid w:val="00742A70"/>
    <w:rsid w:val="00742C3D"/>
    <w:rsid w:val="00742CD8"/>
    <w:rsid w:val="00742DAD"/>
    <w:rsid w:val="00743455"/>
    <w:rsid w:val="007435B8"/>
    <w:rsid w:val="007444AE"/>
    <w:rsid w:val="007447C6"/>
    <w:rsid w:val="007449FE"/>
    <w:rsid w:val="00744CEC"/>
    <w:rsid w:val="00745A05"/>
    <w:rsid w:val="00745F8E"/>
    <w:rsid w:val="00746564"/>
    <w:rsid w:val="00746721"/>
    <w:rsid w:val="00747741"/>
    <w:rsid w:val="007505F4"/>
    <w:rsid w:val="00750979"/>
    <w:rsid w:val="00751313"/>
    <w:rsid w:val="007514AA"/>
    <w:rsid w:val="00751760"/>
    <w:rsid w:val="007518C9"/>
    <w:rsid w:val="00751CD8"/>
    <w:rsid w:val="0075218A"/>
    <w:rsid w:val="00752238"/>
    <w:rsid w:val="00752DE0"/>
    <w:rsid w:val="00752E14"/>
    <w:rsid w:val="00753DA5"/>
    <w:rsid w:val="00754E53"/>
    <w:rsid w:val="0075502B"/>
    <w:rsid w:val="00755633"/>
    <w:rsid w:val="00755979"/>
    <w:rsid w:val="00755B6F"/>
    <w:rsid w:val="00756A17"/>
    <w:rsid w:val="00756B41"/>
    <w:rsid w:val="007576EC"/>
    <w:rsid w:val="00757957"/>
    <w:rsid w:val="00760978"/>
    <w:rsid w:val="00760D42"/>
    <w:rsid w:val="00761B5B"/>
    <w:rsid w:val="00761BBC"/>
    <w:rsid w:val="007623B0"/>
    <w:rsid w:val="00762A7D"/>
    <w:rsid w:val="00763B9E"/>
    <w:rsid w:val="00764588"/>
    <w:rsid w:val="007648FE"/>
    <w:rsid w:val="00764B39"/>
    <w:rsid w:val="007664EA"/>
    <w:rsid w:val="007667C4"/>
    <w:rsid w:val="00767062"/>
    <w:rsid w:val="007670FC"/>
    <w:rsid w:val="0076718D"/>
    <w:rsid w:val="00767282"/>
    <w:rsid w:val="007678B9"/>
    <w:rsid w:val="00767DDD"/>
    <w:rsid w:val="00767F7F"/>
    <w:rsid w:val="007703EA"/>
    <w:rsid w:val="00770C49"/>
    <w:rsid w:val="0077103B"/>
    <w:rsid w:val="0077130E"/>
    <w:rsid w:val="007713D7"/>
    <w:rsid w:val="00771BF6"/>
    <w:rsid w:val="0077249A"/>
    <w:rsid w:val="0077262C"/>
    <w:rsid w:val="00772A29"/>
    <w:rsid w:val="00772EFA"/>
    <w:rsid w:val="00773B3E"/>
    <w:rsid w:val="00773E65"/>
    <w:rsid w:val="007741B0"/>
    <w:rsid w:val="007745D3"/>
    <w:rsid w:val="007746DC"/>
    <w:rsid w:val="0077558B"/>
    <w:rsid w:val="007756E4"/>
    <w:rsid w:val="00776874"/>
    <w:rsid w:val="0077707E"/>
    <w:rsid w:val="0077726C"/>
    <w:rsid w:val="00777AAB"/>
    <w:rsid w:val="00780FF9"/>
    <w:rsid w:val="0078285C"/>
    <w:rsid w:val="00782B30"/>
    <w:rsid w:val="00783A36"/>
    <w:rsid w:val="007845D4"/>
    <w:rsid w:val="00784DF0"/>
    <w:rsid w:val="00785A38"/>
    <w:rsid w:val="00785C2A"/>
    <w:rsid w:val="0078627A"/>
    <w:rsid w:val="0078668F"/>
    <w:rsid w:val="0078700E"/>
    <w:rsid w:val="00787339"/>
    <w:rsid w:val="00787B59"/>
    <w:rsid w:val="007900A9"/>
    <w:rsid w:val="007910C3"/>
    <w:rsid w:val="007910DE"/>
    <w:rsid w:val="00791110"/>
    <w:rsid w:val="00791248"/>
    <w:rsid w:val="00791250"/>
    <w:rsid w:val="0079150D"/>
    <w:rsid w:val="00791DE1"/>
    <w:rsid w:val="00792265"/>
    <w:rsid w:val="00793181"/>
    <w:rsid w:val="007936BD"/>
    <w:rsid w:val="007936C1"/>
    <w:rsid w:val="007936DE"/>
    <w:rsid w:val="00793D45"/>
    <w:rsid w:val="00795E20"/>
    <w:rsid w:val="00796787"/>
    <w:rsid w:val="007975BD"/>
    <w:rsid w:val="00797B7E"/>
    <w:rsid w:val="007A02A6"/>
    <w:rsid w:val="007A05A2"/>
    <w:rsid w:val="007A10D6"/>
    <w:rsid w:val="007A12EE"/>
    <w:rsid w:val="007A138C"/>
    <w:rsid w:val="007A1834"/>
    <w:rsid w:val="007A1856"/>
    <w:rsid w:val="007A1E52"/>
    <w:rsid w:val="007A2813"/>
    <w:rsid w:val="007A2A4D"/>
    <w:rsid w:val="007A31B2"/>
    <w:rsid w:val="007A3629"/>
    <w:rsid w:val="007A385C"/>
    <w:rsid w:val="007A38F5"/>
    <w:rsid w:val="007A3D24"/>
    <w:rsid w:val="007A4860"/>
    <w:rsid w:val="007A4CAF"/>
    <w:rsid w:val="007A4F7B"/>
    <w:rsid w:val="007A57A2"/>
    <w:rsid w:val="007A61E4"/>
    <w:rsid w:val="007A704A"/>
    <w:rsid w:val="007A7242"/>
    <w:rsid w:val="007B12B0"/>
    <w:rsid w:val="007B1392"/>
    <w:rsid w:val="007B1785"/>
    <w:rsid w:val="007B215A"/>
    <w:rsid w:val="007B22DC"/>
    <w:rsid w:val="007B24F0"/>
    <w:rsid w:val="007B32EE"/>
    <w:rsid w:val="007B34DC"/>
    <w:rsid w:val="007B3A98"/>
    <w:rsid w:val="007B4008"/>
    <w:rsid w:val="007B49C4"/>
    <w:rsid w:val="007B4D74"/>
    <w:rsid w:val="007B4DC6"/>
    <w:rsid w:val="007B5132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4084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0F"/>
    <w:rsid w:val="007C58AB"/>
    <w:rsid w:val="007C5F6F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D5B"/>
    <w:rsid w:val="007D143D"/>
    <w:rsid w:val="007D14AD"/>
    <w:rsid w:val="007D25B9"/>
    <w:rsid w:val="007D2BE8"/>
    <w:rsid w:val="007D3066"/>
    <w:rsid w:val="007D421B"/>
    <w:rsid w:val="007D4490"/>
    <w:rsid w:val="007D4579"/>
    <w:rsid w:val="007D4CA5"/>
    <w:rsid w:val="007D51EB"/>
    <w:rsid w:val="007D58BB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45CA"/>
    <w:rsid w:val="007E48C0"/>
    <w:rsid w:val="007E5159"/>
    <w:rsid w:val="007E5885"/>
    <w:rsid w:val="007E61B7"/>
    <w:rsid w:val="007E64FF"/>
    <w:rsid w:val="007E6F62"/>
    <w:rsid w:val="007E6FEA"/>
    <w:rsid w:val="007E7C7B"/>
    <w:rsid w:val="007E7E0F"/>
    <w:rsid w:val="007E7F8F"/>
    <w:rsid w:val="007F015E"/>
    <w:rsid w:val="007F0AE0"/>
    <w:rsid w:val="007F1160"/>
    <w:rsid w:val="007F21B0"/>
    <w:rsid w:val="007F2DE9"/>
    <w:rsid w:val="007F341B"/>
    <w:rsid w:val="007F3682"/>
    <w:rsid w:val="007F3697"/>
    <w:rsid w:val="007F3AA2"/>
    <w:rsid w:val="007F3B45"/>
    <w:rsid w:val="007F3D2E"/>
    <w:rsid w:val="007F3E3E"/>
    <w:rsid w:val="007F4A9E"/>
    <w:rsid w:val="007F4ABC"/>
    <w:rsid w:val="007F4BC7"/>
    <w:rsid w:val="007F4D45"/>
    <w:rsid w:val="007F510F"/>
    <w:rsid w:val="007F545B"/>
    <w:rsid w:val="007F59B2"/>
    <w:rsid w:val="007F6607"/>
    <w:rsid w:val="007F6D80"/>
    <w:rsid w:val="007F7865"/>
    <w:rsid w:val="007F7892"/>
    <w:rsid w:val="007F7FB3"/>
    <w:rsid w:val="0080026A"/>
    <w:rsid w:val="00800340"/>
    <w:rsid w:val="00800953"/>
    <w:rsid w:val="00801255"/>
    <w:rsid w:val="0080197B"/>
    <w:rsid w:val="00801B18"/>
    <w:rsid w:val="00801C1F"/>
    <w:rsid w:val="008021D3"/>
    <w:rsid w:val="00802849"/>
    <w:rsid w:val="00802971"/>
    <w:rsid w:val="008038E3"/>
    <w:rsid w:val="008038F6"/>
    <w:rsid w:val="00804558"/>
    <w:rsid w:val="008047AE"/>
    <w:rsid w:val="00804B21"/>
    <w:rsid w:val="00805483"/>
    <w:rsid w:val="0080585D"/>
    <w:rsid w:val="00806273"/>
    <w:rsid w:val="0080661F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B28"/>
    <w:rsid w:val="00812862"/>
    <w:rsid w:val="00812A7A"/>
    <w:rsid w:val="0081362B"/>
    <w:rsid w:val="0081450B"/>
    <w:rsid w:val="0081467F"/>
    <w:rsid w:val="00815339"/>
    <w:rsid w:val="008154F1"/>
    <w:rsid w:val="0081591F"/>
    <w:rsid w:val="00815A99"/>
    <w:rsid w:val="00815E5B"/>
    <w:rsid w:val="008160D1"/>
    <w:rsid w:val="008162B3"/>
    <w:rsid w:val="0081640D"/>
    <w:rsid w:val="0081687A"/>
    <w:rsid w:val="008169A1"/>
    <w:rsid w:val="00817DD7"/>
    <w:rsid w:val="00820160"/>
    <w:rsid w:val="0082022B"/>
    <w:rsid w:val="00820E0E"/>
    <w:rsid w:val="00821237"/>
    <w:rsid w:val="008216DA"/>
    <w:rsid w:val="008217C3"/>
    <w:rsid w:val="00821868"/>
    <w:rsid w:val="008219B8"/>
    <w:rsid w:val="00821ECA"/>
    <w:rsid w:val="00822414"/>
    <w:rsid w:val="00822AC6"/>
    <w:rsid w:val="00822CB9"/>
    <w:rsid w:val="00822E2C"/>
    <w:rsid w:val="00823116"/>
    <w:rsid w:val="0082350E"/>
    <w:rsid w:val="00823658"/>
    <w:rsid w:val="008239BF"/>
    <w:rsid w:val="00823A2B"/>
    <w:rsid w:val="00823B36"/>
    <w:rsid w:val="00824886"/>
    <w:rsid w:val="0082488C"/>
    <w:rsid w:val="008251E7"/>
    <w:rsid w:val="00825417"/>
    <w:rsid w:val="008262BC"/>
    <w:rsid w:val="008266A2"/>
    <w:rsid w:val="008267AE"/>
    <w:rsid w:val="00826CF5"/>
    <w:rsid w:val="00826EBE"/>
    <w:rsid w:val="00830B33"/>
    <w:rsid w:val="0083118A"/>
    <w:rsid w:val="00831784"/>
    <w:rsid w:val="00832727"/>
    <w:rsid w:val="00832D4F"/>
    <w:rsid w:val="008337C1"/>
    <w:rsid w:val="00834F23"/>
    <w:rsid w:val="008353B6"/>
    <w:rsid w:val="008360CB"/>
    <w:rsid w:val="00836A67"/>
    <w:rsid w:val="00836CEB"/>
    <w:rsid w:val="00840EAF"/>
    <w:rsid w:val="008416BF"/>
    <w:rsid w:val="008416FD"/>
    <w:rsid w:val="0084188F"/>
    <w:rsid w:val="00842659"/>
    <w:rsid w:val="0084293A"/>
    <w:rsid w:val="0084354C"/>
    <w:rsid w:val="0084375D"/>
    <w:rsid w:val="0084416F"/>
    <w:rsid w:val="00844462"/>
    <w:rsid w:val="008449FE"/>
    <w:rsid w:val="00845515"/>
    <w:rsid w:val="00845520"/>
    <w:rsid w:val="0084559F"/>
    <w:rsid w:val="00845B67"/>
    <w:rsid w:val="00845FC4"/>
    <w:rsid w:val="008461B0"/>
    <w:rsid w:val="008467E9"/>
    <w:rsid w:val="00846C9F"/>
    <w:rsid w:val="00846D16"/>
    <w:rsid w:val="00846F4C"/>
    <w:rsid w:val="0084761D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04"/>
    <w:rsid w:val="008528CF"/>
    <w:rsid w:val="00852FFB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74"/>
    <w:rsid w:val="00855FD5"/>
    <w:rsid w:val="00856049"/>
    <w:rsid w:val="0085632A"/>
    <w:rsid w:val="008568BB"/>
    <w:rsid w:val="00856E96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160"/>
    <w:rsid w:val="008638FB"/>
    <w:rsid w:val="0086444C"/>
    <w:rsid w:val="008644B1"/>
    <w:rsid w:val="00864768"/>
    <w:rsid w:val="008658AB"/>
    <w:rsid w:val="00865B18"/>
    <w:rsid w:val="0086672E"/>
    <w:rsid w:val="00866CF2"/>
    <w:rsid w:val="008675EC"/>
    <w:rsid w:val="008679CE"/>
    <w:rsid w:val="00867DA7"/>
    <w:rsid w:val="008705A8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F4F"/>
    <w:rsid w:val="008762D8"/>
    <w:rsid w:val="008772D9"/>
    <w:rsid w:val="00877B29"/>
    <w:rsid w:val="008808B9"/>
    <w:rsid w:val="00880B30"/>
    <w:rsid w:val="00880F1D"/>
    <w:rsid w:val="008811DA"/>
    <w:rsid w:val="00881521"/>
    <w:rsid w:val="0088172A"/>
    <w:rsid w:val="0088173A"/>
    <w:rsid w:val="00881F90"/>
    <w:rsid w:val="008851AB"/>
    <w:rsid w:val="008851C4"/>
    <w:rsid w:val="00885696"/>
    <w:rsid w:val="0088570A"/>
    <w:rsid w:val="00885E9D"/>
    <w:rsid w:val="0088636E"/>
    <w:rsid w:val="008864A7"/>
    <w:rsid w:val="0088666A"/>
    <w:rsid w:val="0088688A"/>
    <w:rsid w:val="00886A33"/>
    <w:rsid w:val="00886A9E"/>
    <w:rsid w:val="00886DC9"/>
    <w:rsid w:val="00886EC7"/>
    <w:rsid w:val="00887184"/>
    <w:rsid w:val="008879EA"/>
    <w:rsid w:val="00890139"/>
    <w:rsid w:val="0089160E"/>
    <w:rsid w:val="008921B1"/>
    <w:rsid w:val="00892687"/>
    <w:rsid w:val="00893386"/>
    <w:rsid w:val="0089363C"/>
    <w:rsid w:val="00893657"/>
    <w:rsid w:val="00893671"/>
    <w:rsid w:val="008941FB"/>
    <w:rsid w:val="00894565"/>
    <w:rsid w:val="008950D6"/>
    <w:rsid w:val="00895868"/>
    <w:rsid w:val="00895B46"/>
    <w:rsid w:val="00896474"/>
    <w:rsid w:val="00896DBC"/>
    <w:rsid w:val="0089739D"/>
    <w:rsid w:val="0089788F"/>
    <w:rsid w:val="00897B59"/>
    <w:rsid w:val="00897C6C"/>
    <w:rsid w:val="00897D1A"/>
    <w:rsid w:val="008A06E3"/>
    <w:rsid w:val="008A0905"/>
    <w:rsid w:val="008A0B02"/>
    <w:rsid w:val="008A0E0D"/>
    <w:rsid w:val="008A155C"/>
    <w:rsid w:val="008A180E"/>
    <w:rsid w:val="008A197C"/>
    <w:rsid w:val="008A2545"/>
    <w:rsid w:val="008A2636"/>
    <w:rsid w:val="008A2EFB"/>
    <w:rsid w:val="008A35DB"/>
    <w:rsid w:val="008A39F6"/>
    <w:rsid w:val="008A3AF9"/>
    <w:rsid w:val="008A3BD4"/>
    <w:rsid w:val="008A3CC5"/>
    <w:rsid w:val="008A3FBE"/>
    <w:rsid w:val="008A4013"/>
    <w:rsid w:val="008A4C9C"/>
    <w:rsid w:val="008A5C0E"/>
    <w:rsid w:val="008A6041"/>
    <w:rsid w:val="008A60F8"/>
    <w:rsid w:val="008A69FE"/>
    <w:rsid w:val="008A6EC7"/>
    <w:rsid w:val="008A6F36"/>
    <w:rsid w:val="008A7286"/>
    <w:rsid w:val="008A7B50"/>
    <w:rsid w:val="008B0641"/>
    <w:rsid w:val="008B0EB7"/>
    <w:rsid w:val="008B1133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4CB"/>
    <w:rsid w:val="008B46D2"/>
    <w:rsid w:val="008B492E"/>
    <w:rsid w:val="008B5253"/>
    <w:rsid w:val="008B53D8"/>
    <w:rsid w:val="008B5E8A"/>
    <w:rsid w:val="008B63BE"/>
    <w:rsid w:val="008B640E"/>
    <w:rsid w:val="008B6505"/>
    <w:rsid w:val="008B688D"/>
    <w:rsid w:val="008B6D48"/>
    <w:rsid w:val="008B70EE"/>
    <w:rsid w:val="008B715C"/>
    <w:rsid w:val="008B75B8"/>
    <w:rsid w:val="008B7B1F"/>
    <w:rsid w:val="008C0EAD"/>
    <w:rsid w:val="008C1442"/>
    <w:rsid w:val="008C1693"/>
    <w:rsid w:val="008C19D9"/>
    <w:rsid w:val="008C1A5E"/>
    <w:rsid w:val="008C1A81"/>
    <w:rsid w:val="008C268C"/>
    <w:rsid w:val="008C29FE"/>
    <w:rsid w:val="008C32CA"/>
    <w:rsid w:val="008C3967"/>
    <w:rsid w:val="008C431E"/>
    <w:rsid w:val="008C50D0"/>
    <w:rsid w:val="008C54BD"/>
    <w:rsid w:val="008C54C4"/>
    <w:rsid w:val="008C5A02"/>
    <w:rsid w:val="008C6056"/>
    <w:rsid w:val="008C6628"/>
    <w:rsid w:val="008C69C9"/>
    <w:rsid w:val="008C6E38"/>
    <w:rsid w:val="008C6F75"/>
    <w:rsid w:val="008C7B5F"/>
    <w:rsid w:val="008C7C18"/>
    <w:rsid w:val="008C7CC4"/>
    <w:rsid w:val="008D047D"/>
    <w:rsid w:val="008D0B4C"/>
    <w:rsid w:val="008D0FB8"/>
    <w:rsid w:val="008D14C4"/>
    <w:rsid w:val="008D1964"/>
    <w:rsid w:val="008D221A"/>
    <w:rsid w:val="008D24D6"/>
    <w:rsid w:val="008D24E1"/>
    <w:rsid w:val="008D3E6A"/>
    <w:rsid w:val="008D53E2"/>
    <w:rsid w:val="008D5908"/>
    <w:rsid w:val="008D5AF1"/>
    <w:rsid w:val="008D5D4E"/>
    <w:rsid w:val="008D68CA"/>
    <w:rsid w:val="008D6A6E"/>
    <w:rsid w:val="008D781F"/>
    <w:rsid w:val="008D7DBE"/>
    <w:rsid w:val="008E02B7"/>
    <w:rsid w:val="008E20BE"/>
    <w:rsid w:val="008E241B"/>
    <w:rsid w:val="008E3096"/>
    <w:rsid w:val="008E330C"/>
    <w:rsid w:val="008E332F"/>
    <w:rsid w:val="008E4114"/>
    <w:rsid w:val="008E45EA"/>
    <w:rsid w:val="008E4A1A"/>
    <w:rsid w:val="008E5084"/>
    <w:rsid w:val="008E5E01"/>
    <w:rsid w:val="008E69A3"/>
    <w:rsid w:val="008E7B3D"/>
    <w:rsid w:val="008E7CC9"/>
    <w:rsid w:val="008F02A1"/>
    <w:rsid w:val="008F0E69"/>
    <w:rsid w:val="008F12FF"/>
    <w:rsid w:val="008F1BEF"/>
    <w:rsid w:val="008F370C"/>
    <w:rsid w:val="008F3D3E"/>
    <w:rsid w:val="008F3F31"/>
    <w:rsid w:val="008F4655"/>
    <w:rsid w:val="008F4779"/>
    <w:rsid w:val="008F542B"/>
    <w:rsid w:val="008F5670"/>
    <w:rsid w:val="008F599F"/>
    <w:rsid w:val="008F63DF"/>
    <w:rsid w:val="008F64E5"/>
    <w:rsid w:val="008F677E"/>
    <w:rsid w:val="008F72E7"/>
    <w:rsid w:val="008F7C28"/>
    <w:rsid w:val="0090034D"/>
    <w:rsid w:val="00900EC7"/>
    <w:rsid w:val="00900FFC"/>
    <w:rsid w:val="009011F9"/>
    <w:rsid w:val="00901244"/>
    <w:rsid w:val="009018CF"/>
    <w:rsid w:val="00901979"/>
    <w:rsid w:val="00902357"/>
    <w:rsid w:val="0090242A"/>
    <w:rsid w:val="00902C85"/>
    <w:rsid w:val="009030F7"/>
    <w:rsid w:val="009034D9"/>
    <w:rsid w:val="009046C9"/>
    <w:rsid w:val="009046F1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B57"/>
    <w:rsid w:val="0091148A"/>
    <w:rsid w:val="00912347"/>
    <w:rsid w:val="0091243E"/>
    <w:rsid w:val="0091268D"/>
    <w:rsid w:val="009129C1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4B1"/>
    <w:rsid w:val="009166CE"/>
    <w:rsid w:val="00916BF5"/>
    <w:rsid w:val="00916CCB"/>
    <w:rsid w:val="00917DB8"/>
    <w:rsid w:val="00917E84"/>
    <w:rsid w:val="00920EC8"/>
    <w:rsid w:val="00921102"/>
    <w:rsid w:val="00921305"/>
    <w:rsid w:val="00921783"/>
    <w:rsid w:val="009217D9"/>
    <w:rsid w:val="00921AC8"/>
    <w:rsid w:val="0092206F"/>
    <w:rsid w:val="0092228D"/>
    <w:rsid w:val="00922482"/>
    <w:rsid w:val="0092284F"/>
    <w:rsid w:val="00922A2B"/>
    <w:rsid w:val="009248F9"/>
    <w:rsid w:val="00924A6C"/>
    <w:rsid w:val="00924ED4"/>
    <w:rsid w:val="00924F63"/>
    <w:rsid w:val="009271AB"/>
    <w:rsid w:val="00927281"/>
    <w:rsid w:val="009273B8"/>
    <w:rsid w:val="00927A20"/>
    <w:rsid w:val="00930298"/>
    <w:rsid w:val="009302A6"/>
    <w:rsid w:val="0093101B"/>
    <w:rsid w:val="00931325"/>
    <w:rsid w:val="009319DC"/>
    <w:rsid w:val="00931AAD"/>
    <w:rsid w:val="00931E6D"/>
    <w:rsid w:val="009327E0"/>
    <w:rsid w:val="00932D04"/>
    <w:rsid w:val="00932E9E"/>
    <w:rsid w:val="00933B8A"/>
    <w:rsid w:val="00934141"/>
    <w:rsid w:val="009341AA"/>
    <w:rsid w:val="0093429A"/>
    <w:rsid w:val="009352D3"/>
    <w:rsid w:val="00935563"/>
    <w:rsid w:val="009355BB"/>
    <w:rsid w:val="00935789"/>
    <w:rsid w:val="009359C5"/>
    <w:rsid w:val="00935CFA"/>
    <w:rsid w:val="009361E8"/>
    <w:rsid w:val="00936247"/>
    <w:rsid w:val="00936501"/>
    <w:rsid w:val="009366AD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40E7"/>
    <w:rsid w:val="00944312"/>
    <w:rsid w:val="009443DC"/>
    <w:rsid w:val="00944AE2"/>
    <w:rsid w:val="0094526B"/>
    <w:rsid w:val="00945488"/>
    <w:rsid w:val="009456EB"/>
    <w:rsid w:val="00945E7E"/>
    <w:rsid w:val="00945E8F"/>
    <w:rsid w:val="009462EC"/>
    <w:rsid w:val="009463FD"/>
    <w:rsid w:val="009467FD"/>
    <w:rsid w:val="00946D2E"/>
    <w:rsid w:val="00946E64"/>
    <w:rsid w:val="009472F6"/>
    <w:rsid w:val="0094783F"/>
    <w:rsid w:val="00950365"/>
    <w:rsid w:val="00950B18"/>
    <w:rsid w:val="00950C55"/>
    <w:rsid w:val="00950CB3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5504"/>
    <w:rsid w:val="009555E8"/>
    <w:rsid w:val="00955AA9"/>
    <w:rsid w:val="00955AB2"/>
    <w:rsid w:val="00955E60"/>
    <w:rsid w:val="00955EC8"/>
    <w:rsid w:val="0095617B"/>
    <w:rsid w:val="009565D5"/>
    <w:rsid w:val="0095699A"/>
    <w:rsid w:val="00956B34"/>
    <w:rsid w:val="0095702D"/>
    <w:rsid w:val="009571A6"/>
    <w:rsid w:val="0095752A"/>
    <w:rsid w:val="009577C1"/>
    <w:rsid w:val="00957E29"/>
    <w:rsid w:val="009602BA"/>
    <w:rsid w:val="009607B1"/>
    <w:rsid w:val="009615D7"/>
    <w:rsid w:val="00961CAF"/>
    <w:rsid w:val="00962CB0"/>
    <w:rsid w:val="00962D1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886"/>
    <w:rsid w:val="009669CC"/>
    <w:rsid w:val="00967655"/>
    <w:rsid w:val="0097090D"/>
    <w:rsid w:val="00970E13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2DB7"/>
    <w:rsid w:val="00973A35"/>
    <w:rsid w:val="00974A1E"/>
    <w:rsid w:val="00975221"/>
    <w:rsid w:val="0097559A"/>
    <w:rsid w:val="00975D48"/>
    <w:rsid w:val="00976546"/>
    <w:rsid w:val="00976FCF"/>
    <w:rsid w:val="00977809"/>
    <w:rsid w:val="009802F9"/>
    <w:rsid w:val="00980BAC"/>
    <w:rsid w:val="00980DF0"/>
    <w:rsid w:val="00980F3F"/>
    <w:rsid w:val="00981D1C"/>
    <w:rsid w:val="00982214"/>
    <w:rsid w:val="009823D4"/>
    <w:rsid w:val="00982474"/>
    <w:rsid w:val="00983285"/>
    <w:rsid w:val="0098397B"/>
    <w:rsid w:val="00984275"/>
    <w:rsid w:val="0098436A"/>
    <w:rsid w:val="00984672"/>
    <w:rsid w:val="00984F97"/>
    <w:rsid w:val="0098569D"/>
    <w:rsid w:val="00985A09"/>
    <w:rsid w:val="00986277"/>
    <w:rsid w:val="009866A3"/>
    <w:rsid w:val="0098693D"/>
    <w:rsid w:val="0099003F"/>
    <w:rsid w:val="0099016D"/>
    <w:rsid w:val="00990343"/>
    <w:rsid w:val="009905E1"/>
    <w:rsid w:val="0099064C"/>
    <w:rsid w:val="0099078A"/>
    <w:rsid w:val="0099097F"/>
    <w:rsid w:val="00992097"/>
    <w:rsid w:val="0099282E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B66"/>
    <w:rsid w:val="00995C16"/>
    <w:rsid w:val="0099625A"/>
    <w:rsid w:val="009965BC"/>
    <w:rsid w:val="0099662E"/>
    <w:rsid w:val="00997258"/>
    <w:rsid w:val="00997C19"/>
    <w:rsid w:val="009A0415"/>
    <w:rsid w:val="009A04CD"/>
    <w:rsid w:val="009A177E"/>
    <w:rsid w:val="009A1AE9"/>
    <w:rsid w:val="009A22E6"/>
    <w:rsid w:val="009A2486"/>
    <w:rsid w:val="009A2690"/>
    <w:rsid w:val="009A277E"/>
    <w:rsid w:val="009A3307"/>
    <w:rsid w:val="009A3520"/>
    <w:rsid w:val="009A3547"/>
    <w:rsid w:val="009A39FF"/>
    <w:rsid w:val="009A3CB5"/>
    <w:rsid w:val="009A3EAF"/>
    <w:rsid w:val="009A3F33"/>
    <w:rsid w:val="009A40AF"/>
    <w:rsid w:val="009A5501"/>
    <w:rsid w:val="009A5AE0"/>
    <w:rsid w:val="009A6621"/>
    <w:rsid w:val="009A69B9"/>
    <w:rsid w:val="009A6AEA"/>
    <w:rsid w:val="009A6CC5"/>
    <w:rsid w:val="009B1F3A"/>
    <w:rsid w:val="009B2766"/>
    <w:rsid w:val="009B2A53"/>
    <w:rsid w:val="009B32F0"/>
    <w:rsid w:val="009B3EB4"/>
    <w:rsid w:val="009B3F21"/>
    <w:rsid w:val="009B42BE"/>
    <w:rsid w:val="009B5973"/>
    <w:rsid w:val="009B5B48"/>
    <w:rsid w:val="009B62E6"/>
    <w:rsid w:val="009B67C4"/>
    <w:rsid w:val="009B6A3F"/>
    <w:rsid w:val="009B6C5A"/>
    <w:rsid w:val="009B71E1"/>
    <w:rsid w:val="009C0448"/>
    <w:rsid w:val="009C0615"/>
    <w:rsid w:val="009C0CF8"/>
    <w:rsid w:val="009C125A"/>
    <w:rsid w:val="009C1EB2"/>
    <w:rsid w:val="009C2675"/>
    <w:rsid w:val="009C2839"/>
    <w:rsid w:val="009C2A3D"/>
    <w:rsid w:val="009C2DC4"/>
    <w:rsid w:val="009C3042"/>
    <w:rsid w:val="009C386A"/>
    <w:rsid w:val="009C3E9C"/>
    <w:rsid w:val="009C4A32"/>
    <w:rsid w:val="009C5099"/>
    <w:rsid w:val="009C63AB"/>
    <w:rsid w:val="009C69D0"/>
    <w:rsid w:val="009C69F4"/>
    <w:rsid w:val="009C6E3A"/>
    <w:rsid w:val="009C7163"/>
    <w:rsid w:val="009C77A3"/>
    <w:rsid w:val="009D1082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DF7"/>
    <w:rsid w:val="009D3EDD"/>
    <w:rsid w:val="009D48BA"/>
    <w:rsid w:val="009D4B7E"/>
    <w:rsid w:val="009D4D48"/>
    <w:rsid w:val="009D4DC6"/>
    <w:rsid w:val="009D4EF0"/>
    <w:rsid w:val="009D5106"/>
    <w:rsid w:val="009D5535"/>
    <w:rsid w:val="009D66B9"/>
    <w:rsid w:val="009D6B5F"/>
    <w:rsid w:val="009D6B77"/>
    <w:rsid w:val="009D6CE1"/>
    <w:rsid w:val="009D7FF1"/>
    <w:rsid w:val="009E14B2"/>
    <w:rsid w:val="009E1D15"/>
    <w:rsid w:val="009E1DFA"/>
    <w:rsid w:val="009E23ED"/>
    <w:rsid w:val="009E26BC"/>
    <w:rsid w:val="009E322C"/>
    <w:rsid w:val="009E3352"/>
    <w:rsid w:val="009E3479"/>
    <w:rsid w:val="009E387D"/>
    <w:rsid w:val="009E453D"/>
    <w:rsid w:val="009E5013"/>
    <w:rsid w:val="009E56B0"/>
    <w:rsid w:val="009E5917"/>
    <w:rsid w:val="009E6223"/>
    <w:rsid w:val="009E725F"/>
    <w:rsid w:val="009E79CF"/>
    <w:rsid w:val="009E7F2E"/>
    <w:rsid w:val="009F0031"/>
    <w:rsid w:val="009F009C"/>
    <w:rsid w:val="009F0345"/>
    <w:rsid w:val="009F04F2"/>
    <w:rsid w:val="009F0A8F"/>
    <w:rsid w:val="009F1B41"/>
    <w:rsid w:val="009F231C"/>
    <w:rsid w:val="009F2512"/>
    <w:rsid w:val="009F2C7D"/>
    <w:rsid w:val="009F40CE"/>
    <w:rsid w:val="009F4CDA"/>
    <w:rsid w:val="009F59BF"/>
    <w:rsid w:val="009F5F68"/>
    <w:rsid w:val="009F776E"/>
    <w:rsid w:val="00A00F42"/>
    <w:rsid w:val="00A01279"/>
    <w:rsid w:val="00A01519"/>
    <w:rsid w:val="00A0195A"/>
    <w:rsid w:val="00A01990"/>
    <w:rsid w:val="00A02D3C"/>
    <w:rsid w:val="00A032EA"/>
    <w:rsid w:val="00A0408F"/>
    <w:rsid w:val="00A04E68"/>
    <w:rsid w:val="00A050D4"/>
    <w:rsid w:val="00A05975"/>
    <w:rsid w:val="00A05EAA"/>
    <w:rsid w:val="00A0608D"/>
    <w:rsid w:val="00A060BE"/>
    <w:rsid w:val="00A0695E"/>
    <w:rsid w:val="00A06F4E"/>
    <w:rsid w:val="00A07D26"/>
    <w:rsid w:val="00A1036E"/>
    <w:rsid w:val="00A104A1"/>
    <w:rsid w:val="00A10D80"/>
    <w:rsid w:val="00A10FC7"/>
    <w:rsid w:val="00A11313"/>
    <w:rsid w:val="00A11671"/>
    <w:rsid w:val="00A1187C"/>
    <w:rsid w:val="00A12CCC"/>
    <w:rsid w:val="00A12D1A"/>
    <w:rsid w:val="00A12E07"/>
    <w:rsid w:val="00A12F3D"/>
    <w:rsid w:val="00A13A4E"/>
    <w:rsid w:val="00A15566"/>
    <w:rsid w:val="00A15B2D"/>
    <w:rsid w:val="00A163CD"/>
    <w:rsid w:val="00A16778"/>
    <w:rsid w:val="00A16B57"/>
    <w:rsid w:val="00A20224"/>
    <w:rsid w:val="00A2081A"/>
    <w:rsid w:val="00A21424"/>
    <w:rsid w:val="00A21997"/>
    <w:rsid w:val="00A23A98"/>
    <w:rsid w:val="00A24217"/>
    <w:rsid w:val="00A244E9"/>
    <w:rsid w:val="00A24530"/>
    <w:rsid w:val="00A24622"/>
    <w:rsid w:val="00A246A3"/>
    <w:rsid w:val="00A24FF0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A17"/>
    <w:rsid w:val="00A27B57"/>
    <w:rsid w:val="00A27BF2"/>
    <w:rsid w:val="00A300D5"/>
    <w:rsid w:val="00A313B3"/>
    <w:rsid w:val="00A31D00"/>
    <w:rsid w:val="00A32051"/>
    <w:rsid w:val="00A32AE0"/>
    <w:rsid w:val="00A32B77"/>
    <w:rsid w:val="00A32BB4"/>
    <w:rsid w:val="00A33CCF"/>
    <w:rsid w:val="00A356DB"/>
    <w:rsid w:val="00A35D65"/>
    <w:rsid w:val="00A36CF6"/>
    <w:rsid w:val="00A36EC5"/>
    <w:rsid w:val="00A37EDA"/>
    <w:rsid w:val="00A4035D"/>
    <w:rsid w:val="00A413A3"/>
    <w:rsid w:val="00A41CE4"/>
    <w:rsid w:val="00A4254C"/>
    <w:rsid w:val="00A43270"/>
    <w:rsid w:val="00A4539E"/>
    <w:rsid w:val="00A46080"/>
    <w:rsid w:val="00A461CB"/>
    <w:rsid w:val="00A46C6C"/>
    <w:rsid w:val="00A46EB1"/>
    <w:rsid w:val="00A46F37"/>
    <w:rsid w:val="00A47A54"/>
    <w:rsid w:val="00A47C59"/>
    <w:rsid w:val="00A50FEC"/>
    <w:rsid w:val="00A51326"/>
    <w:rsid w:val="00A51FC3"/>
    <w:rsid w:val="00A532FC"/>
    <w:rsid w:val="00A53624"/>
    <w:rsid w:val="00A54F72"/>
    <w:rsid w:val="00A55649"/>
    <w:rsid w:val="00A565B6"/>
    <w:rsid w:val="00A567E2"/>
    <w:rsid w:val="00A56806"/>
    <w:rsid w:val="00A57F15"/>
    <w:rsid w:val="00A60066"/>
    <w:rsid w:val="00A60179"/>
    <w:rsid w:val="00A60EE6"/>
    <w:rsid w:val="00A61782"/>
    <w:rsid w:val="00A61FDA"/>
    <w:rsid w:val="00A62B8D"/>
    <w:rsid w:val="00A62B94"/>
    <w:rsid w:val="00A63850"/>
    <w:rsid w:val="00A63C29"/>
    <w:rsid w:val="00A64787"/>
    <w:rsid w:val="00A648E9"/>
    <w:rsid w:val="00A6654A"/>
    <w:rsid w:val="00A66C0D"/>
    <w:rsid w:val="00A6764D"/>
    <w:rsid w:val="00A67934"/>
    <w:rsid w:val="00A67D4A"/>
    <w:rsid w:val="00A67DE5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BC8"/>
    <w:rsid w:val="00A72C04"/>
    <w:rsid w:val="00A72FE2"/>
    <w:rsid w:val="00A73341"/>
    <w:rsid w:val="00A748ED"/>
    <w:rsid w:val="00A75386"/>
    <w:rsid w:val="00A7593A"/>
    <w:rsid w:val="00A7597F"/>
    <w:rsid w:val="00A75B45"/>
    <w:rsid w:val="00A75D3F"/>
    <w:rsid w:val="00A760C0"/>
    <w:rsid w:val="00A768C8"/>
    <w:rsid w:val="00A76C21"/>
    <w:rsid w:val="00A77727"/>
    <w:rsid w:val="00A77A46"/>
    <w:rsid w:val="00A8226A"/>
    <w:rsid w:val="00A82941"/>
    <w:rsid w:val="00A82D0D"/>
    <w:rsid w:val="00A834D6"/>
    <w:rsid w:val="00A83DBC"/>
    <w:rsid w:val="00A84746"/>
    <w:rsid w:val="00A847AE"/>
    <w:rsid w:val="00A84D2C"/>
    <w:rsid w:val="00A85084"/>
    <w:rsid w:val="00A855FE"/>
    <w:rsid w:val="00A85836"/>
    <w:rsid w:val="00A85E79"/>
    <w:rsid w:val="00A85F29"/>
    <w:rsid w:val="00A8613B"/>
    <w:rsid w:val="00A86203"/>
    <w:rsid w:val="00A86287"/>
    <w:rsid w:val="00A86D62"/>
    <w:rsid w:val="00A87982"/>
    <w:rsid w:val="00A87C2F"/>
    <w:rsid w:val="00A904F2"/>
    <w:rsid w:val="00A90A9D"/>
    <w:rsid w:val="00A911A0"/>
    <w:rsid w:val="00A91363"/>
    <w:rsid w:val="00A91450"/>
    <w:rsid w:val="00A91B63"/>
    <w:rsid w:val="00A920B1"/>
    <w:rsid w:val="00A92564"/>
    <w:rsid w:val="00A92DB9"/>
    <w:rsid w:val="00A93738"/>
    <w:rsid w:val="00A94084"/>
    <w:rsid w:val="00A9446E"/>
    <w:rsid w:val="00A96852"/>
    <w:rsid w:val="00A96C21"/>
    <w:rsid w:val="00A9791D"/>
    <w:rsid w:val="00A97D4A"/>
    <w:rsid w:val="00A97DB8"/>
    <w:rsid w:val="00AA0209"/>
    <w:rsid w:val="00AA03A6"/>
    <w:rsid w:val="00AA1128"/>
    <w:rsid w:val="00AA1A7C"/>
    <w:rsid w:val="00AA1ADA"/>
    <w:rsid w:val="00AA1D69"/>
    <w:rsid w:val="00AA20B3"/>
    <w:rsid w:val="00AA2A7D"/>
    <w:rsid w:val="00AA2A95"/>
    <w:rsid w:val="00AA2ECC"/>
    <w:rsid w:val="00AA3A3E"/>
    <w:rsid w:val="00AA3B94"/>
    <w:rsid w:val="00AA3C94"/>
    <w:rsid w:val="00AA41D4"/>
    <w:rsid w:val="00AA4203"/>
    <w:rsid w:val="00AA4775"/>
    <w:rsid w:val="00AA488F"/>
    <w:rsid w:val="00AA4CD3"/>
    <w:rsid w:val="00AA5515"/>
    <w:rsid w:val="00AA567F"/>
    <w:rsid w:val="00AA583C"/>
    <w:rsid w:val="00AA6136"/>
    <w:rsid w:val="00AA65CF"/>
    <w:rsid w:val="00AA6A88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12D"/>
    <w:rsid w:val="00AB221D"/>
    <w:rsid w:val="00AB32C1"/>
    <w:rsid w:val="00AB3552"/>
    <w:rsid w:val="00AB39CB"/>
    <w:rsid w:val="00AB481B"/>
    <w:rsid w:val="00AB49C3"/>
    <w:rsid w:val="00AB55F8"/>
    <w:rsid w:val="00AB5DF2"/>
    <w:rsid w:val="00AB65C6"/>
    <w:rsid w:val="00AB6C4D"/>
    <w:rsid w:val="00AB7212"/>
    <w:rsid w:val="00AB7866"/>
    <w:rsid w:val="00AC0768"/>
    <w:rsid w:val="00AC1D3B"/>
    <w:rsid w:val="00AC226A"/>
    <w:rsid w:val="00AC246C"/>
    <w:rsid w:val="00AC2FB2"/>
    <w:rsid w:val="00AC32FB"/>
    <w:rsid w:val="00AC3ADE"/>
    <w:rsid w:val="00AC3F58"/>
    <w:rsid w:val="00AC4C92"/>
    <w:rsid w:val="00AC4E28"/>
    <w:rsid w:val="00AC4E71"/>
    <w:rsid w:val="00AC4F7E"/>
    <w:rsid w:val="00AC5700"/>
    <w:rsid w:val="00AC5A64"/>
    <w:rsid w:val="00AC613C"/>
    <w:rsid w:val="00AC617D"/>
    <w:rsid w:val="00AC7042"/>
    <w:rsid w:val="00AC752F"/>
    <w:rsid w:val="00AC7B8D"/>
    <w:rsid w:val="00AC7E49"/>
    <w:rsid w:val="00AD099F"/>
    <w:rsid w:val="00AD1C10"/>
    <w:rsid w:val="00AD2E7B"/>
    <w:rsid w:val="00AD2F8F"/>
    <w:rsid w:val="00AD3685"/>
    <w:rsid w:val="00AD3966"/>
    <w:rsid w:val="00AD3F4F"/>
    <w:rsid w:val="00AD403C"/>
    <w:rsid w:val="00AD4153"/>
    <w:rsid w:val="00AD4838"/>
    <w:rsid w:val="00AD5420"/>
    <w:rsid w:val="00AD54E6"/>
    <w:rsid w:val="00AD56CF"/>
    <w:rsid w:val="00AD5DDB"/>
    <w:rsid w:val="00AD5E3E"/>
    <w:rsid w:val="00AD60B8"/>
    <w:rsid w:val="00AD60EF"/>
    <w:rsid w:val="00AD612C"/>
    <w:rsid w:val="00AD734C"/>
    <w:rsid w:val="00AD7922"/>
    <w:rsid w:val="00AE0413"/>
    <w:rsid w:val="00AE046A"/>
    <w:rsid w:val="00AE05BF"/>
    <w:rsid w:val="00AE0D8D"/>
    <w:rsid w:val="00AE23C8"/>
    <w:rsid w:val="00AE265A"/>
    <w:rsid w:val="00AE308D"/>
    <w:rsid w:val="00AE36D1"/>
    <w:rsid w:val="00AE3DDB"/>
    <w:rsid w:val="00AE4A64"/>
    <w:rsid w:val="00AE54BD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3D9"/>
    <w:rsid w:val="00AF290E"/>
    <w:rsid w:val="00AF29FA"/>
    <w:rsid w:val="00AF37D5"/>
    <w:rsid w:val="00AF381B"/>
    <w:rsid w:val="00AF3F63"/>
    <w:rsid w:val="00AF4345"/>
    <w:rsid w:val="00AF463B"/>
    <w:rsid w:val="00AF4CC5"/>
    <w:rsid w:val="00AF5319"/>
    <w:rsid w:val="00AF608B"/>
    <w:rsid w:val="00AF6A59"/>
    <w:rsid w:val="00AF7BDD"/>
    <w:rsid w:val="00B00F8C"/>
    <w:rsid w:val="00B00FEC"/>
    <w:rsid w:val="00B01277"/>
    <w:rsid w:val="00B017B2"/>
    <w:rsid w:val="00B02145"/>
    <w:rsid w:val="00B02F0C"/>
    <w:rsid w:val="00B0307C"/>
    <w:rsid w:val="00B03776"/>
    <w:rsid w:val="00B03ED8"/>
    <w:rsid w:val="00B0401D"/>
    <w:rsid w:val="00B042D2"/>
    <w:rsid w:val="00B04E8D"/>
    <w:rsid w:val="00B04F50"/>
    <w:rsid w:val="00B0542F"/>
    <w:rsid w:val="00B05A05"/>
    <w:rsid w:val="00B05DFC"/>
    <w:rsid w:val="00B06495"/>
    <w:rsid w:val="00B064F1"/>
    <w:rsid w:val="00B06DA3"/>
    <w:rsid w:val="00B109DF"/>
    <w:rsid w:val="00B118E1"/>
    <w:rsid w:val="00B11A39"/>
    <w:rsid w:val="00B11A5F"/>
    <w:rsid w:val="00B11A9A"/>
    <w:rsid w:val="00B11BDA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DB9"/>
    <w:rsid w:val="00B16431"/>
    <w:rsid w:val="00B17366"/>
    <w:rsid w:val="00B1780E"/>
    <w:rsid w:val="00B200D3"/>
    <w:rsid w:val="00B2060E"/>
    <w:rsid w:val="00B20DCF"/>
    <w:rsid w:val="00B20F8A"/>
    <w:rsid w:val="00B215EB"/>
    <w:rsid w:val="00B2173E"/>
    <w:rsid w:val="00B22522"/>
    <w:rsid w:val="00B2288A"/>
    <w:rsid w:val="00B230A6"/>
    <w:rsid w:val="00B23F14"/>
    <w:rsid w:val="00B24D66"/>
    <w:rsid w:val="00B258AF"/>
    <w:rsid w:val="00B264B0"/>
    <w:rsid w:val="00B26CDB"/>
    <w:rsid w:val="00B26D2E"/>
    <w:rsid w:val="00B26ECF"/>
    <w:rsid w:val="00B27444"/>
    <w:rsid w:val="00B27734"/>
    <w:rsid w:val="00B27771"/>
    <w:rsid w:val="00B27787"/>
    <w:rsid w:val="00B278D7"/>
    <w:rsid w:val="00B3091E"/>
    <w:rsid w:val="00B30FC3"/>
    <w:rsid w:val="00B31602"/>
    <w:rsid w:val="00B319FE"/>
    <w:rsid w:val="00B3232C"/>
    <w:rsid w:val="00B331B8"/>
    <w:rsid w:val="00B33786"/>
    <w:rsid w:val="00B337A4"/>
    <w:rsid w:val="00B34212"/>
    <w:rsid w:val="00B34725"/>
    <w:rsid w:val="00B355F0"/>
    <w:rsid w:val="00B3578C"/>
    <w:rsid w:val="00B36D9E"/>
    <w:rsid w:val="00B37311"/>
    <w:rsid w:val="00B373FB"/>
    <w:rsid w:val="00B37975"/>
    <w:rsid w:val="00B4106F"/>
    <w:rsid w:val="00B41BE7"/>
    <w:rsid w:val="00B424F7"/>
    <w:rsid w:val="00B42568"/>
    <w:rsid w:val="00B4316E"/>
    <w:rsid w:val="00B4339F"/>
    <w:rsid w:val="00B4381B"/>
    <w:rsid w:val="00B4383C"/>
    <w:rsid w:val="00B4403D"/>
    <w:rsid w:val="00B4423D"/>
    <w:rsid w:val="00B45847"/>
    <w:rsid w:val="00B460A1"/>
    <w:rsid w:val="00B46275"/>
    <w:rsid w:val="00B464C7"/>
    <w:rsid w:val="00B4658A"/>
    <w:rsid w:val="00B4733F"/>
    <w:rsid w:val="00B4758E"/>
    <w:rsid w:val="00B47CBB"/>
    <w:rsid w:val="00B503D0"/>
    <w:rsid w:val="00B5083E"/>
    <w:rsid w:val="00B50ADB"/>
    <w:rsid w:val="00B51519"/>
    <w:rsid w:val="00B51604"/>
    <w:rsid w:val="00B51F64"/>
    <w:rsid w:val="00B53B4E"/>
    <w:rsid w:val="00B53C5F"/>
    <w:rsid w:val="00B54BD8"/>
    <w:rsid w:val="00B55933"/>
    <w:rsid w:val="00B5596C"/>
    <w:rsid w:val="00B55CC5"/>
    <w:rsid w:val="00B565A9"/>
    <w:rsid w:val="00B569B2"/>
    <w:rsid w:val="00B56FBD"/>
    <w:rsid w:val="00B5715A"/>
    <w:rsid w:val="00B57327"/>
    <w:rsid w:val="00B6002D"/>
    <w:rsid w:val="00B6010B"/>
    <w:rsid w:val="00B61262"/>
    <w:rsid w:val="00B6210A"/>
    <w:rsid w:val="00B6220A"/>
    <w:rsid w:val="00B629F3"/>
    <w:rsid w:val="00B640CF"/>
    <w:rsid w:val="00B65828"/>
    <w:rsid w:val="00B65E01"/>
    <w:rsid w:val="00B665BB"/>
    <w:rsid w:val="00B66800"/>
    <w:rsid w:val="00B668CA"/>
    <w:rsid w:val="00B66AB0"/>
    <w:rsid w:val="00B677D7"/>
    <w:rsid w:val="00B7095E"/>
    <w:rsid w:val="00B70C27"/>
    <w:rsid w:val="00B70ED8"/>
    <w:rsid w:val="00B710E0"/>
    <w:rsid w:val="00B7162D"/>
    <w:rsid w:val="00B71E56"/>
    <w:rsid w:val="00B727DF"/>
    <w:rsid w:val="00B72CF9"/>
    <w:rsid w:val="00B72EE9"/>
    <w:rsid w:val="00B73637"/>
    <w:rsid w:val="00B7390D"/>
    <w:rsid w:val="00B73D34"/>
    <w:rsid w:val="00B740E5"/>
    <w:rsid w:val="00B742C1"/>
    <w:rsid w:val="00B74720"/>
    <w:rsid w:val="00B74C99"/>
    <w:rsid w:val="00B75032"/>
    <w:rsid w:val="00B750D5"/>
    <w:rsid w:val="00B7591C"/>
    <w:rsid w:val="00B75D1D"/>
    <w:rsid w:val="00B75E98"/>
    <w:rsid w:val="00B76A3F"/>
    <w:rsid w:val="00B76A7D"/>
    <w:rsid w:val="00B76CE1"/>
    <w:rsid w:val="00B776D5"/>
    <w:rsid w:val="00B77B7E"/>
    <w:rsid w:val="00B80744"/>
    <w:rsid w:val="00B80979"/>
    <w:rsid w:val="00B80AFC"/>
    <w:rsid w:val="00B818AA"/>
    <w:rsid w:val="00B81B66"/>
    <w:rsid w:val="00B81BC2"/>
    <w:rsid w:val="00B81C75"/>
    <w:rsid w:val="00B81D8F"/>
    <w:rsid w:val="00B81EEF"/>
    <w:rsid w:val="00B81F26"/>
    <w:rsid w:val="00B840BB"/>
    <w:rsid w:val="00B84C9F"/>
    <w:rsid w:val="00B8525F"/>
    <w:rsid w:val="00B856E9"/>
    <w:rsid w:val="00B85774"/>
    <w:rsid w:val="00B86429"/>
    <w:rsid w:val="00B8648F"/>
    <w:rsid w:val="00B866C7"/>
    <w:rsid w:val="00B86EFB"/>
    <w:rsid w:val="00B87563"/>
    <w:rsid w:val="00B87589"/>
    <w:rsid w:val="00B87EBC"/>
    <w:rsid w:val="00B87FF0"/>
    <w:rsid w:val="00B905D7"/>
    <w:rsid w:val="00B90825"/>
    <w:rsid w:val="00B9084F"/>
    <w:rsid w:val="00B90862"/>
    <w:rsid w:val="00B90DD5"/>
    <w:rsid w:val="00B912EC"/>
    <w:rsid w:val="00B916C0"/>
    <w:rsid w:val="00B917AC"/>
    <w:rsid w:val="00B91F77"/>
    <w:rsid w:val="00B926AC"/>
    <w:rsid w:val="00B92E6B"/>
    <w:rsid w:val="00B93043"/>
    <w:rsid w:val="00B93431"/>
    <w:rsid w:val="00B93500"/>
    <w:rsid w:val="00B93D97"/>
    <w:rsid w:val="00B94392"/>
    <w:rsid w:val="00B9439B"/>
    <w:rsid w:val="00B94AE4"/>
    <w:rsid w:val="00B955F5"/>
    <w:rsid w:val="00B95663"/>
    <w:rsid w:val="00B95A36"/>
    <w:rsid w:val="00B95CCC"/>
    <w:rsid w:val="00B95F44"/>
    <w:rsid w:val="00B96D3C"/>
    <w:rsid w:val="00B97577"/>
    <w:rsid w:val="00BA0FE9"/>
    <w:rsid w:val="00BA139F"/>
    <w:rsid w:val="00BA1A0B"/>
    <w:rsid w:val="00BA1E85"/>
    <w:rsid w:val="00BA1EA6"/>
    <w:rsid w:val="00BA25F7"/>
    <w:rsid w:val="00BA359B"/>
    <w:rsid w:val="00BA3A93"/>
    <w:rsid w:val="00BA4D05"/>
    <w:rsid w:val="00BA5165"/>
    <w:rsid w:val="00BA5599"/>
    <w:rsid w:val="00BA5A40"/>
    <w:rsid w:val="00BA5A84"/>
    <w:rsid w:val="00BA5FD5"/>
    <w:rsid w:val="00BA62AB"/>
    <w:rsid w:val="00BA7E0B"/>
    <w:rsid w:val="00BB0DE3"/>
    <w:rsid w:val="00BB0EA0"/>
    <w:rsid w:val="00BB10CD"/>
    <w:rsid w:val="00BB10F0"/>
    <w:rsid w:val="00BB122E"/>
    <w:rsid w:val="00BB25BB"/>
    <w:rsid w:val="00BB2CEC"/>
    <w:rsid w:val="00BB4A6F"/>
    <w:rsid w:val="00BB4D81"/>
    <w:rsid w:val="00BB4EBC"/>
    <w:rsid w:val="00BB56B1"/>
    <w:rsid w:val="00BB5759"/>
    <w:rsid w:val="00BB5A30"/>
    <w:rsid w:val="00BB5B98"/>
    <w:rsid w:val="00BB7BAC"/>
    <w:rsid w:val="00BC08D8"/>
    <w:rsid w:val="00BC08FC"/>
    <w:rsid w:val="00BC202D"/>
    <w:rsid w:val="00BC213B"/>
    <w:rsid w:val="00BC2964"/>
    <w:rsid w:val="00BC3112"/>
    <w:rsid w:val="00BC3776"/>
    <w:rsid w:val="00BC3D8E"/>
    <w:rsid w:val="00BC3E7F"/>
    <w:rsid w:val="00BC41B5"/>
    <w:rsid w:val="00BC4C63"/>
    <w:rsid w:val="00BC54D1"/>
    <w:rsid w:val="00BC5912"/>
    <w:rsid w:val="00BC6050"/>
    <w:rsid w:val="00BC6308"/>
    <w:rsid w:val="00BC63FE"/>
    <w:rsid w:val="00BC666D"/>
    <w:rsid w:val="00BC67A4"/>
    <w:rsid w:val="00BC6B4D"/>
    <w:rsid w:val="00BC6C4F"/>
    <w:rsid w:val="00BC76AA"/>
    <w:rsid w:val="00BD1290"/>
    <w:rsid w:val="00BD1CFB"/>
    <w:rsid w:val="00BD255F"/>
    <w:rsid w:val="00BD2B8F"/>
    <w:rsid w:val="00BD2FEE"/>
    <w:rsid w:val="00BD35B9"/>
    <w:rsid w:val="00BD36EC"/>
    <w:rsid w:val="00BD4A52"/>
    <w:rsid w:val="00BD51CA"/>
    <w:rsid w:val="00BD5CD2"/>
    <w:rsid w:val="00BD7288"/>
    <w:rsid w:val="00BD77DE"/>
    <w:rsid w:val="00BD79C2"/>
    <w:rsid w:val="00BD7C97"/>
    <w:rsid w:val="00BE1F2E"/>
    <w:rsid w:val="00BE1FA7"/>
    <w:rsid w:val="00BE2AD7"/>
    <w:rsid w:val="00BE2BAA"/>
    <w:rsid w:val="00BE49CC"/>
    <w:rsid w:val="00BE4F8D"/>
    <w:rsid w:val="00BE54E8"/>
    <w:rsid w:val="00BE590A"/>
    <w:rsid w:val="00BE5EF9"/>
    <w:rsid w:val="00BE706D"/>
    <w:rsid w:val="00BE770F"/>
    <w:rsid w:val="00BE778C"/>
    <w:rsid w:val="00BF01D4"/>
    <w:rsid w:val="00BF077D"/>
    <w:rsid w:val="00BF20FB"/>
    <w:rsid w:val="00BF2997"/>
    <w:rsid w:val="00BF4C22"/>
    <w:rsid w:val="00BF4CD1"/>
    <w:rsid w:val="00BF4DD7"/>
    <w:rsid w:val="00BF51E4"/>
    <w:rsid w:val="00BF6043"/>
    <w:rsid w:val="00BF76ED"/>
    <w:rsid w:val="00C00156"/>
    <w:rsid w:val="00C003C3"/>
    <w:rsid w:val="00C00560"/>
    <w:rsid w:val="00C006F6"/>
    <w:rsid w:val="00C00838"/>
    <w:rsid w:val="00C008C6"/>
    <w:rsid w:val="00C00BE6"/>
    <w:rsid w:val="00C00F80"/>
    <w:rsid w:val="00C01250"/>
    <w:rsid w:val="00C01398"/>
    <w:rsid w:val="00C01619"/>
    <w:rsid w:val="00C029F5"/>
    <w:rsid w:val="00C02A19"/>
    <w:rsid w:val="00C03041"/>
    <w:rsid w:val="00C03815"/>
    <w:rsid w:val="00C041F4"/>
    <w:rsid w:val="00C049FA"/>
    <w:rsid w:val="00C04C59"/>
    <w:rsid w:val="00C0524E"/>
    <w:rsid w:val="00C05428"/>
    <w:rsid w:val="00C058A3"/>
    <w:rsid w:val="00C05E05"/>
    <w:rsid w:val="00C0711F"/>
    <w:rsid w:val="00C077E1"/>
    <w:rsid w:val="00C07E8E"/>
    <w:rsid w:val="00C1077D"/>
    <w:rsid w:val="00C107BE"/>
    <w:rsid w:val="00C10BD0"/>
    <w:rsid w:val="00C10C03"/>
    <w:rsid w:val="00C112F7"/>
    <w:rsid w:val="00C1161D"/>
    <w:rsid w:val="00C12B5F"/>
    <w:rsid w:val="00C12CC4"/>
    <w:rsid w:val="00C12CE6"/>
    <w:rsid w:val="00C12D9C"/>
    <w:rsid w:val="00C13208"/>
    <w:rsid w:val="00C133F5"/>
    <w:rsid w:val="00C1360E"/>
    <w:rsid w:val="00C13819"/>
    <w:rsid w:val="00C13CCA"/>
    <w:rsid w:val="00C142EA"/>
    <w:rsid w:val="00C14AD2"/>
    <w:rsid w:val="00C14CA5"/>
    <w:rsid w:val="00C15BE1"/>
    <w:rsid w:val="00C15EDA"/>
    <w:rsid w:val="00C160D9"/>
    <w:rsid w:val="00C16B32"/>
    <w:rsid w:val="00C16FF1"/>
    <w:rsid w:val="00C17089"/>
    <w:rsid w:val="00C1715B"/>
    <w:rsid w:val="00C1757F"/>
    <w:rsid w:val="00C17B74"/>
    <w:rsid w:val="00C17BCC"/>
    <w:rsid w:val="00C20358"/>
    <w:rsid w:val="00C2071F"/>
    <w:rsid w:val="00C209E6"/>
    <w:rsid w:val="00C20A09"/>
    <w:rsid w:val="00C20AEB"/>
    <w:rsid w:val="00C20F22"/>
    <w:rsid w:val="00C21FF8"/>
    <w:rsid w:val="00C220F2"/>
    <w:rsid w:val="00C223A0"/>
    <w:rsid w:val="00C23BBD"/>
    <w:rsid w:val="00C2455C"/>
    <w:rsid w:val="00C24638"/>
    <w:rsid w:val="00C26495"/>
    <w:rsid w:val="00C26B72"/>
    <w:rsid w:val="00C273ED"/>
    <w:rsid w:val="00C27447"/>
    <w:rsid w:val="00C27891"/>
    <w:rsid w:val="00C27D45"/>
    <w:rsid w:val="00C300D3"/>
    <w:rsid w:val="00C300F5"/>
    <w:rsid w:val="00C30AED"/>
    <w:rsid w:val="00C31073"/>
    <w:rsid w:val="00C314B5"/>
    <w:rsid w:val="00C31AC3"/>
    <w:rsid w:val="00C32570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947"/>
    <w:rsid w:val="00C36001"/>
    <w:rsid w:val="00C36FFE"/>
    <w:rsid w:val="00C375DD"/>
    <w:rsid w:val="00C40885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E4A"/>
    <w:rsid w:val="00C43FD4"/>
    <w:rsid w:val="00C4445E"/>
    <w:rsid w:val="00C44846"/>
    <w:rsid w:val="00C4530D"/>
    <w:rsid w:val="00C45A51"/>
    <w:rsid w:val="00C45BA9"/>
    <w:rsid w:val="00C469E3"/>
    <w:rsid w:val="00C47155"/>
    <w:rsid w:val="00C47987"/>
    <w:rsid w:val="00C47CD2"/>
    <w:rsid w:val="00C47D56"/>
    <w:rsid w:val="00C510DE"/>
    <w:rsid w:val="00C536E4"/>
    <w:rsid w:val="00C538AE"/>
    <w:rsid w:val="00C53C32"/>
    <w:rsid w:val="00C53E7A"/>
    <w:rsid w:val="00C54492"/>
    <w:rsid w:val="00C544B6"/>
    <w:rsid w:val="00C54601"/>
    <w:rsid w:val="00C54E26"/>
    <w:rsid w:val="00C5671C"/>
    <w:rsid w:val="00C56A84"/>
    <w:rsid w:val="00C575E8"/>
    <w:rsid w:val="00C5777E"/>
    <w:rsid w:val="00C57EB0"/>
    <w:rsid w:val="00C60984"/>
    <w:rsid w:val="00C60E33"/>
    <w:rsid w:val="00C6111A"/>
    <w:rsid w:val="00C61402"/>
    <w:rsid w:val="00C61801"/>
    <w:rsid w:val="00C618DF"/>
    <w:rsid w:val="00C65030"/>
    <w:rsid w:val="00C6515A"/>
    <w:rsid w:val="00C652A1"/>
    <w:rsid w:val="00C655E4"/>
    <w:rsid w:val="00C65738"/>
    <w:rsid w:val="00C6590A"/>
    <w:rsid w:val="00C65FFB"/>
    <w:rsid w:val="00C6650D"/>
    <w:rsid w:val="00C66663"/>
    <w:rsid w:val="00C668D8"/>
    <w:rsid w:val="00C66BCD"/>
    <w:rsid w:val="00C66E74"/>
    <w:rsid w:val="00C67029"/>
    <w:rsid w:val="00C70B38"/>
    <w:rsid w:val="00C70B43"/>
    <w:rsid w:val="00C70B6D"/>
    <w:rsid w:val="00C71A56"/>
    <w:rsid w:val="00C730CC"/>
    <w:rsid w:val="00C74485"/>
    <w:rsid w:val="00C7532A"/>
    <w:rsid w:val="00C75721"/>
    <w:rsid w:val="00C760A6"/>
    <w:rsid w:val="00C762B7"/>
    <w:rsid w:val="00C76825"/>
    <w:rsid w:val="00C77C4B"/>
    <w:rsid w:val="00C77D50"/>
    <w:rsid w:val="00C80DC6"/>
    <w:rsid w:val="00C815E4"/>
    <w:rsid w:val="00C8177D"/>
    <w:rsid w:val="00C8290C"/>
    <w:rsid w:val="00C83BAE"/>
    <w:rsid w:val="00C83FA7"/>
    <w:rsid w:val="00C8512B"/>
    <w:rsid w:val="00C858C8"/>
    <w:rsid w:val="00C85A79"/>
    <w:rsid w:val="00C86242"/>
    <w:rsid w:val="00C86D64"/>
    <w:rsid w:val="00C86DA1"/>
    <w:rsid w:val="00C87CDD"/>
    <w:rsid w:val="00C909EE"/>
    <w:rsid w:val="00C90AD2"/>
    <w:rsid w:val="00C90E27"/>
    <w:rsid w:val="00C910ED"/>
    <w:rsid w:val="00C914C9"/>
    <w:rsid w:val="00C9156F"/>
    <w:rsid w:val="00C91E57"/>
    <w:rsid w:val="00C922E8"/>
    <w:rsid w:val="00C93188"/>
    <w:rsid w:val="00C939E3"/>
    <w:rsid w:val="00C94EF3"/>
    <w:rsid w:val="00C952A9"/>
    <w:rsid w:val="00C9534F"/>
    <w:rsid w:val="00C95E98"/>
    <w:rsid w:val="00C95F67"/>
    <w:rsid w:val="00C9600C"/>
    <w:rsid w:val="00C961C0"/>
    <w:rsid w:val="00C965E4"/>
    <w:rsid w:val="00C9739A"/>
    <w:rsid w:val="00C9794D"/>
    <w:rsid w:val="00CA05E2"/>
    <w:rsid w:val="00CA0B7E"/>
    <w:rsid w:val="00CA13BF"/>
    <w:rsid w:val="00CA13F7"/>
    <w:rsid w:val="00CA1463"/>
    <w:rsid w:val="00CA14DE"/>
    <w:rsid w:val="00CA2A57"/>
    <w:rsid w:val="00CA2C4B"/>
    <w:rsid w:val="00CA30A9"/>
    <w:rsid w:val="00CA35EC"/>
    <w:rsid w:val="00CA3D36"/>
    <w:rsid w:val="00CA3EC4"/>
    <w:rsid w:val="00CA4249"/>
    <w:rsid w:val="00CA4EF3"/>
    <w:rsid w:val="00CA575F"/>
    <w:rsid w:val="00CA6F7C"/>
    <w:rsid w:val="00CB0652"/>
    <w:rsid w:val="00CB0A8A"/>
    <w:rsid w:val="00CB138C"/>
    <w:rsid w:val="00CB1BD3"/>
    <w:rsid w:val="00CB21EF"/>
    <w:rsid w:val="00CB26B1"/>
    <w:rsid w:val="00CB2714"/>
    <w:rsid w:val="00CB2824"/>
    <w:rsid w:val="00CB2C75"/>
    <w:rsid w:val="00CB2F95"/>
    <w:rsid w:val="00CB30E7"/>
    <w:rsid w:val="00CB3270"/>
    <w:rsid w:val="00CB4759"/>
    <w:rsid w:val="00CB4DA4"/>
    <w:rsid w:val="00CB54FD"/>
    <w:rsid w:val="00CB557A"/>
    <w:rsid w:val="00CB6108"/>
    <w:rsid w:val="00CB644A"/>
    <w:rsid w:val="00CB7071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2B9C"/>
    <w:rsid w:val="00CC326E"/>
    <w:rsid w:val="00CC38EE"/>
    <w:rsid w:val="00CC3D11"/>
    <w:rsid w:val="00CC4AB9"/>
    <w:rsid w:val="00CC566D"/>
    <w:rsid w:val="00CC6AA6"/>
    <w:rsid w:val="00CC6ACF"/>
    <w:rsid w:val="00CC722F"/>
    <w:rsid w:val="00CC726E"/>
    <w:rsid w:val="00CC7476"/>
    <w:rsid w:val="00CC75EE"/>
    <w:rsid w:val="00CC7F3D"/>
    <w:rsid w:val="00CD0BAE"/>
    <w:rsid w:val="00CD1017"/>
    <w:rsid w:val="00CD129C"/>
    <w:rsid w:val="00CD12BA"/>
    <w:rsid w:val="00CD181E"/>
    <w:rsid w:val="00CD2C45"/>
    <w:rsid w:val="00CD385F"/>
    <w:rsid w:val="00CD387C"/>
    <w:rsid w:val="00CD474C"/>
    <w:rsid w:val="00CD5589"/>
    <w:rsid w:val="00CD5CCC"/>
    <w:rsid w:val="00CD6B16"/>
    <w:rsid w:val="00CD6B5E"/>
    <w:rsid w:val="00CD7422"/>
    <w:rsid w:val="00CE0950"/>
    <w:rsid w:val="00CE0FC5"/>
    <w:rsid w:val="00CE11D8"/>
    <w:rsid w:val="00CE1648"/>
    <w:rsid w:val="00CE1921"/>
    <w:rsid w:val="00CE1A90"/>
    <w:rsid w:val="00CE1C5C"/>
    <w:rsid w:val="00CE1CA9"/>
    <w:rsid w:val="00CE1E07"/>
    <w:rsid w:val="00CE2567"/>
    <w:rsid w:val="00CE2A65"/>
    <w:rsid w:val="00CE3037"/>
    <w:rsid w:val="00CE32AD"/>
    <w:rsid w:val="00CE3361"/>
    <w:rsid w:val="00CE3463"/>
    <w:rsid w:val="00CE3F49"/>
    <w:rsid w:val="00CE49B0"/>
    <w:rsid w:val="00CE4EA8"/>
    <w:rsid w:val="00CE5261"/>
    <w:rsid w:val="00CE584B"/>
    <w:rsid w:val="00CE5A0A"/>
    <w:rsid w:val="00CE6C5C"/>
    <w:rsid w:val="00CE72F6"/>
    <w:rsid w:val="00CE7FF2"/>
    <w:rsid w:val="00CF0E8B"/>
    <w:rsid w:val="00CF1090"/>
    <w:rsid w:val="00CF12DA"/>
    <w:rsid w:val="00CF1AB9"/>
    <w:rsid w:val="00CF1B03"/>
    <w:rsid w:val="00CF1B1E"/>
    <w:rsid w:val="00CF1E58"/>
    <w:rsid w:val="00CF1F79"/>
    <w:rsid w:val="00CF2B1C"/>
    <w:rsid w:val="00CF2B8E"/>
    <w:rsid w:val="00CF36FF"/>
    <w:rsid w:val="00CF39B2"/>
    <w:rsid w:val="00CF3C22"/>
    <w:rsid w:val="00CF3E3D"/>
    <w:rsid w:val="00CF4060"/>
    <w:rsid w:val="00CF52EB"/>
    <w:rsid w:val="00CF585D"/>
    <w:rsid w:val="00CF5CA8"/>
    <w:rsid w:val="00CF72BD"/>
    <w:rsid w:val="00CF767E"/>
    <w:rsid w:val="00CF777D"/>
    <w:rsid w:val="00CF78C0"/>
    <w:rsid w:val="00D009C4"/>
    <w:rsid w:val="00D0115F"/>
    <w:rsid w:val="00D015A8"/>
    <w:rsid w:val="00D024F9"/>
    <w:rsid w:val="00D027F9"/>
    <w:rsid w:val="00D032AA"/>
    <w:rsid w:val="00D03A3E"/>
    <w:rsid w:val="00D03B1A"/>
    <w:rsid w:val="00D03E97"/>
    <w:rsid w:val="00D040BB"/>
    <w:rsid w:val="00D04920"/>
    <w:rsid w:val="00D054D1"/>
    <w:rsid w:val="00D056E9"/>
    <w:rsid w:val="00D05CB6"/>
    <w:rsid w:val="00D06071"/>
    <w:rsid w:val="00D06325"/>
    <w:rsid w:val="00D070DA"/>
    <w:rsid w:val="00D07684"/>
    <w:rsid w:val="00D076A6"/>
    <w:rsid w:val="00D07F59"/>
    <w:rsid w:val="00D104B2"/>
    <w:rsid w:val="00D10986"/>
    <w:rsid w:val="00D114BB"/>
    <w:rsid w:val="00D118DA"/>
    <w:rsid w:val="00D11BB2"/>
    <w:rsid w:val="00D12F1F"/>
    <w:rsid w:val="00D13207"/>
    <w:rsid w:val="00D13358"/>
    <w:rsid w:val="00D1342C"/>
    <w:rsid w:val="00D142FA"/>
    <w:rsid w:val="00D14873"/>
    <w:rsid w:val="00D14C06"/>
    <w:rsid w:val="00D14DAF"/>
    <w:rsid w:val="00D14DE6"/>
    <w:rsid w:val="00D14EF2"/>
    <w:rsid w:val="00D1564A"/>
    <w:rsid w:val="00D156E5"/>
    <w:rsid w:val="00D15792"/>
    <w:rsid w:val="00D15AF0"/>
    <w:rsid w:val="00D16747"/>
    <w:rsid w:val="00D172BA"/>
    <w:rsid w:val="00D175C7"/>
    <w:rsid w:val="00D17997"/>
    <w:rsid w:val="00D17E09"/>
    <w:rsid w:val="00D20886"/>
    <w:rsid w:val="00D223F2"/>
    <w:rsid w:val="00D22E00"/>
    <w:rsid w:val="00D23853"/>
    <w:rsid w:val="00D24137"/>
    <w:rsid w:val="00D251E6"/>
    <w:rsid w:val="00D259B0"/>
    <w:rsid w:val="00D26097"/>
    <w:rsid w:val="00D261C5"/>
    <w:rsid w:val="00D26391"/>
    <w:rsid w:val="00D2699D"/>
    <w:rsid w:val="00D27747"/>
    <w:rsid w:val="00D27BF7"/>
    <w:rsid w:val="00D30729"/>
    <w:rsid w:val="00D30EAF"/>
    <w:rsid w:val="00D314F6"/>
    <w:rsid w:val="00D318F8"/>
    <w:rsid w:val="00D31A4F"/>
    <w:rsid w:val="00D31C7E"/>
    <w:rsid w:val="00D31D6C"/>
    <w:rsid w:val="00D31D99"/>
    <w:rsid w:val="00D32CDD"/>
    <w:rsid w:val="00D32E0D"/>
    <w:rsid w:val="00D3326D"/>
    <w:rsid w:val="00D33977"/>
    <w:rsid w:val="00D33C97"/>
    <w:rsid w:val="00D34097"/>
    <w:rsid w:val="00D3544C"/>
    <w:rsid w:val="00D3719F"/>
    <w:rsid w:val="00D371C8"/>
    <w:rsid w:val="00D40548"/>
    <w:rsid w:val="00D4061B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6DBF"/>
    <w:rsid w:val="00D46F26"/>
    <w:rsid w:val="00D47591"/>
    <w:rsid w:val="00D50F4A"/>
    <w:rsid w:val="00D51089"/>
    <w:rsid w:val="00D5228C"/>
    <w:rsid w:val="00D52E06"/>
    <w:rsid w:val="00D53650"/>
    <w:rsid w:val="00D553C7"/>
    <w:rsid w:val="00D5648F"/>
    <w:rsid w:val="00D5651D"/>
    <w:rsid w:val="00D57B21"/>
    <w:rsid w:val="00D57B9A"/>
    <w:rsid w:val="00D60190"/>
    <w:rsid w:val="00D602D3"/>
    <w:rsid w:val="00D605A5"/>
    <w:rsid w:val="00D606A0"/>
    <w:rsid w:val="00D60A2F"/>
    <w:rsid w:val="00D60DAB"/>
    <w:rsid w:val="00D61817"/>
    <w:rsid w:val="00D61A8A"/>
    <w:rsid w:val="00D62369"/>
    <w:rsid w:val="00D623AA"/>
    <w:rsid w:val="00D62A24"/>
    <w:rsid w:val="00D62FAC"/>
    <w:rsid w:val="00D635B0"/>
    <w:rsid w:val="00D637A9"/>
    <w:rsid w:val="00D63BE1"/>
    <w:rsid w:val="00D65280"/>
    <w:rsid w:val="00D652F6"/>
    <w:rsid w:val="00D6616F"/>
    <w:rsid w:val="00D6699B"/>
    <w:rsid w:val="00D7009E"/>
    <w:rsid w:val="00D70C63"/>
    <w:rsid w:val="00D710C5"/>
    <w:rsid w:val="00D71606"/>
    <w:rsid w:val="00D71705"/>
    <w:rsid w:val="00D71888"/>
    <w:rsid w:val="00D71B45"/>
    <w:rsid w:val="00D722C1"/>
    <w:rsid w:val="00D7231E"/>
    <w:rsid w:val="00D72437"/>
    <w:rsid w:val="00D726A5"/>
    <w:rsid w:val="00D727AC"/>
    <w:rsid w:val="00D72AC2"/>
    <w:rsid w:val="00D72CAE"/>
    <w:rsid w:val="00D73BE5"/>
    <w:rsid w:val="00D74660"/>
    <w:rsid w:val="00D74797"/>
    <w:rsid w:val="00D74968"/>
    <w:rsid w:val="00D749D2"/>
    <w:rsid w:val="00D74D9B"/>
    <w:rsid w:val="00D74DC3"/>
    <w:rsid w:val="00D750A2"/>
    <w:rsid w:val="00D75650"/>
    <w:rsid w:val="00D756E8"/>
    <w:rsid w:val="00D75E77"/>
    <w:rsid w:val="00D76619"/>
    <w:rsid w:val="00D768AE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43D6"/>
    <w:rsid w:val="00D850DC"/>
    <w:rsid w:val="00D85237"/>
    <w:rsid w:val="00D85475"/>
    <w:rsid w:val="00D85A2F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833"/>
    <w:rsid w:val="00D94E5E"/>
    <w:rsid w:val="00D94F2C"/>
    <w:rsid w:val="00D96138"/>
    <w:rsid w:val="00D965AB"/>
    <w:rsid w:val="00D96B07"/>
    <w:rsid w:val="00D96BD2"/>
    <w:rsid w:val="00D974EC"/>
    <w:rsid w:val="00D97594"/>
    <w:rsid w:val="00D976A0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22C1"/>
    <w:rsid w:val="00DA24B0"/>
    <w:rsid w:val="00DA2582"/>
    <w:rsid w:val="00DA2694"/>
    <w:rsid w:val="00DA31A1"/>
    <w:rsid w:val="00DA3CF1"/>
    <w:rsid w:val="00DA4844"/>
    <w:rsid w:val="00DA4B0E"/>
    <w:rsid w:val="00DA4C73"/>
    <w:rsid w:val="00DA50E4"/>
    <w:rsid w:val="00DA5BEB"/>
    <w:rsid w:val="00DA6177"/>
    <w:rsid w:val="00DA6BFD"/>
    <w:rsid w:val="00DA7645"/>
    <w:rsid w:val="00DA7E15"/>
    <w:rsid w:val="00DA7FC8"/>
    <w:rsid w:val="00DB02FF"/>
    <w:rsid w:val="00DB10BD"/>
    <w:rsid w:val="00DB1433"/>
    <w:rsid w:val="00DB197C"/>
    <w:rsid w:val="00DB1AAF"/>
    <w:rsid w:val="00DB26B5"/>
    <w:rsid w:val="00DB3AA0"/>
    <w:rsid w:val="00DB3C49"/>
    <w:rsid w:val="00DB41B9"/>
    <w:rsid w:val="00DB42C2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7F10"/>
    <w:rsid w:val="00DC1524"/>
    <w:rsid w:val="00DC1889"/>
    <w:rsid w:val="00DC1CA3"/>
    <w:rsid w:val="00DC2A33"/>
    <w:rsid w:val="00DC3214"/>
    <w:rsid w:val="00DC3579"/>
    <w:rsid w:val="00DC3E0F"/>
    <w:rsid w:val="00DC43AE"/>
    <w:rsid w:val="00DC466F"/>
    <w:rsid w:val="00DC4841"/>
    <w:rsid w:val="00DC48F6"/>
    <w:rsid w:val="00DC51EE"/>
    <w:rsid w:val="00DC5533"/>
    <w:rsid w:val="00DC5770"/>
    <w:rsid w:val="00DC59D7"/>
    <w:rsid w:val="00DC6E13"/>
    <w:rsid w:val="00DC6E1B"/>
    <w:rsid w:val="00DC7EBE"/>
    <w:rsid w:val="00DD12EF"/>
    <w:rsid w:val="00DD158F"/>
    <w:rsid w:val="00DD16FB"/>
    <w:rsid w:val="00DD235A"/>
    <w:rsid w:val="00DD2381"/>
    <w:rsid w:val="00DD2B1D"/>
    <w:rsid w:val="00DD3821"/>
    <w:rsid w:val="00DD391B"/>
    <w:rsid w:val="00DD3B9C"/>
    <w:rsid w:val="00DD45D3"/>
    <w:rsid w:val="00DD48F3"/>
    <w:rsid w:val="00DD4E0C"/>
    <w:rsid w:val="00DD5A2A"/>
    <w:rsid w:val="00DD5DD6"/>
    <w:rsid w:val="00DD662B"/>
    <w:rsid w:val="00DD68EF"/>
    <w:rsid w:val="00DD6C92"/>
    <w:rsid w:val="00DE01AB"/>
    <w:rsid w:val="00DE0B85"/>
    <w:rsid w:val="00DE12BD"/>
    <w:rsid w:val="00DE1532"/>
    <w:rsid w:val="00DE179B"/>
    <w:rsid w:val="00DE292D"/>
    <w:rsid w:val="00DE2AA3"/>
    <w:rsid w:val="00DE30D1"/>
    <w:rsid w:val="00DE3B74"/>
    <w:rsid w:val="00DE3F20"/>
    <w:rsid w:val="00DE40F7"/>
    <w:rsid w:val="00DE47DF"/>
    <w:rsid w:val="00DE4D21"/>
    <w:rsid w:val="00DE5EA6"/>
    <w:rsid w:val="00DE5F41"/>
    <w:rsid w:val="00DE61FB"/>
    <w:rsid w:val="00DE6B6A"/>
    <w:rsid w:val="00DE730F"/>
    <w:rsid w:val="00DE731D"/>
    <w:rsid w:val="00DE7A1D"/>
    <w:rsid w:val="00DF0A8D"/>
    <w:rsid w:val="00DF0E97"/>
    <w:rsid w:val="00DF11F0"/>
    <w:rsid w:val="00DF1956"/>
    <w:rsid w:val="00DF1AD2"/>
    <w:rsid w:val="00DF1D62"/>
    <w:rsid w:val="00DF2170"/>
    <w:rsid w:val="00DF2FC2"/>
    <w:rsid w:val="00DF3508"/>
    <w:rsid w:val="00DF3D62"/>
    <w:rsid w:val="00DF572E"/>
    <w:rsid w:val="00DF596A"/>
    <w:rsid w:val="00DF6DA6"/>
    <w:rsid w:val="00DF6F29"/>
    <w:rsid w:val="00DF708D"/>
    <w:rsid w:val="00DF738E"/>
    <w:rsid w:val="00DF7B4C"/>
    <w:rsid w:val="00DF7EB8"/>
    <w:rsid w:val="00DF7F5A"/>
    <w:rsid w:val="00E0031E"/>
    <w:rsid w:val="00E00FD5"/>
    <w:rsid w:val="00E01166"/>
    <w:rsid w:val="00E01956"/>
    <w:rsid w:val="00E02047"/>
    <w:rsid w:val="00E023E5"/>
    <w:rsid w:val="00E02837"/>
    <w:rsid w:val="00E0443C"/>
    <w:rsid w:val="00E04B4F"/>
    <w:rsid w:val="00E062AA"/>
    <w:rsid w:val="00E06FD6"/>
    <w:rsid w:val="00E074C1"/>
    <w:rsid w:val="00E07B79"/>
    <w:rsid w:val="00E07CDC"/>
    <w:rsid w:val="00E1006A"/>
    <w:rsid w:val="00E105B9"/>
    <w:rsid w:val="00E1079E"/>
    <w:rsid w:val="00E10F6A"/>
    <w:rsid w:val="00E112FA"/>
    <w:rsid w:val="00E12CED"/>
    <w:rsid w:val="00E12EFE"/>
    <w:rsid w:val="00E13D2C"/>
    <w:rsid w:val="00E13EE3"/>
    <w:rsid w:val="00E148CD"/>
    <w:rsid w:val="00E14E22"/>
    <w:rsid w:val="00E14FF5"/>
    <w:rsid w:val="00E15713"/>
    <w:rsid w:val="00E164F7"/>
    <w:rsid w:val="00E16682"/>
    <w:rsid w:val="00E1678A"/>
    <w:rsid w:val="00E17549"/>
    <w:rsid w:val="00E17BAE"/>
    <w:rsid w:val="00E17E85"/>
    <w:rsid w:val="00E17E99"/>
    <w:rsid w:val="00E2002A"/>
    <w:rsid w:val="00E2055A"/>
    <w:rsid w:val="00E20DFC"/>
    <w:rsid w:val="00E21504"/>
    <w:rsid w:val="00E21F2D"/>
    <w:rsid w:val="00E22A26"/>
    <w:rsid w:val="00E22DD9"/>
    <w:rsid w:val="00E2336E"/>
    <w:rsid w:val="00E23655"/>
    <w:rsid w:val="00E23AB9"/>
    <w:rsid w:val="00E23AC4"/>
    <w:rsid w:val="00E23ED2"/>
    <w:rsid w:val="00E244DC"/>
    <w:rsid w:val="00E256F7"/>
    <w:rsid w:val="00E25995"/>
    <w:rsid w:val="00E25D57"/>
    <w:rsid w:val="00E26257"/>
    <w:rsid w:val="00E264AD"/>
    <w:rsid w:val="00E27074"/>
    <w:rsid w:val="00E27E1C"/>
    <w:rsid w:val="00E300F2"/>
    <w:rsid w:val="00E31966"/>
    <w:rsid w:val="00E3203D"/>
    <w:rsid w:val="00E32AE4"/>
    <w:rsid w:val="00E32D6A"/>
    <w:rsid w:val="00E33396"/>
    <w:rsid w:val="00E335C5"/>
    <w:rsid w:val="00E33ADE"/>
    <w:rsid w:val="00E33D24"/>
    <w:rsid w:val="00E33E8E"/>
    <w:rsid w:val="00E34706"/>
    <w:rsid w:val="00E34ED4"/>
    <w:rsid w:val="00E35580"/>
    <w:rsid w:val="00E36DD5"/>
    <w:rsid w:val="00E3751A"/>
    <w:rsid w:val="00E377A6"/>
    <w:rsid w:val="00E4005E"/>
    <w:rsid w:val="00E40A1E"/>
    <w:rsid w:val="00E41CF2"/>
    <w:rsid w:val="00E41D23"/>
    <w:rsid w:val="00E4297F"/>
    <w:rsid w:val="00E438F7"/>
    <w:rsid w:val="00E43E29"/>
    <w:rsid w:val="00E43EE5"/>
    <w:rsid w:val="00E44ACD"/>
    <w:rsid w:val="00E44CB9"/>
    <w:rsid w:val="00E44FF6"/>
    <w:rsid w:val="00E45343"/>
    <w:rsid w:val="00E45B97"/>
    <w:rsid w:val="00E466D1"/>
    <w:rsid w:val="00E46852"/>
    <w:rsid w:val="00E46AB1"/>
    <w:rsid w:val="00E479FF"/>
    <w:rsid w:val="00E5057C"/>
    <w:rsid w:val="00E51392"/>
    <w:rsid w:val="00E515B1"/>
    <w:rsid w:val="00E51662"/>
    <w:rsid w:val="00E5269A"/>
    <w:rsid w:val="00E52756"/>
    <w:rsid w:val="00E52ADF"/>
    <w:rsid w:val="00E52EA2"/>
    <w:rsid w:val="00E535D1"/>
    <w:rsid w:val="00E536FC"/>
    <w:rsid w:val="00E539F2"/>
    <w:rsid w:val="00E53AA6"/>
    <w:rsid w:val="00E53C6C"/>
    <w:rsid w:val="00E53CB2"/>
    <w:rsid w:val="00E53D6A"/>
    <w:rsid w:val="00E54438"/>
    <w:rsid w:val="00E54584"/>
    <w:rsid w:val="00E54898"/>
    <w:rsid w:val="00E55558"/>
    <w:rsid w:val="00E55BB8"/>
    <w:rsid w:val="00E56344"/>
    <w:rsid w:val="00E57E87"/>
    <w:rsid w:val="00E60DE1"/>
    <w:rsid w:val="00E61076"/>
    <w:rsid w:val="00E61812"/>
    <w:rsid w:val="00E62CF0"/>
    <w:rsid w:val="00E62E5D"/>
    <w:rsid w:val="00E65073"/>
    <w:rsid w:val="00E65E8C"/>
    <w:rsid w:val="00E6670E"/>
    <w:rsid w:val="00E66800"/>
    <w:rsid w:val="00E66D78"/>
    <w:rsid w:val="00E673C1"/>
    <w:rsid w:val="00E67C5C"/>
    <w:rsid w:val="00E67E55"/>
    <w:rsid w:val="00E70504"/>
    <w:rsid w:val="00E70DA4"/>
    <w:rsid w:val="00E71198"/>
    <w:rsid w:val="00E71C3F"/>
    <w:rsid w:val="00E71E4F"/>
    <w:rsid w:val="00E72486"/>
    <w:rsid w:val="00E724EF"/>
    <w:rsid w:val="00E7264E"/>
    <w:rsid w:val="00E72651"/>
    <w:rsid w:val="00E73957"/>
    <w:rsid w:val="00E73A8E"/>
    <w:rsid w:val="00E73C90"/>
    <w:rsid w:val="00E73D3A"/>
    <w:rsid w:val="00E7412C"/>
    <w:rsid w:val="00E743A1"/>
    <w:rsid w:val="00E74BC5"/>
    <w:rsid w:val="00E74F05"/>
    <w:rsid w:val="00E7518B"/>
    <w:rsid w:val="00E7593F"/>
    <w:rsid w:val="00E76497"/>
    <w:rsid w:val="00E76C33"/>
    <w:rsid w:val="00E8011B"/>
    <w:rsid w:val="00E801FE"/>
    <w:rsid w:val="00E80768"/>
    <w:rsid w:val="00E80E1E"/>
    <w:rsid w:val="00E82135"/>
    <w:rsid w:val="00E82862"/>
    <w:rsid w:val="00E82CA0"/>
    <w:rsid w:val="00E82E17"/>
    <w:rsid w:val="00E844F7"/>
    <w:rsid w:val="00E84AD4"/>
    <w:rsid w:val="00E8534F"/>
    <w:rsid w:val="00E854EA"/>
    <w:rsid w:val="00E85EC9"/>
    <w:rsid w:val="00E85F95"/>
    <w:rsid w:val="00E86BAE"/>
    <w:rsid w:val="00E876A3"/>
    <w:rsid w:val="00E87DC5"/>
    <w:rsid w:val="00E903A5"/>
    <w:rsid w:val="00E90A19"/>
    <w:rsid w:val="00E90DC9"/>
    <w:rsid w:val="00E91460"/>
    <w:rsid w:val="00E915F1"/>
    <w:rsid w:val="00E91C42"/>
    <w:rsid w:val="00E92341"/>
    <w:rsid w:val="00E92B3B"/>
    <w:rsid w:val="00E93635"/>
    <w:rsid w:val="00E936EA"/>
    <w:rsid w:val="00E945B4"/>
    <w:rsid w:val="00E94F06"/>
    <w:rsid w:val="00E95243"/>
    <w:rsid w:val="00E956CB"/>
    <w:rsid w:val="00E960B8"/>
    <w:rsid w:val="00E96AEE"/>
    <w:rsid w:val="00E96D1C"/>
    <w:rsid w:val="00E977CB"/>
    <w:rsid w:val="00E977CE"/>
    <w:rsid w:val="00E97990"/>
    <w:rsid w:val="00E97D2F"/>
    <w:rsid w:val="00E97EA7"/>
    <w:rsid w:val="00E97FB1"/>
    <w:rsid w:val="00EA1514"/>
    <w:rsid w:val="00EA16E1"/>
    <w:rsid w:val="00EA1767"/>
    <w:rsid w:val="00EA1F8E"/>
    <w:rsid w:val="00EA2360"/>
    <w:rsid w:val="00EA272B"/>
    <w:rsid w:val="00EA2F5D"/>
    <w:rsid w:val="00EA301E"/>
    <w:rsid w:val="00EA3BA1"/>
    <w:rsid w:val="00EA449C"/>
    <w:rsid w:val="00EA4F1E"/>
    <w:rsid w:val="00EA4F7D"/>
    <w:rsid w:val="00EA5B06"/>
    <w:rsid w:val="00EA5F9C"/>
    <w:rsid w:val="00EA633B"/>
    <w:rsid w:val="00EA659C"/>
    <w:rsid w:val="00EA7206"/>
    <w:rsid w:val="00EB09EE"/>
    <w:rsid w:val="00EB0A68"/>
    <w:rsid w:val="00EB0E6A"/>
    <w:rsid w:val="00EB0FE6"/>
    <w:rsid w:val="00EB14C8"/>
    <w:rsid w:val="00EB16EB"/>
    <w:rsid w:val="00EB182C"/>
    <w:rsid w:val="00EB19D9"/>
    <w:rsid w:val="00EB2287"/>
    <w:rsid w:val="00EB269D"/>
    <w:rsid w:val="00EB30E8"/>
    <w:rsid w:val="00EB33E3"/>
    <w:rsid w:val="00EB344E"/>
    <w:rsid w:val="00EB45D7"/>
    <w:rsid w:val="00EB47B3"/>
    <w:rsid w:val="00EB4926"/>
    <w:rsid w:val="00EB4B58"/>
    <w:rsid w:val="00EB4E5F"/>
    <w:rsid w:val="00EB5181"/>
    <w:rsid w:val="00EB5197"/>
    <w:rsid w:val="00EB5629"/>
    <w:rsid w:val="00EB5734"/>
    <w:rsid w:val="00EB5FF4"/>
    <w:rsid w:val="00EB74DE"/>
    <w:rsid w:val="00EB75EB"/>
    <w:rsid w:val="00EB7605"/>
    <w:rsid w:val="00EB76CB"/>
    <w:rsid w:val="00EC089D"/>
    <w:rsid w:val="00EC0DD3"/>
    <w:rsid w:val="00EC101A"/>
    <w:rsid w:val="00EC10C0"/>
    <w:rsid w:val="00EC1394"/>
    <w:rsid w:val="00EC1CB7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552D"/>
    <w:rsid w:val="00EC5B93"/>
    <w:rsid w:val="00EC774B"/>
    <w:rsid w:val="00ED0A53"/>
    <w:rsid w:val="00ED13EB"/>
    <w:rsid w:val="00ED1462"/>
    <w:rsid w:val="00ED14A1"/>
    <w:rsid w:val="00ED17FA"/>
    <w:rsid w:val="00ED1856"/>
    <w:rsid w:val="00ED1BCA"/>
    <w:rsid w:val="00ED2324"/>
    <w:rsid w:val="00ED24B6"/>
    <w:rsid w:val="00ED25D2"/>
    <w:rsid w:val="00ED35C0"/>
    <w:rsid w:val="00ED3F38"/>
    <w:rsid w:val="00ED4124"/>
    <w:rsid w:val="00ED5030"/>
    <w:rsid w:val="00ED547D"/>
    <w:rsid w:val="00ED596C"/>
    <w:rsid w:val="00ED5ACF"/>
    <w:rsid w:val="00EE0174"/>
    <w:rsid w:val="00EE01D1"/>
    <w:rsid w:val="00EE083C"/>
    <w:rsid w:val="00EE0D6A"/>
    <w:rsid w:val="00EE12E9"/>
    <w:rsid w:val="00EE13A7"/>
    <w:rsid w:val="00EE234A"/>
    <w:rsid w:val="00EE2B55"/>
    <w:rsid w:val="00EE3341"/>
    <w:rsid w:val="00EE3445"/>
    <w:rsid w:val="00EE4436"/>
    <w:rsid w:val="00EE4BBE"/>
    <w:rsid w:val="00EE546C"/>
    <w:rsid w:val="00EE563D"/>
    <w:rsid w:val="00EE5DFC"/>
    <w:rsid w:val="00EE60E7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3393"/>
    <w:rsid w:val="00EF3C6A"/>
    <w:rsid w:val="00EF3F1A"/>
    <w:rsid w:val="00EF463E"/>
    <w:rsid w:val="00EF541D"/>
    <w:rsid w:val="00EF54F2"/>
    <w:rsid w:val="00EF571F"/>
    <w:rsid w:val="00EF579C"/>
    <w:rsid w:val="00EF57BB"/>
    <w:rsid w:val="00EF585C"/>
    <w:rsid w:val="00EF5B95"/>
    <w:rsid w:val="00EF60B7"/>
    <w:rsid w:val="00EF613D"/>
    <w:rsid w:val="00F00922"/>
    <w:rsid w:val="00F0102C"/>
    <w:rsid w:val="00F0106B"/>
    <w:rsid w:val="00F0137B"/>
    <w:rsid w:val="00F0139C"/>
    <w:rsid w:val="00F01A26"/>
    <w:rsid w:val="00F020E1"/>
    <w:rsid w:val="00F0221D"/>
    <w:rsid w:val="00F027B1"/>
    <w:rsid w:val="00F02DE5"/>
    <w:rsid w:val="00F0324F"/>
    <w:rsid w:val="00F03AA2"/>
    <w:rsid w:val="00F043F9"/>
    <w:rsid w:val="00F04E02"/>
    <w:rsid w:val="00F05558"/>
    <w:rsid w:val="00F0595E"/>
    <w:rsid w:val="00F05A7B"/>
    <w:rsid w:val="00F06454"/>
    <w:rsid w:val="00F0681F"/>
    <w:rsid w:val="00F06CB2"/>
    <w:rsid w:val="00F06E72"/>
    <w:rsid w:val="00F07C8A"/>
    <w:rsid w:val="00F07D8B"/>
    <w:rsid w:val="00F104D0"/>
    <w:rsid w:val="00F10544"/>
    <w:rsid w:val="00F1077B"/>
    <w:rsid w:val="00F10840"/>
    <w:rsid w:val="00F116E1"/>
    <w:rsid w:val="00F11E4F"/>
    <w:rsid w:val="00F1272B"/>
    <w:rsid w:val="00F12C7E"/>
    <w:rsid w:val="00F13033"/>
    <w:rsid w:val="00F13232"/>
    <w:rsid w:val="00F132E7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5EC"/>
    <w:rsid w:val="00F22EE2"/>
    <w:rsid w:val="00F232DA"/>
    <w:rsid w:val="00F23613"/>
    <w:rsid w:val="00F24874"/>
    <w:rsid w:val="00F24980"/>
    <w:rsid w:val="00F24B20"/>
    <w:rsid w:val="00F24EF6"/>
    <w:rsid w:val="00F25470"/>
    <w:rsid w:val="00F25C36"/>
    <w:rsid w:val="00F26145"/>
    <w:rsid w:val="00F26345"/>
    <w:rsid w:val="00F2634C"/>
    <w:rsid w:val="00F264A6"/>
    <w:rsid w:val="00F26D6D"/>
    <w:rsid w:val="00F30616"/>
    <w:rsid w:val="00F319F9"/>
    <w:rsid w:val="00F32AF9"/>
    <w:rsid w:val="00F33B96"/>
    <w:rsid w:val="00F346B1"/>
    <w:rsid w:val="00F3484E"/>
    <w:rsid w:val="00F34E84"/>
    <w:rsid w:val="00F34FB3"/>
    <w:rsid w:val="00F35350"/>
    <w:rsid w:val="00F3594C"/>
    <w:rsid w:val="00F36323"/>
    <w:rsid w:val="00F36F16"/>
    <w:rsid w:val="00F37507"/>
    <w:rsid w:val="00F40042"/>
    <w:rsid w:val="00F415F2"/>
    <w:rsid w:val="00F42037"/>
    <w:rsid w:val="00F423F6"/>
    <w:rsid w:val="00F42415"/>
    <w:rsid w:val="00F424D3"/>
    <w:rsid w:val="00F4284C"/>
    <w:rsid w:val="00F443B0"/>
    <w:rsid w:val="00F444E7"/>
    <w:rsid w:val="00F447EA"/>
    <w:rsid w:val="00F44943"/>
    <w:rsid w:val="00F453DF"/>
    <w:rsid w:val="00F46462"/>
    <w:rsid w:val="00F4737E"/>
    <w:rsid w:val="00F47D5F"/>
    <w:rsid w:val="00F47E5F"/>
    <w:rsid w:val="00F50623"/>
    <w:rsid w:val="00F511EE"/>
    <w:rsid w:val="00F51D28"/>
    <w:rsid w:val="00F51DF3"/>
    <w:rsid w:val="00F51E4D"/>
    <w:rsid w:val="00F533F9"/>
    <w:rsid w:val="00F534EB"/>
    <w:rsid w:val="00F53867"/>
    <w:rsid w:val="00F539AC"/>
    <w:rsid w:val="00F53D94"/>
    <w:rsid w:val="00F5420D"/>
    <w:rsid w:val="00F54768"/>
    <w:rsid w:val="00F54ADC"/>
    <w:rsid w:val="00F553E8"/>
    <w:rsid w:val="00F55630"/>
    <w:rsid w:val="00F55AA3"/>
    <w:rsid w:val="00F55DFC"/>
    <w:rsid w:val="00F56C88"/>
    <w:rsid w:val="00F5757F"/>
    <w:rsid w:val="00F57BDA"/>
    <w:rsid w:val="00F57F43"/>
    <w:rsid w:val="00F60058"/>
    <w:rsid w:val="00F600E8"/>
    <w:rsid w:val="00F6066A"/>
    <w:rsid w:val="00F60688"/>
    <w:rsid w:val="00F6071E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0F5"/>
    <w:rsid w:val="00F64176"/>
    <w:rsid w:val="00F643C2"/>
    <w:rsid w:val="00F64A0B"/>
    <w:rsid w:val="00F6557B"/>
    <w:rsid w:val="00F666B5"/>
    <w:rsid w:val="00F66B92"/>
    <w:rsid w:val="00F6708D"/>
    <w:rsid w:val="00F67275"/>
    <w:rsid w:val="00F67E59"/>
    <w:rsid w:val="00F67EF9"/>
    <w:rsid w:val="00F70B36"/>
    <w:rsid w:val="00F713E2"/>
    <w:rsid w:val="00F7187B"/>
    <w:rsid w:val="00F718A4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609A"/>
    <w:rsid w:val="00F76924"/>
    <w:rsid w:val="00F76FD6"/>
    <w:rsid w:val="00F77293"/>
    <w:rsid w:val="00F77C33"/>
    <w:rsid w:val="00F77D71"/>
    <w:rsid w:val="00F808F0"/>
    <w:rsid w:val="00F80927"/>
    <w:rsid w:val="00F819E1"/>
    <w:rsid w:val="00F822A0"/>
    <w:rsid w:val="00F83A8B"/>
    <w:rsid w:val="00F83B2E"/>
    <w:rsid w:val="00F84099"/>
    <w:rsid w:val="00F8412E"/>
    <w:rsid w:val="00F843F7"/>
    <w:rsid w:val="00F8476D"/>
    <w:rsid w:val="00F85501"/>
    <w:rsid w:val="00F856DE"/>
    <w:rsid w:val="00F85851"/>
    <w:rsid w:val="00F86769"/>
    <w:rsid w:val="00F8676D"/>
    <w:rsid w:val="00F86C16"/>
    <w:rsid w:val="00F875DA"/>
    <w:rsid w:val="00F8763D"/>
    <w:rsid w:val="00F8798B"/>
    <w:rsid w:val="00F87A60"/>
    <w:rsid w:val="00F9034D"/>
    <w:rsid w:val="00F90624"/>
    <w:rsid w:val="00F907AF"/>
    <w:rsid w:val="00F90E09"/>
    <w:rsid w:val="00F91CBC"/>
    <w:rsid w:val="00F91E36"/>
    <w:rsid w:val="00F922ED"/>
    <w:rsid w:val="00F92A03"/>
    <w:rsid w:val="00F93A0A"/>
    <w:rsid w:val="00F94A71"/>
    <w:rsid w:val="00F94CCA"/>
    <w:rsid w:val="00F9535C"/>
    <w:rsid w:val="00F9576D"/>
    <w:rsid w:val="00F95780"/>
    <w:rsid w:val="00F95EFB"/>
    <w:rsid w:val="00F9624E"/>
    <w:rsid w:val="00F96923"/>
    <w:rsid w:val="00F96E26"/>
    <w:rsid w:val="00F970DB"/>
    <w:rsid w:val="00F97380"/>
    <w:rsid w:val="00F9766C"/>
    <w:rsid w:val="00F97A08"/>
    <w:rsid w:val="00FA008C"/>
    <w:rsid w:val="00FA0431"/>
    <w:rsid w:val="00FA0577"/>
    <w:rsid w:val="00FA086C"/>
    <w:rsid w:val="00FA0870"/>
    <w:rsid w:val="00FA0FFB"/>
    <w:rsid w:val="00FA1441"/>
    <w:rsid w:val="00FA14D6"/>
    <w:rsid w:val="00FA203F"/>
    <w:rsid w:val="00FA38A1"/>
    <w:rsid w:val="00FA3C01"/>
    <w:rsid w:val="00FA3D13"/>
    <w:rsid w:val="00FA3F41"/>
    <w:rsid w:val="00FA4A3B"/>
    <w:rsid w:val="00FA5783"/>
    <w:rsid w:val="00FA62C1"/>
    <w:rsid w:val="00FA6360"/>
    <w:rsid w:val="00FA6B17"/>
    <w:rsid w:val="00FA7860"/>
    <w:rsid w:val="00FB0060"/>
    <w:rsid w:val="00FB012F"/>
    <w:rsid w:val="00FB0A08"/>
    <w:rsid w:val="00FB0AD3"/>
    <w:rsid w:val="00FB0D58"/>
    <w:rsid w:val="00FB185F"/>
    <w:rsid w:val="00FB21EE"/>
    <w:rsid w:val="00FB2506"/>
    <w:rsid w:val="00FB306B"/>
    <w:rsid w:val="00FB3784"/>
    <w:rsid w:val="00FB50C2"/>
    <w:rsid w:val="00FB529D"/>
    <w:rsid w:val="00FB56C5"/>
    <w:rsid w:val="00FB57EF"/>
    <w:rsid w:val="00FB59E5"/>
    <w:rsid w:val="00FB59FA"/>
    <w:rsid w:val="00FB5FB0"/>
    <w:rsid w:val="00FB6B86"/>
    <w:rsid w:val="00FB6F0E"/>
    <w:rsid w:val="00FC06BF"/>
    <w:rsid w:val="00FC0AE4"/>
    <w:rsid w:val="00FC0E21"/>
    <w:rsid w:val="00FC1694"/>
    <w:rsid w:val="00FC1CF2"/>
    <w:rsid w:val="00FC2124"/>
    <w:rsid w:val="00FC2576"/>
    <w:rsid w:val="00FC2A8A"/>
    <w:rsid w:val="00FC2E45"/>
    <w:rsid w:val="00FC351E"/>
    <w:rsid w:val="00FC35DE"/>
    <w:rsid w:val="00FC4398"/>
    <w:rsid w:val="00FC44BC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982"/>
    <w:rsid w:val="00FC6E6C"/>
    <w:rsid w:val="00FC6E74"/>
    <w:rsid w:val="00FC7186"/>
    <w:rsid w:val="00FC742F"/>
    <w:rsid w:val="00FC7C89"/>
    <w:rsid w:val="00FD0917"/>
    <w:rsid w:val="00FD0F61"/>
    <w:rsid w:val="00FD1280"/>
    <w:rsid w:val="00FD143C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5094"/>
    <w:rsid w:val="00FD5F99"/>
    <w:rsid w:val="00FD764D"/>
    <w:rsid w:val="00FD7B35"/>
    <w:rsid w:val="00FD7C6C"/>
    <w:rsid w:val="00FD7CDC"/>
    <w:rsid w:val="00FD7F20"/>
    <w:rsid w:val="00FE01A6"/>
    <w:rsid w:val="00FE02F8"/>
    <w:rsid w:val="00FE0BA6"/>
    <w:rsid w:val="00FE0F46"/>
    <w:rsid w:val="00FE1445"/>
    <w:rsid w:val="00FE153E"/>
    <w:rsid w:val="00FE18EF"/>
    <w:rsid w:val="00FE1CE2"/>
    <w:rsid w:val="00FE1DFC"/>
    <w:rsid w:val="00FE235B"/>
    <w:rsid w:val="00FE27FE"/>
    <w:rsid w:val="00FE2852"/>
    <w:rsid w:val="00FE2F5F"/>
    <w:rsid w:val="00FE393B"/>
    <w:rsid w:val="00FE4608"/>
    <w:rsid w:val="00FE4826"/>
    <w:rsid w:val="00FE5DD2"/>
    <w:rsid w:val="00FE66DF"/>
    <w:rsid w:val="00FE6845"/>
    <w:rsid w:val="00FE6AD1"/>
    <w:rsid w:val="00FE78FD"/>
    <w:rsid w:val="00FE7BA2"/>
    <w:rsid w:val="00FE7D77"/>
    <w:rsid w:val="00FF0586"/>
    <w:rsid w:val="00FF09BD"/>
    <w:rsid w:val="00FF1744"/>
    <w:rsid w:val="00FF2265"/>
    <w:rsid w:val="00FF2CC4"/>
    <w:rsid w:val="00FF3496"/>
    <w:rsid w:val="00FF3CA1"/>
    <w:rsid w:val="00FF4177"/>
    <w:rsid w:val="00FF4675"/>
    <w:rsid w:val="00FF48C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03043"/>
  <w15:docId w15:val="{7852BEF1-67F8-4A31-A8EA-C0359A0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link w:val="TextoindependienteCar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character" w:customStyle="1" w:styleId="TextoindependienteCar">
    <w:name w:val="Texto independiente Car"/>
    <w:link w:val="Textoindependiente"/>
    <w:rsid w:val="003915CD"/>
    <w:rPr>
      <w:rFonts w:ascii="Arial" w:hAnsi="Arial" w:cs="Arial"/>
      <w:color w:val="0000FF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050B"/>
    <w:rPr>
      <w:color w:val="808080"/>
      <w:shd w:val="clear" w:color="auto" w:fill="E6E6E6"/>
    </w:rPr>
  </w:style>
  <w:style w:type="paragraph" w:customStyle="1" w:styleId="parr2">
    <w:name w:val="parr2"/>
    <w:basedOn w:val="Normal"/>
    <w:rsid w:val="0010647A"/>
    <w:pPr>
      <w:spacing w:before="600"/>
      <w:ind w:left="567" w:right="15"/>
    </w:pPr>
    <w:rPr>
      <w:rFonts w:cs="Times New Roman"/>
      <w:szCs w:val="20"/>
    </w:rPr>
  </w:style>
  <w:style w:type="character" w:styleId="Refdecomentario">
    <w:name w:val="annotation reference"/>
    <w:basedOn w:val="Fuentedeprrafopredeter"/>
    <w:semiHidden/>
    <w:unhideWhenUsed/>
    <w:rsid w:val="004E375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E3750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E3750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4E3750"/>
    <w:rPr>
      <w:rFonts w:ascii="Arial" w:hAnsi="Arial" w:cs="Arial"/>
      <w:sz w:val="24"/>
      <w:szCs w:val="24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594C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6B5F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3.xml"/><Relationship Id="rId21" Type="http://schemas.openxmlformats.org/officeDocument/2006/relationships/header" Target="header1.xml"/><Relationship Id="rId34" Type="http://schemas.openxmlformats.org/officeDocument/2006/relationships/hyperlink" Target="https://www.inegi.org.mx/programas/inpp/2019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header" Target="header3.xml"/><Relationship Id="rId33" Type="http://schemas.openxmlformats.org/officeDocument/2006/relationships/hyperlink" Target="https://www.inegi.org.mx/temas/inpp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www.inegi.org.mx/programas/inpp/2019/default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footer" Target="footer1.xml"/><Relationship Id="rId28" Type="http://schemas.openxmlformats.org/officeDocument/2006/relationships/chart" Target="charts/chart2.xml"/><Relationship Id="rId36" Type="http://schemas.openxmlformats.org/officeDocument/2006/relationships/footer" Target="footer4.xml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://www.inegi.org.mx/" TargetMode="External"/><Relationship Id="rId31" Type="http://schemas.openxmlformats.org/officeDocument/2006/relationships/hyperlink" Target="https://www.inegi.org.mx/temas/inpp/defaul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egi.org.mx/programas/inpp/2019/default.html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2.xml"/><Relationship Id="rId27" Type="http://schemas.openxmlformats.org/officeDocument/2006/relationships/chart" Target="charts/chart1.xml"/><Relationship Id="rId30" Type="http://schemas.openxmlformats.org/officeDocument/2006/relationships/chart" Target="charts/chart4.xml"/><Relationship Id="rId35" Type="http://schemas.openxmlformats.org/officeDocument/2006/relationships/header" Target="header4.xml"/><Relationship Id="rId8" Type="http://schemas.openxmlformats.org/officeDocument/2006/relationships/hyperlink" Target="https://www.inegi.org.mx/temas/inpp/default.html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P%20-%20mensual\3-%20Cuadros%20y%20gr&#225;ficas\INPP_Gr&#225;ficas%20-%20con%20petr&#243;le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P%20-%20mensual\3-%20Cuadros%20y%20gr&#225;ficas\INPP_Gr&#225;ficas%20-%20sin%20petr&#243;le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P%20-%20mensual\3-%20Cuadros%20y%20gr&#225;ficas\INPP_Gr&#225;ficas%20-%20con%20petr&#243;le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P%20-%20mensual\3-%20Cuadros%20y%20gr&#225;ficas\INPP_Gr&#225;ficas%20-%20sin%20petr&#243;le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898412698412692E-2"/>
          <c:y val="4.8670531508681961E-2"/>
          <c:w val="0.90638333333333332"/>
          <c:h val="0.81404978134061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con petroleo'!$U$76:$Z$76</c:f>
              <c:strCache>
                <c:ptCount val="6"/>
                <c:pt idx="0">
                  <c:v>Total</c:v>
                </c:pt>
              </c:strCache>
            </c:strRef>
          </c:tx>
          <c:spPr>
            <a:solidFill>
              <a:srgbClr val="8EB4E3"/>
            </a:solidFill>
            <a:ln w="6350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'Datos con petroleo'!$X$86:$Z$86</c:f>
              <c:numCache>
                <c:formatCode>0.00</c:formatCode>
                <c:ptCount val="3"/>
                <c:pt idx="0">
                  <c:v>4.9948342475664376</c:v>
                </c:pt>
                <c:pt idx="1">
                  <c:v>8.572498597946133</c:v>
                </c:pt>
                <c:pt idx="2">
                  <c:v>1.8791804448124338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40-4890-98A2-19029D2229FD}"/>
            </c:ext>
          </c:extLst>
        </c:ser>
        <c:ser>
          <c:idx val="1"/>
          <c:order val="1"/>
          <c:tx>
            <c:strRef>
              <c:f>'Datos con petroleo'!$AA$76:$AF$76</c:f>
              <c:strCache>
                <c:ptCount val="6"/>
                <c:pt idx="0">
                  <c:v>Actividades Primarias </c:v>
                </c:pt>
              </c:strCache>
            </c:strRef>
          </c:tx>
          <c:spPr>
            <a:pattFill prst="smCheck">
              <a:fgClr>
                <a:srgbClr val="B4CDE5"/>
              </a:fgClr>
              <a:bgClr>
                <a:srgbClr val="FFFFFF"/>
              </a:bgClr>
            </a:pattFill>
            <a:ln>
              <a:solidFill>
                <a:srgbClr val="8EB4E3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'Datos con petroleo'!$AD$86:$AF$86</c:f>
              <c:numCache>
                <c:formatCode>0.00</c:formatCode>
                <c:ptCount val="3"/>
                <c:pt idx="0">
                  <c:v>3.5012548385195741</c:v>
                </c:pt>
                <c:pt idx="1">
                  <c:v>2.7743056263141996</c:v>
                </c:pt>
                <c:pt idx="2">
                  <c:v>0.42285204417766842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40-4890-98A2-19029D2229FD}"/>
            </c:ext>
          </c:extLst>
        </c:ser>
        <c:ser>
          <c:idx val="2"/>
          <c:order val="2"/>
          <c:tx>
            <c:strRef>
              <c:f>'Datos con petroleo'!$AG$76:$AL$76</c:f>
              <c:strCache>
                <c:ptCount val="6"/>
                <c:pt idx="0">
                  <c:v>Actividades Secundarias</c:v>
                </c:pt>
              </c:strCache>
            </c:strRef>
          </c:tx>
          <c:spPr>
            <a:solidFill>
              <a:srgbClr val="37609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'Datos con petroleo'!$AJ$86:$AL$86</c:f>
              <c:numCache>
                <c:formatCode>0.00</c:formatCode>
                <c:ptCount val="3"/>
                <c:pt idx="0">
                  <c:v>5.7873766718991471</c:v>
                </c:pt>
                <c:pt idx="1">
                  <c:v>11.536208298271688</c:v>
                </c:pt>
                <c:pt idx="2">
                  <c:v>1.1814541898100606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40-4890-98A2-19029D2229FD}"/>
            </c:ext>
          </c:extLst>
        </c:ser>
        <c:ser>
          <c:idx val="3"/>
          <c:order val="3"/>
          <c:tx>
            <c:strRef>
              <c:f>'Datos con petroleo'!$AM$76:$AR$76</c:f>
              <c:strCache>
                <c:ptCount val="6"/>
                <c:pt idx="0">
                  <c:v>Actividades Terciarias</c:v>
                </c:pt>
              </c:strCache>
            </c:strRef>
          </c:tx>
          <c:spPr>
            <a:pattFill prst="dkUpDiag">
              <a:fgClr>
                <a:srgbClr val="4BACC6"/>
              </a:fgClr>
              <a:bgClr>
                <a:srgbClr val="FFFFFF"/>
              </a:bgClr>
            </a:pattFill>
            <a:ln w="3175">
              <a:solidFill>
                <a:srgbClr val="8EB4E3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'Datos con petroleo'!$AP$86:$AR$86</c:f>
              <c:numCache>
                <c:formatCode>0.00</c:formatCode>
                <c:ptCount val="3"/>
                <c:pt idx="0">
                  <c:v>3.8615650291550878</c:v>
                </c:pt>
                <c:pt idx="1">
                  <c:v>4.2681239431185531</c:v>
                </c:pt>
                <c:pt idx="2">
                  <c:v>3.5011527612343087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40-4890-98A2-19029D2229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6"/>
        <c:axId val="461797944"/>
        <c:axId val="461801864"/>
      </c:barChart>
      <c:catAx>
        <c:axId val="46179794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anchor="t" anchorCtr="1"/>
          <a:lstStyle/>
          <a:p>
            <a:pPr>
              <a:defRPr sz="800" b="1"/>
            </a:pPr>
            <a:endParaRPr lang="es-MX"/>
          </a:p>
        </c:txPr>
        <c:crossAx val="461801864"/>
        <c:crosses val="autoZero"/>
        <c:auto val="1"/>
        <c:lblAlgn val="ctr"/>
        <c:lblOffset val="100"/>
        <c:tickLblSkip val="1"/>
        <c:noMultiLvlLbl val="0"/>
      </c:catAx>
      <c:valAx>
        <c:axId val="461801864"/>
        <c:scaling>
          <c:orientation val="minMax"/>
          <c:max val="14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.0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</c:spPr>
        <c:txPr>
          <a:bodyPr/>
          <a:lstStyle/>
          <a:p>
            <a:pPr>
              <a:defRPr sz="700" b="1"/>
            </a:pPr>
            <a:endParaRPr lang="es-MX"/>
          </a:p>
        </c:txPr>
        <c:crossAx val="461797944"/>
        <c:crossesAt val="1"/>
        <c:crossBetween val="between"/>
        <c:majorUnit val="2"/>
      </c:valAx>
      <c:spPr>
        <a:noFill/>
        <a:ln w="6350">
          <a:noFill/>
        </a:ln>
      </c:spPr>
    </c:plotArea>
    <c:legend>
      <c:legendPos val="b"/>
      <c:layout>
        <c:manualLayout>
          <c:xMode val="edge"/>
          <c:yMode val="edge"/>
          <c:x val="5.1540476190476178E-2"/>
          <c:y val="0.93010416666666662"/>
          <c:w val="0.89187936507936505"/>
          <c:h val="6.56857075169319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ysClr val="windowText" lastClr="000000"/>
      </a:solidFill>
    </a:ln>
    <a:effectLst>
      <a:outerShdw dist="12700" dir="2700000" algn="tl" rotWithShape="0">
        <a:srgbClr val="000000"/>
      </a:outerShdw>
    </a:effectLst>
  </c:spPr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898412698412692E-2"/>
          <c:y val="4.8670531508681961E-2"/>
          <c:w val="0.90638333333333332"/>
          <c:h val="0.81404978134061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Datos!$U$76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8EB4E3"/>
            </a:solidFill>
            <a:ln w="6350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Datos!$X$77:$Z$77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Datos!$X$86:$Z$86</c:f>
              <c:numCache>
                <c:formatCode>0.00</c:formatCode>
                <c:ptCount val="3"/>
                <c:pt idx="0">
                  <c:v>4.5037549429892909</c:v>
                </c:pt>
                <c:pt idx="1">
                  <c:v>6.8619631335771647</c:v>
                </c:pt>
                <c:pt idx="2">
                  <c:v>2.8063402690218897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15-450E-8129-21471721569A}"/>
            </c:ext>
          </c:extLst>
        </c:ser>
        <c:ser>
          <c:idx val="1"/>
          <c:order val="1"/>
          <c:tx>
            <c:strRef>
              <c:f>Datos!$AA$76</c:f>
              <c:strCache>
                <c:ptCount val="1"/>
                <c:pt idx="0">
                  <c:v>Actividades Primarias </c:v>
                </c:pt>
              </c:strCache>
            </c:strRef>
          </c:tx>
          <c:spPr>
            <a:pattFill prst="smCheck">
              <a:fgClr>
                <a:srgbClr val="B4CDE5"/>
              </a:fgClr>
              <a:bgClr>
                <a:srgbClr val="FFFFFF"/>
              </a:bgClr>
            </a:pattFill>
            <a:ln>
              <a:solidFill>
                <a:srgbClr val="8EB4E3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Datos!$X$77:$Z$77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Datos!$AD$86:$AF$86</c:f>
              <c:numCache>
                <c:formatCode>0.00</c:formatCode>
                <c:ptCount val="3"/>
                <c:pt idx="0">
                  <c:v>3.5012548385195741</c:v>
                </c:pt>
                <c:pt idx="1">
                  <c:v>2.7743056263141996</c:v>
                </c:pt>
                <c:pt idx="2">
                  <c:v>0.42285204417766842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15-450E-8129-21471721569A}"/>
            </c:ext>
          </c:extLst>
        </c:ser>
        <c:ser>
          <c:idx val="2"/>
          <c:order val="2"/>
          <c:tx>
            <c:strRef>
              <c:f>Datos!$AG$76</c:f>
              <c:strCache>
                <c:ptCount val="1"/>
                <c:pt idx="0">
                  <c:v>Actividades Secundarias</c:v>
                </c:pt>
              </c:strCache>
            </c:strRef>
          </c:tx>
          <c:spPr>
            <a:solidFill>
              <a:srgbClr val="37609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Datos!$X$77:$Z$77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Datos!$AJ$86:$AL$86</c:f>
              <c:numCache>
                <c:formatCode>0.00</c:formatCode>
                <c:ptCount val="3"/>
                <c:pt idx="0">
                  <c:v>4.9931246302195254</c:v>
                </c:pt>
                <c:pt idx="1">
                  <c:v>8.8192963602186083</c:v>
                </c:pt>
                <c:pt idx="2">
                  <c:v>2.6495469392097792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15-450E-8129-21471721569A}"/>
            </c:ext>
          </c:extLst>
        </c:ser>
        <c:ser>
          <c:idx val="3"/>
          <c:order val="3"/>
          <c:tx>
            <c:strRef>
              <c:f>Datos!$AM$76</c:f>
              <c:strCache>
                <c:ptCount val="1"/>
                <c:pt idx="0">
                  <c:v>Actividades Terciarias</c:v>
                </c:pt>
              </c:strCache>
            </c:strRef>
          </c:tx>
          <c:spPr>
            <a:pattFill prst="dkUpDiag">
              <a:fgClr>
                <a:srgbClr val="4BACC6"/>
              </a:fgClr>
              <a:bgClr>
                <a:srgbClr val="FFFFFF"/>
              </a:bgClr>
            </a:pattFill>
            <a:ln w="3175">
              <a:solidFill>
                <a:srgbClr val="8EB4E3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Datos!$X$77:$Z$77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Datos!$AP$86:$AR$86</c:f>
              <c:numCache>
                <c:formatCode>0.00</c:formatCode>
                <c:ptCount val="3"/>
                <c:pt idx="0">
                  <c:v>3.8615650291550878</c:v>
                </c:pt>
                <c:pt idx="1">
                  <c:v>4.2681239431185531</c:v>
                </c:pt>
                <c:pt idx="2">
                  <c:v>3.5011527612343087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15-450E-8129-2147172156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6"/>
        <c:axId val="333851416"/>
        <c:axId val="333850240"/>
      </c:barChart>
      <c:catAx>
        <c:axId val="3338514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anchor="t" anchorCtr="1"/>
          <a:lstStyle/>
          <a:p>
            <a:pPr>
              <a:defRPr sz="800" b="1"/>
            </a:pPr>
            <a:endParaRPr lang="es-MX"/>
          </a:p>
        </c:txPr>
        <c:crossAx val="333850240"/>
        <c:crosses val="autoZero"/>
        <c:auto val="1"/>
        <c:lblAlgn val="ctr"/>
        <c:lblOffset val="100"/>
        <c:tickLblSkip val="1"/>
        <c:noMultiLvlLbl val="0"/>
      </c:catAx>
      <c:valAx>
        <c:axId val="333850240"/>
        <c:scaling>
          <c:orientation val="minMax"/>
          <c:max val="12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.0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</c:spPr>
        <c:txPr>
          <a:bodyPr/>
          <a:lstStyle/>
          <a:p>
            <a:pPr>
              <a:defRPr sz="700" b="1"/>
            </a:pPr>
            <a:endParaRPr lang="es-MX"/>
          </a:p>
        </c:txPr>
        <c:crossAx val="333851416"/>
        <c:crossesAt val="1"/>
        <c:crossBetween val="between"/>
        <c:majorUnit val="2"/>
      </c:valAx>
      <c:spPr>
        <a:noFill/>
        <a:ln w="6350">
          <a:noFill/>
        </a:ln>
      </c:spPr>
    </c:plotArea>
    <c:legend>
      <c:legendPos val="b"/>
      <c:layout>
        <c:manualLayout>
          <c:xMode val="edge"/>
          <c:yMode val="edge"/>
          <c:x val="5.1540476190476178E-2"/>
          <c:y val="0.93010416666666662"/>
          <c:w val="0.89187936507936505"/>
          <c:h val="6.56857075169319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ysClr val="windowText" lastClr="000000"/>
      </a:solidFill>
    </a:ln>
    <a:effectLst>
      <a:outerShdw dist="12700" dir="2700000" algn="tl" rotWithShape="0">
        <a:srgbClr val="000000"/>
      </a:outerShdw>
    </a:effectLst>
  </c:spPr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769642857142851E-2"/>
          <c:y val="4.8506944444444443E-2"/>
          <c:w val="0.8828732142857143"/>
          <c:h val="0.79411423611111132"/>
        </c:manualLayout>
      </c:layout>
      <c:lineChart>
        <c:grouping val="standard"/>
        <c:varyColors val="0"/>
        <c:ser>
          <c:idx val="0"/>
          <c:order val="0"/>
          <c:tx>
            <c:strRef>
              <c:f>'Datos con petroleo'!$O$5</c:f>
              <c:strCache>
                <c:ptCount val="1"/>
                <c:pt idx="0">
                  <c:v>Producción Total</c:v>
                </c:pt>
              </c:strCache>
            </c:strRef>
          </c:tx>
          <c:spPr>
            <a:ln w="25400">
              <a:solidFill>
                <a:srgbClr val="009E00"/>
              </a:solidFill>
            </a:ln>
          </c:spPr>
          <c:marker>
            <c:symbol val="none"/>
          </c:marker>
          <c:dLbls>
            <c:dLbl>
              <c:idx val="30"/>
              <c:layout>
                <c:manualLayout>
                  <c:x val="0.12851190476190458"/>
                  <c:y val="0.100838888888888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2C-4310-BD29-E849207CA9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con petroleo'!$A$62:$B$98</c:f>
              <c:multiLvlStrCache>
                <c:ptCount val="37"/>
                <c:lvl>
                  <c:pt idx="0">
                    <c:v>S</c:v>
                  </c:pt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E</c:v>
                  </c:pt>
                  <c:pt idx="5">
                    <c:v>F</c:v>
                  </c:pt>
                  <c:pt idx="6">
                    <c:v>M</c:v>
                  </c:pt>
                  <c:pt idx="7">
                    <c:v>A</c:v>
                  </c:pt>
                  <c:pt idx="8">
                    <c:v>M</c:v>
                  </c:pt>
                  <c:pt idx="9">
                    <c:v>J</c:v>
                  </c:pt>
                  <c:pt idx="10">
                    <c:v>J</c:v>
                  </c:pt>
                  <c:pt idx="11">
                    <c:v>A</c:v>
                  </c:pt>
                  <c:pt idx="12">
                    <c:v>S</c:v>
                  </c:pt>
                  <c:pt idx="13">
                    <c:v>O</c:v>
                  </c:pt>
                  <c:pt idx="14">
                    <c:v>N</c:v>
                  </c:pt>
                  <c:pt idx="15">
                    <c:v>D</c:v>
                  </c:pt>
                  <c:pt idx="16">
                    <c:v>E</c:v>
                  </c:pt>
                  <c:pt idx="17">
                    <c:v>F</c:v>
                  </c:pt>
                  <c:pt idx="18">
                    <c:v>M</c:v>
                  </c:pt>
                  <c:pt idx="19">
                    <c:v>A</c:v>
                  </c:pt>
                  <c:pt idx="20">
                    <c:v>M</c:v>
                  </c:pt>
                  <c:pt idx="21">
                    <c:v>J</c:v>
                  </c:pt>
                  <c:pt idx="22">
                    <c:v>J</c:v>
                  </c:pt>
                  <c:pt idx="23">
                    <c:v>A</c:v>
                  </c:pt>
                  <c:pt idx="24">
                    <c:v>S</c:v>
                  </c:pt>
                  <c:pt idx="25">
                    <c:v>O</c:v>
                  </c:pt>
                  <c:pt idx="26">
                    <c:v>N</c:v>
                  </c:pt>
                  <c:pt idx="27">
                    <c:v>D</c:v>
                  </c:pt>
                  <c:pt idx="28">
                    <c:v>E</c:v>
                  </c:pt>
                  <c:pt idx="29">
                    <c:v>F</c:v>
                  </c:pt>
                  <c:pt idx="30">
                    <c:v>M</c:v>
                  </c:pt>
                  <c:pt idx="31">
                    <c:v>A</c:v>
                  </c:pt>
                  <c:pt idx="32">
                    <c:v>M</c:v>
                  </c:pt>
                  <c:pt idx="33">
                    <c:v>J</c:v>
                  </c:pt>
                  <c:pt idx="34">
                    <c:v>J</c:v>
                  </c:pt>
                  <c:pt idx="35">
                    <c:v>A</c:v>
                  </c:pt>
                  <c:pt idx="36">
                    <c:v>S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'Datos con petroleo'!$O$62:$O$98</c:f>
              <c:numCache>
                <c:formatCode>0.00</c:formatCode>
                <c:ptCount val="37"/>
                <c:pt idx="0">
                  <c:v>6.6163753602791475</c:v>
                </c:pt>
                <c:pt idx="1">
                  <c:v>7.3087871271696025</c:v>
                </c:pt>
                <c:pt idx="2">
                  <c:v>8.5618339824378396</c:v>
                </c:pt>
                <c:pt idx="3">
                  <c:v>10.257238549358672</c:v>
                </c:pt>
                <c:pt idx="4">
                  <c:v>12.286609514477043</c:v>
                </c:pt>
                <c:pt idx="5">
                  <c:v>11.518060453046019</c:v>
                </c:pt>
                <c:pt idx="6">
                  <c:v>10.667918767953676</c:v>
                </c:pt>
                <c:pt idx="7">
                  <c:v>9.7337798595558578</c:v>
                </c:pt>
                <c:pt idx="8">
                  <c:v>8.5805320242017924</c:v>
                </c:pt>
                <c:pt idx="9">
                  <c:v>6.4703280224669202</c:v>
                </c:pt>
                <c:pt idx="10">
                  <c:v>6.0378080410000701</c:v>
                </c:pt>
                <c:pt idx="11">
                  <c:v>5.9533202604111102</c:v>
                </c:pt>
                <c:pt idx="12">
                  <c:v>4.9948342475664376</c:v>
                </c:pt>
                <c:pt idx="13">
                  <c:v>5.7286930776181411</c:v>
                </c:pt>
                <c:pt idx="14">
                  <c:v>6.0980795439947277</c:v>
                </c:pt>
                <c:pt idx="15">
                  <c:v>5.1668094672566278</c:v>
                </c:pt>
                <c:pt idx="16">
                  <c:v>3.840990413706491</c:v>
                </c:pt>
                <c:pt idx="17">
                  <c:v>3.7415447988429218</c:v>
                </c:pt>
                <c:pt idx="18">
                  <c:v>4.6323972709437333</c:v>
                </c:pt>
                <c:pt idx="19">
                  <c:v>5.044620571615277</c:v>
                </c:pt>
                <c:pt idx="20">
                  <c:v>6.9621551693526795</c:v>
                </c:pt>
                <c:pt idx="21">
                  <c:v>9.2199928547748389</c:v>
                </c:pt>
                <c:pt idx="22">
                  <c:v>8.4716707922138923</c:v>
                </c:pt>
                <c:pt idx="23">
                  <c:v>7.9092000088630821</c:v>
                </c:pt>
                <c:pt idx="24">
                  <c:v>8.572498597946133</c:v>
                </c:pt>
                <c:pt idx="25">
                  <c:v>7.9239068306109273</c:v>
                </c:pt>
                <c:pt idx="26">
                  <c:v>7.0925614940466675</c:v>
                </c:pt>
                <c:pt idx="27">
                  <c:v>6.1074298927414006</c:v>
                </c:pt>
                <c:pt idx="28">
                  <c:v>4.419080266336417</c:v>
                </c:pt>
                <c:pt idx="29">
                  <c:v>4.4825691107903687</c:v>
                </c:pt>
                <c:pt idx="30">
                  <c:v>4.337051767536737</c:v>
                </c:pt>
                <c:pt idx="31">
                  <c:v>4.8307753255338426</c:v>
                </c:pt>
                <c:pt idx="32">
                  <c:v>2.774343932636314</c:v>
                </c:pt>
                <c:pt idx="33">
                  <c:v>1.596632278213117</c:v>
                </c:pt>
                <c:pt idx="34">
                  <c:v>2.4862452528562784</c:v>
                </c:pt>
                <c:pt idx="35">
                  <c:v>1.9728454392069494</c:v>
                </c:pt>
                <c:pt idx="36">
                  <c:v>1.8791804448124338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2C-4310-BD29-E849207CA99B}"/>
            </c:ext>
          </c:extLst>
        </c:ser>
        <c:ser>
          <c:idx val="2"/>
          <c:order val="1"/>
          <c:tx>
            <c:strRef>
              <c:f>'Datos con petroleo'!$Q$5</c:f>
              <c:strCache>
                <c:ptCount val="1"/>
                <c:pt idx="0">
                  <c:v>Bienes Intermedios</c:v>
                </c:pt>
              </c:strCache>
            </c:strRef>
          </c:tx>
          <c:spPr>
            <a:ln w="15875">
              <a:solidFill>
                <a:srgbClr val="002060"/>
              </a:solidFill>
            </a:ln>
          </c:spPr>
          <c:marker>
            <c:symbol val="none"/>
          </c:marker>
          <c:dLbls>
            <c:dLbl>
              <c:idx val="30"/>
              <c:layout>
                <c:manualLayout>
                  <c:x val="0.12146202525994569"/>
                  <c:y val="0.187843174962695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-0.13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2C-4310-BD29-E849207CA9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con petroleo'!$A$62:$B$98</c:f>
              <c:multiLvlStrCache>
                <c:ptCount val="37"/>
                <c:lvl>
                  <c:pt idx="0">
                    <c:v>S</c:v>
                  </c:pt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E</c:v>
                  </c:pt>
                  <c:pt idx="5">
                    <c:v>F</c:v>
                  </c:pt>
                  <c:pt idx="6">
                    <c:v>M</c:v>
                  </c:pt>
                  <c:pt idx="7">
                    <c:v>A</c:v>
                  </c:pt>
                  <c:pt idx="8">
                    <c:v>M</c:v>
                  </c:pt>
                  <c:pt idx="9">
                    <c:v>J</c:v>
                  </c:pt>
                  <c:pt idx="10">
                    <c:v>J</c:v>
                  </c:pt>
                  <c:pt idx="11">
                    <c:v>A</c:v>
                  </c:pt>
                  <c:pt idx="12">
                    <c:v>S</c:v>
                  </c:pt>
                  <c:pt idx="13">
                    <c:v>O</c:v>
                  </c:pt>
                  <c:pt idx="14">
                    <c:v>N</c:v>
                  </c:pt>
                  <c:pt idx="15">
                    <c:v>D</c:v>
                  </c:pt>
                  <c:pt idx="16">
                    <c:v>E</c:v>
                  </c:pt>
                  <c:pt idx="17">
                    <c:v>F</c:v>
                  </c:pt>
                  <c:pt idx="18">
                    <c:v>M</c:v>
                  </c:pt>
                  <c:pt idx="19">
                    <c:v>A</c:v>
                  </c:pt>
                  <c:pt idx="20">
                    <c:v>M</c:v>
                  </c:pt>
                  <c:pt idx="21">
                    <c:v>J</c:v>
                  </c:pt>
                  <c:pt idx="22">
                    <c:v>J</c:v>
                  </c:pt>
                  <c:pt idx="23">
                    <c:v>A</c:v>
                  </c:pt>
                  <c:pt idx="24">
                    <c:v>S</c:v>
                  </c:pt>
                  <c:pt idx="25">
                    <c:v>O</c:v>
                  </c:pt>
                  <c:pt idx="26">
                    <c:v>N</c:v>
                  </c:pt>
                  <c:pt idx="27">
                    <c:v>D</c:v>
                  </c:pt>
                  <c:pt idx="28">
                    <c:v>E</c:v>
                  </c:pt>
                  <c:pt idx="29">
                    <c:v>F</c:v>
                  </c:pt>
                  <c:pt idx="30">
                    <c:v>M</c:v>
                  </c:pt>
                  <c:pt idx="31">
                    <c:v>A</c:v>
                  </c:pt>
                  <c:pt idx="32">
                    <c:v>M</c:v>
                  </c:pt>
                  <c:pt idx="33">
                    <c:v>J</c:v>
                  </c:pt>
                  <c:pt idx="34">
                    <c:v>J</c:v>
                  </c:pt>
                  <c:pt idx="35">
                    <c:v>A</c:v>
                  </c:pt>
                  <c:pt idx="36">
                    <c:v>S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'Datos con petroleo'!$Q$62:$Q$98</c:f>
              <c:numCache>
                <c:formatCode>0.00</c:formatCode>
                <c:ptCount val="37"/>
                <c:pt idx="0">
                  <c:v>7.130257852871158</c:v>
                </c:pt>
                <c:pt idx="1">
                  <c:v>8.5649410116569911</c:v>
                </c:pt>
                <c:pt idx="2">
                  <c:v>10.197557436535366</c:v>
                </c:pt>
                <c:pt idx="3">
                  <c:v>13.006015438717778</c:v>
                </c:pt>
                <c:pt idx="4">
                  <c:v>16.918244889742539</c:v>
                </c:pt>
                <c:pt idx="5">
                  <c:v>16.279473366368546</c:v>
                </c:pt>
                <c:pt idx="6">
                  <c:v>15.149407562341533</c:v>
                </c:pt>
                <c:pt idx="7">
                  <c:v>13.301023635123155</c:v>
                </c:pt>
                <c:pt idx="8">
                  <c:v>11.57754840199674</c:v>
                </c:pt>
                <c:pt idx="9">
                  <c:v>8.7303033643425287</c:v>
                </c:pt>
                <c:pt idx="10">
                  <c:v>7.9205378881244348</c:v>
                </c:pt>
                <c:pt idx="11">
                  <c:v>7.249297716728198</c:v>
                </c:pt>
                <c:pt idx="12">
                  <c:v>5.9678936249887515</c:v>
                </c:pt>
                <c:pt idx="13">
                  <c:v>6.4971177576627959</c:v>
                </c:pt>
                <c:pt idx="14">
                  <c:v>7.3917813079484196</c:v>
                </c:pt>
                <c:pt idx="15">
                  <c:v>6.3118424439045917</c:v>
                </c:pt>
                <c:pt idx="16">
                  <c:v>4.5440208057999198</c:v>
                </c:pt>
                <c:pt idx="17">
                  <c:v>4.540909573519647</c:v>
                </c:pt>
                <c:pt idx="18">
                  <c:v>5.2694084898562199</c:v>
                </c:pt>
                <c:pt idx="19">
                  <c:v>6.1436743298589835</c:v>
                </c:pt>
                <c:pt idx="20">
                  <c:v>8.9483560277742402</c:v>
                </c:pt>
                <c:pt idx="21">
                  <c:v>11.739315074347667</c:v>
                </c:pt>
                <c:pt idx="22">
                  <c:v>11.121879976276915</c:v>
                </c:pt>
                <c:pt idx="23">
                  <c:v>10.478532435439881</c:v>
                </c:pt>
                <c:pt idx="24">
                  <c:v>11.308714776852735</c:v>
                </c:pt>
                <c:pt idx="25">
                  <c:v>10.8342204987669</c:v>
                </c:pt>
                <c:pt idx="26">
                  <c:v>8.8840817437601416</c:v>
                </c:pt>
                <c:pt idx="27">
                  <c:v>6.9540594768320529</c:v>
                </c:pt>
                <c:pt idx="28">
                  <c:v>4.5654259852407897</c:v>
                </c:pt>
                <c:pt idx="29">
                  <c:v>4.4496815810660895</c:v>
                </c:pt>
                <c:pt idx="30">
                  <c:v>4.240177887432961</c:v>
                </c:pt>
                <c:pt idx="31">
                  <c:v>4.7964909359824226</c:v>
                </c:pt>
                <c:pt idx="32">
                  <c:v>2.1038903642890627</c:v>
                </c:pt>
                <c:pt idx="33">
                  <c:v>0.51586227177726762</c:v>
                </c:pt>
                <c:pt idx="34">
                  <c:v>1.6071335551087973</c:v>
                </c:pt>
                <c:pt idx="35">
                  <c:v>-0.13813061550654027</c:v>
                </c:pt>
                <c:pt idx="36">
                  <c:v>-0.13150189347165275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B2C-4310-BD29-E849207CA99B}"/>
            </c:ext>
          </c:extLst>
        </c:ser>
        <c:ser>
          <c:idx val="1"/>
          <c:order val="2"/>
          <c:tx>
            <c:strRef>
              <c:f>'Datos con petroleo'!$P$5</c:f>
              <c:strCache>
                <c:ptCount val="1"/>
                <c:pt idx="0">
                  <c:v>Bienes Finales</c:v>
                </c:pt>
              </c:strCache>
            </c:strRef>
          </c:tx>
          <c:spPr>
            <a:ln w="15875">
              <a:solidFill>
                <a:srgbClr val="FF0000"/>
              </a:solidFill>
              <a:prstDash val="sysDash"/>
            </a:ln>
          </c:spPr>
          <c:marker>
            <c:symbol val="none"/>
          </c:marker>
          <c:dLbls>
            <c:dLbl>
              <c:idx val="30"/>
              <c:layout>
                <c:manualLayout>
                  <c:x val="0.12851190476190458"/>
                  <c:y val="6.27590277777776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2.74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2C-4310-BD29-E849207CA9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con petroleo'!$A$62:$B$98</c:f>
              <c:multiLvlStrCache>
                <c:ptCount val="37"/>
                <c:lvl>
                  <c:pt idx="0">
                    <c:v>S</c:v>
                  </c:pt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E</c:v>
                  </c:pt>
                  <c:pt idx="5">
                    <c:v>F</c:v>
                  </c:pt>
                  <c:pt idx="6">
                    <c:v>M</c:v>
                  </c:pt>
                  <c:pt idx="7">
                    <c:v>A</c:v>
                  </c:pt>
                  <c:pt idx="8">
                    <c:v>M</c:v>
                  </c:pt>
                  <c:pt idx="9">
                    <c:v>J</c:v>
                  </c:pt>
                  <c:pt idx="10">
                    <c:v>J</c:v>
                  </c:pt>
                  <c:pt idx="11">
                    <c:v>A</c:v>
                  </c:pt>
                  <c:pt idx="12">
                    <c:v>S</c:v>
                  </c:pt>
                  <c:pt idx="13">
                    <c:v>O</c:v>
                  </c:pt>
                  <c:pt idx="14">
                    <c:v>N</c:v>
                  </c:pt>
                  <c:pt idx="15">
                    <c:v>D</c:v>
                  </c:pt>
                  <c:pt idx="16">
                    <c:v>E</c:v>
                  </c:pt>
                  <c:pt idx="17">
                    <c:v>F</c:v>
                  </c:pt>
                  <c:pt idx="18">
                    <c:v>M</c:v>
                  </c:pt>
                  <c:pt idx="19">
                    <c:v>A</c:v>
                  </c:pt>
                  <c:pt idx="20">
                    <c:v>M</c:v>
                  </c:pt>
                  <c:pt idx="21">
                    <c:v>J</c:v>
                  </c:pt>
                  <c:pt idx="22">
                    <c:v>J</c:v>
                  </c:pt>
                  <c:pt idx="23">
                    <c:v>A</c:v>
                  </c:pt>
                  <c:pt idx="24">
                    <c:v>S</c:v>
                  </c:pt>
                  <c:pt idx="25">
                    <c:v>O</c:v>
                  </c:pt>
                  <c:pt idx="26">
                    <c:v>N</c:v>
                  </c:pt>
                  <c:pt idx="27">
                    <c:v>D</c:v>
                  </c:pt>
                  <c:pt idx="28">
                    <c:v>E</c:v>
                  </c:pt>
                  <c:pt idx="29">
                    <c:v>F</c:v>
                  </c:pt>
                  <c:pt idx="30">
                    <c:v>M</c:v>
                  </c:pt>
                  <c:pt idx="31">
                    <c:v>A</c:v>
                  </c:pt>
                  <c:pt idx="32">
                    <c:v>M</c:v>
                  </c:pt>
                  <c:pt idx="33">
                    <c:v>J</c:v>
                  </c:pt>
                  <c:pt idx="34">
                    <c:v>J</c:v>
                  </c:pt>
                  <c:pt idx="35">
                    <c:v>A</c:v>
                  </c:pt>
                  <c:pt idx="36">
                    <c:v>S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'Datos con petroleo'!$P$62:$P$98</c:f>
              <c:numCache>
                <c:formatCode>0.00</c:formatCode>
                <c:ptCount val="37"/>
                <c:pt idx="0">
                  <c:v>6.3884532605996247</c:v>
                </c:pt>
                <c:pt idx="1">
                  <c:v>6.7553928936129992</c:v>
                </c:pt>
                <c:pt idx="2">
                  <c:v>7.8429436690192755</c:v>
                </c:pt>
                <c:pt idx="3">
                  <c:v>9.0613341478888998</c:v>
                </c:pt>
                <c:pt idx="4">
                  <c:v>10.287049491238376</c:v>
                </c:pt>
                <c:pt idx="5">
                  <c:v>9.4606855739568516</c:v>
                </c:pt>
                <c:pt idx="6">
                  <c:v>8.7202240091699643</c:v>
                </c:pt>
                <c:pt idx="7">
                  <c:v>8.1737038344906985</c:v>
                </c:pt>
                <c:pt idx="8">
                  <c:v>7.2631552469115013</c:v>
                </c:pt>
                <c:pt idx="9">
                  <c:v>5.4728310910095113</c:v>
                </c:pt>
                <c:pt idx="10">
                  <c:v>5.2056469065121069</c:v>
                </c:pt>
                <c:pt idx="11">
                  <c:v>5.3774965992936519</c:v>
                </c:pt>
                <c:pt idx="12">
                  <c:v>4.5602443638197654</c:v>
                </c:pt>
                <c:pt idx="13">
                  <c:v>5.3844280822366031</c:v>
                </c:pt>
                <c:pt idx="14">
                  <c:v>5.5170915528609088</c:v>
                </c:pt>
                <c:pt idx="15">
                  <c:v>4.6506240585978631</c:v>
                </c:pt>
                <c:pt idx="16">
                  <c:v>3.5192304885055536</c:v>
                </c:pt>
                <c:pt idx="17">
                  <c:v>3.3746280928233618</c:v>
                </c:pt>
                <c:pt idx="18">
                  <c:v>4.3391749471782592</c:v>
                </c:pt>
                <c:pt idx="19">
                  <c:v>4.5411848324441451</c:v>
                </c:pt>
                <c:pt idx="20">
                  <c:v>6.0539785870614038</c:v>
                </c:pt>
                <c:pt idx="21">
                  <c:v>8.0736841746789967</c:v>
                </c:pt>
                <c:pt idx="22">
                  <c:v>7.2700577716752202</c:v>
                </c:pt>
                <c:pt idx="23">
                  <c:v>6.7473262653212629</c:v>
                </c:pt>
                <c:pt idx="24">
                  <c:v>7.3339918159729844</c:v>
                </c:pt>
                <c:pt idx="25">
                  <c:v>6.6062789633634988</c:v>
                </c:pt>
                <c:pt idx="26">
                  <c:v>6.2737141570281985</c:v>
                </c:pt>
                <c:pt idx="27">
                  <c:v>5.7197074038845219</c:v>
                </c:pt>
                <c:pt idx="28">
                  <c:v>4.3514383288221437</c:v>
                </c:pt>
                <c:pt idx="29">
                  <c:v>4.4978351385388526</c:v>
                </c:pt>
                <c:pt idx="30">
                  <c:v>4.382041294763428</c:v>
                </c:pt>
                <c:pt idx="31">
                  <c:v>4.8467204615379789</c:v>
                </c:pt>
                <c:pt idx="32">
                  <c:v>3.0892706862374331</c:v>
                </c:pt>
                <c:pt idx="33">
                  <c:v>2.1050693349142779</c:v>
                </c:pt>
                <c:pt idx="34">
                  <c:v>2.8991497335263849</c:v>
                </c:pt>
                <c:pt idx="35">
                  <c:v>2.8603260694069803</c:v>
                </c:pt>
                <c:pt idx="36">
                  <c:v>2.7427981547228697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B2C-4310-BD29-E849207CA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1793240"/>
        <c:axId val="461792456"/>
      </c:lineChart>
      <c:valAx>
        <c:axId val="461792456"/>
        <c:scaling>
          <c:orientation val="minMax"/>
          <c:min val="-2"/>
        </c:scaling>
        <c:delete val="0"/>
        <c:axPos val="l"/>
        <c:numFmt formatCode="0.00" sourceLinked="1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es-MX"/>
          </a:p>
        </c:txPr>
        <c:crossAx val="461793240"/>
        <c:crossesAt val="1"/>
        <c:crossBetween val="midCat"/>
        <c:majorUnit val="2"/>
      </c:valAx>
      <c:catAx>
        <c:axId val="461793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 anchor="ctr" anchorCtr="0"/>
          <a:lstStyle/>
          <a:p>
            <a:pPr>
              <a:defRPr sz="700" b="1"/>
            </a:pPr>
            <a:endParaRPr lang="es-MX"/>
          </a:p>
        </c:txPr>
        <c:crossAx val="461792456"/>
        <c:crossesAt val="0"/>
        <c:auto val="1"/>
        <c:lblAlgn val="ctr"/>
        <c:lblOffset val="100"/>
        <c:tickLblSkip val="1"/>
        <c:tickMarkSkip val="1"/>
        <c:noMultiLvlLbl val="1"/>
      </c:catAx>
      <c:spPr>
        <a:noFill/>
        <a:ln w="3175">
          <a:noFill/>
        </a:ln>
      </c:spPr>
    </c:plotArea>
    <c:legend>
      <c:legendPos val="b"/>
      <c:layout>
        <c:manualLayout>
          <c:xMode val="edge"/>
          <c:yMode val="edge"/>
          <c:x val="6.7183730158730165E-2"/>
          <c:y val="0.93491266277289053"/>
          <c:w val="0.87920221746994454"/>
          <c:h val="6.318868965387804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  <a:scene3d>
      <a:camera prst="orthographicFront"/>
      <a:lightRig rig="threePt" dir="t"/>
    </a:scene3d>
    <a:sp3d>
      <a:bevelT w="0" h="0"/>
    </a:sp3d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769642857142851E-2"/>
          <c:y val="4.8506944444444443E-2"/>
          <c:w val="0.8828732142857143"/>
          <c:h val="0.79411423611111132"/>
        </c:manualLayout>
      </c:layout>
      <c:lineChart>
        <c:grouping val="standard"/>
        <c:varyColors val="0"/>
        <c:ser>
          <c:idx val="0"/>
          <c:order val="0"/>
          <c:tx>
            <c:strRef>
              <c:f>Datos!$O$5</c:f>
              <c:strCache>
                <c:ptCount val="1"/>
                <c:pt idx="0">
                  <c:v>Producción Total</c:v>
                </c:pt>
              </c:strCache>
            </c:strRef>
          </c:tx>
          <c:spPr>
            <a:ln w="25400">
              <a:solidFill>
                <a:srgbClr val="009E00"/>
              </a:solidFill>
            </a:ln>
          </c:spPr>
          <c:marker>
            <c:symbol val="none"/>
          </c:marker>
          <c:dLbls>
            <c:dLbl>
              <c:idx val="30"/>
              <c:layout>
                <c:manualLayout>
                  <c:x val="0.12851190476190458"/>
                  <c:y val="7.05135416666665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2.81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56-4B74-845F-6AC034D8E2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Datos!$A$62:$B$98</c:f>
              <c:multiLvlStrCache>
                <c:ptCount val="37"/>
                <c:lvl>
                  <c:pt idx="0">
                    <c:v>S</c:v>
                  </c:pt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E</c:v>
                  </c:pt>
                  <c:pt idx="5">
                    <c:v>F</c:v>
                  </c:pt>
                  <c:pt idx="6">
                    <c:v>M</c:v>
                  </c:pt>
                  <c:pt idx="7">
                    <c:v>A</c:v>
                  </c:pt>
                  <c:pt idx="8">
                    <c:v>M</c:v>
                  </c:pt>
                  <c:pt idx="9">
                    <c:v>J</c:v>
                  </c:pt>
                  <c:pt idx="10">
                    <c:v>J</c:v>
                  </c:pt>
                  <c:pt idx="11">
                    <c:v>A</c:v>
                  </c:pt>
                  <c:pt idx="12">
                    <c:v>S</c:v>
                  </c:pt>
                  <c:pt idx="13">
                    <c:v>O</c:v>
                  </c:pt>
                  <c:pt idx="14">
                    <c:v>N</c:v>
                  </c:pt>
                  <c:pt idx="15">
                    <c:v>D</c:v>
                  </c:pt>
                  <c:pt idx="16">
                    <c:v>E</c:v>
                  </c:pt>
                  <c:pt idx="17">
                    <c:v>F</c:v>
                  </c:pt>
                  <c:pt idx="18">
                    <c:v>M</c:v>
                  </c:pt>
                  <c:pt idx="19">
                    <c:v>A</c:v>
                  </c:pt>
                  <c:pt idx="20">
                    <c:v>M</c:v>
                  </c:pt>
                  <c:pt idx="21">
                    <c:v>J</c:v>
                  </c:pt>
                  <c:pt idx="22">
                    <c:v>J</c:v>
                  </c:pt>
                  <c:pt idx="23">
                    <c:v>A</c:v>
                  </c:pt>
                  <c:pt idx="24">
                    <c:v>S</c:v>
                  </c:pt>
                  <c:pt idx="25">
                    <c:v>O</c:v>
                  </c:pt>
                  <c:pt idx="26">
                    <c:v>N</c:v>
                  </c:pt>
                  <c:pt idx="27">
                    <c:v>D</c:v>
                  </c:pt>
                  <c:pt idx="28">
                    <c:v>E</c:v>
                  </c:pt>
                  <c:pt idx="29">
                    <c:v>F</c:v>
                  </c:pt>
                  <c:pt idx="30">
                    <c:v>M</c:v>
                  </c:pt>
                  <c:pt idx="31">
                    <c:v>A</c:v>
                  </c:pt>
                  <c:pt idx="32">
                    <c:v>M</c:v>
                  </c:pt>
                  <c:pt idx="33">
                    <c:v>J</c:v>
                  </c:pt>
                  <c:pt idx="34">
                    <c:v>J</c:v>
                  </c:pt>
                  <c:pt idx="35">
                    <c:v>A</c:v>
                  </c:pt>
                  <c:pt idx="36">
                    <c:v>S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Datos!$O$62:$O$98</c:f>
              <c:numCache>
                <c:formatCode>0.00</c:formatCode>
                <c:ptCount val="37"/>
                <c:pt idx="0">
                  <c:v>6.4012068525406862</c:v>
                </c:pt>
                <c:pt idx="1">
                  <c:v>6.7034941533350212</c:v>
                </c:pt>
                <c:pt idx="2">
                  <c:v>7.8709566363070582</c:v>
                </c:pt>
                <c:pt idx="3">
                  <c:v>8.5165557230048918</c:v>
                </c:pt>
                <c:pt idx="4">
                  <c:v>9.8100341040292314</c:v>
                </c:pt>
                <c:pt idx="5">
                  <c:v>9.4608135334111729</c:v>
                </c:pt>
                <c:pt idx="6">
                  <c:v>9.4462413475091331</c:v>
                </c:pt>
                <c:pt idx="7">
                  <c:v>8.745350294980847</c:v>
                </c:pt>
                <c:pt idx="8">
                  <c:v>8.0978855934011449</c:v>
                </c:pt>
                <c:pt idx="9">
                  <c:v>6.6859650093986867</c:v>
                </c:pt>
                <c:pt idx="10">
                  <c:v>5.9184617214572688</c:v>
                </c:pt>
                <c:pt idx="11">
                  <c:v>5.6350666823521856</c:v>
                </c:pt>
                <c:pt idx="12">
                  <c:v>4.5037549429892909</c:v>
                </c:pt>
                <c:pt idx="13">
                  <c:v>5.2701916473890442</c:v>
                </c:pt>
                <c:pt idx="14">
                  <c:v>5.1897286260099262</c:v>
                </c:pt>
                <c:pt idx="15">
                  <c:v>4.6516605207569395</c:v>
                </c:pt>
                <c:pt idx="16">
                  <c:v>3.3842611543253076</c:v>
                </c:pt>
                <c:pt idx="17">
                  <c:v>3.244388232949591</c:v>
                </c:pt>
                <c:pt idx="18">
                  <c:v>3.6442188606084391</c:v>
                </c:pt>
                <c:pt idx="19">
                  <c:v>4.0018522348189034</c:v>
                </c:pt>
                <c:pt idx="20">
                  <c:v>5.4102783526091658</c:v>
                </c:pt>
                <c:pt idx="21">
                  <c:v>6.9500101683630744</c:v>
                </c:pt>
                <c:pt idx="22">
                  <c:v>6.5149506404541535</c:v>
                </c:pt>
                <c:pt idx="23">
                  <c:v>6.3835929611872455</c:v>
                </c:pt>
                <c:pt idx="24">
                  <c:v>6.8619631335771647</c:v>
                </c:pt>
                <c:pt idx="25">
                  <c:v>6.260418033456383</c:v>
                </c:pt>
                <c:pt idx="26">
                  <c:v>6.5104336954171282</c:v>
                </c:pt>
                <c:pt idx="27">
                  <c:v>6.4177543560950401</c:v>
                </c:pt>
                <c:pt idx="28">
                  <c:v>4.9664301768570507</c:v>
                </c:pt>
                <c:pt idx="29">
                  <c:v>4.5225033336570464</c:v>
                </c:pt>
                <c:pt idx="30">
                  <c:v>4.2458260858870167</c:v>
                </c:pt>
                <c:pt idx="31">
                  <c:v>4.6264656425320627</c:v>
                </c:pt>
                <c:pt idx="32">
                  <c:v>3.177770306503902</c:v>
                </c:pt>
                <c:pt idx="33">
                  <c:v>2.4834305699526826</c:v>
                </c:pt>
                <c:pt idx="34">
                  <c:v>3.3825521798208191</c:v>
                </c:pt>
                <c:pt idx="35">
                  <c:v>2.8786621902315623</c:v>
                </c:pt>
                <c:pt idx="36">
                  <c:v>2.8063402690218897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56-4B74-845F-6AC034D8E237}"/>
            </c:ext>
          </c:extLst>
        </c:ser>
        <c:ser>
          <c:idx val="2"/>
          <c:order val="1"/>
          <c:tx>
            <c:strRef>
              <c:f>Datos!$Q$5</c:f>
              <c:strCache>
                <c:ptCount val="1"/>
                <c:pt idx="0">
                  <c:v>Bienes Intermedios</c:v>
                </c:pt>
              </c:strCache>
            </c:strRef>
          </c:tx>
          <c:spPr>
            <a:ln w="15875">
              <a:solidFill>
                <a:srgbClr val="002060"/>
              </a:solidFill>
            </a:ln>
          </c:spPr>
          <c:marker>
            <c:symbol val="none"/>
          </c:marker>
          <c:dLbls>
            <c:dLbl>
              <c:idx val="30"/>
              <c:layout>
                <c:manualLayout>
                  <c:x val="0.12851190476190458"/>
                  <c:y val="0.1565680555555553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56-4B74-845F-6AC034D8E2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Datos!$A$62:$B$98</c:f>
              <c:multiLvlStrCache>
                <c:ptCount val="37"/>
                <c:lvl>
                  <c:pt idx="0">
                    <c:v>S</c:v>
                  </c:pt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E</c:v>
                  </c:pt>
                  <c:pt idx="5">
                    <c:v>F</c:v>
                  </c:pt>
                  <c:pt idx="6">
                    <c:v>M</c:v>
                  </c:pt>
                  <c:pt idx="7">
                    <c:v>A</c:v>
                  </c:pt>
                  <c:pt idx="8">
                    <c:v>M</c:v>
                  </c:pt>
                  <c:pt idx="9">
                    <c:v>J</c:v>
                  </c:pt>
                  <c:pt idx="10">
                    <c:v>J</c:v>
                  </c:pt>
                  <c:pt idx="11">
                    <c:v>A</c:v>
                  </c:pt>
                  <c:pt idx="12">
                    <c:v>S</c:v>
                  </c:pt>
                  <c:pt idx="13">
                    <c:v>O</c:v>
                  </c:pt>
                  <c:pt idx="14">
                    <c:v>N</c:v>
                  </c:pt>
                  <c:pt idx="15">
                    <c:v>D</c:v>
                  </c:pt>
                  <c:pt idx="16">
                    <c:v>E</c:v>
                  </c:pt>
                  <c:pt idx="17">
                    <c:v>F</c:v>
                  </c:pt>
                  <c:pt idx="18">
                    <c:v>M</c:v>
                  </c:pt>
                  <c:pt idx="19">
                    <c:v>A</c:v>
                  </c:pt>
                  <c:pt idx="20">
                    <c:v>M</c:v>
                  </c:pt>
                  <c:pt idx="21">
                    <c:v>J</c:v>
                  </c:pt>
                  <c:pt idx="22">
                    <c:v>J</c:v>
                  </c:pt>
                  <c:pt idx="23">
                    <c:v>A</c:v>
                  </c:pt>
                  <c:pt idx="24">
                    <c:v>S</c:v>
                  </c:pt>
                  <c:pt idx="25">
                    <c:v>O</c:v>
                  </c:pt>
                  <c:pt idx="26">
                    <c:v>N</c:v>
                  </c:pt>
                  <c:pt idx="27">
                    <c:v>D</c:v>
                  </c:pt>
                  <c:pt idx="28">
                    <c:v>E</c:v>
                  </c:pt>
                  <c:pt idx="29">
                    <c:v>F</c:v>
                  </c:pt>
                  <c:pt idx="30">
                    <c:v>M</c:v>
                  </c:pt>
                  <c:pt idx="31">
                    <c:v>A</c:v>
                  </c:pt>
                  <c:pt idx="32">
                    <c:v>M</c:v>
                  </c:pt>
                  <c:pt idx="33">
                    <c:v>J</c:v>
                  </c:pt>
                  <c:pt idx="34">
                    <c:v>J</c:v>
                  </c:pt>
                  <c:pt idx="35">
                    <c:v>A</c:v>
                  </c:pt>
                  <c:pt idx="36">
                    <c:v>S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Datos!$Q$62:$Q$98</c:f>
              <c:numCache>
                <c:formatCode>0.00</c:formatCode>
                <c:ptCount val="37"/>
                <c:pt idx="0">
                  <c:v>6.8192957050944969</c:v>
                </c:pt>
                <c:pt idx="1">
                  <c:v>7.6747684085212153</c:v>
                </c:pt>
                <c:pt idx="2">
                  <c:v>9.1865387632506845</c:v>
                </c:pt>
                <c:pt idx="3">
                  <c:v>10.35824282849287</c:v>
                </c:pt>
                <c:pt idx="4">
                  <c:v>13.141995428328123</c:v>
                </c:pt>
                <c:pt idx="5">
                  <c:v>13.182026927074975</c:v>
                </c:pt>
                <c:pt idx="6">
                  <c:v>13.398623903712892</c:v>
                </c:pt>
                <c:pt idx="7">
                  <c:v>11.898725953847155</c:v>
                </c:pt>
                <c:pt idx="8">
                  <c:v>10.973924506137212</c:v>
                </c:pt>
                <c:pt idx="9">
                  <c:v>9.2023178143137763</c:v>
                </c:pt>
                <c:pt idx="10">
                  <c:v>7.8377009017398969</c:v>
                </c:pt>
                <c:pt idx="11">
                  <c:v>6.8209748244570267</c:v>
                </c:pt>
                <c:pt idx="12">
                  <c:v>5.2538489657075749</c:v>
                </c:pt>
                <c:pt idx="13">
                  <c:v>5.8267466963160208</c:v>
                </c:pt>
                <c:pt idx="14">
                  <c:v>6.0512284831571783</c:v>
                </c:pt>
                <c:pt idx="15">
                  <c:v>5.5835773013930501</c:v>
                </c:pt>
                <c:pt idx="16">
                  <c:v>3.8880198542921685</c:v>
                </c:pt>
                <c:pt idx="17">
                  <c:v>3.8282803662020193</c:v>
                </c:pt>
                <c:pt idx="18">
                  <c:v>3.793493145210225</c:v>
                </c:pt>
                <c:pt idx="19">
                  <c:v>4.6054555266126451</c:v>
                </c:pt>
                <c:pt idx="20">
                  <c:v>6.6772378583311864</c:v>
                </c:pt>
                <c:pt idx="21">
                  <c:v>8.3756986184380988</c:v>
                </c:pt>
                <c:pt idx="22">
                  <c:v>8.2453323866497286</c:v>
                </c:pt>
                <c:pt idx="23">
                  <c:v>8.2637240305153181</c:v>
                </c:pt>
                <c:pt idx="24">
                  <c:v>8.8243972048757549</c:v>
                </c:pt>
                <c:pt idx="25">
                  <c:v>8.4424958627623337</c:v>
                </c:pt>
                <c:pt idx="26">
                  <c:v>8.1117910542477958</c:v>
                </c:pt>
                <c:pt idx="27">
                  <c:v>7.4940061956914272</c:v>
                </c:pt>
                <c:pt idx="28">
                  <c:v>5.4169658895723005</c:v>
                </c:pt>
                <c:pt idx="29">
                  <c:v>4.5083632991009592</c:v>
                </c:pt>
                <c:pt idx="30">
                  <c:v>4.0936718990433274</c:v>
                </c:pt>
                <c:pt idx="31">
                  <c:v>4.481904026116279</c:v>
                </c:pt>
                <c:pt idx="32">
                  <c:v>2.6627627885813743</c:v>
                </c:pt>
                <c:pt idx="33">
                  <c:v>1.7713854832267506</c:v>
                </c:pt>
                <c:pt idx="34">
                  <c:v>2.8969011360327146</c:v>
                </c:pt>
                <c:pt idx="35">
                  <c:v>1.1597378044629236</c:v>
                </c:pt>
                <c:pt idx="36">
                  <c:v>1.129887400674856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756-4B74-845F-6AC034D8E237}"/>
            </c:ext>
          </c:extLst>
        </c:ser>
        <c:ser>
          <c:idx val="1"/>
          <c:order val="2"/>
          <c:tx>
            <c:strRef>
              <c:f>Datos!$P$5</c:f>
              <c:strCache>
                <c:ptCount val="1"/>
                <c:pt idx="0">
                  <c:v>Bienes Finales</c:v>
                </c:pt>
              </c:strCache>
            </c:strRef>
          </c:tx>
          <c:spPr>
            <a:ln w="15875">
              <a:solidFill>
                <a:srgbClr val="FF0000"/>
              </a:solidFill>
              <a:prstDash val="sysDash"/>
            </a:ln>
          </c:spPr>
          <c:marker>
            <c:symbol val="none"/>
          </c:marker>
          <c:dLbls>
            <c:dLbl>
              <c:idx val="30"/>
              <c:layout>
                <c:manualLayout>
                  <c:x val="0.12851190476190458"/>
                  <c:y val="4.09819444444443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56-4B74-845F-6AC034D8E2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Datos!$A$62:$B$98</c:f>
              <c:multiLvlStrCache>
                <c:ptCount val="37"/>
                <c:lvl>
                  <c:pt idx="0">
                    <c:v>S</c:v>
                  </c:pt>
                  <c:pt idx="1">
                    <c:v>O</c:v>
                  </c:pt>
                  <c:pt idx="2">
                    <c:v>N</c:v>
                  </c:pt>
                  <c:pt idx="3">
                    <c:v>D</c:v>
                  </c:pt>
                  <c:pt idx="4">
                    <c:v>E</c:v>
                  </c:pt>
                  <c:pt idx="5">
                    <c:v>F</c:v>
                  </c:pt>
                  <c:pt idx="6">
                    <c:v>M</c:v>
                  </c:pt>
                  <c:pt idx="7">
                    <c:v>A</c:v>
                  </c:pt>
                  <c:pt idx="8">
                    <c:v>M</c:v>
                  </c:pt>
                  <c:pt idx="9">
                    <c:v>J</c:v>
                  </c:pt>
                  <c:pt idx="10">
                    <c:v>J</c:v>
                  </c:pt>
                  <c:pt idx="11">
                    <c:v>A</c:v>
                  </c:pt>
                  <c:pt idx="12">
                    <c:v>S</c:v>
                  </c:pt>
                  <c:pt idx="13">
                    <c:v>O</c:v>
                  </c:pt>
                  <c:pt idx="14">
                    <c:v>N</c:v>
                  </c:pt>
                  <c:pt idx="15">
                    <c:v>D</c:v>
                  </c:pt>
                  <c:pt idx="16">
                    <c:v>E</c:v>
                  </c:pt>
                  <c:pt idx="17">
                    <c:v>F</c:v>
                  </c:pt>
                  <c:pt idx="18">
                    <c:v>M</c:v>
                  </c:pt>
                  <c:pt idx="19">
                    <c:v>A</c:v>
                  </c:pt>
                  <c:pt idx="20">
                    <c:v>M</c:v>
                  </c:pt>
                  <c:pt idx="21">
                    <c:v>J</c:v>
                  </c:pt>
                  <c:pt idx="22">
                    <c:v>J</c:v>
                  </c:pt>
                  <c:pt idx="23">
                    <c:v>A</c:v>
                  </c:pt>
                  <c:pt idx="24">
                    <c:v>S</c:v>
                  </c:pt>
                  <c:pt idx="25">
                    <c:v>O</c:v>
                  </c:pt>
                  <c:pt idx="26">
                    <c:v>N</c:v>
                  </c:pt>
                  <c:pt idx="27">
                    <c:v>D</c:v>
                  </c:pt>
                  <c:pt idx="28">
                    <c:v>E</c:v>
                  </c:pt>
                  <c:pt idx="29">
                    <c:v>F</c:v>
                  </c:pt>
                  <c:pt idx="30">
                    <c:v>M</c:v>
                  </c:pt>
                  <c:pt idx="31">
                    <c:v>A</c:v>
                  </c:pt>
                  <c:pt idx="32">
                    <c:v>M</c:v>
                  </c:pt>
                  <c:pt idx="33">
                    <c:v>J</c:v>
                  </c:pt>
                  <c:pt idx="34">
                    <c:v>J</c:v>
                  </c:pt>
                  <c:pt idx="35">
                    <c:v>A</c:v>
                  </c:pt>
                  <c:pt idx="36">
                    <c:v>S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Datos!$P$62:$P$98</c:f>
              <c:numCache>
                <c:formatCode>0.00</c:formatCode>
                <c:ptCount val="37"/>
                <c:pt idx="0">
                  <c:v>6.2205056489944788</c:v>
                </c:pt>
                <c:pt idx="1">
                  <c:v>6.2863699227762915</c:v>
                </c:pt>
                <c:pt idx="2">
                  <c:v>7.3066010525930203</c:v>
                </c:pt>
                <c:pt idx="3">
                  <c:v>7.7313747316192449</c:v>
                </c:pt>
                <c:pt idx="4">
                  <c:v>8.3970675308658205</c:v>
                </c:pt>
                <c:pt idx="5">
                  <c:v>7.8826512524279968</c:v>
                </c:pt>
                <c:pt idx="6">
                  <c:v>7.7647306640648228</c:v>
                </c:pt>
                <c:pt idx="7">
                  <c:v>7.3973654252823984</c:v>
                </c:pt>
                <c:pt idx="8">
                  <c:v>6.8669991157904064</c:v>
                </c:pt>
                <c:pt idx="9">
                  <c:v>5.6073260724050833</c:v>
                </c:pt>
                <c:pt idx="10">
                  <c:v>5.0935737359466104</c:v>
                </c:pt>
                <c:pt idx="11">
                  <c:v>5.1223128182178668</c:v>
                </c:pt>
                <c:pt idx="12">
                  <c:v>4.1777309911004146</c:v>
                </c:pt>
                <c:pt idx="13">
                  <c:v>5.0280508100512211</c:v>
                </c:pt>
                <c:pt idx="14">
                  <c:v>4.8136897623690666</c:v>
                </c:pt>
                <c:pt idx="15">
                  <c:v>4.2446612447127219</c:v>
                </c:pt>
                <c:pt idx="16">
                  <c:v>3.1612837805020222</c:v>
                </c:pt>
                <c:pt idx="17">
                  <c:v>2.9845963579837376</c:v>
                </c:pt>
                <c:pt idx="18">
                  <c:v>3.5773911178573314</c:v>
                </c:pt>
                <c:pt idx="19">
                  <c:v>3.7330131426473567</c:v>
                </c:pt>
                <c:pt idx="20">
                  <c:v>4.8472071616768586</c:v>
                </c:pt>
                <c:pt idx="21">
                  <c:v>6.3180830350319628</c:v>
                </c:pt>
                <c:pt idx="22">
                  <c:v>5.7518140773014315</c:v>
                </c:pt>
                <c:pt idx="23">
                  <c:v>5.557540466839872</c:v>
                </c:pt>
                <c:pt idx="24">
                  <c:v>6.0001919453575914</c:v>
                </c:pt>
                <c:pt idx="25">
                  <c:v>5.3038402515170668</c:v>
                </c:pt>
                <c:pt idx="26">
                  <c:v>5.8031991342321065</c:v>
                </c:pt>
                <c:pt idx="27">
                  <c:v>5.9416820029605244</c:v>
                </c:pt>
                <c:pt idx="28">
                  <c:v>4.765605910496995</c:v>
                </c:pt>
                <c:pt idx="29">
                  <c:v>4.5288462181249933</c:v>
                </c:pt>
                <c:pt idx="30">
                  <c:v>4.314085233606435</c:v>
                </c:pt>
                <c:pt idx="31">
                  <c:v>4.6913935128953366</c:v>
                </c:pt>
                <c:pt idx="32">
                  <c:v>3.4106486148775428</c:v>
                </c:pt>
                <c:pt idx="33">
                  <c:v>2.8051480354380542</c:v>
                </c:pt>
                <c:pt idx="34">
                  <c:v>3.6017852246094773</c:v>
                </c:pt>
                <c:pt idx="35">
                  <c:v>3.5690342385118701</c:v>
                </c:pt>
                <c:pt idx="36">
                  <c:v>3.4825490942514525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756-4B74-845F-6AC034D8E2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3845536"/>
        <c:axId val="333854552"/>
      </c:lineChart>
      <c:valAx>
        <c:axId val="333854552"/>
        <c:scaling>
          <c:orientation val="minMax"/>
          <c:max val="15"/>
          <c:min val="0"/>
        </c:scaling>
        <c:delete val="0"/>
        <c:axPos val="l"/>
        <c:numFmt formatCode="0.00" sourceLinked="1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es-MX"/>
          </a:p>
        </c:txPr>
        <c:crossAx val="333845536"/>
        <c:crossesAt val="1"/>
        <c:crossBetween val="midCat"/>
        <c:majorUnit val="2"/>
      </c:valAx>
      <c:catAx>
        <c:axId val="33384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ctr" anchorCtr="0"/>
          <a:lstStyle/>
          <a:p>
            <a:pPr>
              <a:defRPr sz="700" b="1"/>
            </a:pPr>
            <a:endParaRPr lang="es-MX"/>
          </a:p>
        </c:txPr>
        <c:crossAx val="333854552"/>
        <c:crossesAt val="0"/>
        <c:auto val="1"/>
        <c:lblAlgn val="ctr"/>
        <c:lblOffset val="100"/>
        <c:tickLblSkip val="1"/>
        <c:tickMarkSkip val="1"/>
        <c:noMultiLvlLbl val="1"/>
      </c:catAx>
      <c:spPr>
        <a:noFill/>
        <a:ln w="3175">
          <a:noFill/>
        </a:ln>
      </c:spPr>
    </c:plotArea>
    <c:legend>
      <c:legendPos val="b"/>
      <c:layout>
        <c:manualLayout>
          <c:xMode val="edge"/>
          <c:yMode val="edge"/>
          <c:x val="6.7183730158730165E-2"/>
          <c:y val="0.93491266277289053"/>
          <c:w val="0.87920221746994454"/>
          <c:h val="6.318868965387804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  <a:scene3d>
      <a:camera prst="orthographicFront"/>
      <a:lightRig rig="threePt" dir="t"/>
    </a:scene3d>
    <a:sp3d>
      <a:bevelT w="0" h="0"/>
    </a:sp3d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A3EC-C788-4E06-B928-340AFF80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277</TotalTime>
  <Pages>18</Pages>
  <Words>5381</Words>
  <Characters>29597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Índice Nacional de Precios Productor</vt:lpstr>
    </vt:vector>
  </TitlesOfParts>
  <Company>INEGI</Company>
  <LinksUpToDate>false</LinksUpToDate>
  <CharactersWithSpaces>34909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Nacional de Precios Productor</dc:title>
  <dc:creator>INEGI</dc:creator>
  <cp:keywords>PRECIOS PRODUCTOR INTERMEDIOS FINALES</cp:keywords>
  <cp:lastModifiedBy>SALA DE PRENSA</cp:lastModifiedBy>
  <cp:revision>29</cp:revision>
  <cp:lastPrinted>2019-10-07T15:04:00Z</cp:lastPrinted>
  <dcterms:created xsi:type="dcterms:W3CDTF">2019-10-07T13:49:00Z</dcterms:created>
  <dcterms:modified xsi:type="dcterms:W3CDTF">2019-10-08T23:04:00Z</dcterms:modified>
  <cp:category>INDICES DE PRECIOS</cp:category>
  <cp:version>1</cp:version>
</cp:coreProperties>
</file>