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721940"/>
    <w:p w14:paraId="6C46555A" w14:textId="77777777" w:rsidR="005E7CD4" w:rsidRDefault="005E7CD4" w:rsidP="005E7CD4">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4A4876C6" wp14:editId="5901590E">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0895DC7" w14:textId="77777777" w:rsidR="00871AAB" w:rsidRPr="00265B8C" w:rsidRDefault="00871AAB" w:rsidP="005E7CD4">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27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A4876C6"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0895DC7" w14:textId="77777777" w:rsidR="00871AAB" w:rsidRPr="00265B8C" w:rsidRDefault="00871AAB" w:rsidP="005E7CD4">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27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61454731" w14:textId="77777777" w:rsidR="005E7CD4" w:rsidRDefault="005E7CD4" w:rsidP="005E7CD4">
      <w:pPr>
        <w:pStyle w:val="Ttulo2"/>
        <w:keepNext w:val="0"/>
        <w:widowControl w:val="0"/>
        <w:spacing w:before="0"/>
        <w:jc w:val="center"/>
        <w:rPr>
          <w:rFonts w:ascii="Arial" w:hAnsi="Arial" w:cs="Arial"/>
          <w:b/>
          <w:color w:val="000000" w:themeColor="text1"/>
          <w:sz w:val="28"/>
          <w:szCs w:val="28"/>
        </w:rPr>
      </w:pPr>
    </w:p>
    <w:p w14:paraId="39C9196A" w14:textId="77777777" w:rsidR="005E7CD4" w:rsidRPr="00E17C58" w:rsidRDefault="005E7CD4" w:rsidP="005E7CD4">
      <w:pPr>
        <w:pStyle w:val="Ttulo"/>
        <w:contextualSpacing/>
        <w:rPr>
          <w:rFonts w:cs="Arial"/>
          <w:sz w:val="28"/>
          <w:szCs w:val="28"/>
        </w:rPr>
      </w:pPr>
      <w:r w:rsidRPr="00E17C58">
        <w:rPr>
          <w:rFonts w:cs="Arial"/>
          <w:sz w:val="28"/>
          <w:szCs w:val="28"/>
        </w:rPr>
        <w:t>INDICADORES DE OCUPACIÓN Y EMPLEO</w:t>
      </w:r>
    </w:p>
    <w:p w14:paraId="72E0BF96" w14:textId="77777777" w:rsidR="005E7CD4" w:rsidRPr="00F521DE" w:rsidRDefault="005E7CD4" w:rsidP="005E7CD4">
      <w:pPr>
        <w:pStyle w:val="Subttulo"/>
        <w:contextualSpacing/>
        <w:rPr>
          <w:color w:val="000000" w:themeColor="text1"/>
          <w:sz w:val="26"/>
          <w:szCs w:val="26"/>
        </w:rPr>
      </w:pPr>
      <w:r w:rsidRPr="00832574">
        <w:rPr>
          <w:sz w:val="26"/>
          <w:szCs w:val="26"/>
        </w:rPr>
        <w:t xml:space="preserve">CIFRAS OPORTUNAS </w:t>
      </w:r>
      <w:r w:rsidRPr="00832574">
        <w:rPr>
          <w:color w:val="000000" w:themeColor="text1"/>
          <w:sz w:val="26"/>
          <w:szCs w:val="26"/>
        </w:rPr>
        <w:t xml:space="preserve">DURANTE </w:t>
      </w:r>
      <w:r w:rsidRPr="00F521DE">
        <w:rPr>
          <w:color w:val="000000" w:themeColor="text1"/>
          <w:sz w:val="26"/>
          <w:szCs w:val="26"/>
        </w:rPr>
        <w:t>SEPTIEMBRE DE 2019</w:t>
      </w:r>
    </w:p>
    <w:p w14:paraId="3322D3A8" w14:textId="77777777" w:rsidR="005E7CD4" w:rsidRPr="0036559F" w:rsidRDefault="005E7CD4" w:rsidP="005E7CD4">
      <w:pPr>
        <w:pStyle w:val="Subttulo"/>
        <w:spacing w:before="60"/>
        <w:contextualSpacing/>
        <w:rPr>
          <w:i/>
        </w:rPr>
      </w:pPr>
      <w:r>
        <w:rPr>
          <w:i/>
        </w:rPr>
        <w:t xml:space="preserve"> </w:t>
      </w:r>
      <w:r w:rsidRPr="0036559F">
        <w:rPr>
          <w:i/>
        </w:rPr>
        <w:t xml:space="preserve"> (Cifras desestacionalizadas</w:t>
      </w:r>
      <w:r w:rsidRPr="0036559F">
        <w:rPr>
          <w:rStyle w:val="Refdenotaalpie"/>
          <w:spacing w:val="10"/>
        </w:rPr>
        <w:footnoteReference w:id="1"/>
      </w:r>
      <w:r w:rsidRPr="0036559F">
        <w:rPr>
          <w:i/>
        </w:rPr>
        <w:t>)</w:t>
      </w:r>
    </w:p>
    <w:p w14:paraId="5A1E98BD" w14:textId="77777777" w:rsidR="005E7CD4" w:rsidRPr="00FC0775" w:rsidRDefault="005E7CD4" w:rsidP="005E7CD4">
      <w:pPr>
        <w:pStyle w:val="Subttulo"/>
        <w:spacing w:before="60"/>
        <w:contextualSpacing/>
        <w:rPr>
          <w:i/>
          <w:sz w:val="16"/>
          <w:szCs w:val="16"/>
        </w:rPr>
      </w:pPr>
    </w:p>
    <w:p w14:paraId="62D67A27" w14:textId="77777777" w:rsidR="005E7CD4" w:rsidRPr="00B245BD" w:rsidRDefault="005E7CD4" w:rsidP="005E7CD4">
      <w:pPr>
        <w:pStyle w:val="Subttulo"/>
        <w:ind w:left="-709" w:right="-518"/>
        <w:jc w:val="both"/>
        <w:rPr>
          <w:b w:val="0"/>
          <w:spacing w:val="10"/>
        </w:rPr>
      </w:pPr>
      <w:r w:rsidRPr="00AA3C88">
        <w:rPr>
          <w:b w:val="0"/>
          <w:spacing w:val="10"/>
        </w:rPr>
        <w:t>El INEGI informa sobre los principales resultados de la Encuesta Nacional de Ocupación y Empleo (ENOE</w:t>
      </w:r>
      <w:r w:rsidRPr="00B245BD">
        <w:rPr>
          <w:b w:val="0"/>
          <w:spacing w:val="10"/>
        </w:rPr>
        <w:t>) para septiembre de 2019:</w:t>
      </w:r>
    </w:p>
    <w:p w14:paraId="59190ECC" w14:textId="77777777" w:rsidR="005E7CD4" w:rsidRPr="00B245BD" w:rsidRDefault="005E7CD4" w:rsidP="005E7CD4">
      <w:pPr>
        <w:pStyle w:val="Subttulo"/>
        <w:ind w:left="-709" w:right="-518"/>
        <w:jc w:val="both"/>
        <w:rPr>
          <w:b w:val="0"/>
          <w:color w:val="000000" w:themeColor="text1"/>
          <w:spacing w:val="10"/>
        </w:rPr>
      </w:pPr>
    </w:p>
    <w:p w14:paraId="31597FC7" w14:textId="77777777" w:rsidR="005E7CD4" w:rsidRPr="000A5364" w:rsidRDefault="005E7CD4" w:rsidP="005E7CD4">
      <w:pPr>
        <w:pStyle w:val="n0"/>
        <w:keepNext/>
        <w:numPr>
          <w:ilvl w:val="0"/>
          <w:numId w:val="24"/>
        </w:numPr>
        <w:spacing w:before="0"/>
        <w:ind w:left="-284" w:right="-547"/>
        <w:rPr>
          <w:b/>
          <w:color w:val="auto"/>
        </w:rPr>
      </w:pPr>
      <w:r w:rsidRPr="00662CC4">
        <w:rPr>
          <w:color w:val="auto"/>
        </w:rPr>
        <w:t xml:space="preserve">La </w:t>
      </w:r>
      <w:r w:rsidRPr="00E60607">
        <w:rPr>
          <w:color w:val="auto"/>
        </w:rPr>
        <w:t>Tasa de Desocupación (TD),</w:t>
      </w:r>
      <w:r w:rsidRPr="00662CC4">
        <w:rPr>
          <w:color w:val="auto"/>
        </w:rPr>
        <w:t xml:space="preserve"> que se refiere al porcentaje de la Población Económicamente Activa (PEA) que no trabajó siquiera una hora durante la semana de referencia de la </w:t>
      </w:r>
      <w:proofErr w:type="gramStart"/>
      <w:r w:rsidRPr="00662CC4">
        <w:rPr>
          <w:color w:val="auto"/>
        </w:rPr>
        <w:t>encuesta</w:t>
      </w:r>
      <w:proofErr w:type="gramEnd"/>
      <w:r w:rsidRPr="00662CC4">
        <w:rPr>
          <w:color w:val="auto"/>
        </w:rPr>
        <w:t xml:space="preserve"> pero manifestó su disposición para hacerlo e hizo alguna actividad por obtener empleo</w:t>
      </w:r>
      <w:r w:rsidRPr="00B245BD">
        <w:rPr>
          <w:color w:val="auto"/>
        </w:rPr>
        <w:t xml:space="preserve">, fue </w:t>
      </w:r>
      <w:r w:rsidRPr="00B245BD">
        <w:rPr>
          <w:color w:val="000000" w:themeColor="text1"/>
        </w:rPr>
        <w:t xml:space="preserve">de 3.5% </w:t>
      </w:r>
      <w:r w:rsidRPr="00B245BD">
        <w:rPr>
          <w:color w:val="auto"/>
        </w:rPr>
        <w:t>de la PEA a nivel nacional, proporción ligeramente inferior a la del mes previo</w:t>
      </w:r>
      <w:r w:rsidRPr="00B245BD">
        <w:rPr>
          <w:color w:val="000000" w:themeColor="text1"/>
        </w:rPr>
        <w:t xml:space="preserve">. </w:t>
      </w:r>
      <w:r w:rsidRPr="00B245BD">
        <w:rPr>
          <w:color w:val="auto"/>
        </w:rPr>
        <w:t xml:space="preserve">En su comparación anual, la TD registró un aumento durante septiembre del año en curso frente a la de igual mes de 2018 (3.5% vs 3.4%), con datos ajustados por estacionalidad. </w:t>
      </w:r>
      <w:r w:rsidRPr="00B245BD">
        <w:rPr>
          <w:color w:val="auto"/>
        </w:rPr>
        <w:tab/>
      </w:r>
      <w:r w:rsidRPr="000A5364">
        <w:rPr>
          <w:b/>
          <w:color w:val="auto"/>
        </w:rPr>
        <w:tab/>
      </w:r>
    </w:p>
    <w:p w14:paraId="5F5EFCD6" w14:textId="77777777" w:rsidR="005E7CD4" w:rsidRDefault="005E7CD4" w:rsidP="005E7CD4">
      <w:pPr>
        <w:pStyle w:val="n0"/>
        <w:keepLines w:val="0"/>
        <w:widowControl w:val="0"/>
        <w:spacing w:before="0"/>
        <w:ind w:left="0" w:right="0" w:firstLine="0"/>
        <w:jc w:val="center"/>
        <w:rPr>
          <w:b/>
          <w:smallCaps/>
          <w:color w:val="auto"/>
          <w:sz w:val="22"/>
        </w:rPr>
      </w:pPr>
    </w:p>
    <w:p w14:paraId="5A168777" w14:textId="77777777" w:rsidR="005E7CD4" w:rsidRPr="00A26B0B" w:rsidRDefault="005E7CD4" w:rsidP="005E7CD4">
      <w:pPr>
        <w:pStyle w:val="n0"/>
        <w:keepLines w:val="0"/>
        <w:widowControl w:val="0"/>
        <w:spacing w:before="0"/>
        <w:ind w:left="0" w:right="0" w:firstLine="0"/>
        <w:jc w:val="center"/>
        <w:rPr>
          <w:b/>
          <w:smallCaps/>
          <w:color w:val="auto"/>
          <w:sz w:val="22"/>
        </w:rPr>
      </w:pPr>
      <w:r w:rsidRPr="00A26B0B">
        <w:rPr>
          <w:b/>
          <w:smallCaps/>
          <w:color w:val="auto"/>
          <w:sz w:val="22"/>
        </w:rPr>
        <w:t xml:space="preserve">Tasa de desocupación nacional </w:t>
      </w:r>
      <w:r>
        <w:rPr>
          <w:b/>
          <w:smallCaps/>
          <w:color w:val="auto"/>
          <w:sz w:val="22"/>
        </w:rPr>
        <w:t>a septiembre</w:t>
      </w:r>
      <w:r w:rsidRPr="00A26B0B">
        <w:rPr>
          <w:b/>
          <w:smallCaps/>
          <w:color w:val="auto"/>
          <w:sz w:val="22"/>
        </w:rPr>
        <w:t xml:space="preserve"> de 2019</w:t>
      </w:r>
    </w:p>
    <w:p w14:paraId="2D57C563" w14:textId="77777777" w:rsidR="005E7CD4" w:rsidRPr="00A26B0B" w:rsidRDefault="005E7CD4" w:rsidP="005E7CD4">
      <w:pPr>
        <w:pStyle w:val="n0"/>
        <w:keepLines w:val="0"/>
        <w:widowControl w:val="0"/>
        <w:spacing w:before="0"/>
        <w:ind w:left="0" w:right="0" w:firstLine="0"/>
        <w:jc w:val="center"/>
        <w:rPr>
          <w:b/>
          <w:smallCaps/>
          <w:color w:val="auto"/>
          <w:sz w:val="22"/>
        </w:rPr>
      </w:pPr>
      <w:r w:rsidRPr="00A26B0B">
        <w:rPr>
          <w:b/>
          <w:smallCaps/>
          <w:color w:val="auto"/>
          <w:sz w:val="22"/>
        </w:rPr>
        <w:t>Series desestacionalizada y de tendencia-ciclo</w:t>
      </w:r>
    </w:p>
    <w:p w14:paraId="1B3C22AF" w14:textId="77777777" w:rsidR="005E7CD4" w:rsidRPr="00A26B0B" w:rsidRDefault="005E7CD4" w:rsidP="005E7CD4">
      <w:pPr>
        <w:pStyle w:val="n0"/>
        <w:keepLines w:val="0"/>
        <w:widowControl w:val="0"/>
        <w:spacing w:before="0"/>
        <w:ind w:left="0" w:right="0" w:firstLine="0"/>
        <w:jc w:val="center"/>
        <w:rPr>
          <w:color w:val="auto"/>
          <w:sz w:val="20"/>
        </w:rPr>
      </w:pPr>
      <w:r w:rsidRPr="00A26B0B">
        <w:rPr>
          <w:color w:val="auto"/>
          <w:sz w:val="20"/>
        </w:rPr>
        <w:t>(</w:t>
      </w:r>
      <w:r w:rsidRPr="00A26B0B">
        <w:rPr>
          <w:color w:val="auto"/>
          <w:sz w:val="18"/>
          <w:szCs w:val="18"/>
        </w:rPr>
        <w:t>Porcentaje de la PEA</w:t>
      </w:r>
      <w:r w:rsidRPr="00A26B0B">
        <w:rPr>
          <w:color w:val="auto"/>
          <w:sz w:val="20"/>
        </w:rPr>
        <w:t>)</w:t>
      </w:r>
    </w:p>
    <w:p w14:paraId="6D0B647F" w14:textId="77777777" w:rsidR="005E7CD4" w:rsidRPr="00A26B0B" w:rsidRDefault="005E7CD4" w:rsidP="005E7CD4">
      <w:pPr>
        <w:pStyle w:val="p0"/>
        <w:keepLines w:val="0"/>
        <w:spacing w:before="0"/>
        <w:jc w:val="center"/>
        <w:rPr>
          <w:rFonts w:ascii="Arial" w:hAnsi="Arial"/>
          <w:i/>
          <w:color w:val="auto"/>
          <w:lang w:val="es-MX"/>
        </w:rPr>
      </w:pPr>
      <w:r>
        <w:rPr>
          <w:noProof/>
          <w:lang w:val="es-MX" w:eastAsia="es-MX"/>
        </w:rPr>
        <w:drawing>
          <wp:inline distT="0" distB="0" distL="0" distR="0" wp14:anchorId="23C240BC" wp14:editId="6E3A2D2F">
            <wp:extent cx="4320000" cy="2528908"/>
            <wp:effectExtent l="0" t="0" r="23495" b="24130"/>
            <wp:docPr id="10" name="Gráfico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1B3C91" w14:textId="77777777" w:rsidR="005E7CD4" w:rsidRPr="00A26B0B" w:rsidRDefault="005E7CD4" w:rsidP="005E7CD4">
      <w:pPr>
        <w:pStyle w:val="n0"/>
        <w:keepLines w:val="0"/>
        <w:widowControl w:val="0"/>
        <w:spacing w:before="20"/>
        <w:ind w:left="434" w:right="10" w:firstLine="966"/>
        <w:jc w:val="left"/>
        <w:rPr>
          <w:color w:val="auto"/>
          <w:sz w:val="16"/>
          <w:szCs w:val="16"/>
        </w:rPr>
      </w:pPr>
      <w:r w:rsidRPr="00A26B0B">
        <w:rPr>
          <w:color w:val="auto"/>
          <w:sz w:val="16"/>
          <w:szCs w:val="16"/>
        </w:rPr>
        <w:t>Fuente: INEGI.</w:t>
      </w:r>
    </w:p>
    <w:p w14:paraId="54EF7E2F" w14:textId="77777777" w:rsidR="005E7CD4" w:rsidRPr="00AA63A0" w:rsidRDefault="005E7CD4" w:rsidP="005E7CD4">
      <w:pPr>
        <w:pStyle w:val="n0"/>
        <w:keepNext/>
        <w:spacing w:before="0"/>
        <w:ind w:left="0" w:right="0" w:firstLine="0"/>
        <w:jc w:val="center"/>
        <w:rPr>
          <w:b/>
          <w:smallCaps/>
          <w:color w:val="auto"/>
          <w:sz w:val="8"/>
          <w:szCs w:val="8"/>
        </w:rPr>
      </w:pPr>
    </w:p>
    <w:p w14:paraId="02C8C66A" w14:textId="77777777" w:rsidR="005E7CD4" w:rsidRPr="00871AAB" w:rsidRDefault="005E7CD4" w:rsidP="005E7CD4">
      <w:pPr>
        <w:pStyle w:val="n0"/>
        <w:keepLines w:val="0"/>
        <w:widowControl w:val="0"/>
        <w:numPr>
          <w:ilvl w:val="0"/>
          <w:numId w:val="23"/>
        </w:numPr>
        <w:spacing w:before="360"/>
        <w:ind w:left="-284" w:right="-518" w:hanging="283"/>
        <w:rPr>
          <w:color w:val="000000" w:themeColor="text1"/>
          <w:lang w:val="es-MX"/>
        </w:rPr>
      </w:pPr>
      <w:r w:rsidRPr="00871AAB">
        <w:rPr>
          <w:color w:val="000000" w:themeColor="text1"/>
          <w:lang w:val="es-ES"/>
        </w:rPr>
        <w:t xml:space="preserve">La Tasa de Subocupación (referida al porcentaje de la población ocupada que tiene la necesidad y disponibilidad de ofertar más tiempo de trabajo de lo que su ocupación actual le demanda) representó el 7.8 </w:t>
      </w:r>
      <w:r w:rsidRPr="00871AAB">
        <w:rPr>
          <w:color w:val="000000" w:themeColor="text1"/>
        </w:rPr>
        <w:t xml:space="preserve">por ciento. </w:t>
      </w:r>
      <w:r w:rsidRPr="00871AAB">
        <w:rPr>
          <w:color w:val="000000" w:themeColor="text1"/>
          <w:spacing w:val="10"/>
        </w:rPr>
        <w:t xml:space="preserve">En su comparación anual, esta tasa fue mayor a la del mismo mes de 2018 que se ubicó en 6.7 por ciento. </w:t>
      </w:r>
    </w:p>
    <w:p w14:paraId="6B709537" w14:textId="77777777" w:rsidR="005E7CD4" w:rsidRPr="00B245BD" w:rsidRDefault="005E7CD4" w:rsidP="005E7CD4">
      <w:pPr>
        <w:pStyle w:val="n0"/>
        <w:keepLines w:val="0"/>
        <w:widowControl w:val="0"/>
        <w:spacing w:before="480"/>
        <w:ind w:left="-284" w:right="-516" w:firstLine="0"/>
        <w:contextualSpacing/>
        <w:rPr>
          <w:color w:val="000000" w:themeColor="text1"/>
        </w:rPr>
      </w:pPr>
    </w:p>
    <w:p w14:paraId="59194E7A" w14:textId="77777777" w:rsidR="005E7CD4" w:rsidRDefault="005E7CD4" w:rsidP="005E7CD4">
      <w:pPr>
        <w:pStyle w:val="n0"/>
        <w:keepLines w:val="0"/>
        <w:widowControl w:val="0"/>
        <w:spacing w:before="480"/>
        <w:ind w:left="-352" w:right="-516" w:firstLine="0"/>
        <w:contextualSpacing/>
        <w:rPr>
          <w:color w:val="000000" w:themeColor="text1"/>
        </w:rPr>
      </w:pPr>
    </w:p>
    <w:p w14:paraId="3AE473AA" w14:textId="77777777" w:rsidR="005E7CD4" w:rsidRPr="00871AAB" w:rsidRDefault="005E7CD4" w:rsidP="005E7CD4">
      <w:pPr>
        <w:pStyle w:val="n0"/>
        <w:keepLines w:val="0"/>
        <w:widowControl w:val="0"/>
        <w:spacing w:before="480"/>
        <w:ind w:left="-352" w:right="-516" w:firstLine="0"/>
        <w:contextualSpacing/>
        <w:rPr>
          <w:color w:val="000000" w:themeColor="text1"/>
        </w:rPr>
      </w:pPr>
    </w:p>
    <w:p w14:paraId="69361653" w14:textId="77777777" w:rsidR="005E7CD4" w:rsidRPr="00871AAB" w:rsidRDefault="005E7CD4" w:rsidP="005E7CD4">
      <w:pPr>
        <w:pStyle w:val="n0"/>
        <w:keepLines w:val="0"/>
        <w:widowControl w:val="0"/>
        <w:numPr>
          <w:ilvl w:val="0"/>
          <w:numId w:val="23"/>
        </w:numPr>
        <w:spacing w:before="480"/>
        <w:ind w:left="5" w:right="-516" w:hanging="357"/>
        <w:contextualSpacing/>
        <w:rPr>
          <w:color w:val="000000" w:themeColor="text1"/>
        </w:rPr>
      </w:pPr>
      <w:r w:rsidRPr="00871AAB">
        <w:rPr>
          <w:color w:val="000000" w:themeColor="text1"/>
        </w:rPr>
        <w:t xml:space="preserve">La Tasa de Informalidad Laboral 1 </w:t>
      </w:r>
      <w:r w:rsidRPr="00871AAB">
        <w:rPr>
          <w:color w:val="000000" w:themeColor="text1"/>
          <w:spacing w:val="10"/>
        </w:rPr>
        <w:t xml:space="preserve">(proporción de la población ocupada que es laboralmente vulnerable por la naturaleza de la unidad económica para la que trabaja, con aquellos cuyo vínculo o dependencia laboral no es reconocido por su fuente de trabajo) fue de </w:t>
      </w:r>
      <w:r w:rsidRPr="00871AAB">
        <w:rPr>
          <w:color w:val="000000" w:themeColor="text1"/>
        </w:rPr>
        <w:t>56.7 en septiembre de este año, cifra superior a la de agosto pasado, y mayor en 0.1 puntos respecto a la de igual mes de 2018.</w:t>
      </w:r>
    </w:p>
    <w:p w14:paraId="5B0358A0" w14:textId="77777777" w:rsidR="005E7CD4" w:rsidRPr="00871AAB" w:rsidRDefault="005E7CD4" w:rsidP="005E7CD4">
      <w:pPr>
        <w:pStyle w:val="n0"/>
        <w:keepLines w:val="0"/>
        <w:widowControl w:val="0"/>
        <w:spacing w:before="480"/>
        <w:ind w:left="-352" w:right="-516" w:firstLine="0"/>
        <w:contextualSpacing/>
        <w:rPr>
          <w:b/>
          <w:color w:val="000000" w:themeColor="text1"/>
        </w:rPr>
      </w:pPr>
      <w:r w:rsidRPr="00871AAB">
        <w:rPr>
          <w:b/>
          <w:color w:val="000000" w:themeColor="text1"/>
        </w:rPr>
        <w:t xml:space="preserve"> </w:t>
      </w:r>
    </w:p>
    <w:p w14:paraId="2A6BD03D" w14:textId="01A2278A" w:rsidR="005E7CD4" w:rsidRPr="00871AAB" w:rsidRDefault="005E7CD4" w:rsidP="005E7CD4">
      <w:pPr>
        <w:pStyle w:val="n0"/>
        <w:keepLines w:val="0"/>
        <w:widowControl w:val="0"/>
        <w:numPr>
          <w:ilvl w:val="0"/>
          <w:numId w:val="23"/>
        </w:numPr>
        <w:spacing w:before="480"/>
        <w:ind w:left="5" w:right="-516" w:hanging="357"/>
        <w:contextualSpacing/>
        <w:rPr>
          <w:color w:val="000000" w:themeColor="text1"/>
        </w:rPr>
      </w:pPr>
      <w:r w:rsidRPr="00871AAB">
        <w:rPr>
          <w:color w:val="000000" w:themeColor="text1"/>
          <w:spacing w:val="10"/>
        </w:rPr>
        <w:t xml:space="preserve">Asimismo, la Tasa de Ocupación en el Sector Informal 1 (que se refiere a la proporción de la población ocupada en </w:t>
      </w:r>
      <w:r w:rsidRPr="00871AAB">
        <w:rPr>
          <w:color w:val="000000" w:themeColor="text1"/>
        </w:rPr>
        <w:t xml:space="preserve">unidades económicas no agropecuarias operadas sin registros contables y que funcionan a partir de los recursos del hogar o de la persona que encabeza la actividad sin que se constituya como empresa), representó   </w:t>
      </w:r>
      <w:r w:rsidRPr="00871AAB">
        <w:rPr>
          <w:color w:val="auto"/>
        </w:rPr>
        <w:t xml:space="preserve">27.6% </w:t>
      </w:r>
      <w:r w:rsidRPr="00871AAB">
        <w:rPr>
          <w:color w:val="000000" w:themeColor="text1"/>
        </w:rPr>
        <w:t>en el noveno mes de 2019, misma proporción que la del mes previo</w:t>
      </w:r>
      <w:r w:rsidR="000966DC" w:rsidRPr="00871AAB">
        <w:rPr>
          <w:color w:val="000000" w:themeColor="text1"/>
        </w:rPr>
        <w:t xml:space="preserve">, y 0.2 </w:t>
      </w:r>
      <w:r w:rsidRPr="00871AAB">
        <w:rPr>
          <w:color w:val="000000" w:themeColor="text1"/>
        </w:rPr>
        <w:t xml:space="preserve">puntos </w:t>
      </w:r>
      <w:r w:rsidR="000966DC" w:rsidRPr="00871AAB">
        <w:rPr>
          <w:color w:val="000000" w:themeColor="text1"/>
        </w:rPr>
        <w:t>por arriba de la</w:t>
      </w:r>
      <w:r w:rsidRPr="00871AAB">
        <w:rPr>
          <w:color w:val="000000" w:themeColor="text1"/>
        </w:rPr>
        <w:t xml:space="preserve"> de septiembre </w:t>
      </w:r>
      <w:r w:rsidRPr="00871AAB">
        <w:rPr>
          <w:color w:val="auto"/>
        </w:rPr>
        <w:t>del año pasado.</w:t>
      </w:r>
    </w:p>
    <w:p w14:paraId="05206D09" w14:textId="77777777" w:rsidR="005E7CD4" w:rsidRPr="00871AAB" w:rsidRDefault="005E7CD4" w:rsidP="005E7CD4">
      <w:pPr>
        <w:numPr>
          <w:ilvl w:val="0"/>
          <w:numId w:val="23"/>
        </w:numPr>
        <w:spacing w:before="280"/>
        <w:ind w:right="-518"/>
        <w:contextualSpacing/>
        <w:rPr>
          <w:smallCaps/>
        </w:rPr>
      </w:pPr>
      <w:r w:rsidRPr="00871AAB">
        <w:rPr>
          <w:color w:val="000000" w:themeColor="text1"/>
          <w:spacing w:val="10"/>
        </w:rPr>
        <w:t>En septiembre del año en curso, el 60.2%</w:t>
      </w:r>
      <w:r w:rsidRPr="00871AAB">
        <w:rPr>
          <w:b/>
          <w:color w:val="000000" w:themeColor="text1"/>
          <w:spacing w:val="10"/>
        </w:rPr>
        <w:t xml:space="preserve"> </w:t>
      </w:r>
      <w:r w:rsidRPr="00871AAB">
        <w:rPr>
          <w:color w:val="000000" w:themeColor="text1"/>
          <w:spacing w:val="10"/>
        </w:rPr>
        <w:t xml:space="preserve">de </w:t>
      </w:r>
      <w:r w:rsidRPr="00871AAB">
        <w:rPr>
          <w:spacing w:val="10"/>
        </w:rPr>
        <w:t>la población de 15 años y más en el país se ubicó como económicamente activa (Tasa de Participación). Esta tasa es superior a la de un mes antes, también con cifras desestacionalizadas.</w:t>
      </w:r>
    </w:p>
    <w:p w14:paraId="4803A093" w14:textId="77777777" w:rsidR="005E7CD4" w:rsidRPr="009D7D82" w:rsidRDefault="005E7CD4" w:rsidP="005E7CD4">
      <w:pPr>
        <w:keepNext/>
        <w:keepLines/>
        <w:widowControl w:val="0"/>
        <w:spacing w:before="360"/>
        <w:ind w:left="-349"/>
        <w:jc w:val="center"/>
        <w:rPr>
          <w:b/>
          <w:smallCaps/>
          <w:sz w:val="22"/>
          <w:szCs w:val="22"/>
        </w:rPr>
      </w:pPr>
      <w:r w:rsidRPr="009D7D82">
        <w:rPr>
          <w:b/>
          <w:smallCaps/>
          <w:sz w:val="22"/>
          <w:szCs w:val="22"/>
        </w:rPr>
        <w:t>Indicadores de ocupación y empleo</w:t>
      </w:r>
    </w:p>
    <w:p w14:paraId="4E340AFB" w14:textId="77777777" w:rsidR="005E7CD4" w:rsidRPr="009D7D82" w:rsidRDefault="005E7CD4" w:rsidP="005E7CD4">
      <w:pPr>
        <w:keepNext/>
        <w:keepLines/>
        <w:widowControl w:val="0"/>
        <w:ind w:left="-349"/>
        <w:jc w:val="center"/>
        <w:rPr>
          <w:b/>
          <w:smallCaps/>
          <w:sz w:val="22"/>
          <w:szCs w:val="22"/>
        </w:rPr>
      </w:pPr>
      <w:r w:rsidRPr="009D7D82">
        <w:rPr>
          <w:b/>
          <w:smallCaps/>
          <w:sz w:val="22"/>
          <w:szCs w:val="22"/>
        </w:rPr>
        <w:t xml:space="preserve">cifras oportunas desestacionalizadas </w:t>
      </w:r>
    </w:p>
    <w:p w14:paraId="3D962862" w14:textId="77777777" w:rsidR="005E7CD4" w:rsidRPr="009D7D82" w:rsidRDefault="005E7CD4" w:rsidP="005E7CD4">
      <w:pPr>
        <w:keepNext/>
        <w:keepLines/>
        <w:widowControl w:val="0"/>
        <w:ind w:left="-349"/>
        <w:jc w:val="center"/>
        <w:rPr>
          <w:b/>
          <w:smallCaps/>
          <w:sz w:val="22"/>
          <w:szCs w:val="22"/>
        </w:rPr>
      </w:pPr>
      <w:r w:rsidRPr="009D7D82">
        <w:rPr>
          <w:b/>
          <w:smallCaps/>
          <w:sz w:val="22"/>
          <w:szCs w:val="22"/>
        </w:rPr>
        <w:t>durante septiembre de 2019</w:t>
      </w:r>
    </w:p>
    <w:tbl>
      <w:tblPr>
        <w:tblStyle w:val="Tabladelista4-nfasis21"/>
        <w:tblW w:w="0" w:type="auto"/>
        <w:jc w:val="center"/>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Look w:val="04A0" w:firstRow="1" w:lastRow="0" w:firstColumn="1" w:lastColumn="0" w:noHBand="0" w:noVBand="1"/>
      </w:tblPr>
      <w:tblGrid>
        <w:gridCol w:w="3873"/>
        <w:gridCol w:w="1302"/>
        <w:gridCol w:w="1524"/>
        <w:gridCol w:w="1524"/>
      </w:tblGrid>
      <w:tr w:rsidR="005E7CD4" w:rsidRPr="00136EDC" w14:paraId="4E7C9D3D" w14:textId="77777777" w:rsidTr="006A6B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3" w:type="dxa"/>
            <w:vMerge w:val="restart"/>
            <w:tcBorders>
              <w:top w:val="single" w:sz="8" w:space="0" w:color="1F497D"/>
              <w:left w:val="single" w:sz="8" w:space="0" w:color="1F497D"/>
              <w:bottom w:val="single" w:sz="6" w:space="0" w:color="1F497D"/>
              <w:right w:val="single" w:sz="6" w:space="0" w:color="1F497D"/>
            </w:tcBorders>
            <w:shd w:val="clear" w:color="auto" w:fill="B8CCE4" w:themeFill="accent1" w:themeFillTint="66"/>
            <w:vAlign w:val="center"/>
          </w:tcPr>
          <w:p w14:paraId="44981257" w14:textId="77777777" w:rsidR="005E7CD4" w:rsidRPr="00136EDC" w:rsidRDefault="005E7CD4" w:rsidP="006A6BB6">
            <w:pPr>
              <w:spacing w:before="20" w:after="20"/>
              <w:ind w:right="17" w:firstLine="498"/>
              <w:jc w:val="left"/>
              <w:rPr>
                <w:b w:val="0"/>
                <w:color w:val="auto"/>
                <w:sz w:val="18"/>
                <w:szCs w:val="18"/>
              </w:rPr>
            </w:pPr>
            <w:r w:rsidRPr="00136EDC">
              <w:rPr>
                <w:b w:val="0"/>
                <w:color w:val="auto"/>
                <w:sz w:val="18"/>
                <w:szCs w:val="18"/>
              </w:rPr>
              <w:t>Principales tasas</w:t>
            </w:r>
          </w:p>
        </w:tc>
        <w:tc>
          <w:tcPr>
            <w:tcW w:w="1302" w:type="dxa"/>
            <w:vMerge w:val="restart"/>
            <w:tcBorders>
              <w:top w:val="single" w:sz="8" w:space="0" w:color="1F497D"/>
              <w:left w:val="single" w:sz="6" w:space="0" w:color="1F497D"/>
              <w:bottom w:val="single" w:sz="6" w:space="0" w:color="1F497D"/>
              <w:right w:val="single" w:sz="6" w:space="0" w:color="1F497D"/>
            </w:tcBorders>
            <w:shd w:val="clear" w:color="auto" w:fill="B8CCE4" w:themeFill="accent1" w:themeFillTint="66"/>
            <w:vAlign w:val="center"/>
          </w:tcPr>
          <w:p w14:paraId="19046C2C" w14:textId="77777777" w:rsidR="005E7CD4" w:rsidRPr="003A7ABD" w:rsidRDefault="005E7CD4" w:rsidP="006A6BB6">
            <w:pPr>
              <w:spacing w:before="20" w:after="20"/>
              <w:ind w:left="-123" w:right="-8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Porcentaje</w:t>
            </w:r>
          </w:p>
        </w:tc>
        <w:tc>
          <w:tcPr>
            <w:tcW w:w="3048" w:type="dxa"/>
            <w:gridSpan w:val="2"/>
            <w:tcBorders>
              <w:top w:val="single" w:sz="8" w:space="0" w:color="1F497D"/>
              <w:left w:val="single" w:sz="6" w:space="0" w:color="1F497D"/>
              <w:bottom w:val="single" w:sz="6" w:space="0" w:color="1F497D"/>
              <w:right w:val="single" w:sz="8" w:space="0" w:color="1F497D"/>
            </w:tcBorders>
            <w:shd w:val="clear" w:color="auto" w:fill="B8CCE4" w:themeFill="accent1" w:themeFillTint="66"/>
            <w:vAlign w:val="center"/>
          </w:tcPr>
          <w:p w14:paraId="59B6A248" w14:textId="77777777" w:rsidR="005E7CD4" w:rsidRPr="003A7ABD" w:rsidRDefault="005E7CD4" w:rsidP="006A6BB6">
            <w:pPr>
              <w:spacing w:before="20" w:after="20"/>
              <w:ind w:left="-122" w:right="-10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 xml:space="preserve">Diferencia en puntos </w:t>
            </w:r>
            <w:r>
              <w:rPr>
                <w:b w:val="0"/>
                <w:color w:val="auto"/>
                <w:sz w:val="18"/>
                <w:szCs w:val="18"/>
              </w:rPr>
              <w:br/>
            </w:r>
            <w:r w:rsidRPr="003A7ABD">
              <w:rPr>
                <w:b w:val="0"/>
                <w:color w:val="auto"/>
                <w:sz w:val="18"/>
                <w:szCs w:val="18"/>
              </w:rPr>
              <w:t>porcentuales respecto a</w:t>
            </w:r>
            <w:r>
              <w:rPr>
                <w:b w:val="0"/>
                <w:color w:val="auto"/>
                <w:sz w:val="18"/>
                <w:szCs w:val="18"/>
              </w:rPr>
              <w:t>:</w:t>
            </w:r>
          </w:p>
        </w:tc>
      </w:tr>
      <w:tr w:rsidR="005E7CD4" w:rsidRPr="00136EDC" w14:paraId="440BB9EF" w14:textId="77777777" w:rsidTr="006A6B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3" w:type="dxa"/>
            <w:vMerge/>
            <w:tcBorders>
              <w:top w:val="single" w:sz="6" w:space="0" w:color="1F497D"/>
              <w:left w:val="single" w:sz="8" w:space="0" w:color="1F497D"/>
              <w:bottom w:val="single" w:sz="6" w:space="0" w:color="1F497D"/>
              <w:right w:val="single" w:sz="6" w:space="0" w:color="1F497D"/>
            </w:tcBorders>
            <w:shd w:val="clear" w:color="auto" w:fill="B8CCE4" w:themeFill="accent1" w:themeFillTint="66"/>
            <w:vAlign w:val="center"/>
          </w:tcPr>
          <w:p w14:paraId="1DA91B62" w14:textId="77777777" w:rsidR="005E7CD4" w:rsidRPr="00136EDC" w:rsidRDefault="005E7CD4" w:rsidP="006A6BB6">
            <w:pPr>
              <w:spacing w:before="20" w:after="20"/>
              <w:ind w:right="17" w:firstLine="498"/>
              <w:jc w:val="left"/>
              <w:rPr>
                <w:sz w:val="18"/>
                <w:szCs w:val="18"/>
              </w:rPr>
            </w:pPr>
          </w:p>
        </w:tc>
        <w:tc>
          <w:tcPr>
            <w:tcW w:w="1302" w:type="dxa"/>
            <w:vMerge/>
            <w:tcBorders>
              <w:top w:val="single" w:sz="6" w:space="0" w:color="1F497D"/>
              <w:left w:val="single" w:sz="6" w:space="0" w:color="1F497D"/>
              <w:bottom w:val="single" w:sz="6" w:space="0" w:color="1F497D"/>
              <w:right w:val="single" w:sz="6" w:space="0" w:color="1F497D"/>
            </w:tcBorders>
            <w:shd w:val="clear" w:color="auto" w:fill="B8CCE4" w:themeFill="accent1" w:themeFillTint="66"/>
            <w:vAlign w:val="center"/>
          </w:tcPr>
          <w:p w14:paraId="7B8C397E" w14:textId="77777777" w:rsidR="005E7CD4" w:rsidRPr="003A7ABD" w:rsidRDefault="005E7CD4" w:rsidP="006A6BB6">
            <w:pPr>
              <w:spacing w:before="20" w:after="20"/>
              <w:ind w:left="-123" w:right="-86"/>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524" w:type="dxa"/>
            <w:tcBorders>
              <w:top w:val="single" w:sz="6" w:space="0" w:color="1F497D"/>
              <w:left w:val="single" w:sz="6" w:space="0" w:color="1F497D"/>
              <w:bottom w:val="single" w:sz="6" w:space="0" w:color="1F497D"/>
              <w:right w:val="single" w:sz="6" w:space="0" w:color="1F497D"/>
            </w:tcBorders>
            <w:shd w:val="clear" w:color="auto" w:fill="B8CCE4" w:themeFill="accent1" w:themeFillTint="66"/>
            <w:vAlign w:val="center"/>
          </w:tcPr>
          <w:p w14:paraId="4D868E22" w14:textId="77777777" w:rsidR="005E7CD4" w:rsidRPr="003A7ABD" w:rsidRDefault="005E7CD4" w:rsidP="006A6BB6">
            <w:pPr>
              <w:spacing w:before="20" w:after="2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Mes inmediato anterior</w:t>
            </w:r>
          </w:p>
        </w:tc>
        <w:tc>
          <w:tcPr>
            <w:tcW w:w="1524" w:type="dxa"/>
            <w:tcBorders>
              <w:top w:val="single" w:sz="6" w:space="0" w:color="1F497D"/>
              <w:left w:val="single" w:sz="6" w:space="0" w:color="1F497D"/>
              <w:bottom w:val="single" w:sz="6" w:space="0" w:color="1F497D"/>
              <w:right w:val="single" w:sz="8" w:space="0" w:color="1F497D"/>
            </w:tcBorders>
            <w:shd w:val="clear" w:color="auto" w:fill="B8CCE4" w:themeFill="accent1" w:themeFillTint="66"/>
            <w:vAlign w:val="center"/>
          </w:tcPr>
          <w:p w14:paraId="3E0795D4" w14:textId="77777777" w:rsidR="005E7CD4" w:rsidRPr="003A7ABD" w:rsidRDefault="005E7CD4" w:rsidP="006A6BB6">
            <w:pPr>
              <w:spacing w:before="20" w:after="2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Igual mes del </w:t>
            </w:r>
            <w:r>
              <w:rPr>
                <w:sz w:val="18"/>
                <w:szCs w:val="18"/>
              </w:rPr>
              <w:br/>
              <w:t>año anterior</w:t>
            </w:r>
          </w:p>
        </w:tc>
      </w:tr>
      <w:tr w:rsidR="005E7CD4" w:rsidRPr="00136EDC" w14:paraId="276CC125" w14:textId="77777777" w:rsidTr="006A6BB6">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6" w:space="0" w:color="1F497D"/>
              <w:left w:val="single" w:sz="8" w:space="0" w:color="1F497D"/>
              <w:bottom w:val="single" w:sz="4" w:space="0" w:color="C6D9F1"/>
              <w:right w:val="single" w:sz="6" w:space="0" w:color="1F497D"/>
            </w:tcBorders>
            <w:shd w:val="clear" w:color="auto" w:fill="auto"/>
            <w:vAlign w:val="center"/>
          </w:tcPr>
          <w:p w14:paraId="10E8F073" w14:textId="77777777" w:rsidR="005E7CD4" w:rsidRPr="00136EDC" w:rsidRDefault="005E7CD4" w:rsidP="006A6BB6">
            <w:pPr>
              <w:spacing w:line="200" w:lineRule="exact"/>
              <w:ind w:right="19"/>
              <w:jc w:val="left"/>
              <w:rPr>
                <w:b w:val="0"/>
                <w:sz w:val="18"/>
                <w:szCs w:val="18"/>
              </w:rPr>
            </w:pPr>
            <w:r w:rsidRPr="00136EDC">
              <w:rPr>
                <w:b w:val="0"/>
                <w:sz w:val="18"/>
                <w:szCs w:val="18"/>
              </w:rPr>
              <w:t>Tasa de Participación</w:t>
            </w:r>
            <w:r w:rsidRPr="00136EDC">
              <w:rPr>
                <w:b w:val="0"/>
                <w:sz w:val="18"/>
                <w:szCs w:val="18"/>
                <w:vertAlign w:val="superscript"/>
              </w:rPr>
              <w:t>1/</w:t>
            </w:r>
          </w:p>
        </w:tc>
        <w:tc>
          <w:tcPr>
            <w:tcW w:w="1302" w:type="dxa"/>
            <w:tcBorders>
              <w:top w:val="single" w:sz="6" w:space="0" w:color="1F497D"/>
              <w:left w:val="single" w:sz="6" w:space="0" w:color="1F497D"/>
              <w:bottom w:val="single" w:sz="4" w:space="0" w:color="C6D9F1"/>
              <w:right w:val="single" w:sz="6" w:space="0" w:color="1F497D"/>
            </w:tcBorders>
            <w:shd w:val="clear" w:color="auto" w:fill="auto"/>
            <w:vAlign w:val="center"/>
          </w:tcPr>
          <w:p w14:paraId="535D3176" w14:textId="77777777" w:rsidR="005E7CD4" w:rsidRPr="005C4A0C" w:rsidRDefault="005E7CD4" w:rsidP="006A6BB6">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lang w:val="es-MX" w:eastAsia="es-MX"/>
              </w:rPr>
            </w:pPr>
            <w:r w:rsidRPr="005C4A0C">
              <w:rPr>
                <w:color w:val="000000"/>
                <w:sz w:val="18"/>
                <w:szCs w:val="22"/>
              </w:rPr>
              <w:t>60.2</w:t>
            </w:r>
          </w:p>
        </w:tc>
        <w:tc>
          <w:tcPr>
            <w:tcW w:w="1524" w:type="dxa"/>
            <w:tcBorders>
              <w:top w:val="single" w:sz="6" w:space="0" w:color="1F497D"/>
              <w:left w:val="single" w:sz="6" w:space="0" w:color="1F497D"/>
              <w:bottom w:val="single" w:sz="4" w:space="0" w:color="C6D9F1"/>
              <w:right w:val="nil"/>
            </w:tcBorders>
            <w:shd w:val="clear" w:color="auto" w:fill="auto"/>
            <w:vAlign w:val="center"/>
          </w:tcPr>
          <w:p w14:paraId="393F52DC" w14:textId="77777777" w:rsidR="005E7CD4" w:rsidRPr="005C4A0C" w:rsidRDefault="005E7CD4" w:rsidP="006A6BB6">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sidRPr="005C4A0C">
              <w:rPr>
                <w:color w:val="000000"/>
                <w:sz w:val="18"/>
                <w:szCs w:val="22"/>
              </w:rPr>
              <w:t>0.1</w:t>
            </w:r>
          </w:p>
        </w:tc>
        <w:tc>
          <w:tcPr>
            <w:tcW w:w="1524" w:type="dxa"/>
            <w:tcBorders>
              <w:top w:val="single" w:sz="6" w:space="0" w:color="1F497D"/>
              <w:left w:val="nil"/>
              <w:bottom w:val="single" w:sz="4" w:space="0" w:color="C6D9F1"/>
              <w:right w:val="single" w:sz="8" w:space="0" w:color="1F497D"/>
            </w:tcBorders>
            <w:shd w:val="clear" w:color="auto" w:fill="auto"/>
            <w:vAlign w:val="center"/>
          </w:tcPr>
          <w:p w14:paraId="4D5A9757" w14:textId="77777777" w:rsidR="005E7CD4" w:rsidRPr="005C4A0C" w:rsidRDefault="005E7CD4" w:rsidP="006A6BB6">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sidRPr="005C4A0C">
              <w:rPr>
                <w:color w:val="000000"/>
                <w:sz w:val="18"/>
                <w:szCs w:val="22"/>
              </w:rPr>
              <w:t>0.6</w:t>
            </w:r>
          </w:p>
        </w:tc>
      </w:tr>
      <w:tr w:rsidR="005E7CD4" w:rsidRPr="00136EDC" w14:paraId="4AC1652D" w14:textId="77777777" w:rsidTr="006A6BB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123A686F" w14:textId="77777777" w:rsidR="005E7CD4" w:rsidRPr="00136EDC" w:rsidRDefault="005E7CD4" w:rsidP="006A6BB6">
            <w:pPr>
              <w:spacing w:line="200" w:lineRule="exact"/>
              <w:ind w:right="19"/>
              <w:jc w:val="left"/>
              <w:rPr>
                <w:b w:val="0"/>
                <w:sz w:val="18"/>
                <w:szCs w:val="18"/>
              </w:rPr>
            </w:pPr>
            <w:r>
              <w:rPr>
                <w:b w:val="0"/>
                <w:sz w:val="18"/>
                <w:szCs w:val="18"/>
              </w:rPr>
              <w:t>Tasa de Desocupación</w:t>
            </w:r>
            <w:r w:rsidRPr="00136EDC">
              <w:rPr>
                <w:b w:val="0"/>
                <w:sz w:val="18"/>
                <w:szCs w:val="18"/>
                <w:vertAlign w:val="superscript"/>
              </w:rPr>
              <w:t>2/</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65C52272" w14:textId="77777777" w:rsidR="005E7CD4" w:rsidRPr="005C4A0C" w:rsidRDefault="005E7CD4" w:rsidP="006A6BB6">
            <w:pPr>
              <w:tabs>
                <w:tab w:val="decimal" w:pos="545"/>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sidRPr="005C4A0C">
              <w:rPr>
                <w:color w:val="000000"/>
                <w:sz w:val="18"/>
                <w:szCs w:val="22"/>
              </w:rPr>
              <w:t>3.5</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56C74B20" w14:textId="77777777" w:rsidR="005E7CD4" w:rsidRPr="005C4A0C" w:rsidRDefault="005E7CD4" w:rsidP="006A6BB6">
            <w:pPr>
              <w:tabs>
                <w:tab w:val="decimal" w:pos="545"/>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sidRPr="005C4A0C">
              <w:rPr>
                <w:color w:val="000000"/>
                <w:sz w:val="18"/>
                <w:szCs w:val="22"/>
              </w:rPr>
              <w:t>0.0</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3699F10E" w14:textId="77777777" w:rsidR="005E7CD4" w:rsidRPr="005C4A0C" w:rsidRDefault="005E7CD4" w:rsidP="006A6BB6">
            <w:pPr>
              <w:tabs>
                <w:tab w:val="decimal" w:pos="545"/>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sidRPr="005C4A0C">
              <w:rPr>
                <w:color w:val="000000"/>
                <w:sz w:val="18"/>
                <w:szCs w:val="22"/>
              </w:rPr>
              <w:t>0.2</w:t>
            </w:r>
          </w:p>
        </w:tc>
      </w:tr>
      <w:tr w:rsidR="005E7CD4" w:rsidRPr="00136EDC" w14:paraId="55EC21F7" w14:textId="77777777" w:rsidTr="006A6BB6">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785346F0" w14:textId="77777777" w:rsidR="005E7CD4" w:rsidRPr="00136EDC" w:rsidRDefault="005E7CD4" w:rsidP="006A6BB6">
            <w:pPr>
              <w:spacing w:line="200" w:lineRule="exact"/>
              <w:ind w:right="19"/>
              <w:jc w:val="left"/>
              <w:rPr>
                <w:b w:val="0"/>
                <w:sz w:val="18"/>
                <w:szCs w:val="18"/>
              </w:rPr>
            </w:pPr>
            <w:r w:rsidRPr="00136EDC">
              <w:rPr>
                <w:b w:val="0"/>
                <w:sz w:val="18"/>
                <w:szCs w:val="18"/>
              </w:rPr>
              <w:t>Tasa de Subocupación</w:t>
            </w:r>
            <w:r w:rsidRPr="00136EDC">
              <w:rPr>
                <w:b w:val="0"/>
                <w:sz w:val="18"/>
                <w:szCs w:val="18"/>
                <w:vertAlign w:val="superscript"/>
              </w:rPr>
              <w:t>3/</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2DD54BFE" w14:textId="77777777" w:rsidR="005E7CD4" w:rsidRPr="005C4A0C" w:rsidRDefault="005E7CD4" w:rsidP="006A6BB6">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sidRPr="005C4A0C">
              <w:rPr>
                <w:color w:val="000000"/>
                <w:sz w:val="18"/>
                <w:szCs w:val="22"/>
              </w:rPr>
              <w:t>7.8</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6AD10AD7" w14:textId="77777777" w:rsidR="005E7CD4" w:rsidRPr="005C4A0C" w:rsidRDefault="005E7CD4" w:rsidP="006A6BB6">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sidRPr="005C4A0C">
              <w:rPr>
                <w:color w:val="000000"/>
                <w:sz w:val="18"/>
                <w:szCs w:val="22"/>
              </w:rPr>
              <w:t>0.5</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7099C374" w14:textId="77777777" w:rsidR="005E7CD4" w:rsidRPr="005C4A0C" w:rsidRDefault="005E7CD4" w:rsidP="006A6BB6">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sidRPr="005C4A0C">
              <w:rPr>
                <w:color w:val="000000"/>
                <w:sz w:val="18"/>
                <w:szCs w:val="22"/>
              </w:rPr>
              <w:t>1.2</w:t>
            </w:r>
          </w:p>
        </w:tc>
      </w:tr>
      <w:tr w:rsidR="005E7CD4" w:rsidRPr="00136EDC" w14:paraId="7EF8F808" w14:textId="77777777" w:rsidTr="006A6BB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5EDFDF10" w14:textId="77777777" w:rsidR="005E7CD4" w:rsidRPr="00136EDC" w:rsidRDefault="005E7CD4" w:rsidP="006A6BB6">
            <w:pPr>
              <w:spacing w:line="200" w:lineRule="exact"/>
              <w:ind w:right="19"/>
              <w:jc w:val="left"/>
              <w:rPr>
                <w:b w:val="0"/>
                <w:sz w:val="18"/>
                <w:szCs w:val="18"/>
              </w:rPr>
            </w:pPr>
            <w:r>
              <w:rPr>
                <w:b w:val="0"/>
                <w:sz w:val="18"/>
                <w:szCs w:val="18"/>
              </w:rPr>
              <w:t>Tasa de Informalidad Laboral 1</w:t>
            </w:r>
            <w:r w:rsidRPr="00136EDC">
              <w:rPr>
                <w:b w:val="0"/>
                <w:sz w:val="18"/>
                <w:szCs w:val="18"/>
                <w:vertAlign w:val="superscript"/>
              </w:rPr>
              <w:t>3/</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4D7D5CF3" w14:textId="77777777" w:rsidR="005E7CD4" w:rsidRPr="005C4A0C" w:rsidRDefault="005E7CD4" w:rsidP="006A6BB6">
            <w:pPr>
              <w:tabs>
                <w:tab w:val="decimal" w:pos="545"/>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sidRPr="005C4A0C">
              <w:rPr>
                <w:color w:val="000000"/>
                <w:sz w:val="18"/>
                <w:szCs w:val="22"/>
              </w:rPr>
              <w:t>56.7</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5D63C4F2" w14:textId="77777777" w:rsidR="005E7CD4" w:rsidRPr="005C4A0C" w:rsidRDefault="005E7CD4" w:rsidP="006A6BB6">
            <w:pPr>
              <w:tabs>
                <w:tab w:val="decimal" w:pos="545"/>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sidRPr="005C4A0C">
              <w:rPr>
                <w:color w:val="000000"/>
                <w:sz w:val="18"/>
                <w:szCs w:val="22"/>
              </w:rPr>
              <w:t>0.4</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57875C9E" w14:textId="77777777" w:rsidR="005E7CD4" w:rsidRPr="005C4A0C" w:rsidRDefault="005E7CD4" w:rsidP="006A6BB6">
            <w:pPr>
              <w:tabs>
                <w:tab w:val="decimal" w:pos="545"/>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sidRPr="005C4A0C">
              <w:rPr>
                <w:color w:val="000000"/>
                <w:sz w:val="18"/>
                <w:szCs w:val="22"/>
              </w:rPr>
              <w:t>0.1</w:t>
            </w:r>
          </w:p>
        </w:tc>
      </w:tr>
      <w:tr w:rsidR="005E7CD4" w:rsidRPr="00136EDC" w14:paraId="2D154AF9" w14:textId="77777777" w:rsidTr="006A6BB6">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8" w:space="0" w:color="1F497D"/>
              <w:right w:val="single" w:sz="6" w:space="0" w:color="1F497D"/>
            </w:tcBorders>
            <w:shd w:val="clear" w:color="auto" w:fill="auto"/>
            <w:vAlign w:val="center"/>
          </w:tcPr>
          <w:p w14:paraId="3050348E" w14:textId="77777777" w:rsidR="005E7CD4" w:rsidRPr="00136EDC" w:rsidRDefault="005E7CD4" w:rsidP="006A6BB6">
            <w:pPr>
              <w:spacing w:line="200" w:lineRule="exact"/>
              <w:ind w:right="19"/>
              <w:jc w:val="left"/>
              <w:rPr>
                <w:b w:val="0"/>
                <w:sz w:val="18"/>
                <w:szCs w:val="18"/>
              </w:rPr>
            </w:pPr>
            <w:r>
              <w:rPr>
                <w:b w:val="0"/>
                <w:sz w:val="18"/>
                <w:szCs w:val="18"/>
              </w:rPr>
              <w:t>Tasa de Ocupación en el Sector Informal 1</w:t>
            </w:r>
            <w:r w:rsidRPr="00136EDC">
              <w:rPr>
                <w:b w:val="0"/>
                <w:sz w:val="18"/>
                <w:szCs w:val="18"/>
                <w:vertAlign w:val="superscript"/>
              </w:rPr>
              <w:t>3/</w:t>
            </w:r>
          </w:p>
        </w:tc>
        <w:tc>
          <w:tcPr>
            <w:tcW w:w="1302" w:type="dxa"/>
            <w:tcBorders>
              <w:top w:val="single" w:sz="4" w:space="0" w:color="C6D9F1"/>
              <w:left w:val="single" w:sz="6" w:space="0" w:color="1F497D"/>
              <w:bottom w:val="single" w:sz="8" w:space="0" w:color="1F497D"/>
              <w:right w:val="single" w:sz="6" w:space="0" w:color="1F497D"/>
            </w:tcBorders>
            <w:shd w:val="clear" w:color="auto" w:fill="auto"/>
            <w:vAlign w:val="center"/>
          </w:tcPr>
          <w:p w14:paraId="0FFD09ED" w14:textId="77777777" w:rsidR="005E7CD4" w:rsidRPr="005C4A0C" w:rsidRDefault="005E7CD4" w:rsidP="006A6BB6">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sidRPr="005C4A0C">
              <w:rPr>
                <w:color w:val="000000"/>
                <w:sz w:val="18"/>
                <w:szCs w:val="22"/>
              </w:rPr>
              <w:t>27.6</w:t>
            </w:r>
          </w:p>
        </w:tc>
        <w:tc>
          <w:tcPr>
            <w:tcW w:w="1524" w:type="dxa"/>
            <w:tcBorders>
              <w:top w:val="single" w:sz="4" w:space="0" w:color="C6D9F1"/>
              <w:left w:val="single" w:sz="6" w:space="0" w:color="1F497D"/>
              <w:bottom w:val="single" w:sz="8" w:space="0" w:color="1F497D"/>
              <w:right w:val="nil"/>
            </w:tcBorders>
            <w:shd w:val="clear" w:color="auto" w:fill="auto"/>
            <w:vAlign w:val="center"/>
          </w:tcPr>
          <w:p w14:paraId="79727082" w14:textId="77777777" w:rsidR="005E7CD4" w:rsidRPr="005C4A0C" w:rsidRDefault="005E7CD4" w:rsidP="006A6BB6">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sidRPr="005C4A0C">
              <w:rPr>
                <w:color w:val="000000"/>
                <w:sz w:val="18"/>
                <w:szCs w:val="22"/>
              </w:rPr>
              <w:t>0.0</w:t>
            </w:r>
          </w:p>
        </w:tc>
        <w:tc>
          <w:tcPr>
            <w:tcW w:w="1524" w:type="dxa"/>
            <w:tcBorders>
              <w:top w:val="single" w:sz="4" w:space="0" w:color="C6D9F1"/>
              <w:left w:val="nil"/>
              <w:bottom w:val="single" w:sz="8" w:space="0" w:color="1F497D"/>
              <w:right w:val="single" w:sz="8" w:space="0" w:color="1F497D"/>
            </w:tcBorders>
            <w:shd w:val="clear" w:color="auto" w:fill="auto"/>
            <w:vAlign w:val="center"/>
          </w:tcPr>
          <w:p w14:paraId="365319E6" w14:textId="77777777" w:rsidR="005E7CD4" w:rsidRPr="005C4A0C" w:rsidRDefault="005E7CD4" w:rsidP="006A6BB6">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sidRPr="005C4A0C">
              <w:rPr>
                <w:color w:val="000000"/>
                <w:sz w:val="18"/>
                <w:szCs w:val="22"/>
              </w:rPr>
              <w:t>0.2</w:t>
            </w:r>
          </w:p>
        </w:tc>
      </w:tr>
    </w:tbl>
    <w:p w14:paraId="24E9F1B3" w14:textId="77777777" w:rsidR="005E7CD4" w:rsidRPr="009D7D82" w:rsidRDefault="005E7CD4" w:rsidP="005E7CD4">
      <w:pPr>
        <w:ind w:left="567" w:right="411"/>
        <w:rPr>
          <w:sz w:val="16"/>
          <w:szCs w:val="16"/>
        </w:rPr>
      </w:pPr>
      <w:r w:rsidRPr="009D7D82">
        <w:rPr>
          <w:sz w:val="16"/>
          <w:szCs w:val="16"/>
        </w:rPr>
        <w:t>Nota:</w:t>
      </w:r>
      <w:r w:rsidRPr="009D7D82">
        <w:rPr>
          <w:sz w:val="16"/>
          <w:szCs w:val="16"/>
        </w:rPr>
        <w:tab/>
        <w:t>Las diferencias en puntos porcentuales resultan de considerar los indicadores con todos sus decimales.</w:t>
      </w:r>
    </w:p>
    <w:p w14:paraId="3DEA1F31" w14:textId="77777777" w:rsidR="005E7CD4" w:rsidRPr="009D7D82" w:rsidRDefault="005E7CD4" w:rsidP="005E7CD4">
      <w:pPr>
        <w:ind w:left="567" w:right="411"/>
        <w:rPr>
          <w:sz w:val="16"/>
          <w:szCs w:val="16"/>
        </w:rPr>
      </w:pPr>
      <w:r w:rsidRPr="009D7D82">
        <w:rPr>
          <w:sz w:val="18"/>
          <w:szCs w:val="18"/>
          <w:vertAlign w:val="superscript"/>
        </w:rPr>
        <w:t>1/</w:t>
      </w:r>
      <w:r w:rsidRPr="009D7D82">
        <w:rPr>
          <w:sz w:val="18"/>
          <w:szCs w:val="18"/>
          <w:vertAlign w:val="superscript"/>
        </w:rPr>
        <w:tab/>
      </w:r>
      <w:r>
        <w:rPr>
          <w:sz w:val="18"/>
          <w:szCs w:val="18"/>
          <w:vertAlign w:val="superscript"/>
        </w:rPr>
        <w:tab/>
      </w:r>
      <w:r w:rsidRPr="009D7D82">
        <w:rPr>
          <w:sz w:val="16"/>
          <w:szCs w:val="18"/>
        </w:rPr>
        <w:t>Población</w:t>
      </w:r>
      <w:r w:rsidRPr="009D7D82">
        <w:rPr>
          <w:sz w:val="18"/>
          <w:szCs w:val="18"/>
          <w:vertAlign w:val="superscript"/>
        </w:rPr>
        <w:t xml:space="preserve"> </w:t>
      </w:r>
      <w:r w:rsidRPr="009D7D82">
        <w:rPr>
          <w:sz w:val="16"/>
          <w:szCs w:val="18"/>
        </w:rPr>
        <w:t>Económicamente Activa</w:t>
      </w:r>
      <w:r w:rsidRPr="009D7D82">
        <w:rPr>
          <w:sz w:val="16"/>
          <w:szCs w:val="16"/>
        </w:rPr>
        <w:t xml:space="preserve"> como porcentaje de la Población de 15 años y más.</w:t>
      </w:r>
    </w:p>
    <w:p w14:paraId="59BB795C" w14:textId="77777777" w:rsidR="005E7CD4" w:rsidRPr="009D7D82" w:rsidRDefault="005E7CD4" w:rsidP="005E7CD4">
      <w:pPr>
        <w:ind w:left="567" w:right="411"/>
        <w:rPr>
          <w:sz w:val="16"/>
          <w:szCs w:val="16"/>
        </w:rPr>
      </w:pPr>
      <w:r w:rsidRPr="009D7D82">
        <w:rPr>
          <w:sz w:val="18"/>
          <w:szCs w:val="18"/>
          <w:vertAlign w:val="superscript"/>
        </w:rPr>
        <w:t>2/</w:t>
      </w:r>
      <w:r w:rsidRPr="009D7D82">
        <w:rPr>
          <w:sz w:val="18"/>
          <w:szCs w:val="18"/>
          <w:vertAlign w:val="superscript"/>
        </w:rPr>
        <w:tab/>
      </w:r>
      <w:r>
        <w:rPr>
          <w:sz w:val="18"/>
          <w:szCs w:val="18"/>
          <w:vertAlign w:val="superscript"/>
        </w:rPr>
        <w:tab/>
      </w:r>
      <w:r w:rsidRPr="009D7D82">
        <w:rPr>
          <w:sz w:val="16"/>
          <w:szCs w:val="16"/>
        </w:rPr>
        <w:t>Porcentaje respecto a la Población Económicamente Activa.</w:t>
      </w:r>
    </w:p>
    <w:p w14:paraId="082BA11B" w14:textId="77777777" w:rsidR="005E7CD4" w:rsidRPr="009D7D82" w:rsidRDefault="005E7CD4" w:rsidP="005E7CD4">
      <w:pPr>
        <w:ind w:left="567" w:right="411"/>
        <w:rPr>
          <w:sz w:val="16"/>
          <w:szCs w:val="16"/>
        </w:rPr>
      </w:pPr>
      <w:r w:rsidRPr="009D7D82">
        <w:rPr>
          <w:sz w:val="18"/>
          <w:szCs w:val="18"/>
          <w:vertAlign w:val="superscript"/>
        </w:rPr>
        <w:t>3/</w:t>
      </w:r>
      <w:r w:rsidRPr="009D7D82">
        <w:rPr>
          <w:sz w:val="18"/>
          <w:szCs w:val="18"/>
          <w:vertAlign w:val="superscript"/>
        </w:rPr>
        <w:tab/>
      </w:r>
      <w:r>
        <w:rPr>
          <w:sz w:val="18"/>
          <w:szCs w:val="18"/>
          <w:vertAlign w:val="superscript"/>
        </w:rPr>
        <w:tab/>
      </w:r>
      <w:r w:rsidRPr="009D7D82">
        <w:rPr>
          <w:sz w:val="16"/>
          <w:szCs w:val="16"/>
        </w:rPr>
        <w:t>Porcentaje respecto a la Población Ocupada.</w:t>
      </w:r>
    </w:p>
    <w:p w14:paraId="0CD044C1" w14:textId="77777777" w:rsidR="005E7CD4" w:rsidRPr="009D7D82" w:rsidRDefault="005E7CD4" w:rsidP="005E7CD4">
      <w:pPr>
        <w:ind w:left="567" w:right="411"/>
        <w:rPr>
          <w:sz w:val="16"/>
          <w:szCs w:val="16"/>
        </w:rPr>
      </w:pPr>
      <w:r w:rsidRPr="009D7D82">
        <w:rPr>
          <w:sz w:val="16"/>
          <w:szCs w:val="16"/>
        </w:rPr>
        <w:t>Fuente:</w:t>
      </w:r>
      <w:r w:rsidRPr="009D7D82">
        <w:rPr>
          <w:sz w:val="16"/>
          <w:szCs w:val="16"/>
        </w:rPr>
        <w:tab/>
        <w:t>INEGI.</w:t>
      </w:r>
    </w:p>
    <w:p w14:paraId="2CEA5F94" w14:textId="77777777" w:rsidR="005E7CD4" w:rsidRDefault="005E7CD4" w:rsidP="005E7CD4">
      <w:pPr>
        <w:ind w:left="1036" w:right="411" w:hanging="588"/>
        <w:jc w:val="center"/>
        <w:rPr>
          <w:b/>
          <w:color w:val="000000"/>
        </w:rPr>
      </w:pPr>
    </w:p>
    <w:p w14:paraId="366184D6" w14:textId="77777777" w:rsidR="005E7CD4" w:rsidRPr="004D28A4" w:rsidRDefault="005E7CD4" w:rsidP="005E7CD4">
      <w:pPr>
        <w:spacing w:before="120"/>
        <w:ind w:left="1036" w:right="411" w:hanging="588"/>
        <w:jc w:val="center"/>
        <w:rPr>
          <w:b/>
          <w:color w:val="000000"/>
        </w:rPr>
      </w:pPr>
      <w:r w:rsidRPr="004D28A4">
        <w:rPr>
          <w:b/>
          <w:color w:val="000000"/>
        </w:rPr>
        <w:t>Se anexa Nota Técnica</w:t>
      </w:r>
    </w:p>
    <w:p w14:paraId="5631D7F0" w14:textId="77777777" w:rsidR="005E7CD4" w:rsidRDefault="005E7CD4" w:rsidP="005E7CD4">
      <w:pPr>
        <w:pStyle w:val="NormalWeb"/>
        <w:spacing w:before="0" w:beforeAutospacing="0" w:after="0" w:afterAutospacing="0"/>
        <w:ind w:left="-426" w:right="-518"/>
        <w:contextualSpacing/>
        <w:jc w:val="center"/>
        <w:rPr>
          <w:rFonts w:ascii="Arial" w:hAnsi="Arial" w:cs="Arial"/>
          <w:sz w:val="20"/>
          <w:szCs w:val="20"/>
        </w:rPr>
      </w:pPr>
    </w:p>
    <w:p w14:paraId="5135F5FE" w14:textId="77777777" w:rsidR="005E7CD4" w:rsidRDefault="005E7CD4" w:rsidP="005E7CD4">
      <w:pPr>
        <w:pStyle w:val="NormalWeb"/>
        <w:spacing w:before="0" w:beforeAutospacing="0" w:after="0" w:afterAutospacing="0"/>
        <w:ind w:left="-426" w:right="-518"/>
        <w:contextualSpacing/>
        <w:jc w:val="center"/>
        <w:rPr>
          <w:rFonts w:ascii="Arial" w:hAnsi="Arial" w:cs="Arial"/>
          <w:sz w:val="20"/>
          <w:szCs w:val="20"/>
        </w:rPr>
      </w:pPr>
    </w:p>
    <w:p w14:paraId="1E2AE904" w14:textId="77777777" w:rsidR="005E7CD4" w:rsidRPr="0026453E" w:rsidRDefault="005E7CD4" w:rsidP="005E7CD4">
      <w:pPr>
        <w:pStyle w:val="NormalWeb"/>
        <w:spacing w:before="0" w:beforeAutospacing="0" w:after="0" w:afterAutospacing="0"/>
        <w:ind w:left="-426" w:right="-518"/>
        <w:contextualSpacing/>
        <w:jc w:val="center"/>
        <w:rPr>
          <w:rFonts w:ascii="Arial" w:hAnsi="Arial" w:cs="Arial"/>
          <w:sz w:val="20"/>
          <w:szCs w:val="20"/>
        </w:rPr>
      </w:pPr>
      <w:r w:rsidRPr="0026453E">
        <w:rPr>
          <w:rFonts w:ascii="Arial" w:hAnsi="Arial" w:cs="Arial"/>
          <w:sz w:val="20"/>
          <w:szCs w:val="20"/>
        </w:rPr>
        <w:t xml:space="preserve">Para consultas de medios y periodistas, contactar a: </w:t>
      </w:r>
      <w:hyperlink r:id="rId9" w:history="1">
        <w:r w:rsidRPr="0026453E">
          <w:rPr>
            <w:rStyle w:val="Hipervnculo"/>
            <w:rFonts w:ascii="Arial" w:hAnsi="Arial" w:cs="Arial"/>
            <w:sz w:val="20"/>
            <w:szCs w:val="20"/>
          </w:rPr>
          <w:t>comunicacionsocial@inegi.org.mx</w:t>
        </w:r>
      </w:hyperlink>
      <w:r w:rsidRPr="0026453E">
        <w:rPr>
          <w:rFonts w:ascii="Arial" w:hAnsi="Arial" w:cs="Arial"/>
          <w:sz w:val="20"/>
          <w:szCs w:val="20"/>
        </w:rPr>
        <w:t xml:space="preserve"> </w:t>
      </w:r>
    </w:p>
    <w:p w14:paraId="6F3A0CD3" w14:textId="77777777" w:rsidR="005E7CD4" w:rsidRPr="0026453E" w:rsidRDefault="005E7CD4" w:rsidP="005E7CD4">
      <w:pPr>
        <w:pStyle w:val="NormalWeb"/>
        <w:spacing w:before="0" w:beforeAutospacing="0" w:after="0" w:afterAutospacing="0"/>
        <w:ind w:left="-426" w:right="-518"/>
        <w:contextualSpacing/>
        <w:jc w:val="center"/>
        <w:rPr>
          <w:rFonts w:ascii="Arial" w:hAnsi="Arial" w:cs="Arial"/>
          <w:sz w:val="20"/>
          <w:szCs w:val="20"/>
        </w:rPr>
      </w:pPr>
      <w:r w:rsidRPr="0026453E">
        <w:rPr>
          <w:rFonts w:ascii="Arial" w:hAnsi="Arial" w:cs="Arial"/>
          <w:sz w:val="20"/>
          <w:szCs w:val="20"/>
        </w:rPr>
        <w:t xml:space="preserve">o llamar al teléfono (55) 52-78-10-00, </w:t>
      </w:r>
      <w:proofErr w:type="spellStart"/>
      <w:r w:rsidRPr="0026453E">
        <w:rPr>
          <w:rFonts w:ascii="Arial" w:hAnsi="Arial" w:cs="Arial"/>
          <w:sz w:val="20"/>
          <w:szCs w:val="20"/>
        </w:rPr>
        <w:t>exts</w:t>
      </w:r>
      <w:proofErr w:type="spellEnd"/>
      <w:r w:rsidRPr="0026453E">
        <w:rPr>
          <w:rFonts w:ascii="Arial" w:hAnsi="Arial" w:cs="Arial"/>
          <w:sz w:val="20"/>
          <w:szCs w:val="20"/>
        </w:rPr>
        <w:t>. 1134, 1260 y 1241.</w:t>
      </w:r>
    </w:p>
    <w:p w14:paraId="210AFAB5" w14:textId="77777777" w:rsidR="005E7CD4" w:rsidRPr="0026453E" w:rsidRDefault="005E7CD4" w:rsidP="005E7CD4">
      <w:pPr>
        <w:ind w:left="-426" w:right="-518"/>
        <w:contextualSpacing/>
        <w:jc w:val="center"/>
        <w:rPr>
          <w:sz w:val="20"/>
          <w:szCs w:val="20"/>
        </w:rPr>
      </w:pPr>
    </w:p>
    <w:p w14:paraId="3D40B591" w14:textId="77777777" w:rsidR="005E7CD4" w:rsidRPr="0026453E" w:rsidRDefault="005E7CD4" w:rsidP="005E7CD4">
      <w:pPr>
        <w:ind w:left="-426" w:right="-518"/>
        <w:contextualSpacing/>
        <w:jc w:val="center"/>
        <w:rPr>
          <w:sz w:val="20"/>
          <w:szCs w:val="20"/>
        </w:rPr>
      </w:pPr>
      <w:r w:rsidRPr="0026453E">
        <w:rPr>
          <w:sz w:val="20"/>
          <w:szCs w:val="20"/>
        </w:rPr>
        <w:t>Dirección de Atención a Medios / Dirección General Adjunta de Comunicación</w:t>
      </w:r>
    </w:p>
    <w:p w14:paraId="76823DE9" w14:textId="77777777" w:rsidR="005E7CD4" w:rsidRPr="00CC3FE2" w:rsidRDefault="005E7CD4" w:rsidP="005E7CD4">
      <w:pPr>
        <w:ind w:left="-426" w:right="-518"/>
        <w:contextualSpacing/>
        <w:jc w:val="center"/>
        <w:rPr>
          <w:sz w:val="22"/>
          <w:szCs w:val="22"/>
        </w:rPr>
      </w:pPr>
    </w:p>
    <w:p w14:paraId="7D8E035C" w14:textId="77777777" w:rsidR="005E7CD4" w:rsidRPr="008F0992" w:rsidRDefault="005E7CD4" w:rsidP="005E7CD4">
      <w:pPr>
        <w:ind w:left="-425" w:right="-516"/>
        <w:contextualSpacing/>
        <w:jc w:val="center"/>
        <w:rPr>
          <w:noProof/>
          <w:lang w:eastAsia="es-MX"/>
        </w:rPr>
      </w:pPr>
      <w:r w:rsidRPr="00FF1218">
        <w:rPr>
          <w:noProof/>
          <w:lang w:val="es-MX" w:eastAsia="es-MX"/>
        </w:rPr>
        <w:drawing>
          <wp:inline distT="0" distB="0" distL="0" distR="0" wp14:anchorId="48E44974" wp14:editId="78E2B7D6">
            <wp:extent cx="274320" cy="365760"/>
            <wp:effectExtent l="0" t="0" r="0" b="0"/>
            <wp:docPr id="11" name="Imagen 11"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CB37EA2" wp14:editId="7D0DEA49">
            <wp:extent cx="365760" cy="365760"/>
            <wp:effectExtent l="0" t="0" r="0" b="0"/>
            <wp:docPr id="19" name="Imagen 1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9E1DFC5" wp14:editId="095235C0">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1E4CE88" wp14:editId="31D411B2">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FB7AEC9" wp14:editId="34B915AF">
            <wp:extent cx="2286000" cy="274320"/>
            <wp:effectExtent l="0" t="0" r="0" b="0"/>
            <wp:docPr id="18" name="Imagen 1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C23DA08" w14:textId="77777777" w:rsidR="005E7CD4" w:rsidRDefault="005E7CD4" w:rsidP="005E7CD4">
      <w:pPr>
        <w:pStyle w:val="NormalWeb"/>
        <w:spacing w:before="0" w:beforeAutospacing="0" w:after="0" w:afterAutospacing="0"/>
        <w:ind w:left="-426" w:right="-518"/>
        <w:contextualSpacing/>
        <w:jc w:val="center"/>
        <w:rPr>
          <w:rFonts w:cs="Arial"/>
          <w:sz w:val="16"/>
          <w:szCs w:val="16"/>
        </w:rPr>
      </w:pPr>
    </w:p>
    <w:p w14:paraId="16703741" w14:textId="77777777" w:rsidR="005E7CD4" w:rsidRPr="00157C43" w:rsidRDefault="005E7CD4" w:rsidP="005E7CD4">
      <w:pPr>
        <w:pStyle w:val="bullet"/>
        <w:tabs>
          <w:tab w:val="left" w:pos="8789"/>
        </w:tabs>
        <w:spacing w:before="0"/>
        <w:ind w:left="0" w:right="51" w:firstLine="0"/>
        <w:jc w:val="center"/>
        <w:rPr>
          <w:rFonts w:cs="Arial"/>
          <w:szCs w:val="24"/>
        </w:rPr>
        <w:sectPr w:rsidR="005E7CD4" w:rsidRPr="00157C43" w:rsidSect="006A6BB6">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bookmarkEnd w:id="0"/>
    <w:p w14:paraId="6A0483FD" w14:textId="77777777" w:rsidR="005E7CD4" w:rsidRPr="002C3663" w:rsidRDefault="005E7CD4" w:rsidP="005E7CD4">
      <w:pPr>
        <w:tabs>
          <w:tab w:val="left" w:pos="8789"/>
        </w:tabs>
        <w:ind w:right="51"/>
        <w:contextualSpacing/>
        <w:jc w:val="center"/>
        <w:rPr>
          <w:rStyle w:val="Hipervnculo"/>
          <w:b/>
          <w:color w:val="000000" w:themeColor="text1"/>
          <w:sz w:val="28"/>
          <w:szCs w:val="28"/>
          <w:u w:val="none"/>
          <w:lang w:val="es-ES" w:eastAsia="es-MX"/>
        </w:rPr>
      </w:pPr>
      <w:r w:rsidRPr="002C3663">
        <w:rPr>
          <w:rStyle w:val="Hipervnculo"/>
          <w:b/>
          <w:color w:val="000000" w:themeColor="text1"/>
          <w:sz w:val="28"/>
          <w:szCs w:val="28"/>
          <w:u w:val="none"/>
          <w:lang w:val="es-ES" w:eastAsia="es-MX"/>
        </w:rPr>
        <w:lastRenderedPageBreak/>
        <w:t>NOTA TÉCNICA</w:t>
      </w:r>
    </w:p>
    <w:p w14:paraId="6356FA31" w14:textId="77777777" w:rsidR="002D6584" w:rsidRPr="00A26B0B" w:rsidRDefault="002D6584" w:rsidP="00D170C1">
      <w:pPr>
        <w:pStyle w:val="Ttulo"/>
        <w:spacing w:before="240"/>
        <w:rPr>
          <w:rFonts w:cs="Arial"/>
          <w:sz w:val="28"/>
          <w:szCs w:val="28"/>
        </w:rPr>
      </w:pPr>
      <w:r w:rsidRPr="00A26B0B">
        <w:rPr>
          <w:rFonts w:cs="Arial"/>
          <w:sz w:val="28"/>
          <w:szCs w:val="28"/>
        </w:rPr>
        <w:t>INDICADORES DE OCUPACIÓN Y EMPLEO</w:t>
      </w:r>
    </w:p>
    <w:p w14:paraId="1AC91A32" w14:textId="61C12F0D" w:rsidR="002D6584" w:rsidRPr="00A26B0B" w:rsidRDefault="002D6584" w:rsidP="00D8006A">
      <w:pPr>
        <w:pStyle w:val="Subttulo"/>
        <w:rPr>
          <w:sz w:val="26"/>
          <w:szCs w:val="26"/>
        </w:rPr>
      </w:pPr>
      <w:r w:rsidRPr="00A26B0B">
        <w:rPr>
          <w:sz w:val="26"/>
          <w:szCs w:val="26"/>
        </w:rPr>
        <w:t xml:space="preserve">CIFRAS OPORTUNAS DURANTE </w:t>
      </w:r>
      <w:r w:rsidR="00D213E2">
        <w:rPr>
          <w:sz w:val="26"/>
          <w:szCs w:val="26"/>
        </w:rPr>
        <w:t>SEPTIEMBRE</w:t>
      </w:r>
      <w:r w:rsidR="00D669D8">
        <w:rPr>
          <w:sz w:val="26"/>
          <w:szCs w:val="26"/>
        </w:rPr>
        <w:t xml:space="preserve"> </w:t>
      </w:r>
      <w:r w:rsidRPr="00A26B0B">
        <w:rPr>
          <w:sz w:val="26"/>
          <w:szCs w:val="26"/>
        </w:rPr>
        <w:t>DE 201</w:t>
      </w:r>
      <w:r w:rsidR="00C97229" w:rsidRPr="00A26B0B">
        <w:rPr>
          <w:sz w:val="26"/>
          <w:szCs w:val="26"/>
        </w:rPr>
        <w:t>9</w:t>
      </w:r>
      <w:r w:rsidR="002A5417" w:rsidRPr="00A26B0B">
        <w:rPr>
          <w:rStyle w:val="Refdenotaalpie"/>
          <w:spacing w:val="10"/>
          <w:sz w:val="26"/>
          <w:szCs w:val="26"/>
        </w:rPr>
        <w:footnoteReference w:id="2"/>
      </w:r>
    </w:p>
    <w:p w14:paraId="2FFEB553" w14:textId="77777777" w:rsidR="002D6584" w:rsidRPr="00A26B0B" w:rsidRDefault="002D6584" w:rsidP="002D6584">
      <w:pPr>
        <w:pStyle w:val="Subttulo"/>
        <w:rPr>
          <w:i/>
          <w:szCs w:val="26"/>
        </w:rPr>
      </w:pPr>
      <w:r w:rsidRPr="00A26B0B">
        <w:rPr>
          <w:i/>
          <w:szCs w:val="26"/>
        </w:rPr>
        <w:t>(Cifras desestacionalizadas)</w:t>
      </w:r>
    </w:p>
    <w:p w14:paraId="50E08022" w14:textId="49484A8B" w:rsidR="00C03D0F" w:rsidRDefault="00C03D0F">
      <w:pPr>
        <w:jc w:val="left"/>
        <w:rPr>
          <w:sz w:val="20"/>
        </w:rPr>
      </w:pPr>
    </w:p>
    <w:p w14:paraId="1AFC0DD5" w14:textId="79A49AD4" w:rsidR="002D6584" w:rsidRPr="00A26B0B" w:rsidRDefault="002D6584" w:rsidP="00013957">
      <w:pPr>
        <w:widowControl w:val="0"/>
        <w:spacing w:before="240"/>
        <w:rPr>
          <w:lang w:val="es-ES"/>
        </w:rPr>
      </w:pPr>
      <w:r w:rsidRPr="00A26B0B">
        <w:rPr>
          <w:lang w:val="es-ES"/>
        </w:rPr>
        <w:t xml:space="preserve">Con base en la Encuesta Nacional de Ocupación y Empleo (ENOE) que levanta el INEGI en todo el país, a </w:t>
      </w:r>
      <w:proofErr w:type="gramStart"/>
      <w:r w:rsidRPr="00A26B0B">
        <w:rPr>
          <w:lang w:val="es-ES"/>
        </w:rPr>
        <w:t>continuación</w:t>
      </w:r>
      <w:proofErr w:type="gramEnd"/>
      <w:r w:rsidRPr="00A26B0B">
        <w:rPr>
          <w:lang w:val="es-ES"/>
        </w:rPr>
        <w:t xml:space="preserve"> se </w:t>
      </w:r>
      <w:r w:rsidR="00BB76A8" w:rsidRPr="00A26B0B">
        <w:rPr>
          <w:lang w:val="es-ES"/>
        </w:rPr>
        <w:t>muestra</w:t>
      </w:r>
      <w:r w:rsidRPr="00A26B0B">
        <w:rPr>
          <w:lang w:val="es-ES"/>
        </w:rPr>
        <w:t xml:space="preserve">n los resultados preliminares más relevantes sobre la ocupación y el empleo </w:t>
      </w:r>
      <w:r w:rsidR="00D82644" w:rsidRPr="00A26B0B">
        <w:rPr>
          <w:lang w:val="es-ES"/>
        </w:rPr>
        <w:t xml:space="preserve">durante </w:t>
      </w:r>
      <w:r w:rsidR="00D213E2">
        <w:rPr>
          <w:lang w:val="es-ES"/>
        </w:rPr>
        <w:t>septiembre</w:t>
      </w:r>
      <w:r w:rsidR="00E4600C" w:rsidRPr="00A26B0B">
        <w:rPr>
          <w:lang w:val="es-ES"/>
        </w:rPr>
        <w:t xml:space="preserve"> </w:t>
      </w:r>
      <w:r w:rsidR="0011062D" w:rsidRPr="00A26B0B">
        <w:rPr>
          <w:lang w:val="es-ES"/>
        </w:rPr>
        <w:t>de 201</w:t>
      </w:r>
      <w:r w:rsidR="0004454F" w:rsidRPr="00A26B0B">
        <w:rPr>
          <w:lang w:val="es-ES"/>
        </w:rPr>
        <w:t>9</w:t>
      </w:r>
      <w:r w:rsidRPr="00A26B0B">
        <w:rPr>
          <w:lang w:val="es-ES"/>
        </w:rPr>
        <w:t>.</w:t>
      </w:r>
    </w:p>
    <w:p w14:paraId="52AB6E42" w14:textId="77777777" w:rsidR="002D6584" w:rsidRPr="00A26B0B" w:rsidRDefault="002D6584" w:rsidP="00D170C1">
      <w:pPr>
        <w:widowControl w:val="0"/>
        <w:spacing w:before="360"/>
        <w:rPr>
          <w:b/>
          <w:i/>
          <w:lang w:val="es-ES"/>
        </w:rPr>
      </w:pPr>
      <w:r w:rsidRPr="00A26B0B">
        <w:rPr>
          <w:b/>
          <w:i/>
          <w:lang w:val="es-ES"/>
        </w:rPr>
        <w:t>Composición de la población de 15 años y más</w:t>
      </w:r>
    </w:p>
    <w:p w14:paraId="15B1B791" w14:textId="77777777" w:rsidR="002D6584" w:rsidRPr="00A26B0B" w:rsidRDefault="002D6584" w:rsidP="002D6584">
      <w:pPr>
        <w:widowControl w:val="0"/>
        <w:spacing w:before="200"/>
      </w:pPr>
      <w:r w:rsidRPr="00A26B0B">
        <w:t>En el esquema de la ENOE se considera a la población en edad de trabajar como aquella de quince años en adelante.</w:t>
      </w:r>
    </w:p>
    <w:p w14:paraId="5DDBE421" w14:textId="2893EE57" w:rsidR="002D6584" w:rsidRPr="00A26B0B" w:rsidRDefault="002D6584" w:rsidP="00F744FA">
      <w:pPr>
        <w:keepLines/>
        <w:widowControl w:val="0"/>
        <w:spacing w:before="200"/>
        <w:rPr>
          <w:lang w:val="es-ES"/>
        </w:rPr>
      </w:pPr>
      <w:r w:rsidRPr="00A26B0B">
        <w:t>Bajo este esquema, lo</w:t>
      </w:r>
      <w:r w:rsidRPr="00A26B0B">
        <w:rPr>
          <w:lang w:val="es-ES"/>
        </w:rPr>
        <w:t xml:space="preserve">s datos preliminares indican que </w:t>
      </w:r>
      <w:r w:rsidR="00DB32EE">
        <w:rPr>
          <w:lang w:val="es-ES"/>
        </w:rPr>
        <w:t>60</w:t>
      </w:r>
      <w:r w:rsidR="00A73A6E">
        <w:rPr>
          <w:lang w:val="es-ES"/>
        </w:rPr>
        <w:t>.2</w:t>
      </w:r>
      <w:r w:rsidRPr="00A26B0B">
        <w:rPr>
          <w:lang w:val="es-ES"/>
        </w:rPr>
        <w:t xml:space="preserve">% de la población de 15 años y más es económicamente activa (está ocupada o busca estarlo); dicha </w:t>
      </w:r>
      <w:r w:rsidR="00966DBE" w:rsidRPr="00A26B0B">
        <w:rPr>
          <w:lang w:val="es-ES"/>
        </w:rPr>
        <w:t xml:space="preserve">proporción </w:t>
      </w:r>
      <w:r w:rsidR="00A73A6E">
        <w:rPr>
          <w:lang w:val="es-ES"/>
        </w:rPr>
        <w:t>aument</w:t>
      </w:r>
      <w:r w:rsidR="0078100A">
        <w:rPr>
          <w:lang w:val="es-ES"/>
        </w:rPr>
        <w:t xml:space="preserve">ó </w:t>
      </w:r>
      <w:r w:rsidR="00DB32EE">
        <w:rPr>
          <w:lang w:val="es-ES"/>
        </w:rPr>
        <w:t xml:space="preserve">en </w:t>
      </w:r>
      <w:r w:rsidR="00A622F1" w:rsidRPr="00A26B0B">
        <w:rPr>
          <w:lang w:val="es-ES"/>
        </w:rPr>
        <w:t>0.</w:t>
      </w:r>
      <w:r w:rsidR="0078100A">
        <w:rPr>
          <w:lang w:val="es-ES"/>
        </w:rPr>
        <w:t>1</w:t>
      </w:r>
      <w:r w:rsidR="00A622F1" w:rsidRPr="00A26B0B">
        <w:rPr>
          <w:lang w:val="es-ES"/>
        </w:rPr>
        <w:t xml:space="preserve"> puntos porcentuales</w:t>
      </w:r>
      <w:r w:rsidR="0045210D" w:rsidRPr="00A26B0B">
        <w:rPr>
          <w:lang w:val="es-ES"/>
        </w:rPr>
        <w:t xml:space="preserve"> </w:t>
      </w:r>
      <w:r w:rsidR="00250D92" w:rsidRPr="00A26B0B">
        <w:t xml:space="preserve">en </w:t>
      </w:r>
      <w:r w:rsidR="00E4600C" w:rsidRPr="00A26B0B">
        <w:t xml:space="preserve">el </w:t>
      </w:r>
      <w:r w:rsidR="00D213E2">
        <w:t>noven</w:t>
      </w:r>
      <w:r w:rsidR="00925128">
        <w:t>o</w:t>
      </w:r>
      <w:r w:rsidR="00E4600C" w:rsidRPr="00A26B0B">
        <w:t xml:space="preserve"> mes </w:t>
      </w:r>
      <w:r w:rsidR="00250D92" w:rsidRPr="00A26B0B">
        <w:t>de</w:t>
      </w:r>
      <w:r w:rsidR="00D213E2">
        <w:t>l</w:t>
      </w:r>
      <w:r w:rsidR="00B219CA" w:rsidRPr="00A26B0B">
        <w:t xml:space="preserve"> año</w:t>
      </w:r>
      <w:r w:rsidR="0045210D" w:rsidRPr="00A26B0B">
        <w:t xml:space="preserve"> </w:t>
      </w:r>
      <w:r w:rsidR="00D213E2">
        <w:t xml:space="preserve">en curso </w:t>
      </w:r>
      <w:r w:rsidR="00D9781C">
        <w:rPr>
          <w:lang w:val="es-ES"/>
        </w:rPr>
        <w:t xml:space="preserve">con relación </w:t>
      </w:r>
      <w:r w:rsidR="0045210D" w:rsidRPr="00A26B0B">
        <w:rPr>
          <w:lang w:val="es-ES"/>
        </w:rPr>
        <w:t xml:space="preserve">a </w:t>
      </w:r>
      <w:r w:rsidR="00D82644" w:rsidRPr="00A26B0B">
        <w:rPr>
          <w:lang w:val="es-ES"/>
        </w:rPr>
        <w:t>la de</w:t>
      </w:r>
      <w:r w:rsidR="00E4600C" w:rsidRPr="00A26B0B">
        <w:rPr>
          <w:lang w:val="es-ES"/>
        </w:rPr>
        <w:t>l</w:t>
      </w:r>
      <w:r w:rsidR="00250D92" w:rsidRPr="00A26B0B">
        <w:rPr>
          <w:lang w:val="es-ES"/>
        </w:rPr>
        <w:t xml:space="preserve"> </w:t>
      </w:r>
      <w:r w:rsidR="00B219CA" w:rsidRPr="00A26B0B">
        <w:rPr>
          <w:lang w:val="es-ES"/>
        </w:rPr>
        <w:t xml:space="preserve">mes </w:t>
      </w:r>
      <w:r w:rsidR="00E4600C" w:rsidRPr="00A26B0B">
        <w:rPr>
          <w:lang w:val="es-ES"/>
        </w:rPr>
        <w:t>que le precede</w:t>
      </w:r>
      <w:r w:rsidR="00A73A6E">
        <w:rPr>
          <w:lang w:val="es-ES"/>
        </w:rPr>
        <w:t xml:space="preserve"> y en</w:t>
      </w:r>
      <w:r w:rsidR="00F8033F" w:rsidRPr="00A26B0B">
        <w:rPr>
          <w:lang w:val="es-ES"/>
        </w:rPr>
        <w:t xml:space="preserve"> 0.</w:t>
      </w:r>
      <w:r w:rsidR="00A73A6E">
        <w:rPr>
          <w:lang w:val="es-ES"/>
        </w:rPr>
        <w:t>6</w:t>
      </w:r>
      <w:r w:rsidR="00F8033F" w:rsidRPr="00A26B0B">
        <w:rPr>
          <w:lang w:val="es-ES"/>
        </w:rPr>
        <w:t xml:space="preserve"> puntos porcentuales frente a la de </w:t>
      </w:r>
      <w:r w:rsidR="00DD7BDE">
        <w:rPr>
          <w:lang w:val="es-ES"/>
        </w:rPr>
        <w:t>septiembre</w:t>
      </w:r>
      <w:r w:rsidR="009C2DEC">
        <w:rPr>
          <w:lang w:val="es-ES"/>
        </w:rPr>
        <w:t xml:space="preserve"> de </w:t>
      </w:r>
      <w:r w:rsidR="00F8033F" w:rsidRPr="00A26B0B">
        <w:rPr>
          <w:lang w:val="es-ES"/>
        </w:rPr>
        <w:t>un año antes</w:t>
      </w:r>
      <w:r w:rsidR="00966DBE" w:rsidRPr="00A26B0B">
        <w:rPr>
          <w:lang w:val="es-ES"/>
        </w:rPr>
        <w:t>,</w:t>
      </w:r>
      <w:r w:rsidRPr="00A26B0B">
        <w:rPr>
          <w:lang w:val="es-ES"/>
        </w:rPr>
        <w:t xml:space="preserve"> según cifras desestacionalizadas. El resto se dedica al hogar, estudia, está jubilado o pensionado, tiene impedimentos personales o lleva a cabo otras actividades (población no económicamente activa).</w:t>
      </w:r>
      <w:r w:rsidR="00F8033F" w:rsidRPr="00A26B0B">
        <w:rPr>
          <w:lang w:val="es-ES"/>
        </w:rPr>
        <w:t xml:space="preserve"> </w:t>
      </w:r>
      <w:r w:rsidR="00BD5B7F" w:rsidRPr="00A26B0B">
        <w:rPr>
          <w:lang w:val="es-ES"/>
        </w:rPr>
        <w:t>Respecto a l</w:t>
      </w:r>
      <w:r w:rsidR="00F8033F" w:rsidRPr="00A26B0B">
        <w:rPr>
          <w:lang w:val="es-ES"/>
        </w:rPr>
        <w:t xml:space="preserve">a </w:t>
      </w:r>
      <w:r w:rsidR="000430B9">
        <w:rPr>
          <w:lang w:val="es-ES"/>
        </w:rPr>
        <w:t>t</w:t>
      </w:r>
      <w:r w:rsidR="00F8033F" w:rsidRPr="00A26B0B">
        <w:rPr>
          <w:lang w:val="es-ES"/>
        </w:rPr>
        <w:t xml:space="preserve">asa de </w:t>
      </w:r>
      <w:r w:rsidR="000430B9">
        <w:rPr>
          <w:lang w:val="es-ES"/>
        </w:rPr>
        <w:t>p</w:t>
      </w:r>
      <w:r w:rsidR="00F8033F" w:rsidRPr="00A26B0B">
        <w:rPr>
          <w:lang w:val="es-ES"/>
        </w:rPr>
        <w:t>articipación del agregado urbano</w:t>
      </w:r>
      <w:r w:rsidR="004C1F18" w:rsidRPr="00A2621F">
        <w:rPr>
          <w:szCs w:val="23"/>
          <w:vertAlign w:val="superscript"/>
        </w:rPr>
        <w:footnoteReference w:id="3"/>
      </w:r>
      <w:r w:rsidR="00F8033F" w:rsidRPr="00A26B0B">
        <w:rPr>
          <w:lang w:val="es-ES"/>
        </w:rPr>
        <w:t xml:space="preserve">, </w:t>
      </w:r>
      <w:r w:rsidR="00BD5B7F" w:rsidRPr="00A26B0B">
        <w:rPr>
          <w:lang w:val="es-ES"/>
        </w:rPr>
        <w:t>ésta se ubicó en 6</w:t>
      </w:r>
      <w:r w:rsidR="00963D4E">
        <w:rPr>
          <w:lang w:val="es-ES"/>
        </w:rPr>
        <w:t>1</w:t>
      </w:r>
      <w:r w:rsidR="00F8033F" w:rsidRPr="00A26B0B">
        <w:rPr>
          <w:lang w:val="es-ES"/>
        </w:rPr>
        <w:t>%</w:t>
      </w:r>
      <w:r w:rsidR="00BD5B7F" w:rsidRPr="00A26B0B">
        <w:rPr>
          <w:lang w:val="es-ES"/>
        </w:rPr>
        <w:t xml:space="preserve">, </w:t>
      </w:r>
      <w:r w:rsidR="004C1F18">
        <w:rPr>
          <w:lang w:val="es-ES"/>
        </w:rPr>
        <w:t xml:space="preserve">cifra </w:t>
      </w:r>
      <w:r w:rsidR="00DD7BDE">
        <w:rPr>
          <w:lang w:val="es-ES"/>
        </w:rPr>
        <w:t>men</w:t>
      </w:r>
      <w:r w:rsidR="00DB32EE">
        <w:rPr>
          <w:lang w:val="es-ES"/>
        </w:rPr>
        <w:t xml:space="preserve">or </w:t>
      </w:r>
      <w:r w:rsidR="000430B9">
        <w:rPr>
          <w:lang w:val="es-ES"/>
        </w:rPr>
        <w:t xml:space="preserve">en </w:t>
      </w:r>
      <w:r w:rsidR="00DD7BDE">
        <w:rPr>
          <w:lang w:val="es-ES"/>
        </w:rPr>
        <w:t>(</w:t>
      </w:r>
      <w:r w:rsidR="00DD7BDE">
        <w:rPr>
          <w:lang w:val="es-ES"/>
        </w:rPr>
        <w:noBreakHyphen/>
        <w:t>)</w:t>
      </w:r>
      <w:r w:rsidR="000430B9">
        <w:rPr>
          <w:lang w:val="es-ES"/>
        </w:rPr>
        <w:t>0.</w:t>
      </w:r>
      <w:r w:rsidR="00DD7BDE">
        <w:rPr>
          <w:lang w:val="es-ES"/>
        </w:rPr>
        <w:t>1</w:t>
      </w:r>
      <w:r w:rsidR="000430B9">
        <w:rPr>
          <w:lang w:val="es-ES"/>
        </w:rPr>
        <w:t xml:space="preserve"> puntos porcentuales a la del mes previo y en </w:t>
      </w:r>
      <w:r w:rsidR="00963D4E">
        <w:rPr>
          <w:lang w:val="es-ES"/>
        </w:rPr>
        <w:t xml:space="preserve">su comparación anual no </w:t>
      </w:r>
      <w:r w:rsidR="00D47358">
        <w:rPr>
          <w:lang w:val="es-ES"/>
        </w:rPr>
        <w:t>regis</w:t>
      </w:r>
      <w:r w:rsidR="00963D4E">
        <w:rPr>
          <w:lang w:val="es-ES"/>
        </w:rPr>
        <w:t>t</w:t>
      </w:r>
      <w:r w:rsidR="00D47358">
        <w:rPr>
          <w:lang w:val="es-ES"/>
        </w:rPr>
        <w:t>r</w:t>
      </w:r>
      <w:r w:rsidR="00963D4E">
        <w:rPr>
          <w:lang w:val="es-ES"/>
        </w:rPr>
        <w:t>ó variación</w:t>
      </w:r>
      <w:r w:rsidR="00F8033F" w:rsidRPr="00A26B0B">
        <w:rPr>
          <w:lang w:val="es-ES"/>
        </w:rPr>
        <w:t>.</w:t>
      </w:r>
    </w:p>
    <w:p w14:paraId="57CBB781" w14:textId="77777777" w:rsidR="000E6E5F" w:rsidRDefault="000E6E5F">
      <w:pPr>
        <w:jc w:val="left"/>
        <w:rPr>
          <w:b/>
          <w:i/>
          <w:lang w:val="es-ES"/>
        </w:rPr>
      </w:pPr>
      <w:r>
        <w:rPr>
          <w:b/>
          <w:i/>
          <w:lang w:val="es-ES"/>
        </w:rPr>
        <w:br w:type="page"/>
      </w:r>
    </w:p>
    <w:p w14:paraId="3D4BB0D2" w14:textId="77777777" w:rsidR="002D6584" w:rsidRPr="00A26B0B" w:rsidRDefault="002D6584" w:rsidP="002D6584">
      <w:pPr>
        <w:widowControl w:val="0"/>
        <w:spacing w:before="360"/>
        <w:rPr>
          <w:b/>
          <w:i/>
          <w:lang w:val="es-ES"/>
        </w:rPr>
      </w:pPr>
      <w:r w:rsidRPr="00A26B0B">
        <w:rPr>
          <w:b/>
          <w:i/>
          <w:lang w:val="es-ES"/>
        </w:rPr>
        <w:lastRenderedPageBreak/>
        <w:t>Indicadores de la población desocupada</w:t>
      </w:r>
    </w:p>
    <w:p w14:paraId="1BCB43C7" w14:textId="6CF1402A" w:rsidR="002D6584" w:rsidRPr="00A26B0B" w:rsidRDefault="002D6584" w:rsidP="002D6584">
      <w:pPr>
        <w:pStyle w:val="Textoindependiente"/>
        <w:widowControl w:val="0"/>
        <w:spacing w:before="200"/>
        <w:rPr>
          <w:color w:val="auto"/>
        </w:rPr>
      </w:pPr>
      <w:r w:rsidRPr="00A26B0B">
        <w:rPr>
          <w:color w:val="auto"/>
          <w:lang w:val="es-ES"/>
        </w:rPr>
        <w:t>A</w:t>
      </w:r>
      <w:r w:rsidRPr="00A26B0B">
        <w:rPr>
          <w:color w:val="auto"/>
        </w:rPr>
        <w:t xml:space="preserve"> nivel nacional, la tasa de desocupación (TD)</w:t>
      </w:r>
      <w:r w:rsidR="00980A33" w:rsidRPr="00A26B0B">
        <w:rPr>
          <w:color w:val="auto"/>
        </w:rPr>
        <w:t>, la cual considera a la población que se encuentra sin trabajar, pero que está buscando trabajo,</w:t>
      </w:r>
      <w:r w:rsidRPr="00A26B0B">
        <w:rPr>
          <w:color w:val="auto"/>
        </w:rPr>
        <w:t xml:space="preserve"> </w:t>
      </w:r>
      <w:r w:rsidR="00966DBE" w:rsidRPr="00A26B0B">
        <w:rPr>
          <w:color w:val="auto"/>
        </w:rPr>
        <w:t xml:space="preserve">se </w:t>
      </w:r>
      <w:r w:rsidR="000430B9">
        <w:rPr>
          <w:color w:val="auto"/>
        </w:rPr>
        <w:t xml:space="preserve">situó </w:t>
      </w:r>
      <w:r w:rsidR="00966DBE" w:rsidRPr="00A26B0B">
        <w:rPr>
          <w:color w:val="auto"/>
        </w:rPr>
        <w:t xml:space="preserve">en </w:t>
      </w:r>
      <w:r w:rsidR="001D24A4" w:rsidRPr="00A26B0B">
        <w:rPr>
          <w:color w:val="auto"/>
        </w:rPr>
        <w:t>3.</w:t>
      </w:r>
      <w:r w:rsidR="00DD7BDE">
        <w:rPr>
          <w:color w:val="auto"/>
        </w:rPr>
        <w:t>5</w:t>
      </w:r>
      <w:r w:rsidRPr="00A26B0B">
        <w:rPr>
          <w:color w:val="auto"/>
        </w:rPr>
        <w:t xml:space="preserve">% de la PEA </w:t>
      </w:r>
      <w:r w:rsidR="005D3DD7" w:rsidRPr="00A26B0B">
        <w:rPr>
          <w:color w:val="auto"/>
        </w:rPr>
        <w:t xml:space="preserve">en </w:t>
      </w:r>
      <w:r w:rsidR="00D213E2">
        <w:rPr>
          <w:color w:val="auto"/>
        </w:rPr>
        <w:t>septiembre</w:t>
      </w:r>
      <w:r w:rsidR="0004454F" w:rsidRPr="00A26B0B">
        <w:rPr>
          <w:color w:val="auto"/>
        </w:rPr>
        <w:t xml:space="preserve"> de</w:t>
      </w:r>
      <w:r w:rsidR="00D213E2">
        <w:rPr>
          <w:color w:val="auto"/>
        </w:rPr>
        <w:t xml:space="preserve"> este año</w:t>
      </w:r>
      <w:r w:rsidRPr="00A26B0B">
        <w:rPr>
          <w:color w:val="auto"/>
        </w:rPr>
        <w:t xml:space="preserve">, </w:t>
      </w:r>
      <w:r w:rsidR="00C53450" w:rsidRPr="00A26B0B">
        <w:rPr>
          <w:color w:val="auto"/>
        </w:rPr>
        <w:t>tasa</w:t>
      </w:r>
      <w:r w:rsidR="00DE1D78" w:rsidRPr="00A26B0B">
        <w:rPr>
          <w:color w:val="auto"/>
        </w:rPr>
        <w:t xml:space="preserve"> </w:t>
      </w:r>
      <w:r w:rsidR="00E326FE">
        <w:rPr>
          <w:color w:val="auto"/>
        </w:rPr>
        <w:t xml:space="preserve">ligeramente inferior </w:t>
      </w:r>
      <w:r w:rsidR="00A0204E">
        <w:rPr>
          <w:color w:val="auto"/>
        </w:rPr>
        <w:t>a</w:t>
      </w:r>
      <w:r w:rsidR="00CE0FA0" w:rsidRPr="00A26B0B">
        <w:rPr>
          <w:color w:val="auto"/>
        </w:rPr>
        <w:t xml:space="preserve"> </w:t>
      </w:r>
      <w:r w:rsidR="00625B78" w:rsidRPr="00A26B0B">
        <w:rPr>
          <w:color w:val="auto"/>
        </w:rPr>
        <w:t xml:space="preserve">la </w:t>
      </w:r>
      <w:r w:rsidR="000430B9">
        <w:rPr>
          <w:color w:val="auto"/>
        </w:rPr>
        <w:t>d</w:t>
      </w:r>
      <w:r w:rsidR="00064D84" w:rsidRPr="00A26B0B">
        <w:rPr>
          <w:color w:val="auto"/>
        </w:rPr>
        <w:t>el mes inmediato anterior</w:t>
      </w:r>
      <w:r w:rsidR="00665DD7" w:rsidRPr="00A26B0B">
        <w:rPr>
          <w:color w:val="auto"/>
        </w:rPr>
        <w:t>,</w:t>
      </w:r>
      <w:r w:rsidR="00665DD7" w:rsidRPr="00A26B0B">
        <w:rPr>
          <w:color w:val="auto"/>
          <w:sz w:val="28"/>
        </w:rPr>
        <w:t xml:space="preserve"> </w:t>
      </w:r>
      <w:r w:rsidR="00EC123A" w:rsidRPr="00A26B0B">
        <w:rPr>
          <w:color w:val="auto"/>
          <w:lang w:val="es-ES"/>
        </w:rPr>
        <w:t xml:space="preserve">pero </w:t>
      </w:r>
      <w:r w:rsidR="00DD7BDE">
        <w:rPr>
          <w:color w:val="auto"/>
          <w:lang w:val="es-ES"/>
        </w:rPr>
        <w:t>superi</w:t>
      </w:r>
      <w:r w:rsidR="000430B9">
        <w:rPr>
          <w:color w:val="auto"/>
          <w:lang w:val="es-ES"/>
        </w:rPr>
        <w:t xml:space="preserve">or </w:t>
      </w:r>
      <w:r w:rsidR="009C2DEC">
        <w:rPr>
          <w:color w:val="auto"/>
          <w:lang w:val="es-ES"/>
        </w:rPr>
        <w:t>en 0.</w:t>
      </w:r>
      <w:r w:rsidR="00DD7BDE">
        <w:rPr>
          <w:color w:val="auto"/>
          <w:lang w:val="es-ES"/>
        </w:rPr>
        <w:t>2</w:t>
      </w:r>
      <w:r w:rsidR="009C2DEC">
        <w:rPr>
          <w:color w:val="auto"/>
          <w:lang w:val="es-ES"/>
        </w:rPr>
        <w:t xml:space="preserve"> puntos porcentuales </w:t>
      </w:r>
      <w:r w:rsidR="00C832D7">
        <w:rPr>
          <w:color w:val="auto"/>
          <w:lang w:val="es-ES"/>
        </w:rPr>
        <w:t xml:space="preserve">respecto </w:t>
      </w:r>
      <w:r w:rsidR="009C2DEC">
        <w:rPr>
          <w:color w:val="auto"/>
          <w:lang w:val="es-ES"/>
        </w:rPr>
        <w:t xml:space="preserve">a </w:t>
      </w:r>
      <w:r w:rsidR="00EC123A" w:rsidRPr="00A26B0B">
        <w:rPr>
          <w:color w:val="auto"/>
          <w:lang w:val="es-ES"/>
        </w:rPr>
        <w:t>la de</w:t>
      </w:r>
      <w:r w:rsidR="00A5432D">
        <w:rPr>
          <w:color w:val="auto"/>
          <w:lang w:val="es-ES"/>
        </w:rPr>
        <w:t>l mismo mes de</w:t>
      </w:r>
      <w:r w:rsidR="00EC123A" w:rsidRPr="00A26B0B">
        <w:rPr>
          <w:color w:val="auto"/>
          <w:lang w:val="es-ES"/>
        </w:rPr>
        <w:t xml:space="preserve"> un año antes</w:t>
      </w:r>
      <w:r w:rsidR="00EC123A" w:rsidRPr="00A26B0B">
        <w:rPr>
          <w:color w:val="auto"/>
          <w:spacing w:val="10"/>
          <w:szCs w:val="22"/>
        </w:rPr>
        <w:t>,</w:t>
      </w:r>
      <w:r w:rsidR="00BD5B7F" w:rsidRPr="00A26B0B">
        <w:rPr>
          <w:color w:val="auto"/>
          <w:spacing w:val="10"/>
          <w:szCs w:val="22"/>
        </w:rPr>
        <w:t xml:space="preserve"> </w:t>
      </w:r>
      <w:r w:rsidR="00665DD7" w:rsidRPr="00A26B0B">
        <w:rPr>
          <w:color w:val="auto"/>
        </w:rPr>
        <w:t xml:space="preserve">con </w:t>
      </w:r>
      <w:r w:rsidR="00891077" w:rsidRPr="00A26B0B">
        <w:rPr>
          <w:color w:val="auto"/>
        </w:rPr>
        <w:t>series</w:t>
      </w:r>
      <w:r w:rsidR="00665DD7" w:rsidRPr="00A26B0B">
        <w:rPr>
          <w:color w:val="auto"/>
        </w:rPr>
        <w:t xml:space="preserve"> ajustadas por estacionalidad</w:t>
      </w:r>
      <w:r w:rsidR="00814E44" w:rsidRPr="00A26B0B">
        <w:rPr>
          <w:color w:val="auto"/>
        </w:rPr>
        <w:t>.</w:t>
      </w:r>
    </w:p>
    <w:p w14:paraId="5FF3FAD0" w14:textId="77777777" w:rsidR="002D6584" w:rsidRPr="00A26B0B" w:rsidRDefault="002D6584" w:rsidP="00F744FA">
      <w:pPr>
        <w:pStyle w:val="n0"/>
        <w:keepLines w:val="0"/>
        <w:widowControl w:val="0"/>
        <w:ind w:left="0" w:right="0" w:firstLine="0"/>
        <w:jc w:val="center"/>
        <w:rPr>
          <w:color w:val="auto"/>
          <w:sz w:val="20"/>
        </w:rPr>
      </w:pPr>
      <w:r w:rsidRPr="00A26B0B">
        <w:rPr>
          <w:color w:val="auto"/>
          <w:sz w:val="20"/>
        </w:rPr>
        <w:t>Gráfica 1</w:t>
      </w:r>
    </w:p>
    <w:p w14:paraId="2DE9EF61" w14:textId="2F7FA97D" w:rsidR="002D6584" w:rsidRPr="00A26B0B" w:rsidRDefault="002D6584" w:rsidP="00020F65">
      <w:pPr>
        <w:pStyle w:val="n0"/>
        <w:keepLines w:val="0"/>
        <w:widowControl w:val="0"/>
        <w:spacing w:before="0"/>
        <w:ind w:left="0" w:right="0" w:firstLine="0"/>
        <w:jc w:val="center"/>
        <w:rPr>
          <w:b/>
          <w:smallCaps/>
          <w:color w:val="auto"/>
          <w:sz w:val="22"/>
        </w:rPr>
      </w:pPr>
      <w:r w:rsidRPr="00A26B0B">
        <w:rPr>
          <w:b/>
          <w:smallCaps/>
          <w:color w:val="auto"/>
          <w:sz w:val="22"/>
        </w:rPr>
        <w:t xml:space="preserve">Tasa de desocupación nacional </w:t>
      </w:r>
      <w:r w:rsidR="00DC66D2">
        <w:rPr>
          <w:b/>
          <w:smallCaps/>
          <w:color w:val="auto"/>
          <w:sz w:val="22"/>
        </w:rPr>
        <w:t>a</w:t>
      </w:r>
      <w:r w:rsidR="00D213E2">
        <w:rPr>
          <w:b/>
          <w:smallCaps/>
          <w:color w:val="auto"/>
          <w:sz w:val="22"/>
        </w:rPr>
        <w:t xml:space="preserve"> septiembre</w:t>
      </w:r>
      <w:r w:rsidR="00517D9C" w:rsidRPr="00A26B0B">
        <w:rPr>
          <w:b/>
          <w:smallCaps/>
          <w:color w:val="auto"/>
          <w:sz w:val="22"/>
        </w:rPr>
        <w:t xml:space="preserve"> </w:t>
      </w:r>
      <w:r w:rsidRPr="00A26B0B">
        <w:rPr>
          <w:b/>
          <w:smallCaps/>
          <w:color w:val="auto"/>
          <w:sz w:val="22"/>
        </w:rPr>
        <w:t>de 201</w:t>
      </w:r>
      <w:r w:rsidR="0004454F" w:rsidRPr="00A26B0B">
        <w:rPr>
          <w:b/>
          <w:smallCaps/>
          <w:color w:val="auto"/>
          <w:sz w:val="22"/>
        </w:rPr>
        <w:t>9</w:t>
      </w:r>
    </w:p>
    <w:p w14:paraId="029132B6" w14:textId="77777777" w:rsidR="002D6584" w:rsidRPr="00A26B0B" w:rsidRDefault="002D6584" w:rsidP="00020F65">
      <w:pPr>
        <w:pStyle w:val="n0"/>
        <w:keepLines w:val="0"/>
        <w:widowControl w:val="0"/>
        <w:spacing w:before="0"/>
        <w:ind w:left="0" w:right="0" w:firstLine="0"/>
        <w:jc w:val="center"/>
        <w:rPr>
          <w:b/>
          <w:smallCaps/>
          <w:color w:val="auto"/>
          <w:sz w:val="22"/>
        </w:rPr>
      </w:pPr>
      <w:r w:rsidRPr="00A26B0B">
        <w:rPr>
          <w:b/>
          <w:smallCaps/>
          <w:color w:val="auto"/>
          <w:sz w:val="22"/>
        </w:rPr>
        <w:t>Series desestacionalizada y de tendencia-ciclo</w:t>
      </w:r>
    </w:p>
    <w:p w14:paraId="175314C3" w14:textId="77777777" w:rsidR="002D6584" w:rsidRPr="00A26B0B" w:rsidRDefault="002D6584" w:rsidP="00020F65">
      <w:pPr>
        <w:pStyle w:val="n0"/>
        <w:keepLines w:val="0"/>
        <w:widowControl w:val="0"/>
        <w:spacing w:before="0"/>
        <w:ind w:left="0" w:right="0" w:firstLine="0"/>
        <w:jc w:val="center"/>
        <w:rPr>
          <w:color w:val="auto"/>
          <w:sz w:val="20"/>
        </w:rPr>
      </w:pPr>
      <w:r w:rsidRPr="00A26B0B">
        <w:rPr>
          <w:color w:val="auto"/>
          <w:sz w:val="20"/>
        </w:rPr>
        <w:t>(</w:t>
      </w:r>
      <w:r w:rsidRPr="00A26B0B">
        <w:rPr>
          <w:color w:val="auto"/>
          <w:sz w:val="18"/>
          <w:szCs w:val="18"/>
        </w:rPr>
        <w:t>Porcentaje de la PEA</w:t>
      </w:r>
      <w:r w:rsidRPr="00A26B0B">
        <w:rPr>
          <w:color w:val="auto"/>
          <w:sz w:val="20"/>
        </w:rPr>
        <w:t>)</w:t>
      </w:r>
    </w:p>
    <w:p w14:paraId="6950297F" w14:textId="5A9A77CF" w:rsidR="002D6584" w:rsidRPr="00A26B0B" w:rsidRDefault="007D4FD4" w:rsidP="00020F65">
      <w:pPr>
        <w:pStyle w:val="p0"/>
        <w:keepLines w:val="0"/>
        <w:spacing w:before="0"/>
        <w:jc w:val="center"/>
        <w:rPr>
          <w:rFonts w:ascii="Arial" w:hAnsi="Arial"/>
          <w:i/>
          <w:color w:val="auto"/>
          <w:lang w:val="es-MX"/>
        </w:rPr>
      </w:pPr>
      <w:r>
        <w:rPr>
          <w:noProof/>
          <w:lang w:val="es-MX" w:eastAsia="es-MX"/>
        </w:rPr>
        <w:drawing>
          <wp:inline distT="0" distB="0" distL="0" distR="0" wp14:anchorId="061E9018" wp14:editId="02EDA5B3">
            <wp:extent cx="4320000" cy="2528908"/>
            <wp:effectExtent l="0" t="0" r="23495" b="2413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354E7DF" w14:textId="77777777" w:rsidR="002D6584" w:rsidRPr="00A26B0B" w:rsidRDefault="002D6584" w:rsidP="00020F65">
      <w:pPr>
        <w:pStyle w:val="n0"/>
        <w:keepLines w:val="0"/>
        <w:widowControl w:val="0"/>
        <w:spacing w:before="20"/>
        <w:ind w:left="434" w:right="10" w:firstLine="966"/>
        <w:jc w:val="left"/>
        <w:rPr>
          <w:color w:val="auto"/>
          <w:sz w:val="16"/>
          <w:szCs w:val="16"/>
        </w:rPr>
      </w:pPr>
      <w:r w:rsidRPr="00A26B0B">
        <w:rPr>
          <w:color w:val="auto"/>
          <w:sz w:val="16"/>
          <w:szCs w:val="16"/>
        </w:rPr>
        <w:t>Fuente: INEGI.</w:t>
      </w:r>
    </w:p>
    <w:p w14:paraId="2B501DB8" w14:textId="3F29B43C" w:rsidR="00404682" w:rsidRPr="00A26B0B" w:rsidRDefault="00404682" w:rsidP="00306FCF">
      <w:pPr>
        <w:pStyle w:val="Textoindependiente"/>
        <w:widowControl w:val="0"/>
        <w:spacing w:before="360"/>
        <w:rPr>
          <w:color w:val="auto"/>
          <w:szCs w:val="23"/>
        </w:rPr>
      </w:pPr>
      <w:r w:rsidRPr="00A460ED">
        <w:rPr>
          <w:color w:val="auto"/>
          <w:spacing w:val="-2"/>
        </w:rPr>
        <w:t>Por sexo</w:t>
      </w:r>
      <w:r w:rsidR="00CB7007" w:rsidRPr="00A460ED">
        <w:rPr>
          <w:color w:val="auto"/>
          <w:spacing w:val="-2"/>
        </w:rPr>
        <w:t>,</w:t>
      </w:r>
      <w:r w:rsidRPr="00A460ED">
        <w:rPr>
          <w:color w:val="auto"/>
          <w:spacing w:val="-2"/>
        </w:rPr>
        <w:t xml:space="preserve"> la TD </w:t>
      </w:r>
      <w:r w:rsidR="000430B9" w:rsidRPr="00A460ED">
        <w:rPr>
          <w:color w:val="auto"/>
          <w:spacing w:val="-2"/>
        </w:rPr>
        <w:t>en los hombres se estableció en 3.</w:t>
      </w:r>
      <w:r w:rsidR="00DD7BDE">
        <w:rPr>
          <w:color w:val="auto"/>
          <w:spacing w:val="-2"/>
        </w:rPr>
        <w:t>6</w:t>
      </w:r>
      <w:r w:rsidR="000430B9" w:rsidRPr="00A460ED">
        <w:rPr>
          <w:color w:val="auto"/>
          <w:spacing w:val="-2"/>
        </w:rPr>
        <w:t>%</w:t>
      </w:r>
      <w:r w:rsidR="00A460ED" w:rsidRPr="00A460ED">
        <w:rPr>
          <w:color w:val="auto"/>
          <w:spacing w:val="-2"/>
        </w:rPr>
        <w:t xml:space="preserve">, </w:t>
      </w:r>
      <w:r w:rsidR="0072131C">
        <w:rPr>
          <w:color w:val="auto"/>
          <w:spacing w:val="-2"/>
        </w:rPr>
        <w:t xml:space="preserve">tasa </w:t>
      </w:r>
      <w:r w:rsidR="00E326FE">
        <w:rPr>
          <w:color w:val="auto"/>
          <w:spacing w:val="-2"/>
        </w:rPr>
        <w:t>men</w:t>
      </w:r>
      <w:r w:rsidR="00A460ED" w:rsidRPr="00A460ED">
        <w:rPr>
          <w:color w:val="auto"/>
          <w:spacing w:val="-2"/>
        </w:rPr>
        <w:t xml:space="preserve">or en </w:t>
      </w:r>
      <w:r w:rsidR="00DD7BDE">
        <w:rPr>
          <w:color w:val="auto"/>
          <w:spacing w:val="-2"/>
        </w:rPr>
        <w:t>(</w:t>
      </w:r>
      <w:r w:rsidR="00DD7BDE">
        <w:rPr>
          <w:color w:val="auto"/>
          <w:spacing w:val="-2"/>
        </w:rPr>
        <w:noBreakHyphen/>
        <w:t>)</w:t>
      </w:r>
      <w:r w:rsidR="00A460ED" w:rsidRPr="00A460ED">
        <w:rPr>
          <w:color w:val="auto"/>
          <w:spacing w:val="-2"/>
        </w:rPr>
        <w:t>0.</w:t>
      </w:r>
      <w:r w:rsidR="00B417B4">
        <w:rPr>
          <w:color w:val="auto"/>
          <w:spacing w:val="-2"/>
        </w:rPr>
        <w:t>3</w:t>
      </w:r>
      <w:r w:rsidR="00A460ED" w:rsidRPr="00A460ED">
        <w:rPr>
          <w:color w:val="auto"/>
          <w:spacing w:val="-2"/>
        </w:rPr>
        <w:t xml:space="preserve"> puntos porcentuales </w:t>
      </w:r>
      <w:r w:rsidR="00CB7007" w:rsidRPr="00A460ED">
        <w:rPr>
          <w:color w:val="auto"/>
          <w:spacing w:val="-2"/>
        </w:rPr>
        <w:t xml:space="preserve">a la del mes precedente, y en las mujeres </w:t>
      </w:r>
      <w:r w:rsidR="005F4582">
        <w:rPr>
          <w:color w:val="auto"/>
          <w:spacing w:val="-2"/>
        </w:rPr>
        <w:t xml:space="preserve">fue de </w:t>
      </w:r>
      <w:r w:rsidR="00CB7007" w:rsidRPr="00A460ED">
        <w:rPr>
          <w:color w:val="auto"/>
          <w:spacing w:val="-2"/>
        </w:rPr>
        <w:t>3.</w:t>
      </w:r>
      <w:r w:rsidR="00DD7BDE">
        <w:rPr>
          <w:color w:val="auto"/>
          <w:spacing w:val="-2"/>
        </w:rPr>
        <w:t>5</w:t>
      </w:r>
      <w:r w:rsidR="00CB7007" w:rsidRPr="00A460ED">
        <w:rPr>
          <w:color w:val="auto"/>
          <w:spacing w:val="-2"/>
        </w:rPr>
        <w:t>%</w:t>
      </w:r>
      <w:r w:rsidR="00A460ED" w:rsidRPr="00A460ED">
        <w:rPr>
          <w:color w:val="auto"/>
          <w:spacing w:val="-2"/>
        </w:rPr>
        <w:t xml:space="preserve">, tasa </w:t>
      </w:r>
      <w:r w:rsidR="00DD7BDE">
        <w:rPr>
          <w:color w:val="auto"/>
          <w:spacing w:val="-2"/>
        </w:rPr>
        <w:t>may</w:t>
      </w:r>
      <w:r w:rsidR="00B417B4">
        <w:rPr>
          <w:color w:val="auto"/>
          <w:spacing w:val="-2"/>
        </w:rPr>
        <w:t xml:space="preserve">or en </w:t>
      </w:r>
      <w:r w:rsidR="00DD7BDE">
        <w:rPr>
          <w:color w:val="auto"/>
        </w:rPr>
        <w:br/>
      </w:r>
      <w:r w:rsidR="00DD7BDE">
        <w:rPr>
          <w:color w:val="auto"/>
          <w:spacing w:val="-2"/>
        </w:rPr>
        <w:t>0.3</w:t>
      </w:r>
      <w:r w:rsidR="00B417B4">
        <w:rPr>
          <w:color w:val="auto"/>
          <w:spacing w:val="-2"/>
        </w:rPr>
        <w:t xml:space="preserve"> </w:t>
      </w:r>
      <w:r w:rsidR="00B417B4" w:rsidRPr="00A460ED">
        <w:rPr>
          <w:color w:val="auto"/>
          <w:spacing w:val="-2"/>
        </w:rPr>
        <w:t xml:space="preserve">puntos porcentuales </w:t>
      </w:r>
      <w:r w:rsidR="00A0204E">
        <w:rPr>
          <w:color w:val="auto"/>
          <w:spacing w:val="-2"/>
        </w:rPr>
        <w:t>en igual periodo</w:t>
      </w:r>
      <w:r w:rsidR="0072131C">
        <w:rPr>
          <w:color w:val="auto"/>
          <w:spacing w:val="-2"/>
        </w:rPr>
        <w:t xml:space="preserve"> de comparación</w:t>
      </w:r>
      <w:r w:rsidR="00CB7007" w:rsidRPr="00A26B0B">
        <w:rPr>
          <w:color w:val="auto"/>
        </w:rPr>
        <w:t>.</w:t>
      </w:r>
      <w:r w:rsidR="006E2CE7" w:rsidRPr="00A26B0B">
        <w:rPr>
          <w:color w:val="auto"/>
        </w:rPr>
        <w:t xml:space="preserve"> </w:t>
      </w:r>
    </w:p>
    <w:p w14:paraId="3B90EF2A" w14:textId="0A35A3CA" w:rsidR="00857261" w:rsidRPr="00A26B0B" w:rsidRDefault="00F973D6" w:rsidP="00F744FA">
      <w:pPr>
        <w:pStyle w:val="Textoindependiente"/>
        <w:keepLines/>
        <w:widowControl w:val="0"/>
        <w:spacing w:before="360"/>
        <w:rPr>
          <w:color w:val="auto"/>
          <w:szCs w:val="23"/>
        </w:rPr>
      </w:pPr>
      <w:r w:rsidRPr="00A26B0B">
        <w:rPr>
          <w:color w:val="auto"/>
          <w:szCs w:val="23"/>
        </w:rPr>
        <w:t xml:space="preserve">En particular, al considerar solamente </w:t>
      </w:r>
      <w:r w:rsidRPr="00A2621F">
        <w:rPr>
          <w:color w:val="auto"/>
          <w:szCs w:val="23"/>
        </w:rPr>
        <w:t xml:space="preserve">el </w:t>
      </w:r>
      <w:r w:rsidR="000E6E5F" w:rsidRPr="00A2621F">
        <w:rPr>
          <w:color w:val="auto"/>
          <w:szCs w:val="23"/>
        </w:rPr>
        <w:t xml:space="preserve">agregado urbano de </w:t>
      </w:r>
      <w:r w:rsidRPr="00A2621F">
        <w:rPr>
          <w:color w:val="auto"/>
          <w:szCs w:val="23"/>
        </w:rPr>
        <w:t xml:space="preserve">32 </w:t>
      </w:r>
      <w:r w:rsidR="000E6E5F" w:rsidRPr="00A2621F">
        <w:rPr>
          <w:color w:val="auto"/>
          <w:szCs w:val="23"/>
        </w:rPr>
        <w:t>ciudades</w:t>
      </w:r>
      <w:r w:rsidR="00DC7604" w:rsidRPr="00A2621F">
        <w:rPr>
          <w:color w:val="auto"/>
          <w:szCs w:val="23"/>
        </w:rPr>
        <w:t xml:space="preserve"> del país</w:t>
      </w:r>
      <w:r w:rsidRPr="00A2621F">
        <w:rPr>
          <w:color w:val="auto"/>
          <w:szCs w:val="23"/>
        </w:rPr>
        <w:t>, en donde el mercado de trabajo está más organizado,</w:t>
      </w:r>
      <w:r w:rsidRPr="00A26B0B">
        <w:rPr>
          <w:color w:val="auto"/>
          <w:szCs w:val="23"/>
        </w:rPr>
        <w:t xml:space="preserve"> la desocupación en este ámbito </w:t>
      </w:r>
      <w:r w:rsidR="002E1377" w:rsidRPr="00A26B0B">
        <w:rPr>
          <w:color w:val="auto"/>
          <w:szCs w:val="23"/>
        </w:rPr>
        <w:t xml:space="preserve">se ubicó en </w:t>
      </w:r>
      <w:r w:rsidR="00CB7007" w:rsidRPr="00A26B0B">
        <w:rPr>
          <w:color w:val="auto"/>
          <w:szCs w:val="23"/>
        </w:rPr>
        <w:t>4.</w:t>
      </w:r>
      <w:r w:rsidR="00B417B4">
        <w:rPr>
          <w:color w:val="auto"/>
          <w:szCs w:val="23"/>
        </w:rPr>
        <w:t>1</w:t>
      </w:r>
      <w:r w:rsidRPr="00A26B0B">
        <w:rPr>
          <w:color w:val="auto"/>
          <w:szCs w:val="23"/>
        </w:rPr>
        <w:t xml:space="preserve">% de la PEA en </w:t>
      </w:r>
      <w:r w:rsidR="00D213E2">
        <w:rPr>
          <w:color w:val="auto"/>
          <w:szCs w:val="23"/>
        </w:rPr>
        <w:t>septiembre</w:t>
      </w:r>
      <w:r w:rsidR="00CB7007" w:rsidRPr="00A26B0B">
        <w:rPr>
          <w:color w:val="auto"/>
          <w:szCs w:val="23"/>
        </w:rPr>
        <w:t xml:space="preserve"> </w:t>
      </w:r>
      <w:r w:rsidR="00064D84" w:rsidRPr="00A26B0B">
        <w:rPr>
          <w:color w:val="auto"/>
          <w:szCs w:val="23"/>
        </w:rPr>
        <w:t>de</w:t>
      </w:r>
      <w:r w:rsidR="00D213E2">
        <w:rPr>
          <w:color w:val="auto"/>
          <w:szCs w:val="23"/>
        </w:rPr>
        <w:t xml:space="preserve"> 2019</w:t>
      </w:r>
      <w:r w:rsidR="00A0204E">
        <w:rPr>
          <w:color w:val="auto"/>
          <w:szCs w:val="23"/>
        </w:rPr>
        <w:t>, misma</w:t>
      </w:r>
      <w:r w:rsidR="00DD7BDE">
        <w:rPr>
          <w:color w:val="auto"/>
          <w:szCs w:val="23"/>
        </w:rPr>
        <w:t xml:space="preserve"> tasa </w:t>
      </w:r>
      <w:r w:rsidR="00A0204E">
        <w:rPr>
          <w:color w:val="auto"/>
          <w:szCs w:val="23"/>
        </w:rPr>
        <w:t>que</w:t>
      </w:r>
      <w:r w:rsidR="00CB7007" w:rsidRPr="00A26B0B">
        <w:rPr>
          <w:color w:val="auto"/>
          <w:szCs w:val="23"/>
        </w:rPr>
        <w:t xml:space="preserve"> la </w:t>
      </w:r>
      <w:r w:rsidR="007A6610" w:rsidRPr="00A26B0B">
        <w:rPr>
          <w:color w:val="auto"/>
          <w:szCs w:val="23"/>
        </w:rPr>
        <w:t>de</w:t>
      </w:r>
      <w:r w:rsidR="00A93F54" w:rsidRPr="00A26B0B">
        <w:rPr>
          <w:color w:val="auto"/>
          <w:szCs w:val="23"/>
        </w:rPr>
        <w:t xml:space="preserve"> </w:t>
      </w:r>
      <w:r w:rsidR="00CB7007" w:rsidRPr="00A26B0B">
        <w:rPr>
          <w:color w:val="auto"/>
          <w:szCs w:val="23"/>
        </w:rPr>
        <w:t xml:space="preserve">un </w:t>
      </w:r>
      <w:r w:rsidR="002A59CE" w:rsidRPr="00A26B0B">
        <w:rPr>
          <w:color w:val="auto"/>
          <w:szCs w:val="23"/>
        </w:rPr>
        <w:t xml:space="preserve">mes </w:t>
      </w:r>
      <w:r w:rsidR="00CB7007" w:rsidRPr="00A26B0B">
        <w:rPr>
          <w:color w:val="auto"/>
          <w:szCs w:val="23"/>
        </w:rPr>
        <w:t>antes</w:t>
      </w:r>
      <w:r w:rsidR="00A0204E">
        <w:rPr>
          <w:color w:val="auto"/>
          <w:szCs w:val="23"/>
        </w:rPr>
        <w:t xml:space="preserve"> y</w:t>
      </w:r>
      <w:r w:rsidR="00FE7ECF">
        <w:rPr>
          <w:color w:val="auto"/>
          <w:szCs w:val="23"/>
        </w:rPr>
        <w:t xml:space="preserve"> </w:t>
      </w:r>
      <w:r w:rsidR="00A0204E">
        <w:rPr>
          <w:color w:val="auto"/>
          <w:szCs w:val="23"/>
        </w:rPr>
        <w:t xml:space="preserve">superior en </w:t>
      </w:r>
      <w:r w:rsidR="00DD7BDE">
        <w:rPr>
          <w:color w:val="auto"/>
          <w:szCs w:val="23"/>
        </w:rPr>
        <w:t>0.3 puntos porcentuales</w:t>
      </w:r>
      <w:r w:rsidR="00A0204E">
        <w:rPr>
          <w:color w:val="auto"/>
          <w:szCs w:val="23"/>
        </w:rPr>
        <w:t xml:space="preserve"> a la de</w:t>
      </w:r>
      <w:r w:rsidR="0072131C">
        <w:rPr>
          <w:color w:val="auto"/>
          <w:szCs w:val="23"/>
        </w:rPr>
        <w:t>l noveno mes</w:t>
      </w:r>
      <w:r w:rsidR="00A0204E">
        <w:rPr>
          <w:color w:val="auto"/>
          <w:szCs w:val="23"/>
        </w:rPr>
        <w:t xml:space="preserve"> de 2018</w:t>
      </w:r>
      <w:r w:rsidR="000E1625" w:rsidRPr="00A26B0B">
        <w:rPr>
          <w:color w:val="auto"/>
          <w:szCs w:val="23"/>
        </w:rPr>
        <w:t>,</w:t>
      </w:r>
      <w:r w:rsidRPr="00A26B0B">
        <w:rPr>
          <w:color w:val="auto"/>
          <w:szCs w:val="23"/>
        </w:rPr>
        <w:t xml:space="preserve"> con </w:t>
      </w:r>
      <w:r w:rsidR="000A101A" w:rsidRPr="00A26B0B">
        <w:rPr>
          <w:color w:val="auto"/>
          <w:szCs w:val="23"/>
        </w:rPr>
        <w:t>series</w:t>
      </w:r>
      <w:r w:rsidRPr="00A26B0B">
        <w:rPr>
          <w:color w:val="auto"/>
          <w:szCs w:val="23"/>
        </w:rPr>
        <w:t xml:space="preserve"> ajustadas por estacionalidad</w:t>
      </w:r>
      <w:r w:rsidR="002D6584" w:rsidRPr="00A26B0B">
        <w:rPr>
          <w:color w:val="auto"/>
          <w:szCs w:val="23"/>
        </w:rPr>
        <w:t>.</w:t>
      </w:r>
    </w:p>
    <w:p w14:paraId="4233F77F" w14:textId="77777777" w:rsidR="00D170C1" w:rsidRDefault="00D170C1">
      <w:pPr>
        <w:jc w:val="left"/>
        <w:rPr>
          <w:sz w:val="20"/>
        </w:rPr>
      </w:pPr>
      <w:r>
        <w:rPr>
          <w:sz w:val="20"/>
        </w:rPr>
        <w:br w:type="page"/>
      </w:r>
    </w:p>
    <w:p w14:paraId="5EAAA9C9" w14:textId="77777777" w:rsidR="002D6584" w:rsidRPr="00A26B0B" w:rsidRDefault="002D6584" w:rsidP="00BD5B7F">
      <w:pPr>
        <w:spacing w:before="240"/>
        <w:jc w:val="center"/>
      </w:pPr>
      <w:r w:rsidRPr="00A26B0B">
        <w:rPr>
          <w:sz w:val="20"/>
        </w:rPr>
        <w:lastRenderedPageBreak/>
        <w:t>Cuadro 2</w:t>
      </w:r>
    </w:p>
    <w:p w14:paraId="54407E60" w14:textId="0E19A53F" w:rsidR="002D6584" w:rsidRPr="00A26B0B" w:rsidRDefault="002D6584" w:rsidP="002D6584">
      <w:pPr>
        <w:pStyle w:val="n01"/>
        <w:keepLines w:val="0"/>
        <w:widowControl w:val="0"/>
        <w:spacing w:before="0"/>
        <w:ind w:left="0" w:firstLine="0"/>
        <w:jc w:val="center"/>
        <w:rPr>
          <w:rFonts w:ascii="Arial" w:hAnsi="Arial"/>
          <w:color w:val="auto"/>
          <w:sz w:val="22"/>
          <w:szCs w:val="22"/>
        </w:rPr>
      </w:pPr>
      <w:r w:rsidRPr="00A26B0B">
        <w:rPr>
          <w:rFonts w:ascii="Arial" w:hAnsi="Arial"/>
          <w:b/>
          <w:smallCaps/>
          <w:color w:val="auto"/>
          <w:sz w:val="22"/>
          <w:szCs w:val="22"/>
        </w:rPr>
        <w:t xml:space="preserve">Tasa de desocupación por sexo, durante </w:t>
      </w:r>
      <w:r w:rsidR="00D213E2">
        <w:rPr>
          <w:rFonts w:ascii="Arial" w:hAnsi="Arial"/>
          <w:b/>
          <w:smallCaps/>
          <w:color w:val="auto"/>
          <w:sz w:val="22"/>
          <w:szCs w:val="22"/>
        </w:rPr>
        <w:t>septiembre</w:t>
      </w:r>
      <w:r w:rsidRPr="00A26B0B">
        <w:rPr>
          <w:rFonts w:ascii="Arial" w:hAnsi="Arial"/>
          <w:b/>
          <w:smallCaps/>
          <w:color w:val="auto"/>
          <w:sz w:val="22"/>
          <w:szCs w:val="22"/>
        </w:rPr>
        <w:t xml:space="preserve"> de 201</w:t>
      </w:r>
      <w:r w:rsidR="0004454F" w:rsidRPr="00A26B0B">
        <w:rPr>
          <w:rFonts w:ascii="Arial" w:hAnsi="Arial"/>
          <w:b/>
          <w:smallCaps/>
          <w:color w:val="auto"/>
          <w:sz w:val="22"/>
          <w:szCs w:val="22"/>
        </w:rPr>
        <w:t>9</w:t>
      </w:r>
    </w:p>
    <w:p w14:paraId="493D1A77" w14:textId="77777777" w:rsidR="002D6584" w:rsidRPr="00A26B0B" w:rsidRDefault="002D6584" w:rsidP="002D6584">
      <w:pPr>
        <w:pStyle w:val="n0"/>
        <w:keepLines w:val="0"/>
        <w:widowControl w:val="0"/>
        <w:spacing w:before="0"/>
        <w:ind w:left="0" w:right="0" w:firstLine="0"/>
        <w:jc w:val="center"/>
        <w:rPr>
          <w:b/>
          <w:smallCaps/>
          <w:color w:val="auto"/>
          <w:sz w:val="22"/>
          <w:szCs w:val="18"/>
        </w:rPr>
      </w:pPr>
      <w:r w:rsidRPr="00A26B0B">
        <w:rPr>
          <w:b/>
          <w:smallCaps/>
          <w:color w:val="auto"/>
          <w:sz w:val="22"/>
          <w:szCs w:val="18"/>
        </w:rPr>
        <w:t>Cifras desestacionalizadas</w:t>
      </w:r>
    </w:p>
    <w:tbl>
      <w:tblPr>
        <w:tblW w:w="6794" w:type="dxa"/>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CellMar>
          <w:left w:w="10" w:type="dxa"/>
          <w:right w:w="10" w:type="dxa"/>
        </w:tblCellMar>
        <w:tblLook w:val="04A0" w:firstRow="1" w:lastRow="0" w:firstColumn="1" w:lastColumn="0" w:noHBand="0" w:noVBand="1"/>
      </w:tblPr>
      <w:tblGrid>
        <w:gridCol w:w="3210"/>
        <w:gridCol w:w="1092"/>
        <w:gridCol w:w="1246"/>
        <w:gridCol w:w="1246"/>
      </w:tblGrid>
      <w:tr w:rsidR="00A26B0B" w:rsidRPr="00A26B0B" w14:paraId="06C5D713" w14:textId="77777777" w:rsidTr="005F3C41">
        <w:trPr>
          <w:trHeight w:val="454"/>
          <w:jc w:val="center"/>
        </w:trPr>
        <w:tc>
          <w:tcPr>
            <w:tcW w:w="3210" w:type="dxa"/>
            <w:vMerge w:val="restart"/>
            <w:tcBorders>
              <w:top w:val="single" w:sz="8"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482D2F28" w14:textId="77777777" w:rsidR="002D6584" w:rsidRPr="00A26B0B" w:rsidRDefault="002D6584" w:rsidP="005F3C41">
            <w:pPr>
              <w:pStyle w:val="Normal1"/>
              <w:widowControl w:val="0"/>
              <w:ind w:left="557"/>
              <w:rPr>
                <w:rFonts w:ascii="Arial" w:hAnsi="Arial" w:cs="Arial"/>
                <w:sz w:val="18"/>
                <w:szCs w:val="18"/>
                <w:lang w:val="es-MX"/>
              </w:rPr>
            </w:pPr>
            <w:r w:rsidRPr="00A26B0B">
              <w:rPr>
                <w:rFonts w:ascii="Arial" w:hAnsi="Arial" w:cs="Arial"/>
                <w:sz w:val="18"/>
                <w:szCs w:val="18"/>
                <w:lang w:val="es-MX"/>
              </w:rPr>
              <w:t>Concepto</w:t>
            </w:r>
          </w:p>
        </w:tc>
        <w:tc>
          <w:tcPr>
            <w:tcW w:w="1092"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0876E8E7" w14:textId="77777777" w:rsidR="002D6584" w:rsidRPr="00A26B0B" w:rsidRDefault="002D6584" w:rsidP="005F3C41">
            <w:pPr>
              <w:pStyle w:val="Predeterminado"/>
              <w:widowControl w:val="0"/>
              <w:tabs>
                <w:tab w:val="clear" w:pos="510"/>
              </w:tabs>
              <w:spacing w:after="0" w:line="240" w:lineRule="auto"/>
              <w:ind w:left="-108" w:right="-94"/>
              <w:jc w:val="center"/>
              <w:rPr>
                <w:rFonts w:ascii="Arial" w:hAnsi="Arial" w:cs="Arial"/>
                <w:color w:val="auto"/>
                <w:sz w:val="18"/>
                <w:szCs w:val="18"/>
              </w:rPr>
            </w:pPr>
            <w:r w:rsidRPr="00A26B0B">
              <w:rPr>
                <w:rFonts w:ascii="Arial" w:hAnsi="Arial" w:cs="Arial"/>
                <w:color w:val="auto"/>
                <w:sz w:val="18"/>
                <w:szCs w:val="18"/>
              </w:rPr>
              <w:t>Porcentaje</w:t>
            </w:r>
            <w:r w:rsidR="008D64D9" w:rsidRPr="00A26B0B">
              <w:rPr>
                <w:rFonts w:ascii="Arial" w:hAnsi="Arial" w:cs="Arial"/>
                <w:color w:val="auto"/>
                <w:sz w:val="18"/>
                <w:szCs w:val="18"/>
              </w:rPr>
              <w:t xml:space="preserve"> respecto a la PEA</w:t>
            </w:r>
          </w:p>
        </w:tc>
        <w:tc>
          <w:tcPr>
            <w:tcW w:w="2492" w:type="dxa"/>
            <w:gridSpan w:val="2"/>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tcPr>
          <w:p w14:paraId="54D19173" w14:textId="77777777" w:rsidR="002D6584" w:rsidRPr="00A26B0B"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A26B0B">
              <w:rPr>
                <w:rFonts w:ascii="Arial" w:hAnsi="Arial" w:cs="Arial"/>
                <w:color w:val="auto"/>
                <w:sz w:val="18"/>
                <w:szCs w:val="18"/>
              </w:rPr>
              <w:t>Diferencia en puntos porcentuales respecto a:</w:t>
            </w:r>
          </w:p>
        </w:tc>
      </w:tr>
      <w:tr w:rsidR="00A26B0B" w:rsidRPr="00A26B0B" w14:paraId="545B5684" w14:textId="77777777" w:rsidTr="005F3C41">
        <w:trPr>
          <w:trHeight w:val="454"/>
          <w:jc w:val="center"/>
        </w:trPr>
        <w:tc>
          <w:tcPr>
            <w:tcW w:w="3210" w:type="dxa"/>
            <w:vMerge/>
            <w:tcBorders>
              <w:top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6ED8B5C3" w14:textId="77777777" w:rsidR="002D6584" w:rsidRPr="00A26B0B" w:rsidRDefault="002D6584" w:rsidP="005F3C41">
            <w:pPr>
              <w:pStyle w:val="Normal1"/>
              <w:widowControl w:val="0"/>
              <w:ind w:left="557"/>
              <w:rPr>
                <w:rFonts w:ascii="Arial" w:hAnsi="Arial" w:cs="Arial"/>
                <w:sz w:val="18"/>
                <w:szCs w:val="18"/>
                <w:lang w:val="es-MX"/>
              </w:rPr>
            </w:pPr>
          </w:p>
        </w:tc>
        <w:tc>
          <w:tcPr>
            <w:tcW w:w="1092"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0AC1ED15" w14:textId="77777777" w:rsidR="002D6584" w:rsidRPr="00A26B0B" w:rsidRDefault="002D6584" w:rsidP="005F3C41">
            <w:pPr>
              <w:pStyle w:val="Predeterminado"/>
              <w:widowControl w:val="0"/>
              <w:spacing w:after="0" w:line="240" w:lineRule="auto"/>
              <w:jc w:val="center"/>
              <w:rPr>
                <w:rFonts w:ascii="Arial" w:hAnsi="Arial" w:cs="Arial"/>
                <w:color w:val="auto"/>
                <w:sz w:val="18"/>
                <w:szCs w:val="18"/>
              </w:rPr>
            </w:pPr>
          </w:p>
        </w:tc>
        <w:tc>
          <w:tcPr>
            <w:tcW w:w="1246"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4CB10031" w14:textId="77777777" w:rsidR="002D6584" w:rsidRPr="00A26B0B"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A26B0B">
              <w:rPr>
                <w:rFonts w:ascii="Arial" w:hAnsi="Arial" w:cs="Arial"/>
                <w:color w:val="auto"/>
                <w:sz w:val="18"/>
                <w:szCs w:val="18"/>
              </w:rPr>
              <w:t>Mes inmediato anterior</w:t>
            </w:r>
          </w:p>
        </w:tc>
        <w:tc>
          <w:tcPr>
            <w:tcW w:w="1246"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vAlign w:val="center"/>
          </w:tcPr>
          <w:p w14:paraId="3D612F2B" w14:textId="77777777" w:rsidR="002D6584" w:rsidRPr="00A26B0B"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A26B0B">
              <w:rPr>
                <w:rFonts w:ascii="Arial" w:hAnsi="Arial" w:cs="Arial"/>
                <w:color w:val="auto"/>
                <w:sz w:val="18"/>
                <w:szCs w:val="18"/>
              </w:rPr>
              <w:t>Igual mes del año anterior</w:t>
            </w:r>
          </w:p>
        </w:tc>
      </w:tr>
      <w:tr w:rsidR="000D2AF7" w:rsidRPr="00A26B0B" w14:paraId="3F2D5C2A" w14:textId="77777777" w:rsidTr="000D2AF7">
        <w:trPr>
          <w:trHeight w:val="227"/>
          <w:jc w:val="center"/>
        </w:trPr>
        <w:tc>
          <w:tcPr>
            <w:tcW w:w="3210" w:type="dxa"/>
            <w:tcBorders>
              <w:top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F12F43F" w14:textId="77777777" w:rsidR="000D2AF7" w:rsidRPr="00A26B0B" w:rsidRDefault="000D2AF7" w:rsidP="000D2AF7">
            <w:pPr>
              <w:pStyle w:val="Predeterminado"/>
              <w:widowControl w:val="0"/>
              <w:suppressAutoHyphens w:val="0"/>
              <w:spacing w:after="0" w:line="240" w:lineRule="auto"/>
              <w:rPr>
                <w:rFonts w:ascii="Arial" w:hAnsi="Arial" w:cs="Arial"/>
                <w:b/>
                <w:color w:val="auto"/>
                <w:sz w:val="18"/>
                <w:szCs w:val="18"/>
              </w:rPr>
            </w:pPr>
            <w:r w:rsidRPr="00A26B0B">
              <w:rPr>
                <w:rFonts w:ascii="Arial" w:hAnsi="Arial" w:cs="Arial"/>
                <w:b/>
                <w:color w:val="auto"/>
                <w:sz w:val="18"/>
                <w:szCs w:val="18"/>
              </w:rPr>
              <w:t>Nacional:</w:t>
            </w:r>
          </w:p>
        </w:tc>
        <w:tc>
          <w:tcPr>
            <w:tcW w:w="1092"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530FD1D" w14:textId="77777777" w:rsidR="000D2AF7" w:rsidRPr="000D2AF7" w:rsidRDefault="000D2AF7" w:rsidP="001C7901">
            <w:pPr>
              <w:tabs>
                <w:tab w:val="decimal" w:pos="382"/>
              </w:tabs>
              <w:jc w:val="left"/>
              <w:rPr>
                <w:color w:val="000000"/>
                <w:sz w:val="18"/>
                <w:szCs w:val="22"/>
                <w:lang w:val="es-MX" w:eastAsia="es-MX"/>
              </w:rPr>
            </w:pPr>
            <w:r w:rsidRPr="000D2AF7">
              <w:rPr>
                <w:color w:val="000000"/>
                <w:sz w:val="18"/>
                <w:szCs w:val="22"/>
              </w:rPr>
              <w:t> </w:t>
            </w:r>
          </w:p>
        </w:tc>
        <w:tc>
          <w:tcPr>
            <w:tcW w:w="1246" w:type="dxa"/>
            <w:tcBorders>
              <w:top w:val="single" w:sz="6" w:space="0" w:color="1F497D" w:themeColor="text2"/>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636B0E69" w14:textId="77777777" w:rsidR="000D2AF7" w:rsidRPr="000D2AF7" w:rsidRDefault="000D2AF7" w:rsidP="000D2AF7">
            <w:pPr>
              <w:tabs>
                <w:tab w:val="decimal" w:pos="366"/>
              </w:tabs>
              <w:jc w:val="left"/>
              <w:rPr>
                <w:color w:val="000000"/>
                <w:sz w:val="18"/>
                <w:szCs w:val="22"/>
              </w:rPr>
            </w:pPr>
            <w:r w:rsidRPr="000D2AF7">
              <w:rPr>
                <w:color w:val="000000"/>
                <w:sz w:val="18"/>
                <w:szCs w:val="22"/>
              </w:rPr>
              <w:t> </w:t>
            </w:r>
          </w:p>
        </w:tc>
        <w:tc>
          <w:tcPr>
            <w:tcW w:w="1246" w:type="dxa"/>
            <w:tcBorders>
              <w:top w:val="single" w:sz="6" w:space="0" w:color="1F497D" w:themeColor="text2"/>
              <w:bottom w:val="single" w:sz="4" w:space="0" w:color="C6D9F1" w:themeColor="text2" w:themeTint="33"/>
            </w:tcBorders>
            <w:shd w:val="clear" w:color="auto" w:fill="auto"/>
            <w:vAlign w:val="center"/>
          </w:tcPr>
          <w:p w14:paraId="1D14B9EC" w14:textId="77777777" w:rsidR="000D2AF7" w:rsidRPr="000D2AF7" w:rsidRDefault="000D2AF7" w:rsidP="001C7901">
            <w:pPr>
              <w:tabs>
                <w:tab w:val="decimal" w:pos="592"/>
              </w:tabs>
              <w:jc w:val="left"/>
              <w:rPr>
                <w:color w:val="000000"/>
                <w:sz w:val="18"/>
                <w:szCs w:val="22"/>
              </w:rPr>
            </w:pPr>
            <w:r w:rsidRPr="000D2AF7">
              <w:rPr>
                <w:color w:val="000000"/>
                <w:sz w:val="18"/>
                <w:szCs w:val="22"/>
              </w:rPr>
              <w:t> </w:t>
            </w:r>
          </w:p>
        </w:tc>
      </w:tr>
      <w:tr w:rsidR="007F017D" w:rsidRPr="00A26B0B" w14:paraId="65943095" w14:textId="77777777" w:rsidTr="007F017D">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A359165" w14:textId="77777777" w:rsidR="007F017D" w:rsidRPr="00A26B0B" w:rsidRDefault="007F017D" w:rsidP="007F017D">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Tasa de Desocupación</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417BD3E" w14:textId="738C8307" w:rsidR="007F017D" w:rsidRPr="00B417B4" w:rsidRDefault="007F017D" w:rsidP="007F017D">
            <w:pPr>
              <w:tabs>
                <w:tab w:val="decimal" w:pos="382"/>
              </w:tabs>
              <w:jc w:val="left"/>
              <w:rPr>
                <w:color w:val="000000"/>
                <w:sz w:val="18"/>
                <w:szCs w:val="22"/>
                <w:lang w:val="es-MX" w:eastAsia="es-MX"/>
              </w:rPr>
            </w:pPr>
            <w:r>
              <w:rPr>
                <w:color w:val="000000"/>
                <w:sz w:val="18"/>
                <w:szCs w:val="18"/>
              </w:rPr>
              <w:t>3.5</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1DC39611" w14:textId="77777777" w:rsidR="007F017D" w:rsidRPr="00B417B4" w:rsidRDefault="007F017D" w:rsidP="007F017D">
            <w:pPr>
              <w:tabs>
                <w:tab w:val="decimal" w:pos="592"/>
              </w:tabs>
              <w:jc w:val="left"/>
              <w:rPr>
                <w:color w:val="000000"/>
                <w:sz w:val="18"/>
                <w:szCs w:val="22"/>
              </w:rPr>
            </w:pPr>
            <w:r w:rsidRPr="00B417B4">
              <w:rPr>
                <w:color w:val="000000"/>
                <w:sz w:val="18"/>
                <w:szCs w:val="22"/>
              </w:rPr>
              <w:t>0.0</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7360D9E6" w14:textId="47D8DFF0" w:rsidR="007F017D" w:rsidRPr="00B417B4" w:rsidRDefault="007F017D" w:rsidP="007F017D">
            <w:pPr>
              <w:tabs>
                <w:tab w:val="decimal" w:pos="592"/>
              </w:tabs>
              <w:jc w:val="left"/>
              <w:rPr>
                <w:color w:val="000000"/>
                <w:sz w:val="18"/>
                <w:szCs w:val="22"/>
              </w:rPr>
            </w:pPr>
            <w:r w:rsidRPr="00B417B4">
              <w:rPr>
                <w:color w:val="000000"/>
                <w:sz w:val="18"/>
                <w:szCs w:val="22"/>
              </w:rPr>
              <w:t>0.</w:t>
            </w:r>
            <w:r>
              <w:rPr>
                <w:color w:val="000000"/>
                <w:sz w:val="18"/>
                <w:szCs w:val="22"/>
              </w:rPr>
              <w:t>2</w:t>
            </w:r>
          </w:p>
        </w:tc>
      </w:tr>
      <w:tr w:rsidR="007F017D" w:rsidRPr="00A26B0B" w14:paraId="70094B4D" w14:textId="77777777" w:rsidTr="007F017D">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118B0DB" w14:textId="77777777" w:rsidR="007F017D" w:rsidRPr="00A26B0B" w:rsidRDefault="007F017D" w:rsidP="007F017D">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TD Hombres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B45642D" w14:textId="371B9350" w:rsidR="007F017D" w:rsidRPr="00B417B4" w:rsidRDefault="007F017D" w:rsidP="007F017D">
            <w:pPr>
              <w:tabs>
                <w:tab w:val="decimal" w:pos="382"/>
              </w:tabs>
              <w:jc w:val="left"/>
              <w:rPr>
                <w:color w:val="000000"/>
                <w:sz w:val="18"/>
                <w:szCs w:val="22"/>
              </w:rPr>
            </w:pPr>
            <w:r>
              <w:rPr>
                <w:color w:val="000000"/>
                <w:sz w:val="18"/>
                <w:szCs w:val="18"/>
              </w:rPr>
              <w:t>3.6</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2020E90B" w14:textId="4837FC45" w:rsidR="007F017D" w:rsidRPr="00B417B4" w:rsidRDefault="007F017D" w:rsidP="007F017D">
            <w:pPr>
              <w:tabs>
                <w:tab w:val="left" w:pos="258"/>
                <w:tab w:val="decimal" w:pos="592"/>
              </w:tabs>
              <w:jc w:val="left"/>
              <w:rPr>
                <w:color w:val="000000"/>
                <w:sz w:val="18"/>
                <w:szCs w:val="22"/>
              </w:rPr>
            </w:pPr>
            <w:r>
              <w:rPr>
                <w:color w:val="000000"/>
                <w:sz w:val="18"/>
                <w:szCs w:val="22"/>
              </w:rPr>
              <w:tab/>
            </w:r>
            <w:r w:rsidRPr="00B417B4">
              <w:rPr>
                <w:color w:val="000000"/>
                <w:sz w:val="18"/>
                <w:szCs w:val="22"/>
              </w:rPr>
              <w:t>(-)</w:t>
            </w:r>
            <w:r>
              <w:rPr>
                <w:color w:val="000000"/>
                <w:sz w:val="18"/>
                <w:szCs w:val="22"/>
              </w:rPr>
              <w:tab/>
            </w:r>
            <w:r w:rsidRPr="00B417B4">
              <w:rPr>
                <w:color w:val="000000"/>
                <w:sz w:val="18"/>
                <w:szCs w:val="22"/>
              </w:rPr>
              <w:t>0.</w:t>
            </w:r>
            <w:r>
              <w:rPr>
                <w:color w:val="000000"/>
                <w:sz w:val="18"/>
                <w:szCs w:val="22"/>
              </w:rPr>
              <w:t>3</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2999100B" w14:textId="4C8516A4" w:rsidR="007F017D" w:rsidRPr="00B417B4" w:rsidRDefault="007F017D" w:rsidP="007F017D">
            <w:pPr>
              <w:tabs>
                <w:tab w:val="decimal" w:pos="592"/>
              </w:tabs>
              <w:jc w:val="left"/>
              <w:rPr>
                <w:color w:val="000000"/>
                <w:sz w:val="18"/>
                <w:szCs w:val="22"/>
              </w:rPr>
            </w:pPr>
            <w:r w:rsidRPr="00B417B4">
              <w:rPr>
                <w:color w:val="000000"/>
                <w:sz w:val="18"/>
                <w:szCs w:val="22"/>
              </w:rPr>
              <w:t>0.</w:t>
            </w:r>
            <w:r>
              <w:rPr>
                <w:color w:val="000000"/>
                <w:sz w:val="18"/>
                <w:szCs w:val="22"/>
              </w:rPr>
              <w:t>4</w:t>
            </w:r>
          </w:p>
        </w:tc>
      </w:tr>
      <w:tr w:rsidR="007F017D" w:rsidRPr="00A26B0B" w14:paraId="2B8B5E63" w14:textId="77777777" w:rsidTr="007F017D">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F9AAE3D" w14:textId="77777777" w:rsidR="007F017D" w:rsidRPr="00A26B0B" w:rsidRDefault="007F017D" w:rsidP="007F017D">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TD Mujeres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5C1B338C" w14:textId="6C55448F" w:rsidR="007F017D" w:rsidRPr="00B417B4" w:rsidRDefault="007F017D" w:rsidP="007F017D">
            <w:pPr>
              <w:tabs>
                <w:tab w:val="decimal" w:pos="382"/>
              </w:tabs>
              <w:jc w:val="left"/>
              <w:rPr>
                <w:color w:val="000000"/>
                <w:sz w:val="18"/>
                <w:szCs w:val="22"/>
              </w:rPr>
            </w:pPr>
            <w:r>
              <w:rPr>
                <w:color w:val="000000"/>
                <w:sz w:val="18"/>
                <w:szCs w:val="18"/>
              </w:rPr>
              <w:t>3.5</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1A957673" w14:textId="26D5B69D" w:rsidR="007F017D" w:rsidRPr="00B417B4" w:rsidRDefault="007F017D" w:rsidP="007F017D">
            <w:pPr>
              <w:tabs>
                <w:tab w:val="decimal" w:pos="592"/>
              </w:tabs>
              <w:jc w:val="left"/>
              <w:rPr>
                <w:color w:val="000000"/>
                <w:sz w:val="18"/>
                <w:szCs w:val="22"/>
              </w:rPr>
            </w:pPr>
            <w:r>
              <w:rPr>
                <w:color w:val="000000"/>
                <w:sz w:val="18"/>
                <w:szCs w:val="22"/>
              </w:rPr>
              <w:t>0.3</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72EDE587" w14:textId="694AF3E6" w:rsidR="007F017D" w:rsidRPr="00B417B4" w:rsidRDefault="007F017D" w:rsidP="007F017D">
            <w:pPr>
              <w:tabs>
                <w:tab w:val="left" w:pos="258"/>
                <w:tab w:val="decimal" w:pos="592"/>
              </w:tabs>
              <w:jc w:val="left"/>
              <w:rPr>
                <w:color w:val="000000"/>
                <w:sz w:val="18"/>
                <w:szCs w:val="22"/>
              </w:rPr>
            </w:pPr>
            <w:r>
              <w:rPr>
                <w:color w:val="000000"/>
                <w:sz w:val="18"/>
                <w:szCs w:val="22"/>
              </w:rPr>
              <w:tab/>
            </w:r>
            <w:r w:rsidRPr="00B417B4">
              <w:rPr>
                <w:color w:val="000000"/>
                <w:sz w:val="18"/>
                <w:szCs w:val="22"/>
              </w:rPr>
              <w:t>(-)</w:t>
            </w:r>
            <w:r>
              <w:rPr>
                <w:color w:val="000000"/>
                <w:sz w:val="18"/>
                <w:szCs w:val="22"/>
              </w:rPr>
              <w:tab/>
            </w:r>
            <w:r w:rsidRPr="00B417B4">
              <w:rPr>
                <w:color w:val="000000"/>
                <w:sz w:val="18"/>
                <w:szCs w:val="22"/>
              </w:rPr>
              <w:t>0.</w:t>
            </w:r>
            <w:r>
              <w:rPr>
                <w:color w:val="000000"/>
                <w:sz w:val="18"/>
                <w:szCs w:val="22"/>
              </w:rPr>
              <w:t>1</w:t>
            </w:r>
          </w:p>
        </w:tc>
      </w:tr>
      <w:tr w:rsidR="007F017D" w:rsidRPr="00A26B0B" w14:paraId="5E1AC460" w14:textId="77777777" w:rsidTr="007F017D">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1CB0B6A3" w14:textId="77777777" w:rsidR="007F017D" w:rsidRPr="00A2621F" w:rsidRDefault="007F017D" w:rsidP="007F017D">
            <w:pPr>
              <w:pStyle w:val="Predeterminado"/>
              <w:widowControl w:val="0"/>
              <w:suppressAutoHyphens w:val="0"/>
              <w:spacing w:after="0" w:line="240" w:lineRule="auto"/>
              <w:rPr>
                <w:rFonts w:ascii="Arial" w:hAnsi="Arial" w:cs="Arial"/>
                <w:b/>
                <w:color w:val="auto"/>
                <w:sz w:val="18"/>
                <w:szCs w:val="18"/>
              </w:rPr>
            </w:pPr>
            <w:r w:rsidRPr="00A2621F">
              <w:rPr>
                <w:rFonts w:ascii="Arial" w:hAnsi="Arial" w:cs="Arial"/>
                <w:b/>
                <w:color w:val="auto"/>
                <w:sz w:val="18"/>
                <w:szCs w:val="18"/>
              </w:rPr>
              <w:t>Agregado urbano de 32 ciudades: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25B474F" w14:textId="4E40643F" w:rsidR="007F017D" w:rsidRPr="00B417B4" w:rsidRDefault="007F017D" w:rsidP="007F017D">
            <w:pPr>
              <w:tabs>
                <w:tab w:val="decimal" w:pos="382"/>
              </w:tabs>
              <w:jc w:val="left"/>
              <w:rPr>
                <w:color w:val="000000"/>
                <w:sz w:val="18"/>
                <w:szCs w:val="22"/>
              </w:rPr>
            </w:pPr>
            <w:r>
              <w:rPr>
                <w:color w:val="000000"/>
                <w:sz w:val="18"/>
                <w:szCs w:val="18"/>
              </w:rPr>
              <w:t> </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42CB6F1A" w14:textId="77777777" w:rsidR="007F017D" w:rsidRPr="00B417B4" w:rsidRDefault="007F017D" w:rsidP="007F017D">
            <w:pPr>
              <w:tabs>
                <w:tab w:val="decimal" w:pos="592"/>
              </w:tabs>
              <w:jc w:val="left"/>
              <w:rPr>
                <w:color w:val="000000"/>
                <w:sz w:val="18"/>
                <w:szCs w:val="22"/>
              </w:rPr>
            </w:pPr>
            <w:r w:rsidRPr="00B417B4">
              <w:rPr>
                <w:color w:val="000000"/>
                <w:sz w:val="18"/>
                <w:szCs w:val="22"/>
              </w:rPr>
              <w:t> </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11720447" w14:textId="77777777" w:rsidR="007F017D" w:rsidRPr="00B417B4" w:rsidRDefault="007F017D" w:rsidP="007F017D">
            <w:pPr>
              <w:tabs>
                <w:tab w:val="decimal" w:pos="592"/>
              </w:tabs>
              <w:jc w:val="left"/>
              <w:rPr>
                <w:color w:val="000000"/>
                <w:sz w:val="18"/>
                <w:szCs w:val="22"/>
              </w:rPr>
            </w:pPr>
            <w:r w:rsidRPr="00B417B4">
              <w:rPr>
                <w:color w:val="000000"/>
                <w:sz w:val="18"/>
                <w:szCs w:val="22"/>
              </w:rPr>
              <w:t> </w:t>
            </w:r>
          </w:p>
        </w:tc>
      </w:tr>
      <w:tr w:rsidR="007F017D" w:rsidRPr="00A26B0B" w14:paraId="5296C47D" w14:textId="77777777" w:rsidTr="007F017D">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3EC73A3" w14:textId="77777777" w:rsidR="007F017D" w:rsidRPr="00A26B0B" w:rsidRDefault="007F017D" w:rsidP="007F017D">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Tasa de Desocupación Urbana</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611D091B" w14:textId="57C5758F" w:rsidR="007F017D" w:rsidRPr="00B417B4" w:rsidRDefault="007F017D" w:rsidP="007F017D">
            <w:pPr>
              <w:tabs>
                <w:tab w:val="decimal" w:pos="382"/>
              </w:tabs>
              <w:jc w:val="left"/>
              <w:rPr>
                <w:color w:val="000000"/>
                <w:sz w:val="18"/>
                <w:szCs w:val="22"/>
              </w:rPr>
            </w:pPr>
            <w:r>
              <w:rPr>
                <w:color w:val="000000"/>
                <w:sz w:val="18"/>
                <w:szCs w:val="18"/>
              </w:rPr>
              <w:t>4.1</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31F3494B" w14:textId="6A1A6836" w:rsidR="007F017D" w:rsidRPr="00B417B4" w:rsidRDefault="007F017D" w:rsidP="007F017D">
            <w:pPr>
              <w:tabs>
                <w:tab w:val="decimal" w:pos="592"/>
              </w:tabs>
              <w:jc w:val="left"/>
              <w:rPr>
                <w:color w:val="000000"/>
                <w:sz w:val="18"/>
                <w:szCs w:val="22"/>
              </w:rPr>
            </w:pPr>
            <w:r>
              <w:rPr>
                <w:color w:val="000000"/>
                <w:sz w:val="18"/>
                <w:szCs w:val="22"/>
              </w:rPr>
              <w:t>0.0</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5D4F9F15" w14:textId="201BF4D7" w:rsidR="007F017D" w:rsidRPr="00B417B4" w:rsidRDefault="007F017D" w:rsidP="007F017D">
            <w:pPr>
              <w:tabs>
                <w:tab w:val="decimal" w:pos="592"/>
              </w:tabs>
              <w:jc w:val="left"/>
              <w:rPr>
                <w:color w:val="000000"/>
                <w:sz w:val="18"/>
                <w:szCs w:val="22"/>
              </w:rPr>
            </w:pPr>
            <w:r w:rsidRPr="00B417B4">
              <w:rPr>
                <w:color w:val="000000"/>
                <w:sz w:val="18"/>
                <w:szCs w:val="22"/>
              </w:rPr>
              <w:t>0.</w:t>
            </w:r>
            <w:r>
              <w:rPr>
                <w:color w:val="000000"/>
                <w:sz w:val="18"/>
                <w:szCs w:val="22"/>
              </w:rPr>
              <w:t>3</w:t>
            </w:r>
          </w:p>
        </w:tc>
      </w:tr>
      <w:tr w:rsidR="007F017D" w:rsidRPr="00A26B0B" w14:paraId="52172CB9" w14:textId="77777777" w:rsidTr="007F017D">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7CFCE3C5" w14:textId="77777777" w:rsidR="007F017D" w:rsidRPr="00A26B0B" w:rsidRDefault="007F017D" w:rsidP="007F017D">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TD Urbana Hombres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CBB0025" w14:textId="0CF9B7DF" w:rsidR="007F017D" w:rsidRPr="00B417B4" w:rsidRDefault="007F017D" w:rsidP="007F017D">
            <w:pPr>
              <w:tabs>
                <w:tab w:val="decimal" w:pos="382"/>
              </w:tabs>
              <w:jc w:val="left"/>
              <w:rPr>
                <w:color w:val="000000"/>
                <w:sz w:val="18"/>
                <w:szCs w:val="22"/>
              </w:rPr>
            </w:pPr>
            <w:r>
              <w:rPr>
                <w:color w:val="000000"/>
                <w:sz w:val="18"/>
                <w:szCs w:val="18"/>
              </w:rPr>
              <w:t>4.2</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7D013D6A" w14:textId="425EAD89" w:rsidR="007F017D" w:rsidRPr="00B417B4" w:rsidRDefault="007F017D" w:rsidP="007F017D">
            <w:pPr>
              <w:tabs>
                <w:tab w:val="left" w:pos="258"/>
                <w:tab w:val="decimal" w:pos="592"/>
              </w:tabs>
              <w:jc w:val="left"/>
              <w:rPr>
                <w:color w:val="000000"/>
                <w:sz w:val="18"/>
                <w:szCs w:val="22"/>
              </w:rPr>
            </w:pPr>
            <w:r>
              <w:rPr>
                <w:color w:val="000000"/>
                <w:sz w:val="18"/>
                <w:szCs w:val="22"/>
              </w:rPr>
              <w:tab/>
              <w:t>(</w:t>
            </w:r>
            <w:r>
              <w:rPr>
                <w:color w:val="000000"/>
                <w:sz w:val="18"/>
                <w:szCs w:val="22"/>
              </w:rPr>
              <w:noBreakHyphen/>
              <w:t>)</w:t>
            </w:r>
            <w:r>
              <w:rPr>
                <w:color w:val="000000"/>
                <w:sz w:val="18"/>
                <w:szCs w:val="22"/>
              </w:rPr>
              <w:tab/>
            </w:r>
            <w:r w:rsidRPr="00B417B4">
              <w:rPr>
                <w:color w:val="000000"/>
                <w:sz w:val="18"/>
                <w:szCs w:val="22"/>
              </w:rPr>
              <w:t>0.4</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339E11A1" w14:textId="0D0DBA8B" w:rsidR="007F017D" w:rsidRPr="00B417B4" w:rsidRDefault="007F017D" w:rsidP="007F017D">
            <w:pPr>
              <w:tabs>
                <w:tab w:val="decimal" w:pos="592"/>
              </w:tabs>
              <w:jc w:val="left"/>
              <w:rPr>
                <w:color w:val="000000"/>
                <w:sz w:val="18"/>
                <w:szCs w:val="22"/>
              </w:rPr>
            </w:pPr>
            <w:r w:rsidRPr="00B417B4">
              <w:rPr>
                <w:color w:val="000000"/>
                <w:sz w:val="18"/>
                <w:szCs w:val="22"/>
              </w:rPr>
              <w:t>0.</w:t>
            </w:r>
            <w:r>
              <w:rPr>
                <w:color w:val="000000"/>
                <w:sz w:val="18"/>
                <w:szCs w:val="22"/>
              </w:rPr>
              <w:t>4</w:t>
            </w:r>
          </w:p>
        </w:tc>
      </w:tr>
      <w:tr w:rsidR="007F017D" w:rsidRPr="00A26B0B" w14:paraId="4987DF09" w14:textId="77777777" w:rsidTr="007F017D">
        <w:trPr>
          <w:trHeight w:val="227"/>
          <w:jc w:val="center"/>
        </w:trPr>
        <w:tc>
          <w:tcPr>
            <w:tcW w:w="3210" w:type="dxa"/>
            <w:tcBorders>
              <w:top w:val="single" w:sz="4" w:space="0" w:color="C6D9F1" w:themeColor="text2" w:themeTint="33"/>
              <w:bottom w:val="single" w:sz="8" w:space="0" w:color="1F497D" w:themeColor="text2"/>
              <w:right w:val="single" w:sz="6" w:space="0" w:color="1F497D" w:themeColor="text2"/>
            </w:tcBorders>
            <w:shd w:val="clear" w:color="auto" w:fill="auto"/>
            <w:tcMar>
              <w:top w:w="0" w:type="dxa"/>
              <w:left w:w="108" w:type="dxa"/>
              <w:bottom w:w="0" w:type="dxa"/>
              <w:right w:w="108" w:type="dxa"/>
            </w:tcMar>
            <w:vAlign w:val="center"/>
          </w:tcPr>
          <w:p w14:paraId="5E1B89E0" w14:textId="77777777" w:rsidR="007F017D" w:rsidRPr="00A26B0B" w:rsidRDefault="007F017D" w:rsidP="007F017D">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TD Urbana Mujeres</w:t>
            </w:r>
          </w:p>
        </w:tc>
        <w:tc>
          <w:tcPr>
            <w:tcW w:w="1092"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tcMar>
              <w:top w:w="0" w:type="dxa"/>
              <w:left w:w="108" w:type="dxa"/>
              <w:bottom w:w="0" w:type="dxa"/>
              <w:right w:w="108" w:type="dxa"/>
            </w:tcMar>
            <w:vAlign w:val="center"/>
          </w:tcPr>
          <w:p w14:paraId="618539F4" w14:textId="6B06E4FB" w:rsidR="007F017D" w:rsidRPr="00B417B4" w:rsidRDefault="007F017D" w:rsidP="007F017D">
            <w:pPr>
              <w:tabs>
                <w:tab w:val="decimal" w:pos="382"/>
              </w:tabs>
              <w:jc w:val="left"/>
              <w:rPr>
                <w:color w:val="000000"/>
                <w:sz w:val="18"/>
                <w:szCs w:val="22"/>
              </w:rPr>
            </w:pPr>
            <w:r>
              <w:rPr>
                <w:color w:val="000000"/>
                <w:sz w:val="18"/>
                <w:szCs w:val="18"/>
              </w:rPr>
              <w:t>4.0</w:t>
            </w:r>
          </w:p>
        </w:tc>
        <w:tc>
          <w:tcPr>
            <w:tcW w:w="1246" w:type="dxa"/>
            <w:tcBorders>
              <w:top w:val="single" w:sz="4" w:space="0" w:color="C6D9F1" w:themeColor="text2" w:themeTint="33"/>
              <w:left w:val="single" w:sz="6" w:space="0" w:color="1F497D" w:themeColor="text2"/>
              <w:bottom w:val="single" w:sz="8" w:space="0" w:color="1F497D" w:themeColor="text2"/>
            </w:tcBorders>
            <w:shd w:val="clear" w:color="auto" w:fill="auto"/>
            <w:tcMar>
              <w:top w:w="0" w:type="dxa"/>
              <w:left w:w="108" w:type="dxa"/>
              <w:bottom w:w="0" w:type="dxa"/>
              <w:right w:w="108" w:type="dxa"/>
            </w:tcMar>
            <w:vAlign w:val="center"/>
          </w:tcPr>
          <w:p w14:paraId="4F0D2ED7" w14:textId="23355C28" w:rsidR="007F017D" w:rsidRPr="00B417B4" w:rsidRDefault="007F017D" w:rsidP="007F017D">
            <w:pPr>
              <w:tabs>
                <w:tab w:val="decimal" w:pos="592"/>
              </w:tabs>
              <w:jc w:val="left"/>
              <w:rPr>
                <w:color w:val="000000"/>
                <w:sz w:val="18"/>
                <w:szCs w:val="22"/>
              </w:rPr>
            </w:pPr>
            <w:r w:rsidRPr="00B417B4">
              <w:rPr>
                <w:color w:val="000000"/>
                <w:sz w:val="18"/>
                <w:szCs w:val="22"/>
              </w:rPr>
              <w:t>0.</w:t>
            </w:r>
            <w:r>
              <w:rPr>
                <w:color w:val="000000"/>
                <w:sz w:val="18"/>
                <w:szCs w:val="22"/>
              </w:rPr>
              <w:t>7</w:t>
            </w:r>
          </w:p>
        </w:tc>
        <w:tc>
          <w:tcPr>
            <w:tcW w:w="1246" w:type="dxa"/>
            <w:tcBorders>
              <w:top w:val="single" w:sz="4" w:space="0" w:color="C6D9F1" w:themeColor="text2" w:themeTint="33"/>
              <w:bottom w:val="single" w:sz="8" w:space="0" w:color="1F497D" w:themeColor="text2"/>
            </w:tcBorders>
            <w:shd w:val="clear" w:color="auto" w:fill="auto"/>
            <w:vAlign w:val="center"/>
          </w:tcPr>
          <w:p w14:paraId="47CAC8D8" w14:textId="17A8C0F6" w:rsidR="007F017D" w:rsidRPr="00B417B4" w:rsidRDefault="007F017D" w:rsidP="007F017D">
            <w:pPr>
              <w:tabs>
                <w:tab w:val="decimal" w:pos="592"/>
              </w:tabs>
              <w:jc w:val="left"/>
              <w:rPr>
                <w:color w:val="000000"/>
                <w:sz w:val="18"/>
                <w:szCs w:val="22"/>
              </w:rPr>
            </w:pPr>
            <w:r>
              <w:rPr>
                <w:color w:val="000000"/>
                <w:sz w:val="18"/>
                <w:szCs w:val="22"/>
              </w:rPr>
              <w:t>0.3</w:t>
            </w:r>
          </w:p>
        </w:tc>
      </w:tr>
    </w:tbl>
    <w:p w14:paraId="7C842A91" w14:textId="77777777" w:rsidR="002A5417" w:rsidRPr="00A26B0B" w:rsidRDefault="002A5417" w:rsidP="00754A57">
      <w:pPr>
        <w:pStyle w:val="n0"/>
        <w:keepLines w:val="0"/>
        <w:widowControl w:val="0"/>
        <w:tabs>
          <w:tab w:val="left" w:pos="2114"/>
        </w:tabs>
        <w:spacing w:before="0"/>
        <w:ind w:left="2110" w:right="1327" w:hanging="692"/>
        <w:jc w:val="left"/>
        <w:rPr>
          <w:color w:val="auto"/>
          <w:sz w:val="16"/>
          <w:szCs w:val="14"/>
        </w:rPr>
      </w:pPr>
      <w:r w:rsidRPr="00A26B0B">
        <w:rPr>
          <w:color w:val="auto"/>
          <w:sz w:val="16"/>
          <w:szCs w:val="14"/>
        </w:rPr>
        <w:t>Nota:</w:t>
      </w:r>
      <w:r w:rsidRPr="00A26B0B">
        <w:rPr>
          <w:color w:val="auto"/>
          <w:sz w:val="16"/>
          <w:szCs w:val="14"/>
        </w:rPr>
        <w:tab/>
        <w:t>Las diferencias en puntos porcentuales resultan de considerar los indicadores con todos sus decimales.</w:t>
      </w:r>
    </w:p>
    <w:p w14:paraId="7561F5C2" w14:textId="77777777" w:rsidR="002D6584" w:rsidRPr="00A26B0B" w:rsidRDefault="00ED164A" w:rsidP="00EE1DCD">
      <w:pPr>
        <w:pStyle w:val="n0"/>
        <w:keepLines w:val="0"/>
        <w:widowControl w:val="0"/>
        <w:tabs>
          <w:tab w:val="left" w:pos="2114"/>
        </w:tabs>
        <w:spacing w:before="0"/>
        <w:ind w:left="2110" w:right="1327" w:hanging="692"/>
        <w:jc w:val="left"/>
        <w:rPr>
          <w:color w:val="auto"/>
          <w:sz w:val="16"/>
          <w:szCs w:val="14"/>
        </w:rPr>
      </w:pPr>
      <w:r w:rsidRPr="00A26B0B">
        <w:rPr>
          <w:color w:val="auto"/>
          <w:sz w:val="16"/>
          <w:szCs w:val="14"/>
        </w:rPr>
        <w:t>Fuente:</w:t>
      </w:r>
      <w:r w:rsidRPr="00A26B0B">
        <w:rPr>
          <w:color w:val="auto"/>
          <w:sz w:val="16"/>
          <w:szCs w:val="14"/>
        </w:rPr>
        <w:tab/>
      </w:r>
      <w:r w:rsidR="002D6584" w:rsidRPr="00A26B0B">
        <w:rPr>
          <w:color w:val="auto"/>
          <w:sz w:val="16"/>
          <w:szCs w:val="14"/>
        </w:rPr>
        <w:t>INEGI.</w:t>
      </w:r>
    </w:p>
    <w:p w14:paraId="4A1E01B2" w14:textId="77777777" w:rsidR="002D6584" w:rsidRPr="00A26B0B" w:rsidRDefault="002D6584" w:rsidP="00AB1D98">
      <w:pPr>
        <w:spacing w:before="360"/>
        <w:rPr>
          <w:b/>
          <w:i/>
          <w:lang w:val="es-ES"/>
        </w:rPr>
      </w:pPr>
      <w:r w:rsidRPr="00A26B0B">
        <w:rPr>
          <w:b/>
          <w:i/>
          <w:lang w:val="es-ES"/>
        </w:rPr>
        <w:t>Indicadores de la población subocupada</w:t>
      </w:r>
    </w:p>
    <w:p w14:paraId="7C33EAFE" w14:textId="5E970C8B" w:rsidR="002D6584" w:rsidRPr="00A26B0B" w:rsidRDefault="002D6584" w:rsidP="004A5151">
      <w:pPr>
        <w:pStyle w:val="n0"/>
        <w:keepLines w:val="0"/>
        <w:ind w:left="0" w:right="0" w:firstLine="0"/>
        <w:rPr>
          <w:color w:val="auto"/>
        </w:rPr>
      </w:pPr>
      <w:r w:rsidRPr="00A26B0B">
        <w:rPr>
          <w:color w:val="auto"/>
          <w:lang w:val="es-ES"/>
        </w:rPr>
        <w:t>La</w:t>
      </w:r>
      <w:r w:rsidRPr="00A26B0B">
        <w:rPr>
          <w:color w:val="auto"/>
        </w:rPr>
        <w:t xml:space="preserve"> información preliminar de la ENOE </w:t>
      </w:r>
      <w:r w:rsidR="008956EE" w:rsidRPr="00A26B0B">
        <w:rPr>
          <w:color w:val="auto"/>
        </w:rPr>
        <w:t>para</w:t>
      </w:r>
      <w:r w:rsidRPr="00A26B0B">
        <w:rPr>
          <w:color w:val="auto"/>
        </w:rPr>
        <w:t xml:space="preserve"> </w:t>
      </w:r>
      <w:r w:rsidR="00D213E2">
        <w:rPr>
          <w:color w:val="auto"/>
        </w:rPr>
        <w:t>septiembre</w:t>
      </w:r>
      <w:r w:rsidR="005B2A82" w:rsidRPr="00A26B0B">
        <w:rPr>
          <w:color w:val="auto"/>
        </w:rPr>
        <w:t xml:space="preserve"> de</w:t>
      </w:r>
      <w:r w:rsidR="00D213E2">
        <w:rPr>
          <w:color w:val="auto"/>
        </w:rPr>
        <w:t xml:space="preserve">l </w:t>
      </w:r>
      <w:r w:rsidR="0004454F" w:rsidRPr="00A26B0B">
        <w:rPr>
          <w:color w:val="auto"/>
        </w:rPr>
        <w:t>año</w:t>
      </w:r>
      <w:r w:rsidR="005B2A82" w:rsidRPr="00A26B0B">
        <w:rPr>
          <w:color w:val="auto"/>
        </w:rPr>
        <w:t xml:space="preserve"> </w:t>
      </w:r>
      <w:r w:rsidR="00D213E2">
        <w:rPr>
          <w:color w:val="auto"/>
        </w:rPr>
        <w:t xml:space="preserve">en curso </w:t>
      </w:r>
      <w:r w:rsidR="00354BCE" w:rsidRPr="00A26B0B">
        <w:rPr>
          <w:color w:val="auto"/>
        </w:rPr>
        <w:t xml:space="preserve">muestra </w:t>
      </w:r>
      <w:r w:rsidRPr="00A26B0B">
        <w:rPr>
          <w:color w:val="auto"/>
        </w:rPr>
        <w:t xml:space="preserve">que la población subocupada, medida como aquella que declaró tener necesidad y disponibilidad para trabajar más horas </w:t>
      </w:r>
      <w:r w:rsidR="00DF71F7">
        <w:rPr>
          <w:color w:val="auto"/>
        </w:rPr>
        <w:t xml:space="preserve">significó </w:t>
      </w:r>
      <w:r w:rsidR="00E2479E" w:rsidRPr="00A26B0B">
        <w:rPr>
          <w:color w:val="auto"/>
        </w:rPr>
        <w:t>7.</w:t>
      </w:r>
      <w:r w:rsidR="007D4FD4">
        <w:rPr>
          <w:color w:val="auto"/>
        </w:rPr>
        <w:t>8</w:t>
      </w:r>
      <w:r w:rsidRPr="00A26B0B">
        <w:rPr>
          <w:color w:val="auto"/>
        </w:rPr>
        <w:t>% de la población ocupada s</w:t>
      </w:r>
      <w:r w:rsidR="00656CD4" w:rsidRPr="00A26B0B">
        <w:rPr>
          <w:color w:val="auto"/>
        </w:rPr>
        <w:t xml:space="preserve">egún </w:t>
      </w:r>
      <w:r w:rsidR="00DD0C1F" w:rsidRPr="00A26B0B">
        <w:rPr>
          <w:color w:val="auto"/>
        </w:rPr>
        <w:t xml:space="preserve">cifras </w:t>
      </w:r>
      <w:r w:rsidR="00656CD4" w:rsidRPr="00A26B0B">
        <w:rPr>
          <w:color w:val="auto"/>
        </w:rPr>
        <w:t>desest</w:t>
      </w:r>
      <w:r w:rsidR="0047521A" w:rsidRPr="00A26B0B">
        <w:rPr>
          <w:color w:val="auto"/>
        </w:rPr>
        <w:t>acional</w:t>
      </w:r>
      <w:r w:rsidR="00AF4138" w:rsidRPr="00A26B0B">
        <w:rPr>
          <w:color w:val="auto"/>
        </w:rPr>
        <w:t>izadas</w:t>
      </w:r>
      <w:r w:rsidR="00C63393" w:rsidRPr="00A26B0B">
        <w:rPr>
          <w:color w:val="auto"/>
        </w:rPr>
        <w:t>,</w:t>
      </w:r>
      <w:r w:rsidR="009B28BC" w:rsidRPr="00A26B0B">
        <w:rPr>
          <w:color w:val="auto"/>
        </w:rPr>
        <w:t xml:space="preserve"> </w:t>
      </w:r>
      <w:r w:rsidR="00735728" w:rsidRPr="00A26B0B">
        <w:rPr>
          <w:color w:val="auto"/>
        </w:rPr>
        <w:t xml:space="preserve">tasa </w:t>
      </w:r>
      <w:r w:rsidR="007D4FD4">
        <w:rPr>
          <w:color w:val="auto"/>
        </w:rPr>
        <w:t>may</w:t>
      </w:r>
      <w:r w:rsidR="00B417B4">
        <w:rPr>
          <w:color w:val="auto"/>
        </w:rPr>
        <w:t xml:space="preserve">or en </w:t>
      </w:r>
      <w:r w:rsidR="007D4FD4">
        <w:rPr>
          <w:color w:val="auto"/>
        </w:rPr>
        <w:t>0.5</w:t>
      </w:r>
      <w:r w:rsidR="00B417B4">
        <w:rPr>
          <w:color w:val="auto"/>
        </w:rPr>
        <w:t xml:space="preserve"> puntos porcentuales a la</w:t>
      </w:r>
      <w:r w:rsidR="007A6610" w:rsidRPr="00A26B0B">
        <w:rPr>
          <w:color w:val="auto"/>
        </w:rPr>
        <w:t xml:space="preserve"> </w:t>
      </w:r>
      <w:r w:rsidR="009C2609" w:rsidRPr="00A26B0B">
        <w:rPr>
          <w:color w:val="auto"/>
        </w:rPr>
        <w:t>de</w:t>
      </w:r>
      <w:r w:rsidR="00F97124">
        <w:rPr>
          <w:color w:val="auto"/>
        </w:rPr>
        <w:t>l</w:t>
      </w:r>
      <w:r w:rsidR="00930C3B" w:rsidRPr="00A26B0B">
        <w:rPr>
          <w:color w:val="auto"/>
        </w:rPr>
        <w:t xml:space="preserve"> mes previo</w:t>
      </w:r>
      <w:r w:rsidR="007D4FD4">
        <w:rPr>
          <w:color w:val="auto"/>
        </w:rPr>
        <w:t xml:space="preserve"> y en 1.2 puntos porcentuales a la del mismo mes de 2018</w:t>
      </w:r>
      <w:r w:rsidR="00107A97" w:rsidRPr="00A26B0B">
        <w:rPr>
          <w:color w:val="auto"/>
        </w:rPr>
        <w:t>.</w:t>
      </w:r>
      <w:r w:rsidR="00BD5B7F" w:rsidRPr="00A26B0B">
        <w:rPr>
          <w:color w:val="auto"/>
        </w:rPr>
        <w:t xml:space="preserve"> </w:t>
      </w:r>
    </w:p>
    <w:p w14:paraId="6ECB109A" w14:textId="77777777" w:rsidR="002D6584" w:rsidRPr="00A26B0B" w:rsidRDefault="002D6584" w:rsidP="00AB1D98">
      <w:pPr>
        <w:pStyle w:val="n0"/>
        <w:keepLines w:val="0"/>
        <w:ind w:left="0" w:right="0" w:firstLine="0"/>
        <w:jc w:val="center"/>
        <w:rPr>
          <w:color w:val="auto"/>
          <w:sz w:val="20"/>
        </w:rPr>
      </w:pPr>
      <w:r w:rsidRPr="00A26B0B">
        <w:rPr>
          <w:color w:val="auto"/>
          <w:sz w:val="20"/>
        </w:rPr>
        <w:t>Gráfica 2</w:t>
      </w:r>
    </w:p>
    <w:p w14:paraId="7F48C75F" w14:textId="1C8A21B0" w:rsidR="002D6584" w:rsidRPr="00A26B0B" w:rsidRDefault="002D6584" w:rsidP="004A5151">
      <w:pPr>
        <w:pStyle w:val="n0"/>
        <w:keepLines w:val="0"/>
        <w:spacing w:before="0"/>
        <w:ind w:left="0" w:right="0" w:firstLine="0"/>
        <w:jc w:val="center"/>
        <w:rPr>
          <w:b/>
          <w:smallCaps/>
          <w:color w:val="auto"/>
          <w:sz w:val="22"/>
        </w:rPr>
      </w:pPr>
      <w:r w:rsidRPr="00A26B0B">
        <w:rPr>
          <w:b/>
          <w:smallCaps/>
          <w:color w:val="auto"/>
          <w:sz w:val="22"/>
        </w:rPr>
        <w:t xml:space="preserve">Tasa de subocupación </w:t>
      </w:r>
      <w:r w:rsidR="00DC66D2">
        <w:rPr>
          <w:b/>
          <w:smallCaps/>
          <w:color w:val="auto"/>
          <w:sz w:val="22"/>
        </w:rPr>
        <w:t>a</w:t>
      </w:r>
      <w:r w:rsidR="00D213E2">
        <w:rPr>
          <w:b/>
          <w:smallCaps/>
          <w:color w:val="auto"/>
          <w:sz w:val="22"/>
        </w:rPr>
        <w:t xml:space="preserve"> septiembre</w:t>
      </w:r>
      <w:r w:rsidRPr="00A26B0B">
        <w:rPr>
          <w:b/>
          <w:smallCaps/>
          <w:color w:val="auto"/>
          <w:sz w:val="22"/>
        </w:rPr>
        <w:t xml:space="preserve"> de 201</w:t>
      </w:r>
      <w:r w:rsidR="0004454F" w:rsidRPr="00A26B0B">
        <w:rPr>
          <w:b/>
          <w:smallCaps/>
          <w:color w:val="auto"/>
          <w:sz w:val="22"/>
        </w:rPr>
        <w:t>9</w:t>
      </w:r>
    </w:p>
    <w:p w14:paraId="26158937" w14:textId="77777777" w:rsidR="002D6584" w:rsidRPr="00A26B0B" w:rsidRDefault="002D6584" w:rsidP="004A5151">
      <w:pPr>
        <w:pStyle w:val="n0"/>
        <w:keepLines w:val="0"/>
        <w:spacing w:before="0"/>
        <w:ind w:left="0" w:right="0" w:firstLine="0"/>
        <w:jc w:val="center"/>
        <w:rPr>
          <w:b/>
          <w:smallCaps/>
          <w:color w:val="auto"/>
          <w:sz w:val="22"/>
        </w:rPr>
      </w:pPr>
      <w:r w:rsidRPr="00A26B0B">
        <w:rPr>
          <w:b/>
          <w:smallCaps/>
          <w:color w:val="auto"/>
          <w:sz w:val="22"/>
        </w:rPr>
        <w:t>Series desestacionalizada y de tendencia-ciclo</w:t>
      </w:r>
    </w:p>
    <w:p w14:paraId="233DC6A5" w14:textId="77777777" w:rsidR="002D6584" w:rsidRPr="00A26B0B" w:rsidRDefault="002D6584" w:rsidP="004A5151">
      <w:pPr>
        <w:pStyle w:val="n0"/>
        <w:keepLines w:val="0"/>
        <w:spacing w:before="0"/>
        <w:ind w:left="0" w:right="0" w:firstLine="0"/>
        <w:jc w:val="center"/>
        <w:rPr>
          <w:color w:val="auto"/>
          <w:sz w:val="18"/>
          <w:szCs w:val="18"/>
        </w:rPr>
      </w:pPr>
      <w:r w:rsidRPr="00A26B0B">
        <w:rPr>
          <w:color w:val="auto"/>
          <w:sz w:val="18"/>
          <w:szCs w:val="18"/>
        </w:rPr>
        <w:t>(Porcentaje de la población ocupada)</w:t>
      </w:r>
    </w:p>
    <w:p w14:paraId="13FA5C3F" w14:textId="04F0E28E" w:rsidR="002D6584" w:rsidRPr="00A26B0B" w:rsidRDefault="007D4FD4" w:rsidP="002D6584">
      <w:pPr>
        <w:pStyle w:val="n0"/>
        <w:keepLines w:val="0"/>
        <w:widowControl w:val="0"/>
        <w:spacing w:before="0"/>
        <w:ind w:left="0" w:right="11" w:firstLine="0"/>
        <w:jc w:val="center"/>
        <w:rPr>
          <w:color w:val="auto"/>
          <w:sz w:val="18"/>
          <w:szCs w:val="18"/>
        </w:rPr>
      </w:pPr>
      <w:r>
        <w:rPr>
          <w:noProof/>
          <w:lang w:val="es-MX" w:eastAsia="es-MX"/>
        </w:rPr>
        <w:drawing>
          <wp:inline distT="0" distB="0" distL="0" distR="0" wp14:anchorId="3E6FE982" wp14:editId="5056D5F8">
            <wp:extent cx="4320000" cy="2520000"/>
            <wp:effectExtent l="0" t="0" r="23495" b="13970"/>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6B18820" w14:textId="77777777" w:rsidR="002D6584" w:rsidRPr="00A26B0B" w:rsidRDefault="002D6584" w:rsidP="002D6584">
      <w:pPr>
        <w:pStyle w:val="n0"/>
        <w:keepLines w:val="0"/>
        <w:widowControl w:val="0"/>
        <w:spacing w:before="0"/>
        <w:ind w:left="0" w:right="11" w:firstLine="1400"/>
        <w:jc w:val="left"/>
        <w:rPr>
          <w:color w:val="auto"/>
          <w:sz w:val="16"/>
          <w:szCs w:val="16"/>
        </w:rPr>
      </w:pPr>
      <w:r w:rsidRPr="00A26B0B">
        <w:rPr>
          <w:color w:val="auto"/>
          <w:sz w:val="16"/>
          <w:szCs w:val="16"/>
        </w:rPr>
        <w:t>Fuente: INEGI.</w:t>
      </w:r>
    </w:p>
    <w:p w14:paraId="63BFDFAE" w14:textId="53090BB6" w:rsidR="00BD5B7F" w:rsidRPr="00A26B0B" w:rsidRDefault="00BD5B7F" w:rsidP="00BD5B7F">
      <w:pPr>
        <w:pStyle w:val="n0"/>
        <w:keepLines w:val="0"/>
        <w:ind w:left="0" w:right="0" w:firstLine="0"/>
        <w:rPr>
          <w:color w:val="auto"/>
        </w:rPr>
      </w:pPr>
      <w:r w:rsidRPr="00A26B0B">
        <w:rPr>
          <w:color w:val="auto"/>
        </w:rPr>
        <w:lastRenderedPageBreak/>
        <w:t xml:space="preserve">La </w:t>
      </w:r>
      <w:r w:rsidR="00F97124">
        <w:rPr>
          <w:color w:val="auto"/>
        </w:rPr>
        <w:t>t</w:t>
      </w:r>
      <w:r w:rsidRPr="00A26B0B">
        <w:rPr>
          <w:color w:val="auto"/>
        </w:rPr>
        <w:t xml:space="preserve">asa de </w:t>
      </w:r>
      <w:r w:rsidR="00F97124">
        <w:rPr>
          <w:color w:val="auto"/>
        </w:rPr>
        <w:t>s</w:t>
      </w:r>
      <w:r w:rsidRPr="00A26B0B">
        <w:rPr>
          <w:color w:val="auto"/>
        </w:rPr>
        <w:t xml:space="preserve">ubocupación del agregado urbano </w:t>
      </w:r>
      <w:r w:rsidR="009C2DEC">
        <w:rPr>
          <w:color w:val="auto"/>
        </w:rPr>
        <w:t xml:space="preserve">de </w:t>
      </w:r>
      <w:r w:rsidRPr="00A26B0B">
        <w:rPr>
          <w:color w:val="auto"/>
        </w:rPr>
        <w:t xml:space="preserve">32 ciudades fue de </w:t>
      </w:r>
      <w:r w:rsidR="00A73FED" w:rsidRPr="00A26B0B">
        <w:rPr>
          <w:color w:val="auto"/>
        </w:rPr>
        <w:t>6.</w:t>
      </w:r>
      <w:r w:rsidR="007D4FD4">
        <w:rPr>
          <w:color w:val="auto"/>
        </w:rPr>
        <w:t>6</w:t>
      </w:r>
      <w:r w:rsidRPr="00A26B0B">
        <w:rPr>
          <w:color w:val="auto"/>
        </w:rPr>
        <w:t xml:space="preserve">% </w:t>
      </w:r>
      <w:r w:rsidR="005F4582">
        <w:rPr>
          <w:color w:val="auto"/>
        </w:rPr>
        <w:t xml:space="preserve">en </w:t>
      </w:r>
      <w:r w:rsidR="00D213E2">
        <w:rPr>
          <w:color w:val="auto"/>
        </w:rPr>
        <w:t>septiembre</w:t>
      </w:r>
      <w:r w:rsidRPr="00A26B0B">
        <w:rPr>
          <w:color w:val="auto"/>
        </w:rPr>
        <w:t xml:space="preserve"> de 2019</w:t>
      </w:r>
      <w:r w:rsidR="00A0204E">
        <w:rPr>
          <w:color w:val="auto"/>
        </w:rPr>
        <w:t>,</w:t>
      </w:r>
      <w:r w:rsidR="007D4FD4">
        <w:rPr>
          <w:color w:val="auto"/>
        </w:rPr>
        <w:t xml:space="preserve"> mostrando un alza de 0.3 p</w:t>
      </w:r>
      <w:r w:rsidR="00171620">
        <w:rPr>
          <w:color w:val="auto"/>
        </w:rPr>
        <w:t xml:space="preserve">untos porcentuales </w:t>
      </w:r>
      <w:r w:rsidR="007D4FD4">
        <w:rPr>
          <w:color w:val="auto"/>
        </w:rPr>
        <w:t xml:space="preserve">respecto </w:t>
      </w:r>
      <w:r w:rsidR="00F97124">
        <w:rPr>
          <w:color w:val="auto"/>
        </w:rPr>
        <w:t xml:space="preserve">a </w:t>
      </w:r>
      <w:r w:rsidR="00A73FED" w:rsidRPr="00A26B0B">
        <w:rPr>
          <w:color w:val="auto"/>
        </w:rPr>
        <w:t xml:space="preserve">la </w:t>
      </w:r>
      <w:r w:rsidR="00987F04" w:rsidRPr="00A26B0B">
        <w:rPr>
          <w:color w:val="auto"/>
        </w:rPr>
        <w:t>del</w:t>
      </w:r>
      <w:r w:rsidR="00424B95" w:rsidRPr="00A26B0B">
        <w:rPr>
          <w:color w:val="auto"/>
        </w:rPr>
        <w:t xml:space="preserve"> mes inmediato anterior</w:t>
      </w:r>
      <w:r w:rsidR="007D4FD4">
        <w:rPr>
          <w:color w:val="auto"/>
        </w:rPr>
        <w:t xml:space="preserve"> y de 0.5</w:t>
      </w:r>
      <w:r w:rsidR="00A73FED" w:rsidRPr="00A26B0B">
        <w:rPr>
          <w:color w:val="auto"/>
        </w:rPr>
        <w:t xml:space="preserve"> puntos porcentuales </w:t>
      </w:r>
      <w:r w:rsidRPr="00A26B0B">
        <w:rPr>
          <w:color w:val="auto"/>
        </w:rPr>
        <w:t xml:space="preserve">frente a la de </w:t>
      </w:r>
      <w:r w:rsidR="00D213E2">
        <w:rPr>
          <w:color w:val="auto"/>
        </w:rPr>
        <w:t>septiembre</w:t>
      </w:r>
      <w:r w:rsidR="00424B95" w:rsidRPr="00A26B0B">
        <w:rPr>
          <w:color w:val="auto"/>
        </w:rPr>
        <w:t xml:space="preserve"> </w:t>
      </w:r>
      <w:r w:rsidRPr="00A26B0B">
        <w:rPr>
          <w:color w:val="auto"/>
        </w:rPr>
        <w:t>de</w:t>
      </w:r>
      <w:r w:rsidR="00867424">
        <w:rPr>
          <w:color w:val="auto"/>
        </w:rPr>
        <w:t>l año pasado</w:t>
      </w:r>
      <w:r w:rsidRPr="00A26B0B">
        <w:rPr>
          <w:color w:val="auto"/>
        </w:rPr>
        <w:t>.</w:t>
      </w:r>
    </w:p>
    <w:p w14:paraId="52F50EEB" w14:textId="77777777" w:rsidR="002D6584" w:rsidRPr="00A26B0B" w:rsidRDefault="002D6584" w:rsidP="0045210D">
      <w:pPr>
        <w:widowControl w:val="0"/>
        <w:spacing w:before="480"/>
        <w:rPr>
          <w:b/>
          <w:i/>
          <w:lang w:val="es-ES"/>
        </w:rPr>
      </w:pPr>
      <w:r w:rsidRPr="00A26B0B">
        <w:rPr>
          <w:b/>
          <w:i/>
          <w:lang w:val="es-ES"/>
        </w:rPr>
        <w:t>Tasas relacionadas con la informalidad</w:t>
      </w:r>
    </w:p>
    <w:p w14:paraId="1E4A3F1D" w14:textId="6D6C67CC" w:rsidR="002D6584" w:rsidRPr="00A26B0B" w:rsidRDefault="002D6584" w:rsidP="002D6584">
      <w:pPr>
        <w:pStyle w:val="n01"/>
        <w:keepLines w:val="0"/>
        <w:widowControl w:val="0"/>
        <w:ind w:left="0" w:firstLine="0"/>
        <w:rPr>
          <w:rFonts w:ascii="Arial" w:hAnsi="Arial"/>
          <w:color w:val="auto"/>
          <w:szCs w:val="22"/>
        </w:rPr>
      </w:pPr>
      <w:r w:rsidRPr="00A26B0B">
        <w:rPr>
          <w:rFonts w:ascii="Arial" w:hAnsi="Arial"/>
          <w:color w:val="auto"/>
          <w:szCs w:val="22"/>
        </w:rPr>
        <w:t xml:space="preserve">La Tasa de Informalidad Laboral 1 (TIL1), se refiere a la suma, sin duplicar, de los que son laboralmente vulnerables por la naturaleza de la unidad económica para la que trabajan, con aquellos cuyo vínculo o dependencia laboral no es reconocido por su fuente de trabajo. Así, en esta tasa se incluye -además del componente que labora en micronegocios no registrados o sector informal- a otras modalidades análogas como los ocupados por cuenta propia en la agricultura de subsistencia, así como a trabajadores que laboran sin la protección de la seguridad social y cuyos servicios son utilizados por unidades económicas registradas.  </w:t>
      </w:r>
      <w:r w:rsidR="005B1EAB" w:rsidRPr="00A26B0B">
        <w:rPr>
          <w:rFonts w:ascii="Arial" w:hAnsi="Arial"/>
          <w:color w:val="auto"/>
          <w:szCs w:val="22"/>
        </w:rPr>
        <w:t xml:space="preserve">Esta tasa se </w:t>
      </w:r>
      <w:r w:rsidR="00464465" w:rsidRPr="00A26B0B">
        <w:rPr>
          <w:rFonts w:ascii="Arial" w:hAnsi="Arial"/>
          <w:color w:val="auto"/>
          <w:szCs w:val="22"/>
        </w:rPr>
        <w:t>ubi</w:t>
      </w:r>
      <w:r w:rsidR="005B1EAB" w:rsidRPr="00A26B0B">
        <w:rPr>
          <w:rFonts w:ascii="Arial" w:hAnsi="Arial"/>
          <w:color w:val="auto"/>
          <w:szCs w:val="22"/>
        </w:rPr>
        <w:t xml:space="preserve">có en </w:t>
      </w:r>
      <w:r w:rsidR="00F15F52" w:rsidRPr="00A26B0B">
        <w:rPr>
          <w:rFonts w:ascii="Arial" w:hAnsi="Arial"/>
          <w:color w:val="auto"/>
          <w:szCs w:val="22"/>
        </w:rPr>
        <w:t>5</w:t>
      </w:r>
      <w:r w:rsidR="00770243">
        <w:rPr>
          <w:rFonts w:ascii="Arial" w:hAnsi="Arial"/>
          <w:color w:val="auto"/>
          <w:szCs w:val="22"/>
        </w:rPr>
        <w:t>6.</w:t>
      </w:r>
      <w:r w:rsidR="007D4FD4">
        <w:rPr>
          <w:rFonts w:ascii="Arial" w:hAnsi="Arial"/>
          <w:color w:val="auto"/>
          <w:szCs w:val="22"/>
        </w:rPr>
        <w:t>7</w:t>
      </w:r>
      <w:r w:rsidR="00BF4EAB" w:rsidRPr="00A26B0B">
        <w:rPr>
          <w:rFonts w:ascii="Arial" w:hAnsi="Arial"/>
          <w:color w:val="auto"/>
          <w:szCs w:val="22"/>
        </w:rPr>
        <w:t xml:space="preserve">% de la población ocupada </w:t>
      </w:r>
      <w:r w:rsidR="0004454F" w:rsidRPr="00A26B0B">
        <w:rPr>
          <w:rFonts w:ascii="Arial" w:hAnsi="Arial"/>
          <w:color w:val="auto"/>
          <w:szCs w:val="22"/>
        </w:rPr>
        <w:t xml:space="preserve">durante </w:t>
      </w:r>
      <w:r w:rsidR="009C2DEC">
        <w:rPr>
          <w:rFonts w:ascii="Arial" w:hAnsi="Arial"/>
          <w:color w:val="auto"/>
          <w:szCs w:val="22"/>
        </w:rPr>
        <w:t xml:space="preserve">el </w:t>
      </w:r>
      <w:r w:rsidR="00D213E2">
        <w:rPr>
          <w:rFonts w:ascii="Arial" w:hAnsi="Arial"/>
          <w:color w:val="auto"/>
          <w:szCs w:val="22"/>
        </w:rPr>
        <w:t>noven</w:t>
      </w:r>
      <w:r w:rsidR="00925128">
        <w:rPr>
          <w:rFonts w:ascii="Arial" w:hAnsi="Arial"/>
          <w:color w:val="auto"/>
          <w:szCs w:val="22"/>
        </w:rPr>
        <w:t>o</w:t>
      </w:r>
      <w:r w:rsidR="009C2DEC">
        <w:rPr>
          <w:rFonts w:ascii="Arial" w:hAnsi="Arial"/>
          <w:color w:val="auto"/>
          <w:szCs w:val="22"/>
        </w:rPr>
        <w:t xml:space="preserve"> mes </w:t>
      </w:r>
      <w:r w:rsidR="00C8494E" w:rsidRPr="00A26B0B">
        <w:rPr>
          <w:rFonts w:ascii="Arial" w:hAnsi="Arial"/>
          <w:color w:val="auto"/>
          <w:szCs w:val="22"/>
        </w:rPr>
        <w:t>de 2019</w:t>
      </w:r>
      <w:r w:rsidR="005B1EAB" w:rsidRPr="00A26B0B">
        <w:rPr>
          <w:rFonts w:ascii="Arial" w:hAnsi="Arial"/>
          <w:color w:val="auto"/>
          <w:szCs w:val="22"/>
        </w:rPr>
        <w:t xml:space="preserve">, </w:t>
      </w:r>
      <w:r w:rsidR="00DD0C1F" w:rsidRPr="00A26B0B">
        <w:rPr>
          <w:rFonts w:ascii="Arial" w:hAnsi="Arial"/>
          <w:color w:val="auto"/>
          <w:szCs w:val="22"/>
        </w:rPr>
        <w:t xml:space="preserve">cifra </w:t>
      </w:r>
      <w:r w:rsidR="00770243">
        <w:rPr>
          <w:rFonts w:ascii="Arial" w:hAnsi="Arial"/>
          <w:color w:val="auto"/>
          <w:szCs w:val="22"/>
        </w:rPr>
        <w:t>sup</w:t>
      </w:r>
      <w:r w:rsidR="00867424">
        <w:rPr>
          <w:rFonts w:ascii="Arial" w:hAnsi="Arial"/>
          <w:color w:val="auto"/>
          <w:szCs w:val="22"/>
        </w:rPr>
        <w:t xml:space="preserve">erior </w:t>
      </w:r>
      <w:r w:rsidR="00BE5818" w:rsidRPr="00A26B0B">
        <w:rPr>
          <w:rFonts w:ascii="Arial" w:hAnsi="Arial"/>
          <w:color w:val="auto"/>
          <w:szCs w:val="22"/>
        </w:rPr>
        <w:t>a</w:t>
      </w:r>
      <w:r w:rsidR="0039019A" w:rsidRPr="00A26B0B">
        <w:rPr>
          <w:rFonts w:ascii="Arial" w:hAnsi="Arial"/>
          <w:color w:val="auto"/>
          <w:szCs w:val="22"/>
        </w:rPr>
        <w:t xml:space="preserve"> </w:t>
      </w:r>
      <w:r w:rsidR="00DD0C1F" w:rsidRPr="00A26B0B">
        <w:rPr>
          <w:rFonts w:ascii="Arial" w:hAnsi="Arial"/>
          <w:color w:val="auto"/>
          <w:szCs w:val="22"/>
        </w:rPr>
        <w:t xml:space="preserve">la </w:t>
      </w:r>
      <w:r w:rsidR="0039019A" w:rsidRPr="00A26B0B">
        <w:rPr>
          <w:rFonts w:ascii="Arial" w:hAnsi="Arial"/>
          <w:color w:val="auto"/>
          <w:szCs w:val="22"/>
        </w:rPr>
        <w:t>de</w:t>
      </w:r>
      <w:r w:rsidR="00D130B1" w:rsidRPr="00A26B0B">
        <w:rPr>
          <w:rFonts w:ascii="Arial" w:hAnsi="Arial"/>
          <w:color w:val="auto"/>
          <w:szCs w:val="22"/>
        </w:rPr>
        <w:t>l</w:t>
      </w:r>
      <w:r w:rsidR="006B07D1" w:rsidRPr="00A26B0B">
        <w:rPr>
          <w:rFonts w:ascii="Arial" w:hAnsi="Arial"/>
          <w:color w:val="auto"/>
          <w:szCs w:val="22"/>
        </w:rPr>
        <w:t xml:space="preserve"> mes </w:t>
      </w:r>
      <w:r w:rsidR="00D130B1" w:rsidRPr="00A26B0B">
        <w:rPr>
          <w:rFonts w:ascii="Arial" w:hAnsi="Arial"/>
          <w:color w:val="auto"/>
          <w:szCs w:val="22"/>
        </w:rPr>
        <w:t xml:space="preserve">que le precede </w:t>
      </w:r>
      <w:r w:rsidR="00F77404" w:rsidRPr="00A26B0B">
        <w:rPr>
          <w:rFonts w:ascii="Arial" w:hAnsi="Arial"/>
          <w:color w:val="auto"/>
        </w:rPr>
        <w:t xml:space="preserve">que fue </w:t>
      </w:r>
      <w:r w:rsidR="0039019A" w:rsidRPr="00A26B0B">
        <w:rPr>
          <w:rFonts w:ascii="Arial" w:hAnsi="Arial"/>
          <w:color w:val="auto"/>
        </w:rPr>
        <w:t xml:space="preserve">de </w:t>
      </w:r>
      <w:r w:rsidR="00F97969" w:rsidRPr="00A26B0B">
        <w:rPr>
          <w:rFonts w:ascii="Arial" w:hAnsi="Arial"/>
          <w:color w:val="auto"/>
        </w:rPr>
        <w:t>5</w:t>
      </w:r>
      <w:r w:rsidR="007D4FD4">
        <w:rPr>
          <w:rFonts w:ascii="Arial" w:hAnsi="Arial"/>
          <w:color w:val="auto"/>
        </w:rPr>
        <w:t>6.4</w:t>
      </w:r>
      <w:r w:rsidR="0039019A" w:rsidRPr="00A26B0B">
        <w:rPr>
          <w:rFonts w:ascii="Arial" w:hAnsi="Arial"/>
          <w:color w:val="auto"/>
        </w:rPr>
        <w:t>%</w:t>
      </w:r>
      <w:r w:rsidR="00464FA5" w:rsidRPr="00A26B0B">
        <w:rPr>
          <w:rFonts w:ascii="Arial" w:hAnsi="Arial"/>
          <w:color w:val="auto"/>
        </w:rPr>
        <w:t xml:space="preserve"> y </w:t>
      </w:r>
      <w:r w:rsidR="00E326FE">
        <w:rPr>
          <w:rFonts w:ascii="Arial" w:hAnsi="Arial"/>
          <w:color w:val="auto"/>
        </w:rPr>
        <w:t>a la de 56.6%</w:t>
      </w:r>
      <w:r w:rsidR="00464FA5" w:rsidRPr="00A26B0B">
        <w:rPr>
          <w:rFonts w:ascii="Arial" w:hAnsi="Arial"/>
          <w:color w:val="auto"/>
        </w:rPr>
        <w:t xml:space="preserve"> de </w:t>
      </w:r>
      <w:r w:rsidR="00D213E2">
        <w:rPr>
          <w:rFonts w:ascii="Arial" w:hAnsi="Arial"/>
          <w:color w:val="auto"/>
        </w:rPr>
        <w:t>septiembre</w:t>
      </w:r>
      <w:r w:rsidR="00464FA5" w:rsidRPr="00A26B0B">
        <w:rPr>
          <w:rFonts w:ascii="Arial" w:hAnsi="Arial"/>
          <w:color w:val="auto"/>
        </w:rPr>
        <w:t xml:space="preserve"> de 2018</w:t>
      </w:r>
      <w:r w:rsidR="00867424">
        <w:rPr>
          <w:rFonts w:ascii="Arial" w:hAnsi="Arial"/>
          <w:color w:val="auto"/>
        </w:rPr>
        <w:t>,</w:t>
      </w:r>
      <w:r w:rsidR="005B1EAB" w:rsidRPr="00A26B0B">
        <w:rPr>
          <w:rFonts w:ascii="Arial" w:hAnsi="Arial"/>
          <w:color w:val="auto"/>
          <w:szCs w:val="22"/>
        </w:rPr>
        <w:t xml:space="preserve"> con </w:t>
      </w:r>
      <w:r w:rsidR="0044710D" w:rsidRPr="00A26B0B">
        <w:rPr>
          <w:rFonts w:ascii="Arial" w:hAnsi="Arial"/>
          <w:color w:val="auto"/>
          <w:szCs w:val="22"/>
        </w:rPr>
        <w:t>series</w:t>
      </w:r>
      <w:r w:rsidR="005B1EAB" w:rsidRPr="00A26B0B">
        <w:rPr>
          <w:rFonts w:ascii="Arial" w:hAnsi="Arial"/>
          <w:color w:val="auto"/>
          <w:szCs w:val="22"/>
        </w:rPr>
        <w:t xml:space="preserve"> </w:t>
      </w:r>
      <w:r w:rsidR="0044710D" w:rsidRPr="00A26B0B">
        <w:rPr>
          <w:rFonts w:ascii="Arial" w:hAnsi="Arial"/>
          <w:color w:val="auto"/>
          <w:szCs w:val="22"/>
        </w:rPr>
        <w:t>desestacionalizada</w:t>
      </w:r>
      <w:r w:rsidR="005B1EAB" w:rsidRPr="00A26B0B">
        <w:rPr>
          <w:rFonts w:ascii="Arial" w:hAnsi="Arial"/>
          <w:color w:val="auto"/>
          <w:szCs w:val="22"/>
        </w:rPr>
        <w:t>s.</w:t>
      </w:r>
    </w:p>
    <w:p w14:paraId="21640B09" w14:textId="77777777" w:rsidR="002D6584" w:rsidRPr="00A26B0B" w:rsidRDefault="002D6584" w:rsidP="004A5151">
      <w:pPr>
        <w:pStyle w:val="n01"/>
        <w:keepLines w:val="0"/>
        <w:widowControl w:val="0"/>
        <w:ind w:left="0" w:firstLine="0"/>
        <w:jc w:val="center"/>
        <w:rPr>
          <w:rFonts w:ascii="Arial" w:hAnsi="Arial"/>
          <w:color w:val="auto"/>
        </w:rPr>
      </w:pPr>
      <w:r w:rsidRPr="00A26B0B">
        <w:rPr>
          <w:rFonts w:ascii="Arial" w:hAnsi="Arial"/>
          <w:color w:val="auto"/>
          <w:sz w:val="20"/>
        </w:rPr>
        <w:t>Gráfica 3</w:t>
      </w:r>
    </w:p>
    <w:p w14:paraId="16082766" w14:textId="4CFC0B2B" w:rsidR="002D6584" w:rsidRPr="00A26B0B" w:rsidRDefault="002D6584" w:rsidP="004A5151">
      <w:pPr>
        <w:pStyle w:val="n01"/>
        <w:keepLines w:val="0"/>
        <w:widowControl w:val="0"/>
        <w:spacing w:before="0"/>
        <w:ind w:left="0" w:firstLine="0"/>
        <w:jc w:val="center"/>
        <w:rPr>
          <w:rFonts w:ascii="Arial" w:hAnsi="Arial"/>
          <w:color w:val="auto"/>
        </w:rPr>
      </w:pPr>
      <w:r w:rsidRPr="00A26B0B">
        <w:rPr>
          <w:rFonts w:ascii="Arial" w:hAnsi="Arial"/>
          <w:b/>
          <w:smallCaps/>
          <w:color w:val="auto"/>
          <w:sz w:val="22"/>
        </w:rPr>
        <w:t xml:space="preserve">Tasa de informalidad laboral 1 </w:t>
      </w:r>
      <w:r w:rsidR="00DC66D2">
        <w:rPr>
          <w:rFonts w:ascii="Arial" w:hAnsi="Arial"/>
          <w:b/>
          <w:smallCaps/>
          <w:color w:val="auto"/>
          <w:sz w:val="22"/>
        </w:rPr>
        <w:t>a</w:t>
      </w:r>
      <w:r w:rsidR="00D213E2">
        <w:rPr>
          <w:rFonts w:ascii="Arial" w:hAnsi="Arial"/>
          <w:b/>
          <w:smallCaps/>
          <w:color w:val="auto"/>
          <w:sz w:val="22"/>
        </w:rPr>
        <w:t xml:space="preserve"> septiembre</w:t>
      </w:r>
      <w:r w:rsidRPr="00A26B0B">
        <w:rPr>
          <w:rFonts w:ascii="Arial" w:hAnsi="Arial"/>
          <w:b/>
          <w:smallCaps/>
          <w:color w:val="auto"/>
          <w:sz w:val="22"/>
        </w:rPr>
        <w:t xml:space="preserve"> de 201</w:t>
      </w:r>
      <w:r w:rsidR="006B07D1" w:rsidRPr="00A26B0B">
        <w:rPr>
          <w:rFonts w:ascii="Arial" w:hAnsi="Arial"/>
          <w:b/>
          <w:smallCaps/>
          <w:color w:val="auto"/>
          <w:sz w:val="22"/>
        </w:rPr>
        <w:t>9</w:t>
      </w:r>
    </w:p>
    <w:p w14:paraId="51DC2056" w14:textId="77777777" w:rsidR="002D6584" w:rsidRPr="00A26B0B" w:rsidRDefault="002D6584" w:rsidP="004A5151">
      <w:pPr>
        <w:pStyle w:val="n01"/>
        <w:keepLines w:val="0"/>
        <w:widowControl w:val="0"/>
        <w:spacing w:before="0"/>
        <w:ind w:left="0" w:firstLine="0"/>
        <w:jc w:val="center"/>
        <w:rPr>
          <w:rFonts w:ascii="Arial" w:hAnsi="Arial"/>
          <w:color w:val="auto"/>
        </w:rPr>
      </w:pPr>
      <w:r w:rsidRPr="00A26B0B">
        <w:rPr>
          <w:rFonts w:ascii="Arial" w:hAnsi="Arial"/>
          <w:b/>
          <w:smallCaps/>
          <w:color w:val="auto"/>
          <w:sz w:val="22"/>
        </w:rPr>
        <w:t>Series desestacionalizada y de tendencia-ciclo</w:t>
      </w:r>
    </w:p>
    <w:p w14:paraId="04D16A7F" w14:textId="77777777" w:rsidR="002D6584" w:rsidRPr="00A26B0B" w:rsidRDefault="002D6584" w:rsidP="004A5151">
      <w:pPr>
        <w:pStyle w:val="n01"/>
        <w:keepLines w:val="0"/>
        <w:widowControl w:val="0"/>
        <w:spacing w:before="0"/>
        <w:ind w:left="0" w:firstLine="0"/>
        <w:jc w:val="center"/>
        <w:rPr>
          <w:rFonts w:ascii="Arial" w:hAnsi="Arial"/>
          <w:color w:val="auto"/>
        </w:rPr>
      </w:pPr>
      <w:r w:rsidRPr="00A26B0B">
        <w:rPr>
          <w:rFonts w:ascii="Arial" w:hAnsi="Arial"/>
          <w:color w:val="auto"/>
          <w:sz w:val="18"/>
          <w:szCs w:val="18"/>
        </w:rPr>
        <w:t>(Porcentaje de la población ocupada)</w:t>
      </w:r>
    </w:p>
    <w:p w14:paraId="70EF4926" w14:textId="2B223D18" w:rsidR="002D6584" w:rsidRPr="00A26B0B" w:rsidRDefault="00E326FE" w:rsidP="004A5151">
      <w:pPr>
        <w:pStyle w:val="n01"/>
        <w:keepLines w:val="0"/>
        <w:widowControl w:val="0"/>
        <w:spacing w:before="0"/>
        <w:ind w:left="0" w:firstLine="0"/>
        <w:jc w:val="center"/>
        <w:rPr>
          <w:rFonts w:ascii="Arial" w:hAnsi="Arial"/>
          <w:color w:val="auto"/>
        </w:rPr>
      </w:pPr>
      <w:r>
        <w:rPr>
          <w:noProof/>
          <w:lang w:val="es-MX" w:eastAsia="es-MX"/>
        </w:rPr>
        <w:drawing>
          <wp:inline distT="0" distB="0" distL="0" distR="0" wp14:anchorId="61ABF45D" wp14:editId="649EA28F">
            <wp:extent cx="4320000" cy="2520000"/>
            <wp:effectExtent l="0" t="0" r="23495" b="33020"/>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6D62DCB" w14:textId="77777777" w:rsidR="002D6584" w:rsidRPr="00A26B0B" w:rsidRDefault="002D6584" w:rsidP="004A5151">
      <w:pPr>
        <w:pStyle w:val="n01"/>
        <w:keepLines w:val="0"/>
        <w:widowControl w:val="0"/>
        <w:spacing w:before="20"/>
        <w:ind w:left="0" w:firstLine="1386"/>
        <w:jc w:val="left"/>
        <w:rPr>
          <w:rFonts w:ascii="Arial" w:hAnsi="Arial"/>
          <w:color w:val="auto"/>
          <w:sz w:val="16"/>
          <w:szCs w:val="16"/>
        </w:rPr>
      </w:pPr>
      <w:r w:rsidRPr="00A26B0B">
        <w:rPr>
          <w:rFonts w:ascii="Arial" w:hAnsi="Arial"/>
          <w:color w:val="auto"/>
          <w:sz w:val="16"/>
          <w:szCs w:val="16"/>
        </w:rPr>
        <w:t>Fuente: INEGI.</w:t>
      </w:r>
    </w:p>
    <w:p w14:paraId="01A7894F" w14:textId="094F0FC2" w:rsidR="00464FA5" w:rsidRPr="00A26B0B" w:rsidRDefault="00464FA5" w:rsidP="00E326FE">
      <w:pPr>
        <w:pStyle w:val="n01"/>
        <w:keepLines w:val="0"/>
        <w:spacing w:before="360"/>
        <w:ind w:left="0" w:firstLine="0"/>
        <w:rPr>
          <w:rFonts w:ascii="Arial" w:hAnsi="Arial"/>
          <w:color w:val="auto"/>
        </w:rPr>
      </w:pPr>
      <w:r w:rsidRPr="00A26B0B">
        <w:rPr>
          <w:rFonts w:ascii="Arial" w:hAnsi="Arial"/>
          <w:color w:val="auto"/>
        </w:rPr>
        <w:t>Para el agregado urbano, la TIL1 se ubicó en 4</w:t>
      </w:r>
      <w:r w:rsidR="00E326FE">
        <w:rPr>
          <w:rFonts w:ascii="Arial" w:hAnsi="Arial"/>
          <w:color w:val="auto"/>
        </w:rPr>
        <w:t>6.1</w:t>
      </w:r>
      <w:r w:rsidRPr="00A26B0B">
        <w:rPr>
          <w:rFonts w:ascii="Arial" w:hAnsi="Arial"/>
          <w:color w:val="auto"/>
        </w:rPr>
        <w:t>%</w:t>
      </w:r>
      <w:r w:rsidR="00770243">
        <w:rPr>
          <w:rFonts w:ascii="Arial" w:hAnsi="Arial"/>
          <w:color w:val="auto"/>
        </w:rPr>
        <w:t xml:space="preserve">, </w:t>
      </w:r>
      <w:r w:rsidR="00E326FE">
        <w:rPr>
          <w:rFonts w:ascii="Arial" w:hAnsi="Arial"/>
          <w:color w:val="auto"/>
        </w:rPr>
        <w:t>porcentaje que reflej</w:t>
      </w:r>
      <w:r w:rsidR="00A0204E">
        <w:rPr>
          <w:rFonts w:ascii="Arial" w:hAnsi="Arial"/>
          <w:color w:val="auto"/>
        </w:rPr>
        <w:t>ó</w:t>
      </w:r>
      <w:r w:rsidR="00E326FE">
        <w:rPr>
          <w:rFonts w:ascii="Arial" w:hAnsi="Arial"/>
          <w:color w:val="auto"/>
        </w:rPr>
        <w:t xml:space="preserve"> un incremento de 0.4 puntos porcentuales frente</w:t>
      </w:r>
      <w:r w:rsidR="00770243">
        <w:rPr>
          <w:rFonts w:ascii="Arial" w:hAnsi="Arial"/>
          <w:color w:val="auto"/>
        </w:rPr>
        <w:t xml:space="preserve"> al </w:t>
      </w:r>
      <w:r w:rsidRPr="00A26B0B">
        <w:rPr>
          <w:rFonts w:ascii="Arial" w:hAnsi="Arial"/>
          <w:color w:val="auto"/>
        </w:rPr>
        <w:t xml:space="preserve">de </w:t>
      </w:r>
      <w:r w:rsidR="00D213E2">
        <w:rPr>
          <w:rFonts w:ascii="Arial" w:hAnsi="Arial"/>
          <w:color w:val="auto"/>
        </w:rPr>
        <w:t>agost</w:t>
      </w:r>
      <w:r w:rsidR="00D47358">
        <w:rPr>
          <w:rFonts w:ascii="Arial" w:hAnsi="Arial"/>
          <w:color w:val="auto"/>
        </w:rPr>
        <w:t xml:space="preserve">o pasado </w:t>
      </w:r>
      <w:r w:rsidR="00A0204E">
        <w:rPr>
          <w:rFonts w:ascii="Arial" w:hAnsi="Arial"/>
          <w:color w:val="auto"/>
        </w:rPr>
        <w:t>y una disminución de</w:t>
      </w:r>
      <w:r w:rsidR="00867424">
        <w:rPr>
          <w:rFonts w:ascii="Arial" w:hAnsi="Arial"/>
          <w:color w:val="auto"/>
        </w:rPr>
        <w:t xml:space="preserve"> </w:t>
      </w:r>
      <w:r w:rsidR="00171620">
        <w:rPr>
          <w:rFonts w:ascii="Arial" w:hAnsi="Arial"/>
          <w:color w:val="auto"/>
        </w:rPr>
        <w:t>(</w:t>
      </w:r>
      <w:r w:rsidR="00D26F13">
        <w:rPr>
          <w:rFonts w:ascii="Arial" w:hAnsi="Arial"/>
          <w:color w:val="auto"/>
        </w:rPr>
        <w:noBreakHyphen/>
      </w:r>
      <w:r w:rsidR="00171620">
        <w:rPr>
          <w:rFonts w:ascii="Arial" w:hAnsi="Arial"/>
          <w:color w:val="auto"/>
        </w:rPr>
        <w:t>)</w:t>
      </w:r>
      <w:r w:rsidR="00867424">
        <w:rPr>
          <w:rFonts w:ascii="Arial" w:hAnsi="Arial"/>
          <w:color w:val="auto"/>
        </w:rPr>
        <w:t>0.</w:t>
      </w:r>
      <w:r w:rsidR="00E326FE">
        <w:rPr>
          <w:rFonts w:ascii="Arial" w:hAnsi="Arial"/>
          <w:color w:val="auto"/>
        </w:rPr>
        <w:t>1</w:t>
      </w:r>
      <w:r w:rsidR="00867424">
        <w:rPr>
          <w:rFonts w:ascii="Arial" w:hAnsi="Arial"/>
          <w:color w:val="auto"/>
        </w:rPr>
        <w:t xml:space="preserve"> puntos porcentuales</w:t>
      </w:r>
      <w:r w:rsidR="00813BD1" w:rsidRPr="00A26B0B">
        <w:rPr>
          <w:rFonts w:ascii="Arial" w:hAnsi="Arial"/>
          <w:color w:val="auto"/>
        </w:rPr>
        <w:t xml:space="preserve"> </w:t>
      </w:r>
      <w:r w:rsidR="0072131C">
        <w:rPr>
          <w:rFonts w:ascii="Arial" w:hAnsi="Arial"/>
          <w:color w:val="auto"/>
        </w:rPr>
        <w:t xml:space="preserve">respecto </w:t>
      </w:r>
      <w:r w:rsidR="00A0204E">
        <w:rPr>
          <w:rFonts w:ascii="Arial" w:hAnsi="Arial"/>
          <w:color w:val="auto"/>
        </w:rPr>
        <w:t>al</w:t>
      </w:r>
      <w:r w:rsidR="00770243">
        <w:rPr>
          <w:rFonts w:ascii="Arial" w:hAnsi="Arial"/>
          <w:color w:val="auto"/>
        </w:rPr>
        <w:t xml:space="preserve"> de </w:t>
      </w:r>
      <w:r w:rsidR="00D213E2">
        <w:rPr>
          <w:rFonts w:ascii="Arial" w:hAnsi="Arial"/>
          <w:color w:val="auto"/>
        </w:rPr>
        <w:t>septiembre</w:t>
      </w:r>
      <w:r w:rsidR="00770243">
        <w:rPr>
          <w:rFonts w:ascii="Arial" w:hAnsi="Arial"/>
          <w:color w:val="auto"/>
        </w:rPr>
        <w:t xml:space="preserve"> de un año antes, </w:t>
      </w:r>
      <w:r w:rsidRPr="00A26B0B">
        <w:rPr>
          <w:rFonts w:ascii="Arial" w:hAnsi="Arial"/>
          <w:color w:val="auto"/>
        </w:rPr>
        <w:t xml:space="preserve">con cifras </w:t>
      </w:r>
      <w:r w:rsidR="00813BD1" w:rsidRPr="00A26B0B">
        <w:rPr>
          <w:rFonts w:ascii="Arial" w:hAnsi="Arial"/>
          <w:color w:val="auto"/>
        </w:rPr>
        <w:t>desestacionalizadas</w:t>
      </w:r>
      <w:r w:rsidRPr="00A26B0B">
        <w:rPr>
          <w:rFonts w:ascii="Arial" w:hAnsi="Arial"/>
          <w:color w:val="auto"/>
        </w:rPr>
        <w:t>.</w:t>
      </w:r>
    </w:p>
    <w:p w14:paraId="6CA586F3" w14:textId="77777777" w:rsidR="00E326FE" w:rsidRDefault="00E326FE" w:rsidP="00FA4699">
      <w:pPr>
        <w:pStyle w:val="n01"/>
        <w:keepLines w:val="0"/>
        <w:spacing w:before="480"/>
        <w:ind w:left="0" w:firstLine="0"/>
        <w:rPr>
          <w:rFonts w:ascii="Arial" w:hAnsi="Arial"/>
          <w:color w:val="auto"/>
        </w:rPr>
      </w:pPr>
    </w:p>
    <w:p w14:paraId="134B56E5" w14:textId="20A22C84" w:rsidR="002D6584" w:rsidRPr="00A26B0B" w:rsidRDefault="002D6584" w:rsidP="00FA4699">
      <w:pPr>
        <w:pStyle w:val="n01"/>
        <w:keepLines w:val="0"/>
        <w:spacing w:before="480"/>
        <w:ind w:left="0" w:firstLine="0"/>
        <w:rPr>
          <w:rFonts w:ascii="Arial" w:hAnsi="Arial"/>
          <w:color w:val="auto"/>
        </w:rPr>
      </w:pPr>
      <w:r w:rsidRPr="00A26B0B">
        <w:rPr>
          <w:rFonts w:ascii="Arial" w:hAnsi="Arial"/>
          <w:color w:val="auto"/>
        </w:rPr>
        <w:lastRenderedPageBreak/>
        <w:t xml:space="preserve">Por su parte, la Tasa de Ocupación en el Sector Informal 1 (TOSI1)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w:t>
      </w:r>
      <w:r w:rsidR="005B1EAB" w:rsidRPr="00A26B0B">
        <w:rPr>
          <w:rFonts w:ascii="Arial" w:hAnsi="Arial"/>
          <w:color w:val="auto"/>
        </w:rPr>
        <w:t xml:space="preserve">Dicha tasa representó </w:t>
      </w:r>
      <w:r w:rsidR="00F15F52" w:rsidRPr="00A26B0B">
        <w:rPr>
          <w:rFonts w:ascii="Arial" w:hAnsi="Arial"/>
          <w:color w:val="auto"/>
        </w:rPr>
        <w:t>2</w:t>
      </w:r>
      <w:r w:rsidR="00D130B1" w:rsidRPr="00A26B0B">
        <w:rPr>
          <w:rFonts w:ascii="Arial" w:hAnsi="Arial"/>
          <w:color w:val="auto"/>
        </w:rPr>
        <w:t>7.</w:t>
      </w:r>
      <w:r w:rsidR="00EB6F4C">
        <w:rPr>
          <w:rFonts w:ascii="Arial" w:hAnsi="Arial"/>
          <w:color w:val="auto"/>
        </w:rPr>
        <w:t>6</w:t>
      </w:r>
      <w:r w:rsidR="005B1EAB" w:rsidRPr="00A26B0B">
        <w:rPr>
          <w:rFonts w:ascii="Arial" w:hAnsi="Arial"/>
          <w:color w:val="auto"/>
        </w:rPr>
        <w:t xml:space="preserve">% de la población ocupada en </w:t>
      </w:r>
      <w:r w:rsidR="000645AC">
        <w:rPr>
          <w:rFonts w:ascii="Arial" w:hAnsi="Arial"/>
          <w:color w:val="auto"/>
        </w:rPr>
        <w:t>septiembre</w:t>
      </w:r>
      <w:r w:rsidR="00D9781C">
        <w:rPr>
          <w:rFonts w:ascii="Arial" w:hAnsi="Arial"/>
          <w:color w:val="auto"/>
        </w:rPr>
        <w:t xml:space="preserve"> del presente año</w:t>
      </w:r>
      <w:r w:rsidR="005342AC" w:rsidRPr="00A26B0B">
        <w:rPr>
          <w:rFonts w:ascii="Arial" w:hAnsi="Arial"/>
          <w:color w:val="auto"/>
        </w:rPr>
        <w:t xml:space="preserve">, </w:t>
      </w:r>
      <w:r w:rsidR="00E326FE">
        <w:rPr>
          <w:rFonts w:ascii="Arial" w:hAnsi="Arial"/>
          <w:color w:val="auto"/>
        </w:rPr>
        <w:t xml:space="preserve">misma </w:t>
      </w:r>
      <w:r w:rsidR="005342AC" w:rsidRPr="00A26B0B">
        <w:rPr>
          <w:rFonts w:ascii="Arial" w:hAnsi="Arial"/>
          <w:color w:val="auto"/>
        </w:rPr>
        <w:t xml:space="preserve">proporción </w:t>
      </w:r>
      <w:r w:rsidR="00A0204E">
        <w:rPr>
          <w:rFonts w:ascii="Arial" w:hAnsi="Arial"/>
          <w:color w:val="auto"/>
        </w:rPr>
        <w:t>que</w:t>
      </w:r>
      <w:r w:rsidR="00A7044B">
        <w:rPr>
          <w:rFonts w:ascii="Arial" w:hAnsi="Arial"/>
          <w:color w:val="auto"/>
        </w:rPr>
        <w:t xml:space="preserve"> </w:t>
      </w:r>
      <w:r w:rsidR="006E1F21" w:rsidRPr="00A26B0B">
        <w:rPr>
          <w:rFonts w:ascii="Arial" w:hAnsi="Arial"/>
          <w:color w:val="auto"/>
        </w:rPr>
        <w:t xml:space="preserve">la </w:t>
      </w:r>
      <w:r w:rsidR="00B719AB" w:rsidRPr="00A26B0B">
        <w:rPr>
          <w:rFonts w:ascii="Arial" w:hAnsi="Arial"/>
          <w:color w:val="auto"/>
        </w:rPr>
        <w:t>de</w:t>
      </w:r>
      <w:r w:rsidR="004525D8">
        <w:rPr>
          <w:rFonts w:ascii="Arial" w:hAnsi="Arial"/>
          <w:color w:val="auto"/>
        </w:rPr>
        <w:t>l mes previo</w:t>
      </w:r>
      <w:r w:rsidR="00A0204E">
        <w:rPr>
          <w:rFonts w:ascii="Arial" w:hAnsi="Arial"/>
          <w:color w:val="auto"/>
        </w:rPr>
        <w:t xml:space="preserve"> y mayor en</w:t>
      </w:r>
      <w:r w:rsidR="00E326FE">
        <w:rPr>
          <w:rFonts w:ascii="Arial" w:hAnsi="Arial"/>
          <w:color w:val="auto"/>
        </w:rPr>
        <w:t xml:space="preserve"> 0.2 puntos porcentuales</w:t>
      </w:r>
      <w:r w:rsidR="00A0204E">
        <w:rPr>
          <w:rFonts w:ascii="Arial" w:hAnsi="Arial"/>
          <w:color w:val="auto"/>
        </w:rPr>
        <w:t xml:space="preserve"> a la de septiembre de</w:t>
      </w:r>
      <w:r w:rsidR="0072131C">
        <w:rPr>
          <w:rFonts w:ascii="Arial" w:hAnsi="Arial"/>
          <w:color w:val="auto"/>
        </w:rPr>
        <w:t xml:space="preserve"> 2018</w:t>
      </w:r>
      <w:r w:rsidR="00B719AB" w:rsidRPr="00A26B0B">
        <w:rPr>
          <w:rFonts w:ascii="Arial" w:hAnsi="Arial"/>
          <w:color w:val="auto"/>
        </w:rPr>
        <w:t xml:space="preserve">, </w:t>
      </w:r>
      <w:r w:rsidR="00F74C44" w:rsidRPr="00A26B0B">
        <w:rPr>
          <w:rFonts w:ascii="Arial" w:hAnsi="Arial"/>
          <w:color w:val="auto"/>
        </w:rPr>
        <w:t>con</w:t>
      </w:r>
      <w:r w:rsidR="005B1EAB" w:rsidRPr="00A26B0B">
        <w:rPr>
          <w:rFonts w:ascii="Arial" w:hAnsi="Arial"/>
          <w:color w:val="auto"/>
        </w:rPr>
        <w:t xml:space="preserve"> </w:t>
      </w:r>
      <w:r w:rsidR="00181B0A" w:rsidRPr="00A26B0B">
        <w:rPr>
          <w:rFonts w:ascii="Arial" w:hAnsi="Arial"/>
          <w:color w:val="auto"/>
        </w:rPr>
        <w:t>dato</w:t>
      </w:r>
      <w:r w:rsidR="00C127A6" w:rsidRPr="00A26B0B">
        <w:rPr>
          <w:rFonts w:ascii="Arial" w:hAnsi="Arial"/>
          <w:color w:val="auto"/>
        </w:rPr>
        <w:t>s</w:t>
      </w:r>
      <w:r w:rsidR="005B1EAB" w:rsidRPr="00A26B0B">
        <w:rPr>
          <w:rFonts w:ascii="Arial" w:hAnsi="Arial"/>
          <w:color w:val="auto"/>
        </w:rPr>
        <w:t xml:space="preserve"> </w:t>
      </w:r>
      <w:r w:rsidR="00DD0C1F" w:rsidRPr="00A26B0B">
        <w:rPr>
          <w:rFonts w:ascii="Arial" w:hAnsi="Arial"/>
          <w:color w:val="auto"/>
        </w:rPr>
        <w:t>ajustad</w:t>
      </w:r>
      <w:r w:rsidR="00794C22" w:rsidRPr="00A26B0B">
        <w:rPr>
          <w:rFonts w:ascii="Arial" w:hAnsi="Arial"/>
          <w:color w:val="auto"/>
        </w:rPr>
        <w:t>o</w:t>
      </w:r>
      <w:r w:rsidR="00DD0C1F" w:rsidRPr="00A26B0B">
        <w:rPr>
          <w:rFonts w:ascii="Arial" w:hAnsi="Arial"/>
          <w:color w:val="auto"/>
        </w:rPr>
        <w:t>s por estacionalidad</w:t>
      </w:r>
      <w:r w:rsidR="005B1EAB" w:rsidRPr="00A26B0B">
        <w:rPr>
          <w:rFonts w:ascii="Arial" w:hAnsi="Arial"/>
          <w:color w:val="auto"/>
        </w:rPr>
        <w:t>.</w:t>
      </w:r>
    </w:p>
    <w:p w14:paraId="4C5155B3" w14:textId="77777777" w:rsidR="002D6584" w:rsidRPr="00A26B0B" w:rsidRDefault="002D6584" w:rsidP="00AE1FC7">
      <w:pPr>
        <w:pStyle w:val="n01"/>
        <w:keepNext/>
        <w:spacing w:before="360"/>
        <w:ind w:left="340" w:firstLine="0"/>
        <w:jc w:val="center"/>
        <w:rPr>
          <w:rFonts w:ascii="Arial" w:hAnsi="Arial"/>
          <w:color w:val="auto"/>
        </w:rPr>
      </w:pPr>
      <w:r w:rsidRPr="00A26B0B">
        <w:rPr>
          <w:rFonts w:ascii="Arial" w:hAnsi="Arial"/>
          <w:color w:val="auto"/>
          <w:sz w:val="20"/>
        </w:rPr>
        <w:t>Gráfica 4</w:t>
      </w:r>
    </w:p>
    <w:p w14:paraId="67519672" w14:textId="331215A0" w:rsidR="002D6584" w:rsidRPr="00A26B0B" w:rsidRDefault="002D6584" w:rsidP="004A5151">
      <w:pPr>
        <w:pStyle w:val="n01"/>
        <w:keepLines w:val="0"/>
        <w:widowControl w:val="0"/>
        <w:spacing w:before="0"/>
        <w:ind w:left="340" w:firstLine="0"/>
        <w:jc w:val="center"/>
        <w:rPr>
          <w:rFonts w:ascii="Arial" w:hAnsi="Arial"/>
          <w:color w:val="auto"/>
        </w:rPr>
      </w:pPr>
      <w:r w:rsidRPr="00A26B0B">
        <w:rPr>
          <w:rFonts w:ascii="Arial" w:hAnsi="Arial"/>
          <w:b/>
          <w:smallCaps/>
          <w:color w:val="auto"/>
          <w:sz w:val="22"/>
        </w:rPr>
        <w:t xml:space="preserve">Tasa de ocupación en el sector informal 1 </w:t>
      </w:r>
      <w:r w:rsidR="00DC66D2">
        <w:rPr>
          <w:rFonts w:ascii="Arial" w:hAnsi="Arial"/>
          <w:b/>
          <w:smallCaps/>
          <w:color w:val="auto"/>
          <w:sz w:val="22"/>
        </w:rPr>
        <w:t>a</w:t>
      </w:r>
      <w:r w:rsidR="000645AC">
        <w:rPr>
          <w:rFonts w:ascii="Arial" w:hAnsi="Arial"/>
          <w:b/>
          <w:smallCaps/>
          <w:color w:val="auto"/>
          <w:sz w:val="22"/>
        </w:rPr>
        <w:t xml:space="preserve"> septiembre</w:t>
      </w:r>
      <w:r w:rsidRPr="00A26B0B">
        <w:rPr>
          <w:rFonts w:ascii="Arial" w:hAnsi="Arial"/>
          <w:b/>
          <w:smallCaps/>
          <w:color w:val="auto"/>
          <w:sz w:val="22"/>
        </w:rPr>
        <w:t xml:space="preserve"> </w:t>
      </w:r>
      <w:r w:rsidR="000D679B" w:rsidRPr="00A26B0B">
        <w:rPr>
          <w:rFonts w:ascii="Arial" w:hAnsi="Arial"/>
          <w:b/>
          <w:smallCaps/>
          <w:color w:val="auto"/>
          <w:sz w:val="22"/>
        </w:rPr>
        <w:t xml:space="preserve">de </w:t>
      </w:r>
      <w:r w:rsidRPr="00A26B0B">
        <w:rPr>
          <w:rFonts w:ascii="Arial" w:hAnsi="Arial"/>
          <w:b/>
          <w:smallCaps/>
          <w:color w:val="auto"/>
          <w:sz w:val="22"/>
        </w:rPr>
        <w:t>201</w:t>
      </w:r>
      <w:r w:rsidR="00065AB9" w:rsidRPr="00A26B0B">
        <w:rPr>
          <w:rFonts w:ascii="Arial" w:hAnsi="Arial"/>
          <w:b/>
          <w:smallCaps/>
          <w:color w:val="auto"/>
          <w:sz w:val="22"/>
        </w:rPr>
        <w:t>9</w:t>
      </w:r>
      <w:r w:rsidRPr="00A26B0B">
        <w:rPr>
          <w:rFonts w:ascii="Arial" w:hAnsi="Arial"/>
          <w:b/>
          <w:smallCaps/>
          <w:color w:val="auto"/>
          <w:sz w:val="22"/>
        </w:rPr>
        <w:br/>
        <w:t>Series desestacionalizada y de tendencia-ciclo</w:t>
      </w:r>
    </w:p>
    <w:p w14:paraId="4005707A" w14:textId="77777777" w:rsidR="002D6584" w:rsidRPr="00A26B0B" w:rsidRDefault="002D6584" w:rsidP="004A5151">
      <w:pPr>
        <w:pStyle w:val="n01"/>
        <w:keepLines w:val="0"/>
        <w:widowControl w:val="0"/>
        <w:spacing w:before="0"/>
        <w:ind w:left="340" w:firstLine="0"/>
        <w:jc w:val="center"/>
        <w:rPr>
          <w:rFonts w:ascii="Arial" w:hAnsi="Arial"/>
          <w:color w:val="auto"/>
        </w:rPr>
      </w:pPr>
      <w:r w:rsidRPr="00A26B0B">
        <w:rPr>
          <w:rFonts w:ascii="Arial" w:hAnsi="Arial"/>
          <w:color w:val="auto"/>
          <w:sz w:val="18"/>
          <w:szCs w:val="18"/>
        </w:rPr>
        <w:t>(Porcentaje de la población ocupada)</w:t>
      </w:r>
    </w:p>
    <w:p w14:paraId="2BB8C2BA" w14:textId="77610753" w:rsidR="002D6584" w:rsidRPr="00A26B0B" w:rsidRDefault="00E326FE" w:rsidP="004A5151">
      <w:pPr>
        <w:pStyle w:val="n01"/>
        <w:keepLines w:val="0"/>
        <w:widowControl w:val="0"/>
        <w:spacing w:before="20"/>
        <w:ind w:left="340" w:firstLine="0"/>
        <w:jc w:val="center"/>
        <w:rPr>
          <w:rFonts w:ascii="Arial" w:hAnsi="Arial"/>
          <w:color w:val="auto"/>
        </w:rPr>
      </w:pPr>
      <w:r>
        <w:rPr>
          <w:noProof/>
          <w:lang w:val="es-MX" w:eastAsia="es-MX"/>
        </w:rPr>
        <w:drawing>
          <wp:inline distT="0" distB="0" distL="0" distR="0" wp14:anchorId="28F555F1" wp14:editId="63A2A03C">
            <wp:extent cx="4320000" cy="2520000"/>
            <wp:effectExtent l="0" t="0" r="23495" b="1397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A131B35" w14:textId="77777777" w:rsidR="002D6584" w:rsidRPr="00A26B0B" w:rsidRDefault="002D6584" w:rsidP="002D6584">
      <w:pPr>
        <w:pStyle w:val="n01"/>
        <w:keepLines w:val="0"/>
        <w:widowControl w:val="0"/>
        <w:spacing w:before="20"/>
        <w:ind w:left="0" w:firstLine="1540"/>
        <w:jc w:val="left"/>
        <w:rPr>
          <w:rFonts w:ascii="Arial" w:hAnsi="Arial"/>
          <w:color w:val="auto"/>
          <w:sz w:val="16"/>
          <w:szCs w:val="16"/>
        </w:rPr>
      </w:pPr>
      <w:r w:rsidRPr="00A26B0B">
        <w:rPr>
          <w:rFonts w:ascii="Arial" w:hAnsi="Arial"/>
          <w:color w:val="auto"/>
          <w:sz w:val="16"/>
          <w:szCs w:val="16"/>
        </w:rPr>
        <w:t>Fuente: INEGI.</w:t>
      </w:r>
    </w:p>
    <w:p w14:paraId="7A079E96" w14:textId="7B54F228" w:rsidR="00464FA5" w:rsidRPr="00A26B0B" w:rsidRDefault="00464FA5" w:rsidP="00AE1FC7">
      <w:pPr>
        <w:spacing w:before="360"/>
      </w:pPr>
      <w:r w:rsidRPr="00A26B0B">
        <w:t xml:space="preserve">La TOSI1 urbana </w:t>
      </w:r>
      <w:r w:rsidR="007A2CB3">
        <w:t>fue de 26.8% en el noveno mes de 2019, tasa ligeramente superior a la del mes precedente</w:t>
      </w:r>
      <w:r w:rsidR="00A0204E">
        <w:t xml:space="preserve"> y en su comparación anual no registró variación</w:t>
      </w:r>
      <w:r w:rsidR="00813BD1" w:rsidRPr="00A26B0B">
        <w:t xml:space="preserve">, </w:t>
      </w:r>
      <w:r w:rsidRPr="00A26B0B">
        <w:t>con series ajustadas por estacionalidad.</w:t>
      </w:r>
    </w:p>
    <w:p w14:paraId="115BD4A2" w14:textId="77777777" w:rsidR="00D170C1" w:rsidRDefault="00D170C1">
      <w:pPr>
        <w:jc w:val="left"/>
        <w:rPr>
          <w:b/>
          <w:i/>
          <w:lang w:val="es-ES"/>
        </w:rPr>
      </w:pPr>
      <w:r>
        <w:rPr>
          <w:b/>
          <w:i/>
          <w:lang w:val="es-ES"/>
        </w:rPr>
        <w:br w:type="page"/>
      </w:r>
    </w:p>
    <w:p w14:paraId="0AF91350" w14:textId="77777777" w:rsidR="002D6584" w:rsidRPr="00A26B0B" w:rsidRDefault="002D6584" w:rsidP="00D170C1">
      <w:pPr>
        <w:widowControl w:val="0"/>
        <w:spacing w:before="360"/>
        <w:rPr>
          <w:b/>
          <w:i/>
          <w:lang w:val="es-ES"/>
        </w:rPr>
      </w:pPr>
      <w:r w:rsidRPr="00A26B0B">
        <w:rPr>
          <w:b/>
          <w:i/>
          <w:lang w:val="es-ES"/>
        </w:rPr>
        <w:lastRenderedPageBreak/>
        <w:t>Cifras originales</w:t>
      </w:r>
    </w:p>
    <w:p w14:paraId="106689FB" w14:textId="77777777" w:rsidR="002D6584" w:rsidRPr="00A26B0B" w:rsidRDefault="002D6584" w:rsidP="002D6584">
      <w:pPr>
        <w:widowControl w:val="0"/>
        <w:spacing w:before="360"/>
        <w:rPr>
          <w:b/>
          <w:i/>
          <w:lang w:val="es-ES"/>
        </w:rPr>
      </w:pPr>
      <w:r w:rsidRPr="00A26B0B">
        <w:rPr>
          <w:b/>
          <w:i/>
          <w:lang w:val="es-ES"/>
        </w:rPr>
        <w:t>Características de la población ocupada</w:t>
      </w:r>
    </w:p>
    <w:p w14:paraId="48C81236" w14:textId="48E3565C" w:rsidR="002D6584" w:rsidRPr="00A26B0B" w:rsidRDefault="002D6584" w:rsidP="00D170C1">
      <w:pPr>
        <w:spacing w:before="240"/>
      </w:pPr>
      <w:r w:rsidRPr="00A26B0B">
        <w:t xml:space="preserve">La población ocupada alcanzó </w:t>
      </w:r>
      <w:r w:rsidR="00604B6E" w:rsidRPr="00A26B0B">
        <w:t>9</w:t>
      </w:r>
      <w:r w:rsidR="00DC66D2">
        <w:t>6.</w:t>
      </w:r>
      <w:r w:rsidR="000645AC">
        <w:t>2</w:t>
      </w:r>
      <w:r w:rsidR="00570BC4" w:rsidRPr="00A26B0B">
        <w:t xml:space="preserve">% de la PEA </w:t>
      </w:r>
      <w:r w:rsidR="00976F1B" w:rsidRPr="00A26B0B">
        <w:t xml:space="preserve">en </w:t>
      </w:r>
      <w:r w:rsidR="000645AC">
        <w:t>septiembre</w:t>
      </w:r>
      <w:r w:rsidR="00C95191" w:rsidRPr="00A26B0B">
        <w:t xml:space="preserve"> de</w:t>
      </w:r>
      <w:r w:rsidR="007F246B">
        <w:t xml:space="preserve"> este</w:t>
      </w:r>
      <w:r w:rsidR="00843EB0" w:rsidRPr="00A26B0B">
        <w:t xml:space="preserve"> año</w:t>
      </w:r>
      <w:r w:rsidRPr="00A26B0B">
        <w:t xml:space="preserve">.  Del total de ocupados, el </w:t>
      </w:r>
      <w:r w:rsidR="00604B6E" w:rsidRPr="00A26B0B">
        <w:t>6</w:t>
      </w:r>
      <w:r w:rsidR="000645AC">
        <w:t>8.2</w:t>
      </w:r>
      <w:r w:rsidRPr="00A26B0B">
        <w:t xml:space="preserve">% opera como trabajador subordinado y remunerado ocupando una plaza o puesto de trabajo, </w:t>
      </w:r>
      <w:r w:rsidR="00604B6E" w:rsidRPr="00A26B0B">
        <w:t>2</w:t>
      </w:r>
      <w:r w:rsidR="00065AB9" w:rsidRPr="00A26B0B">
        <w:t>2.</w:t>
      </w:r>
      <w:r w:rsidR="000645AC">
        <w:t>2</w:t>
      </w:r>
      <w:r w:rsidRPr="00A26B0B">
        <w:t>% trabaja de manera independiente o por su</w:t>
      </w:r>
      <w:r w:rsidR="00A04EA6" w:rsidRPr="00A26B0B">
        <w:t xml:space="preserve"> cuenta sin contratar empleados</w:t>
      </w:r>
      <w:r w:rsidR="000E536C" w:rsidRPr="00A26B0B">
        <w:t>,</w:t>
      </w:r>
      <w:r w:rsidR="00A04EA6" w:rsidRPr="00A26B0B">
        <w:t xml:space="preserve"> </w:t>
      </w:r>
      <w:r w:rsidR="000645AC">
        <w:t>5</w:t>
      </w:r>
      <w:r w:rsidR="005B2A82" w:rsidRPr="00A26B0B">
        <w:t xml:space="preserve">% son patrones o empleadores, y finalmente un </w:t>
      </w:r>
      <w:r w:rsidR="00221FF3" w:rsidRPr="00A26B0B">
        <w:t>4.</w:t>
      </w:r>
      <w:r w:rsidR="000645AC">
        <w:t>7</w:t>
      </w:r>
      <w:r w:rsidR="00E63FA0" w:rsidRPr="00A26B0B">
        <w:t>% se desempeña en los negocios o en las parcelas familiares, contribuyendo de manera directa a los procesos productivos pero sin un acuerdo de remuneración monetaria</w:t>
      </w:r>
      <w:r w:rsidR="000E5CBF" w:rsidRPr="00A26B0B">
        <w:t>.</w:t>
      </w:r>
    </w:p>
    <w:p w14:paraId="3E6F8C04" w14:textId="62460210" w:rsidR="002D6584" w:rsidRPr="00A26B0B" w:rsidRDefault="002D6584" w:rsidP="0014412A">
      <w:pPr>
        <w:widowControl w:val="0"/>
        <w:spacing w:before="240"/>
        <w:rPr>
          <w:sz w:val="20"/>
          <w:szCs w:val="20"/>
        </w:rPr>
      </w:pPr>
      <w:r w:rsidRPr="00A26B0B">
        <w:t xml:space="preserve">En el ámbito urbano de alta densidad de población, conformado por 32 ciudades de más de 100 mil habitantes, el trabajo subordinado y remunerado representó </w:t>
      </w:r>
      <w:r w:rsidR="002404C4" w:rsidRPr="00A26B0B">
        <w:t>7</w:t>
      </w:r>
      <w:r w:rsidR="000645AC">
        <w:t>4</w:t>
      </w:r>
      <w:r w:rsidRPr="00A26B0B">
        <w:t xml:space="preserve">% </w:t>
      </w:r>
      <w:r w:rsidR="00693B73" w:rsidRPr="00A26B0B">
        <w:t xml:space="preserve">de la ocupación total, es decir </w:t>
      </w:r>
      <w:r w:rsidR="00375831">
        <w:t>5.8</w:t>
      </w:r>
      <w:r w:rsidRPr="00A26B0B">
        <w:t xml:space="preserve"> puntos porcentuales más que a nivel nacional.</w:t>
      </w:r>
    </w:p>
    <w:p w14:paraId="585B4C98" w14:textId="77777777" w:rsidR="002D6584" w:rsidRPr="00A26B0B" w:rsidRDefault="002D6584" w:rsidP="0045210D">
      <w:pPr>
        <w:pStyle w:val="n0"/>
        <w:keepNext/>
        <w:spacing w:before="200"/>
        <w:ind w:left="0" w:right="0" w:firstLine="0"/>
        <w:jc w:val="center"/>
        <w:rPr>
          <w:color w:val="auto"/>
          <w:sz w:val="20"/>
        </w:rPr>
      </w:pPr>
      <w:r w:rsidRPr="00A26B0B">
        <w:rPr>
          <w:color w:val="auto"/>
          <w:sz w:val="20"/>
        </w:rPr>
        <w:t>Gráfica 5</w:t>
      </w:r>
    </w:p>
    <w:p w14:paraId="41964693" w14:textId="0C1ECEF4" w:rsidR="002D6584" w:rsidRPr="00A26B0B" w:rsidRDefault="002D6584" w:rsidP="0045210D">
      <w:pPr>
        <w:pStyle w:val="n0"/>
        <w:keepNext/>
        <w:spacing w:before="0"/>
        <w:ind w:left="0" w:right="0" w:firstLine="0"/>
        <w:jc w:val="center"/>
        <w:rPr>
          <w:b/>
          <w:smallCaps/>
          <w:color w:val="auto"/>
          <w:sz w:val="22"/>
        </w:rPr>
      </w:pPr>
      <w:r w:rsidRPr="00A26B0B">
        <w:rPr>
          <w:b/>
          <w:smallCaps/>
          <w:color w:val="auto"/>
          <w:sz w:val="22"/>
        </w:rPr>
        <w:t xml:space="preserve">Población ocupada según su posición durante </w:t>
      </w:r>
      <w:r w:rsidR="00375831">
        <w:rPr>
          <w:b/>
          <w:smallCaps/>
          <w:color w:val="auto"/>
          <w:sz w:val="22"/>
        </w:rPr>
        <w:t>septiembre</w:t>
      </w:r>
      <w:r w:rsidRPr="00A26B0B">
        <w:rPr>
          <w:b/>
          <w:smallCaps/>
          <w:color w:val="auto"/>
          <w:sz w:val="22"/>
        </w:rPr>
        <w:t xml:space="preserve"> de 201</w:t>
      </w:r>
      <w:r w:rsidR="00E06CEA" w:rsidRPr="00A26B0B">
        <w:rPr>
          <w:b/>
          <w:smallCaps/>
          <w:color w:val="auto"/>
          <w:sz w:val="22"/>
        </w:rPr>
        <w:t>9</w:t>
      </w:r>
    </w:p>
    <w:p w14:paraId="3D1E49B2" w14:textId="77777777" w:rsidR="002D6584" w:rsidRPr="00A26B0B" w:rsidRDefault="002D6584" w:rsidP="0045210D">
      <w:pPr>
        <w:pStyle w:val="n0"/>
        <w:keepNext/>
        <w:spacing w:before="0"/>
        <w:ind w:left="0" w:right="0" w:firstLine="0"/>
        <w:jc w:val="center"/>
        <w:rPr>
          <w:color w:val="auto"/>
          <w:sz w:val="18"/>
          <w:szCs w:val="18"/>
        </w:rPr>
      </w:pPr>
      <w:r w:rsidRPr="00A26B0B">
        <w:rPr>
          <w:color w:val="auto"/>
          <w:sz w:val="18"/>
          <w:szCs w:val="18"/>
        </w:rPr>
        <w:t>(Porcentaje)</w:t>
      </w:r>
    </w:p>
    <w:tbl>
      <w:tblPr>
        <w:tblW w:w="9640" w:type="dxa"/>
        <w:jc w:val="center"/>
        <w:tblLayout w:type="fixed"/>
        <w:tblCellMar>
          <w:left w:w="28" w:type="dxa"/>
          <w:right w:w="28" w:type="dxa"/>
        </w:tblCellMar>
        <w:tblLook w:val="01E0" w:firstRow="1" w:lastRow="1" w:firstColumn="1" w:lastColumn="1" w:noHBand="0" w:noVBand="0"/>
      </w:tblPr>
      <w:tblGrid>
        <w:gridCol w:w="4820"/>
        <w:gridCol w:w="4820"/>
      </w:tblGrid>
      <w:tr w:rsidR="00A26B0B" w:rsidRPr="00A26B0B" w14:paraId="79B808CE" w14:textId="77777777" w:rsidTr="005F3C41">
        <w:trPr>
          <w:jc w:val="center"/>
        </w:trPr>
        <w:tc>
          <w:tcPr>
            <w:tcW w:w="4820" w:type="dxa"/>
          </w:tcPr>
          <w:p w14:paraId="4DFE18C4" w14:textId="77777777" w:rsidR="002D6584" w:rsidRPr="00A26B0B" w:rsidRDefault="002D6584" w:rsidP="0045210D">
            <w:pPr>
              <w:pStyle w:val="n0"/>
              <w:keepNext/>
              <w:spacing w:before="0"/>
              <w:ind w:left="0" w:right="0" w:firstLine="0"/>
              <w:jc w:val="center"/>
              <w:rPr>
                <w:color w:val="auto"/>
                <w:sz w:val="20"/>
              </w:rPr>
            </w:pPr>
            <w:r w:rsidRPr="00A26B0B">
              <w:rPr>
                <w:color w:val="auto"/>
                <w:sz w:val="20"/>
              </w:rPr>
              <w:t>Nacional</w:t>
            </w:r>
          </w:p>
        </w:tc>
        <w:tc>
          <w:tcPr>
            <w:tcW w:w="4820" w:type="dxa"/>
          </w:tcPr>
          <w:p w14:paraId="2808EEA5" w14:textId="77777777" w:rsidR="002D6584" w:rsidRPr="00A26B0B" w:rsidRDefault="002D6584" w:rsidP="0045210D">
            <w:pPr>
              <w:pStyle w:val="n0"/>
              <w:keepNext/>
              <w:spacing w:before="0"/>
              <w:ind w:left="0" w:right="0" w:firstLine="0"/>
              <w:jc w:val="center"/>
              <w:rPr>
                <w:color w:val="auto"/>
                <w:sz w:val="20"/>
              </w:rPr>
            </w:pPr>
            <w:r w:rsidRPr="00A26B0B">
              <w:rPr>
                <w:color w:val="auto"/>
                <w:sz w:val="20"/>
              </w:rPr>
              <w:t>Agregado urbano de 32 ciudades</w:t>
            </w:r>
          </w:p>
        </w:tc>
      </w:tr>
      <w:tr w:rsidR="00A26B0B" w:rsidRPr="00A26B0B" w14:paraId="436479BE" w14:textId="77777777" w:rsidTr="00DA5F30">
        <w:tblPrEx>
          <w:tblCellMar>
            <w:left w:w="70" w:type="dxa"/>
            <w:right w:w="70" w:type="dxa"/>
          </w:tblCellMar>
        </w:tblPrEx>
        <w:trPr>
          <w:trHeight w:val="3175"/>
          <w:jc w:val="center"/>
        </w:trPr>
        <w:tc>
          <w:tcPr>
            <w:tcW w:w="4820" w:type="dxa"/>
          </w:tcPr>
          <w:p w14:paraId="2436B103" w14:textId="160F65F3" w:rsidR="002D6584" w:rsidRPr="00A26B0B" w:rsidRDefault="00DA5F30" w:rsidP="0045210D">
            <w:pPr>
              <w:pStyle w:val="n0"/>
              <w:keepNext/>
              <w:spacing w:before="20"/>
              <w:ind w:left="0" w:right="0" w:firstLine="0"/>
              <w:jc w:val="center"/>
              <w:rPr>
                <w:color w:val="auto"/>
                <w:sz w:val="20"/>
              </w:rPr>
            </w:pPr>
            <w:r>
              <w:rPr>
                <w:noProof/>
                <w:lang w:val="es-MX" w:eastAsia="es-MX"/>
              </w:rPr>
              <w:drawing>
                <wp:inline distT="0" distB="0" distL="0" distR="0" wp14:anchorId="37FA35D2" wp14:editId="0C77288F">
                  <wp:extent cx="2971800" cy="2079625"/>
                  <wp:effectExtent l="0" t="0" r="19050" b="1587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820" w:type="dxa"/>
          </w:tcPr>
          <w:p w14:paraId="61318266" w14:textId="34885B75" w:rsidR="002D6584" w:rsidRPr="00A26B0B" w:rsidRDefault="00375831" w:rsidP="0045210D">
            <w:pPr>
              <w:pStyle w:val="n0"/>
              <w:keepNext/>
              <w:spacing w:before="20"/>
              <w:ind w:left="0" w:right="0" w:firstLine="0"/>
              <w:jc w:val="left"/>
              <w:rPr>
                <w:color w:val="auto"/>
                <w:sz w:val="20"/>
              </w:rPr>
            </w:pPr>
            <w:r>
              <w:rPr>
                <w:noProof/>
                <w:lang w:val="es-MX" w:eastAsia="es-MX"/>
              </w:rPr>
              <w:drawing>
                <wp:inline distT="0" distB="0" distL="0" distR="0" wp14:anchorId="56545F1F" wp14:editId="23C71205">
                  <wp:extent cx="2971800" cy="2079625"/>
                  <wp:effectExtent l="0" t="0" r="19050" b="3492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009F3D14" w14:textId="77777777" w:rsidR="00756430" w:rsidRPr="00A26B0B" w:rsidRDefault="00756430" w:rsidP="0045210D">
      <w:pPr>
        <w:pStyle w:val="n0"/>
        <w:keepNext/>
        <w:tabs>
          <w:tab w:val="left" w:pos="567"/>
        </w:tabs>
        <w:spacing w:before="0"/>
        <w:ind w:left="567" w:right="11" w:hanging="567"/>
        <w:rPr>
          <w:color w:val="auto"/>
          <w:sz w:val="16"/>
          <w:szCs w:val="16"/>
        </w:rPr>
      </w:pPr>
      <w:r w:rsidRPr="00A26B0B">
        <w:rPr>
          <w:color w:val="auto"/>
          <w:sz w:val="16"/>
          <w:szCs w:val="16"/>
        </w:rPr>
        <w:t>Nota:</w:t>
      </w:r>
      <w:r w:rsidRPr="00A26B0B">
        <w:rPr>
          <w:color w:val="auto"/>
          <w:sz w:val="16"/>
          <w:szCs w:val="16"/>
        </w:rPr>
        <w:tab/>
      </w:r>
      <w:r w:rsidR="00382A52" w:rsidRPr="00A26B0B">
        <w:rPr>
          <w:color w:val="auto"/>
          <w:sz w:val="16"/>
          <w:szCs w:val="16"/>
        </w:rPr>
        <w:t xml:space="preserve">Los </w:t>
      </w:r>
      <w:r w:rsidR="00266E05" w:rsidRPr="00A26B0B">
        <w:rPr>
          <w:color w:val="auto"/>
          <w:sz w:val="16"/>
          <w:szCs w:val="16"/>
        </w:rPr>
        <w:t>porcentajes resultan de considerar los Indicadores de Ocupación y Empleo con todos sus decimales, razón por la cual la</w:t>
      </w:r>
      <w:r w:rsidR="006262B8" w:rsidRPr="00A26B0B">
        <w:rPr>
          <w:color w:val="auto"/>
          <w:sz w:val="16"/>
          <w:szCs w:val="16"/>
        </w:rPr>
        <w:t>s</w:t>
      </w:r>
      <w:r w:rsidR="00266E05" w:rsidRPr="00A26B0B">
        <w:rPr>
          <w:color w:val="auto"/>
          <w:sz w:val="16"/>
          <w:szCs w:val="16"/>
        </w:rPr>
        <w:t xml:space="preserve"> suma</w:t>
      </w:r>
      <w:r w:rsidR="006262B8" w:rsidRPr="00A26B0B">
        <w:rPr>
          <w:color w:val="auto"/>
          <w:sz w:val="16"/>
          <w:szCs w:val="16"/>
        </w:rPr>
        <w:t>s</w:t>
      </w:r>
      <w:r w:rsidR="00266E05" w:rsidRPr="00A26B0B">
        <w:rPr>
          <w:color w:val="auto"/>
          <w:sz w:val="16"/>
          <w:szCs w:val="16"/>
        </w:rPr>
        <w:t xml:space="preserve"> de los componentes a un decimal puede</w:t>
      </w:r>
      <w:r w:rsidR="006262B8" w:rsidRPr="00A26B0B">
        <w:rPr>
          <w:color w:val="auto"/>
          <w:sz w:val="16"/>
          <w:szCs w:val="16"/>
        </w:rPr>
        <w:t>n</w:t>
      </w:r>
      <w:r w:rsidR="00266E05" w:rsidRPr="00A26B0B">
        <w:rPr>
          <w:color w:val="auto"/>
          <w:sz w:val="16"/>
          <w:szCs w:val="16"/>
        </w:rPr>
        <w:t xml:space="preserve"> no dar 100 por ciento.</w:t>
      </w:r>
    </w:p>
    <w:p w14:paraId="77F6CD94" w14:textId="77777777" w:rsidR="002D6584" w:rsidRPr="00A26B0B" w:rsidRDefault="002D6584" w:rsidP="0045210D">
      <w:pPr>
        <w:pStyle w:val="n0"/>
        <w:keepNext/>
        <w:tabs>
          <w:tab w:val="left" w:pos="567"/>
        </w:tabs>
        <w:spacing w:before="0"/>
        <w:ind w:left="0" w:right="11" w:firstLine="0"/>
        <w:jc w:val="left"/>
        <w:rPr>
          <w:color w:val="auto"/>
          <w:sz w:val="16"/>
          <w:szCs w:val="16"/>
        </w:rPr>
      </w:pPr>
      <w:r w:rsidRPr="00A26B0B">
        <w:rPr>
          <w:color w:val="auto"/>
          <w:sz w:val="16"/>
          <w:szCs w:val="16"/>
        </w:rPr>
        <w:t>Fuente:</w:t>
      </w:r>
      <w:r w:rsidR="00756430" w:rsidRPr="00A26B0B">
        <w:rPr>
          <w:color w:val="auto"/>
          <w:sz w:val="16"/>
          <w:szCs w:val="16"/>
        </w:rPr>
        <w:tab/>
      </w:r>
      <w:r w:rsidRPr="00A26B0B">
        <w:rPr>
          <w:color w:val="auto"/>
          <w:sz w:val="16"/>
          <w:szCs w:val="16"/>
        </w:rPr>
        <w:t>INEGI.</w:t>
      </w:r>
    </w:p>
    <w:p w14:paraId="52399223" w14:textId="619A6E56" w:rsidR="002D6584" w:rsidRPr="00A26B0B" w:rsidRDefault="002D6584" w:rsidP="004A5151">
      <w:pPr>
        <w:widowControl w:val="0"/>
        <w:spacing w:before="480"/>
      </w:pPr>
      <w:r w:rsidRPr="00A26B0B">
        <w:t xml:space="preserve">La población ocupada por sector de actividad se distribuyó de la siguiente manera: en los servicios se concentró </w:t>
      </w:r>
      <w:r w:rsidR="008545F3" w:rsidRPr="00A26B0B">
        <w:t>4</w:t>
      </w:r>
      <w:r w:rsidR="00375831">
        <w:t>2.9</w:t>
      </w:r>
      <w:r w:rsidRPr="00A26B0B">
        <w:t xml:space="preserve">% del total, en el comercio </w:t>
      </w:r>
      <w:r w:rsidR="008545F3" w:rsidRPr="00A26B0B">
        <w:t>1</w:t>
      </w:r>
      <w:r w:rsidR="00E06CEA" w:rsidRPr="00A26B0B">
        <w:t>9.</w:t>
      </w:r>
      <w:r w:rsidR="00DC66D2">
        <w:t>2</w:t>
      </w:r>
      <w:r w:rsidR="00FB3BA7" w:rsidRPr="00A26B0B">
        <w:t>%</w:t>
      </w:r>
      <w:r w:rsidRPr="00A26B0B">
        <w:t xml:space="preserve">, en la industria manufacturera </w:t>
      </w:r>
      <w:r w:rsidR="00F32084" w:rsidRPr="00A26B0B">
        <w:t>1</w:t>
      </w:r>
      <w:r w:rsidR="007F246B">
        <w:t>6.</w:t>
      </w:r>
      <w:r w:rsidR="00375831">
        <w:t>5</w:t>
      </w:r>
      <w:r w:rsidRPr="00A26B0B">
        <w:t xml:space="preserve">%, en las actividades agropecuarias </w:t>
      </w:r>
      <w:r w:rsidR="00253619" w:rsidRPr="00A26B0B">
        <w:t>1</w:t>
      </w:r>
      <w:r w:rsidR="00375831">
        <w:t>2.2</w:t>
      </w:r>
      <w:r w:rsidR="004A7ED3" w:rsidRPr="00A26B0B">
        <w:t>%</w:t>
      </w:r>
      <w:r w:rsidRPr="00A26B0B">
        <w:t xml:space="preserve">, en la construcción </w:t>
      </w:r>
      <w:r w:rsidR="00976F1B" w:rsidRPr="00A26B0B">
        <w:t>7.</w:t>
      </w:r>
      <w:r w:rsidR="00375831">
        <w:t>9</w:t>
      </w:r>
      <w:r w:rsidRPr="00A26B0B">
        <w:t xml:space="preserve">%, en “otras actividades económicas” (que incluyen la minería, electricidad, agua y suministro de gas) </w:t>
      </w:r>
      <w:r w:rsidR="00604B6E" w:rsidRPr="00A26B0B">
        <w:t>0.</w:t>
      </w:r>
      <w:r w:rsidR="007F246B">
        <w:t>7</w:t>
      </w:r>
      <w:r w:rsidRPr="00A26B0B">
        <w:t xml:space="preserve">% y el restante </w:t>
      </w:r>
      <w:r w:rsidR="00604B6E" w:rsidRPr="00A26B0B">
        <w:t>0.</w:t>
      </w:r>
      <w:r w:rsidR="00375831">
        <w:t>6</w:t>
      </w:r>
      <w:r w:rsidRPr="00A26B0B">
        <w:t>% no especificó su actividad.</w:t>
      </w:r>
    </w:p>
    <w:p w14:paraId="05A83956" w14:textId="77777777" w:rsidR="00D170C1" w:rsidRDefault="00D170C1">
      <w:pPr>
        <w:jc w:val="left"/>
        <w:rPr>
          <w:b/>
          <w:i/>
          <w:lang w:val="es-ES"/>
        </w:rPr>
      </w:pPr>
      <w:r>
        <w:rPr>
          <w:b/>
          <w:i/>
          <w:lang w:val="es-ES"/>
        </w:rPr>
        <w:br w:type="page"/>
      </w:r>
    </w:p>
    <w:p w14:paraId="21AC4BF2" w14:textId="77777777" w:rsidR="002D6584" w:rsidRPr="00A26B0B" w:rsidRDefault="002D6584" w:rsidP="002D6584">
      <w:pPr>
        <w:widowControl w:val="0"/>
        <w:spacing w:before="360"/>
        <w:rPr>
          <w:b/>
          <w:i/>
          <w:lang w:val="es-ES"/>
        </w:rPr>
      </w:pPr>
      <w:r w:rsidRPr="00A26B0B">
        <w:rPr>
          <w:b/>
          <w:i/>
          <w:lang w:val="es-ES"/>
        </w:rPr>
        <w:lastRenderedPageBreak/>
        <w:t>Indicadores de la población desocupada</w:t>
      </w:r>
    </w:p>
    <w:p w14:paraId="69EA4320" w14:textId="79AF55CA" w:rsidR="002D6584" w:rsidRPr="00952E0E" w:rsidRDefault="002D6584" w:rsidP="002D6584">
      <w:pPr>
        <w:pStyle w:val="Textoindependiente"/>
        <w:widowControl w:val="0"/>
        <w:rPr>
          <w:color w:val="auto"/>
        </w:rPr>
      </w:pPr>
      <w:r w:rsidRPr="00952E0E">
        <w:rPr>
          <w:color w:val="auto"/>
          <w:lang w:val="es-ES"/>
        </w:rPr>
        <w:t>A</w:t>
      </w:r>
      <w:r w:rsidRPr="00952E0E">
        <w:rPr>
          <w:color w:val="auto"/>
        </w:rPr>
        <w:t xml:space="preserve"> nivel nacional, la tasa de desocupación (TD)</w:t>
      </w:r>
      <w:r w:rsidR="00CA4043" w:rsidRPr="00952E0E">
        <w:rPr>
          <w:color w:val="auto"/>
        </w:rPr>
        <w:t xml:space="preserve"> </w:t>
      </w:r>
      <w:r w:rsidR="0000521A" w:rsidRPr="00952E0E">
        <w:rPr>
          <w:color w:val="auto"/>
        </w:rPr>
        <w:t xml:space="preserve">se ubicó en </w:t>
      </w:r>
      <w:r w:rsidR="00D16450" w:rsidRPr="00952E0E">
        <w:rPr>
          <w:color w:val="auto"/>
        </w:rPr>
        <w:t>3.</w:t>
      </w:r>
      <w:r w:rsidR="002228D9">
        <w:rPr>
          <w:color w:val="auto"/>
        </w:rPr>
        <w:t>8</w:t>
      </w:r>
      <w:r w:rsidR="007C20AB" w:rsidRPr="00952E0E">
        <w:rPr>
          <w:color w:val="auto"/>
        </w:rPr>
        <w:t xml:space="preserve">% de la PEA </w:t>
      </w:r>
      <w:r w:rsidR="00BF66BA" w:rsidRPr="00952E0E">
        <w:rPr>
          <w:color w:val="auto"/>
        </w:rPr>
        <w:t>en</w:t>
      </w:r>
      <w:r w:rsidR="00FA6A0C">
        <w:rPr>
          <w:color w:val="auto"/>
        </w:rPr>
        <w:t xml:space="preserve"> </w:t>
      </w:r>
      <w:r w:rsidR="00976F1B" w:rsidRPr="00952E0E">
        <w:rPr>
          <w:color w:val="auto"/>
        </w:rPr>
        <w:t xml:space="preserve">el </w:t>
      </w:r>
      <w:r w:rsidR="006C45E4">
        <w:rPr>
          <w:color w:val="auto"/>
        </w:rPr>
        <w:br/>
      </w:r>
      <w:r w:rsidR="002228D9">
        <w:rPr>
          <w:color w:val="auto"/>
        </w:rPr>
        <w:t>noven</w:t>
      </w:r>
      <w:r w:rsidR="0000345A">
        <w:rPr>
          <w:color w:val="auto"/>
        </w:rPr>
        <w:t xml:space="preserve">o </w:t>
      </w:r>
      <w:r w:rsidR="00976F1B" w:rsidRPr="00952E0E">
        <w:rPr>
          <w:color w:val="auto"/>
        </w:rPr>
        <w:t xml:space="preserve">mes </w:t>
      </w:r>
      <w:r w:rsidRPr="00952E0E">
        <w:rPr>
          <w:color w:val="auto"/>
        </w:rPr>
        <w:t>de</w:t>
      </w:r>
      <w:r w:rsidR="00B242A6" w:rsidRPr="00952E0E">
        <w:rPr>
          <w:color w:val="auto"/>
        </w:rPr>
        <w:t>l presente</w:t>
      </w:r>
      <w:r w:rsidR="0000521A" w:rsidRPr="00952E0E">
        <w:rPr>
          <w:color w:val="auto"/>
        </w:rPr>
        <w:t xml:space="preserve"> </w:t>
      </w:r>
      <w:r w:rsidR="00DF7E12" w:rsidRPr="00952E0E">
        <w:rPr>
          <w:color w:val="auto"/>
        </w:rPr>
        <w:t>año</w:t>
      </w:r>
      <w:r w:rsidRPr="00952E0E">
        <w:rPr>
          <w:color w:val="auto"/>
        </w:rPr>
        <w:t xml:space="preserve">, </w:t>
      </w:r>
      <w:r w:rsidR="006D2781" w:rsidRPr="00952E0E">
        <w:rPr>
          <w:color w:val="auto"/>
        </w:rPr>
        <w:t xml:space="preserve">porcentaje </w:t>
      </w:r>
      <w:r w:rsidR="005B2A82" w:rsidRPr="00952E0E">
        <w:rPr>
          <w:color w:val="auto"/>
        </w:rPr>
        <w:t>superior al</w:t>
      </w:r>
      <w:r w:rsidR="00C67809" w:rsidRPr="00952E0E">
        <w:rPr>
          <w:color w:val="auto"/>
        </w:rPr>
        <w:t xml:space="preserve"> de</w:t>
      </w:r>
      <w:r w:rsidR="004F61D1" w:rsidRPr="00952E0E">
        <w:rPr>
          <w:color w:val="auto"/>
        </w:rPr>
        <w:t xml:space="preserve"> </w:t>
      </w:r>
      <w:r w:rsidR="00DB4DF8" w:rsidRPr="00952E0E">
        <w:rPr>
          <w:color w:val="auto"/>
        </w:rPr>
        <w:t xml:space="preserve">igual </w:t>
      </w:r>
      <w:r w:rsidR="00843EB0" w:rsidRPr="00952E0E">
        <w:rPr>
          <w:color w:val="auto"/>
        </w:rPr>
        <w:t xml:space="preserve">mes </w:t>
      </w:r>
      <w:r w:rsidR="0000521A" w:rsidRPr="00952E0E">
        <w:rPr>
          <w:color w:val="auto"/>
        </w:rPr>
        <w:t xml:space="preserve">de </w:t>
      </w:r>
      <w:r w:rsidR="00DD69E0" w:rsidRPr="00952E0E">
        <w:rPr>
          <w:color w:val="auto"/>
        </w:rPr>
        <w:t>201</w:t>
      </w:r>
      <w:r w:rsidR="00B06BAE" w:rsidRPr="00952E0E">
        <w:rPr>
          <w:color w:val="auto"/>
        </w:rPr>
        <w:t>8</w:t>
      </w:r>
      <w:r w:rsidR="0000521A" w:rsidRPr="00952E0E">
        <w:rPr>
          <w:color w:val="auto"/>
        </w:rPr>
        <w:t xml:space="preserve">, de </w:t>
      </w:r>
      <w:r w:rsidR="00FA6A0C">
        <w:rPr>
          <w:color w:val="auto"/>
        </w:rPr>
        <w:br/>
      </w:r>
      <w:r w:rsidR="00191571" w:rsidRPr="00952E0E">
        <w:rPr>
          <w:color w:val="auto"/>
        </w:rPr>
        <w:t>3.</w:t>
      </w:r>
      <w:r w:rsidR="002228D9">
        <w:rPr>
          <w:color w:val="auto"/>
        </w:rPr>
        <w:t>6</w:t>
      </w:r>
      <w:r w:rsidR="000E5FF6" w:rsidRPr="00952E0E">
        <w:rPr>
          <w:color w:val="auto"/>
        </w:rPr>
        <w:t xml:space="preserve"> por ciento</w:t>
      </w:r>
      <w:r w:rsidRPr="00952E0E">
        <w:rPr>
          <w:color w:val="auto"/>
        </w:rPr>
        <w:t>.</w:t>
      </w:r>
    </w:p>
    <w:p w14:paraId="5B1E1603" w14:textId="77777777" w:rsidR="002D6584" w:rsidRPr="00A26B0B" w:rsidRDefault="002D6584" w:rsidP="002D6584">
      <w:pPr>
        <w:pStyle w:val="n0"/>
        <w:keepNext/>
        <w:ind w:left="0" w:right="0" w:firstLine="0"/>
        <w:jc w:val="center"/>
        <w:rPr>
          <w:color w:val="auto"/>
          <w:sz w:val="20"/>
        </w:rPr>
      </w:pPr>
      <w:r w:rsidRPr="00A26B0B">
        <w:rPr>
          <w:color w:val="auto"/>
          <w:sz w:val="20"/>
        </w:rPr>
        <w:t>Gráfica 6</w:t>
      </w:r>
    </w:p>
    <w:p w14:paraId="2C3F66CE" w14:textId="0B31A884" w:rsidR="002D6584" w:rsidRPr="00A26B0B" w:rsidRDefault="002D6584" w:rsidP="002D6584">
      <w:pPr>
        <w:pStyle w:val="n0"/>
        <w:keepNext/>
        <w:spacing w:before="0"/>
        <w:ind w:left="0" w:right="0" w:firstLine="0"/>
        <w:jc w:val="center"/>
        <w:rPr>
          <w:b/>
          <w:smallCaps/>
          <w:color w:val="auto"/>
          <w:sz w:val="22"/>
        </w:rPr>
      </w:pPr>
      <w:r w:rsidRPr="00A26B0B">
        <w:rPr>
          <w:b/>
          <w:smallCaps/>
          <w:color w:val="auto"/>
          <w:sz w:val="22"/>
        </w:rPr>
        <w:t xml:space="preserve">Tasa de desocupación nacional </w:t>
      </w:r>
      <w:r w:rsidR="00DC66D2">
        <w:rPr>
          <w:b/>
          <w:smallCaps/>
          <w:color w:val="auto"/>
          <w:sz w:val="22"/>
        </w:rPr>
        <w:t>a</w:t>
      </w:r>
      <w:r w:rsidR="002228D9">
        <w:rPr>
          <w:b/>
          <w:smallCaps/>
          <w:color w:val="auto"/>
          <w:sz w:val="22"/>
        </w:rPr>
        <w:t xml:space="preserve"> septiembre</w:t>
      </w:r>
      <w:r w:rsidRPr="00A26B0B">
        <w:rPr>
          <w:b/>
          <w:smallCaps/>
          <w:color w:val="auto"/>
          <w:sz w:val="22"/>
        </w:rPr>
        <w:t xml:space="preserve"> de 201</w:t>
      </w:r>
      <w:r w:rsidR="00B242A6" w:rsidRPr="00A26B0B">
        <w:rPr>
          <w:b/>
          <w:smallCaps/>
          <w:color w:val="auto"/>
          <w:sz w:val="22"/>
        </w:rPr>
        <w:t>9</w:t>
      </w:r>
    </w:p>
    <w:p w14:paraId="1757AE07" w14:textId="77777777" w:rsidR="002D6584" w:rsidRPr="00A26B0B" w:rsidRDefault="002D6584" w:rsidP="002D6584">
      <w:pPr>
        <w:pStyle w:val="n0"/>
        <w:keepNext/>
        <w:spacing w:before="0"/>
        <w:ind w:left="0" w:right="0" w:firstLine="0"/>
        <w:jc w:val="center"/>
        <w:rPr>
          <w:color w:val="auto"/>
          <w:sz w:val="18"/>
          <w:szCs w:val="18"/>
        </w:rPr>
      </w:pPr>
      <w:r w:rsidRPr="00A26B0B">
        <w:rPr>
          <w:color w:val="auto"/>
          <w:sz w:val="18"/>
          <w:szCs w:val="18"/>
        </w:rPr>
        <w:t>(Porcentaje de la PEA)</w:t>
      </w:r>
    </w:p>
    <w:p w14:paraId="19BBF712" w14:textId="4C62A30B" w:rsidR="002D6584" w:rsidRPr="00A26B0B" w:rsidRDefault="002228D9" w:rsidP="002D6584">
      <w:pPr>
        <w:pStyle w:val="n0"/>
        <w:keepNext/>
        <w:spacing w:before="0"/>
        <w:ind w:left="0" w:right="0" w:firstLine="0"/>
        <w:jc w:val="center"/>
        <w:rPr>
          <w:color w:val="auto"/>
        </w:rPr>
      </w:pPr>
      <w:r>
        <w:rPr>
          <w:noProof/>
          <w:lang w:val="es-MX" w:eastAsia="es-MX"/>
        </w:rPr>
        <w:drawing>
          <wp:inline distT="0" distB="0" distL="0" distR="0" wp14:anchorId="2382F0BC" wp14:editId="6C0A51C4">
            <wp:extent cx="4309609" cy="2536453"/>
            <wp:effectExtent l="0" t="0" r="34290" b="35560"/>
            <wp:docPr id="7" name="Gráfico 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B022DAD" w14:textId="77777777" w:rsidR="002D6584" w:rsidRPr="00A26B0B" w:rsidRDefault="002D6584" w:rsidP="002D6584">
      <w:pPr>
        <w:pStyle w:val="n0"/>
        <w:keepNext/>
        <w:spacing w:before="20"/>
        <w:ind w:left="437" w:right="11" w:firstLine="1005"/>
        <w:jc w:val="left"/>
        <w:rPr>
          <w:color w:val="auto"/>
          <w:sz w:val="16"/>
          <w:szCs w:val="16"/>
        </w:rPr>
      </w:pPr>
      <w:r w:rsidRPr="00A26B0B">
        <w:rPr>
          <w:color w:val="auto"/>
          <w:sz w:val="16"/>
          <w:szCs w:val="16"/>
        </w:rPr>
        <w:t>Fuente: INEGI.</w:t>
      </w:r>
    </w:p>
    <w:p w14:paraId="7D9F3244" w14:textId="6F372581" w:rsidR="000E5FF6" w:rsidRPr="00A26B0B" w:rsidRDefault="000E5FF6" w:rsidP="000E5FF6">
      <w:pPr>
        <w:widowControl w:val="0"/>
        <w:autoSpaceDE w:val="0"/>
        <w:autoSpaceDN w:val="0"/>
        <w:adjustRightInd w:val="0"/>
        <w:spacing w:before="240"/>
      </w:pPr>
      <w:r w:rsidRPr="00A26B0B">
        <w:t>En el mes en cuestión, un 1</w:t>
      </w:r>
      <w:r w:rsidR="002228D9">
        <w:t>6.</w:t>
      </w:r>
      <w:r w:rsidR="006C45E4">
        <w:t>3</w:t>
      </w:r>
      <w:r w:rsidRPr="00A26B0B">
        <w:t>% de los desocupados no contaba con estudios completos de secundaria, en tanto que los de mayor nivel de instrucción representaron al 8</w:t>
      </w:r>
      <w:r w:rsidR="002228D9">
        <w:t>3.</w:t>
      </w:r>
      <w:r w:rsidR="0000345A">
        <w:t>7</w:t>
      </w:r>
      <w:r w:rsidRPr="00A26B0B">
        <w:t xml:space="preserve"> por ciento. Las cifras para la situación de subocupación fueron de 3</w:t>
      </w:r>
      <w:r w:rsidR="002228D9">
        <w:t>6.5</w:t>
      </w:r>
      <w:r w:rsidRPr="00A26B0B">
        <w:t>% y de 6</w:t>
      </w:r>
      <w:r w:rsidR="002228D9">
        <w:t>3.4</w:t>
      </w:r>
      <w:r w:rsidRPr="00A26B0B">
        <w:t>%, respectivamente.</w:t>
      </w:r>
    </w:p>
    <w:p w14:paraId="5F585489" w14:textId="77777777" w:rsidR="002D6584" w:rsidRPr="00A26B0B" w:rsidRDefault="002D6584" w:rsidP="002D6584">
      <w:pPr>
        <w:pStyle w:val="Textoindependiente"/>
        <w:widowControl w:val="0"/>
        <w:spacing w:before="600"/>
        <w:rPr>
          <w:b/>
          <w:i/>
          <w:color w:val="auto"/>
          <w:lang w:val="es-ES"/>
        </w:rPr>
      </w:pPr>
      <w:r w:rsidRPr="00A26B0B">
        <w:rPr>
          <w:b/>
          <w:i/>
          <w:color w:val="auto"/>
          <w:lang w:val="es-ES"/>
        </w:rPr>
        <w:t>Tasa de desocupación por entidad federativa</w:t>
      </w:r>
    </w:p>
    <w:p w14:paraId="5AAFF318" w14:textId="77777777" w:rsidR="002D6584" w:rsidRPr="00A26B0B" w:rsidRDefault="002D6584" w:rsidP="002D6584">
      <w:pPr>
        <w:pStyle w:val="n0"/>
        <w:keepLines w:val="0"/>
        <w:widowControl w:val="0"/>
        <w:spacing w:before="360"/>
        <w:ind w:left="0" w:right="0" w:firstLine="0"/>
        <w:rPr>
          <w:color w:val="auto"/>
        </w:rPr>
      </w:pPr>
      <w:r w:rsidRPr="00A26B0B">
        <w:rPr>
          <w:color w:val="auto"/>
        </w:rPr>
        <w:t>Con objeto de incrementar el acervo de información estadística sobre las entidades federativas, el INEGI difunde cifras mensuales de la desocupación a nivel estatal</w:t>
      </w:r>
      <w:r w:rsidRPr="00A26B0B">
        <w:rPr>
          <w:color w:val="auto"/>
          <w:vertAlign w:val="superscript"/>
        </w:rPr>
        <w:footnoteReference w:id="4"/>
      </w:r>
      <w:r w:rsidRPr="00A26B0B">
        <w:rPr>
          <w:color w:val="auto"/>
        </w:rPr>
        <w:t>, mismas que mostraron los siguientes comportamientos:</w:t>
      </w:r>
    </w:p>
    <w:p w14:paraId="2B0DCC11" w14:textId="77777777" w:rsidR="002D6584" w:rsidRPr="00A26B0B" w:rsidRDefault="002D6584" w:rsidP="0045210D">
      <w:pPr>
        <w:pStyle w:val="n01"/>
        <w:keepNext/>
        <w:spacing w:before="200"/>
        <w:ind w:left="0" w:firstLine="0"/>
        <w:jc w:val="center"/>
        <w:rPr>
          <w:rFonts w:ascii="Arial" w:hAnsi="Arial"/>
          <w:color w:val="auto"/>
        </w:rPr>
      </w:pPr>
      <w:r w:rsidRPr="00A26B0B">
        <w:rPr>
          <w:rFonts w:ascii="Arial" w:hAnsi="Arial"/>
          <w:color w:val="auto"/>
          <w:sz w:val="20"/>
        </w:rPr>
        <w:lastRenderedPageBreak/>
        <w:t>Cuadro 3</w:t>
      </w:r>
    </w:p>
    <w:p w14:paraId="4B5A74AD" w14:textId="77777777" w:rsidR="002D6584" w:rsidRPr="00A26B0B" w:rsidRDefault="002D6584" w:rsidP="0045210D">
      <w:pPr>
        <w:pStyle w:val="n0"/>
        <w:keepNext/>
        <w:spacing w:before="0"/>
        <w:ind w:left="0" w:right="0" w:firstLine="0"/>
        <w:jc w:val="center"/>
        <w:rPr>
          <w:b/>
          <w:smallCaps/>
          <w:color w:val="auto"/>
          <w:sz w:val="22"/>
        </w:rPr>
      </w:pPr>
      <w:r w:rsidRPr="00A26B0B">
        <w:rPr>
          <w:b/>
          <w:smallCaps/>
          <w:color w:val="auto"/>
          <w:sz w:val="22"/>
        </w:rPr>
        <w:t>Tasa de desocupación por entidad federativa*</w:t>
      </w:r>
      <w:r w:rsidRPr="00A26B0B">
        <w:rPr>
          <w:b/>
          <w:smallCaps/>
          <w:color w:val="auto"/>
          <w:position w:val="4"/>
          <w:sz w:val="16"/>
          <w:szCs w:val="16"/>
        </w:rPr>
        <w:t>/</w:t>
      </w:r>
    </w:p>
    <w:p w14:paraId="683AFC25" w14:textId="77777777" w:rsidR="002D6584" w:rsidRPr="00A26B0B" w:rsidRDefault="002D6584" w:rsidP="0045210D">
      <w:pPr>
        <w:pStyle w:val="n0"/>
        <w:keepNext/>
        <w:spacing w:before="0"/>
        <w:ind w:left="0" w:right="0" w:firstLine="0"/>
        <w:jc w:val="center"/>
        <w:rPr>
          <w:color w:val="auto"/>
          <w:sz w:val="18"/>
          <w:szCs w:val="18"/>
        </w:rPr>
      </w:pPr>
      <w:r w:rsidRPr="00A26B0B">
        <w:rPr>
          <w:color w:val="auto"/>
          <w:sz w:val="18"/>
          <w:szCs w:val="18"/>
        </w:rPr>
        <w:t>(Porcentaje de la PEA)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2"/>
        <w:gridCol w:w="812"/>
        <w:gridCol w:w="812"/>
        <w:gridCol w:w="277"/>
        <w:gridCol w:w="2931"/>
        <w:gridCol w:w="811"/>
        <w:gridCol w:w="811"/>
      </w:tblGrid>
      <w:tr w:rsidR="00A26B0B" w:rsidRPr="00A26B0B" w14:paraId="6B95D76B" w14:textId="77777777" w:rsidTr="00716D23">
        <w:trPr>
          <w:trHeight w:val="227"/>
          <w:jc w:val="center"/>
        </w:trPr>
        <w:tc>
          <w:tcPr>
            <w:tcW w:w="2932"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39E7F57A" w14:textId="77777777" w:rsidR="002D6584" w:rsidRPr="00A26B0B" w:rsidRDefault="002D6584" w:rsidP="0045210D">
            <w:pPr>
              <w:pStyle w:val="n0"/>
              <w:keepNext/>
              <w:spacing w:before="20" w:after="20"/>
              <w:ind w:left="0" w:right="0" w:firstLine="0"/>
              <w:jc w:val="center"/>
              <w:rPr>
                <w:color w:val="auto"/>
                <w:sz w:val="18"/>
                <w:szCs w:val="18"/>
              </w:rPr>
            </w:pPr>
            <w:r w:rsidRPr="00A26B0B">
              <w:rPr>
                <w:color w:val="auto"/>
                <w:sz w:val="18"/>
                <w:szCs w:val="18"/>
              </w:rPr>
              <w:t>Entidad Federativa</w:t>
            </w:r>
          </w:p>
        </w:tc>
        <w:tc>
          <w:tcPr>
            <w:tcW w:w="1624"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12C12197" w14:textId="567FB998" w:rsidR="002D6584" w:rsidRPr="00A26B0B" w:rsidRDefault="002228D9" w:rsidP="006F157C">
            <w:pPr>
              <w:pStyle w:val="n0"/>
              <w:keepNext/>
              <w:spacing w:before="20" w:after="20"/>
              <w:ind w:left="0" w:right="0" w:firstLine="0"/>
              <w:jc w:val="center"/>
              <w:rPr>
                <w:color w:val="auto"/>
                <w:sz w:val="18"/>
                <w:szCs w:val="18"/>
              </w:rPr>
            </w:pPr>
            <w:r>
              <w:rPr>
                <w:color w:val="auto"/>
                <w:sz w:val="18"/>
                <w:szCs w:val="18"/>
              </w:rPr>
              <w:t>Septiembre</w:t>
            </w:r>
          </w:p>
        </w:tc>
        <w:tc>
          <w:tcPr>
            <w:tcW w:w="277" w:type="dxa"/>
            <w:tcBorders>
              <w:top w:val="nil"/>
              <w:left w:val="single" w:sz="8" w:space="0" w:color="1F497D" w:themeColor="text2"/>
              <w:bottom w:val="nil"/>
              <w:right w:val="single" w:sz="8" w:space="0" w:color="1F497D" w:themeColor="text2"/>
            </w:tcBorders>
            <w:shd w:val="clear" w:color="auto" w:fill="auto"/>
          </w:tcPr>
          <w:p w14:paraId="16325049" w14:textId="77777777" w:rsidR="002D6584" w:rsidRPr="00A26B0B" w:rsidRDefault="002D6584" w:rsidP="0045210D">
            <w:pPr>
              <w:pStyle w:val="n0"/>
              <w:keepNext/>
              <w:spacing w:before="20" w:after="20"/>
              <w:ind w:left="0" w:right="0" w:firstLine="0"/>
              <w:jc w:val="center"/>
              <w:rPr>
                <w:color w:val="auto"/>
                <w:sz w:val="18"/>
                <w:szCs w:val="18"/>
              </w:rPr>
            </w:pPr>
          </w:p>
        </w:tc>
        <w:tc>
          <w:tcPr>
            <w:tcW w:w="2931"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233EBD5D" w14:textId="77777777" w:rsidR="002D6584" w:rsidRPr="00A26B0B" w:rsidRDefault="002D6584" w:rsidP="0045210D">
            <w:pPr>
              <w:pStyle w:val="n0"/>
              <w:keepNext/>
              <w:spacing w:before="20" w:after="20"/>
              <w:ind w:left="0" w:right="0" w:firstLine="0"/>
              <w:jc w:val="center"/>
              <w:rPr>
                <w:color w:val="auto"/>
                <w:sz w:val="18"/>
                <w:szCs w:val="18"/>
              </w:rPr>
            </w:pPr>
            <w:r w:rsidRPr="00A26B0B">
              <w:rPr>
                <w:color w:val="auto"/>
                <w:sz w:val="18"/>
                <w:szCs w:val="18"/>
              </w:rPr>
              <w:t>Entidad Federativa</w:t>
            </w:r>
          </w:p>
        </w:tc>
        <w:tc>
          <w:tcPr>
            <w:tcW w:w="1622"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38F35F25" w14:textId="024AE95E" w:rsidR="002D6584" w:rsidRPr="00A26B0B" w:rsidRDefault="002228D9" w:rsidP="0045210D">
            <w:pPr>
              <w:pStyle w:val="n0"/>
              <w:keepNext/>
              <w:spacing w:before="20" w:after="20"/>
              <w:ind w:left="0" w:right="0" w:firstLine="0"/>
              <w:jc w:val="center"/>
              <w:rPr>
                <w:color w:val="auto"/>
                <w:sz w:val="18"/>
                <w:szCs w:val="18"/>
              </w:rPr>
            </w:pPr>
            <w:r>
              <w:rPr>
                <w:color w:val="auto"/>
                <w:sz w:val="18"/>
                <w:szCs w:val="18"/>
              </w:rPr>
              <w:t>Septiembre</w:t>
            </w:r>
          </w:p>
        </w:tc>
      </w:tr>
      <w:tr w:rsidR="00A26B0B" w:rsidRPr="00A26B0B" w14:paraId="662BA441" w14:textId="77777777" w:rsidTr="00716D23">
        <w:trPr>
          <w:trHeight w:val="227"/>
          <w:jc w:val="center"/>
        </w:trPr>
        <w:tc>
          <w:tcPr>
            <w:tcW w:w="2932"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6E7620ED" w14:textId="77777777" w:rsidR="002D6584" w:rsidRPr="00A26B0B" w:rsidRDefault="002D6584" w:rsidP="0045210D">
            <w:pPr>
              <w:pStyle w:val="n0"/>
              <w:keepNext/>
              <w:spacing w:before="20" w:after="20"/>
              <w:ind w:left="0" w:right="0" w:firstLine="0"/>
              <w:jc w:val="left"/>
              <w:rPr>
                <w:color w:val="auto"/>
                <w:sz w:val="18"/>
                <w:szCs w:val="18"/>
              </w:rPr>
            </w:pPr>
          </w:p>
        </w:tc>
        <w:tc>
          <w:tcPr>
            <w:tcW w:w="812"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BC3DF"/>
            <w:vAlign w:val="center"/>
          </w:tcPr>
          <w:p w14:paraId="44DA0415" w14:textId="77777777" w:rsidR="002D6584" w:rsidRPr="00A26B0B" w:rsidRDefault="002D6584" w:rsidP="0045210D">
            <w:pPr>
              <w:pStyle w:val="n0"/>
              <w:keepNext/>
              <w:spacing w:before="20" w:after="20"/>
              <w:ind w:left="0" w:right="0" w:firstLine="0"/>
              <w:jc w:val="center"/>
              <w:rPr>
                <w:color w:val="auto"/>
                <w:sz w:val="18"/>
                <w:szCs w:val="18"/>
              </w:rPr>
            </w:pPr>
            <w:r w:rsidRPr="00A26B0B">
              <w:rPr>
                <w:color w:val="auto"/>
                <w:sz w:val="18"/>
                <w:szCs w:val="18"/>
              </w:rPr>
              <w:t>201</w:t>
            </w:r>
            <w:r w:rsidR="00B242A6" w:rsidRPr="00A26B0B">
              <w:rPr>
                <w:color w:val="auto"/>
                <w:sz w:val="18"/>
                <w:szCs w:val="18"/>
              </w:rPr>
              <w:t>8</w:t>
            </w:r>
          </w:p>
        </w:tc>
        <w:tc>
          <w:tcPr>
            <w:tcW w:w="812"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7ADB6754" w14:textId="77777777" w:rsidR="002D6584" w:rsidRPr="00A26B0B" w:rsidRDefault="002D6584" w:rsidP="0045210D">
            <w:pPr>
              <w:pStyle w:val="n0"/>
              <w:keepNext/>
              <w:spacing w:before="20" w:after="20"/>
              <w:ind w:left="0" w:right="0" w:firstLine="0"/>
              <w:jc w:val="center"/>
              <w:rPr>
                <w:color w:val="auto"/>
                <w:sz w:val="18"/>
                <w:szCs w:val="18"/>
              </w:rPr>
            </w:pPr>
            <w:r w:rsidRPr="00A26B0B">
              <w:rPr>
                <w:color w:val="auto"/>
                <w:sz w:val="18"/>
                <w:szCs w:val="18"/>
              </w:rPr>
              <w:t>201</w:t>
            </w:r>
            <w:r w:rsidR="00B242A6" w:rsidRPr="00A26B0B">
              <w:rPr>
                <w:color w:val="auto"/>
                <w:sz w:val="18"/>
                <w:szCs w:val="18"/>
              </w:rPr>
              <w:t>9</w:t>
            </w:r>
          </w:p>
        </w:tc>
        <w:tc>
          <w:tcPr>
            <w:tcW w:w="277" w:type="dxa"/>
            <w:tcBorders>
              <w:top w:val="nil"/>
              <w:left w:val="single" w:sz="8" w:space="0" w:color="1F497D" w:themeColor="text2"/>
              <w:bottom w:val="nil"/>
              <w:right w:val="single" w:sz="8" w:space="0" w:color="1F497D" w:themeColor="text2"/>
            </w:tcBorders>
            <w:shd w:val="clear" w:color="auto" w:fill="auto"/>
          </w:tcPr>
          <w:p w14:paraId="4E17E937" w14:textId="77777777" w:rsidR="002D6584" w:rsidRPr="00A26B0B" w:rsidRDefault="002D6584" w:rsidP="0045210D">
            <w:pPr>
              <w:pStyle w:val="n0"/>
              <w:keepNext/>
              <w:spacing w:before="20" w:after="20"/>
              <w:ind w:left="0" w:right="0" w:firstLine="0"/>
              <w:jc w:val="center"/>
              <w:rPr>
                <w:color w:val="auto"/>
                <w:sz w:val="18"/>
                <w:szCs w:val="18"/>
              </w:rPr>
            </w:pPr>
          </w:p>
        </w:tc>
        <w:tc>
          <w:tcPr>
            <w:tcW w:w="2931"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065ACBCF" w14:textId="77777777" w:rsidR="002D6584" w:rsidRPr="00A26B0B" w:rsidRDefault="002D6584" w:rsidP="0045210D">
            <w:pPr>
              <w:pStyle w:val="n0"/>
              <w:keepNext/>
              <w:spacing w:before="20" w:after="20"/>
              <w:ind w:left="0" w:right="0" w:firstLine="0"/>
              <w:jc w:val="center"/>
              <w:rPr>
                <w:color w:val="auto"/>
                <w:sz w:val="18"/>
                <w:szCs w:val="18"/>
              </w:rPr>
            </w:pPr>
          </w:p>
        </w:tc>
        <w:tc>
          <w:tcPr>
            <w:tcW w:w="81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BC3DF"/>
            <w:vAlign w:val="center"/>
          </w:tcPr>
          <w:p w14:paraId="64497C18" w14:textId="77777777" w:rsidR="002D6584" w:rsidRPr="00A26B0B" w:rsidRDefault="002D6584" w:rsidP="0045210D">
            <w:pPr>
              <w:pStyle w:val="n0"/>
              <w:keepNext/>
              <w:spacing w:before="20" w:after="20"/>
              <w:ind w:left="0" w:right="0" w:firstLine="0"/>
              <w:jc w:val="center"/>
              <w:rPr>
                <w:color w:val="auto"/>
                <w:sz w:val="18"/>
                <w:szCs w:val="18"/>
              </w:rPr>
            </w:pPr>
            <w:r w:rsidRPr="00A26B0B">
              <w:rPr>
                <w:color w:val="auto"/>
                <w:sz w:val="18"/>
                <w:szCs w:val="18"/>
              </w:rPr>
              <w:t>201</w:t>
            </w:r>
            <w:r w:rsidR="00B242A6" w:rsidRPr="00A26B0B">
              <w:rPr>
                <w:color w:val="auto"/>
                <w:sz w:val="18"/>
                <w:szCs w:val="18"/>
              </w:rPr>
              <w:t>8</w:t>
            </w:r>
          </w:p>
        </w:tc>
        <w:tc>
          <w:tcPr>
            <w:tcW w:w="811"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722A91E3" w14:textId="77777777" w:rsidR="002D6584" w:rsidRPr="00A26B0B" w:rsidRDefault="00716D23" w:rsidP="0045210D">
            <w:pPr>
              <w:pStyle w:val="n0"/>
              <w:keepNext/>
              <w:spacing w:before="20" w:after="20"/>
              <w:ind w:left="0" w:right="0" w:firstLine="0"/>
              <w:jc w:val="center"/>
              <w:rPr>
                <w:color w:val="auto"/>
                <w:sz w:val="18"/>
                <w:szCs w:val="18"/>
              </w:rPr>
            </w:pPr>
            <w:r w:rsidRPr="00A26B0B">
              <w:rPr>
                <w:color w:val="auto"/>
                <w:sz w:val="18"/>
                <w:szCs w:val="18"/>
              </w:rPr>
              <w:t>201</w:t>
            </w:r>
            <w:r w:rsidR="00B242A6" w:rsidRPr="00A26B0B">
              <w:rPr>
                <w:color w:val="auto"/>
                <w:sz w:val="18"/>
                <w:szCs w:val="18"/>
              </w:rPr>
              <w:t>9</w:t>
            </w:r>
          </w:p>
        </w:tc>
      </w:tr>
      <w:tr w:rsidR="002228D9" w:rsidRPr="00A26B0B" w14:paraId="7DEC1B27" w14:textId="77777777" w:rsidTr="002228D9">
        <w:trPr>
          <w:trHeight w:val="170"/>
          <w:jc w:val="center"/>
        </w:trPr>
        <w:tc>
          <w:tcPr>
            <w:tcW w:w="2932"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4935F2" w14:textId="77777777" w:rsidR="002228D9" w:rsidRPr="00A26B0B" w:rsidRDefault="002228D9" w:rsidP="002228D9">
            <w:pPr>
              <w:keepNext/>
              <w:keepLines/>
              <w:ind w:left="113"/>
              <w:jc w:val="left"/>
              <w:rPr>
                <w:sz w:val="18"/>
                <w:szCs w:val="18"/>
              </w:rPr>
            </w:pPr>
            <w:r w:rsidRPr="00A26B0B">
              <w:rPr>
                <w:sz w:val="18"/>
                <w:szCs w:val="18"/>
              </w:rPr>
              <w:t>Aguascalientes</w:t>
            </w:r>
          </w:p>
        </w:tc>
        <w:tc>
          <w:tcPr>
            <w:tcW w:w="812" w:type="dxa"/>
            <w:tcBorders>
              <w:top w:val="single" w:sz="6" w:space="0" w:color="1F497D" w:themeColor="text2"/>
              <w:left w:val="single" w:sz="6" w:space="0" w:color="1F497D" w:themeColor="text2"/>
              <w:bottom w:val="single" w:sz="4" w:space="0" w:color="C6D9F1" w:themeColor="text2" w:themeTint="33"/>
              <w:right w:val="nil"/>
            </w:tcBorders>
            <w:shd w:val="clear" w:color="auto" w:fill="auto"/>
            <w:vAlign w:val="center"/>
          </w:tcPr>
          <w:p w14:paraId="1AA740B6" w14:textId="23516ED7" w:rsidR="002228D9" w:rsidRPr="0000345A" w:rsidRDefault="002228D9" w:rsidP="00CA6DD5">
            <w:pPr>
              <w:keepNext/>
              <w:keepLines/>
              <w:tabs>
                <w:tab w:val="decimal" w:pos="282"/>
              </w:tabs>
              <w:jc w:val="left"/>
              <w:rPr>
                <w:sz w:val="18"/>
                <w:szCs w:val="18"/>
              </w:rPr>
            </w:pPr>
            <w:r>
              <w:rPr>
                <w:color w:val="000000"/>
                <w:sz w:val="18"/>
                <w:szCs w:val="18"/>
              </w:rPr>
              <w:t>3.8</w:t>
            </w:r>
          </w:p>
        </w:tc>
        <w:tc>
          <w:tcPr>
            <w:tcW w:w="812" w:type="dxa"/>
            <w:tcBorders>
              <w:top w:val="single" w:sz="6" w:space="0" w:color="1F497D" w:themeColor="text2"/>
              <w:left w:val="nil"/>
              <w:bottom w:val="single" w:sz="4" w:space="0" w:color="C6D9F1" w:themeColor="text2" w:themeTint="33"/>
              <w:right w:val="single" w:sz="8" w:space="0" w:color="1F497D" w:themeColor="text2"/>
            </w:tcBorders>
            <w:shd w:val="clear" w:color="auto" w:fill="auto"/>
            <w:vAlign w:val="center"/>
          </w:tcPr>
          <w:p w14:paraId="1D6A37A6" w14:textId="15194DA7" w:rsidR="002228D9" w:rsidRPr="0000345A" w:rsidRDefault="002228D9" w:rsidP="00CA6DD5">
            <w:pPr>
              <w:keepNext/>
              <w:keepLines/>
              <w:tabs>
                <w:tab w:val="decimal" w:pos="253"/>
              </w:tabs>
              <w:jc w:val="left"/>
              <w:rPr>
                <w:sz w:val="18"/>
                <w:szCs w:val="18"/>
              </w:rPr>
            </w:pPr>
            <w:r>
              <w:rPr>
                <w:color w:val="000000"/>
                <w:sz w:val="18"/>
                <w:szCs w:val="18"/>
              </w:rPr>
              <w:t>3.8</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EE59142" w14:textId="77777777" w:rsidR="002228D9" w:rsidRPr="00A26B0B" w:rsidRDefault="002228D9" w:rsidP="002228D9">
            <w:pPr>
              <w:keepNext/>
              <w:keepLines/>
              <w:jc w:val="left"/>
              <w:rPr>
                <w:sz w:val="18"/>
                <w:szCs w:val="18"/>
              </w:rPr>
            </w:pPr>
          </w:p>
        </w:tc>
        <w:tc>
          <w:tcPr>
            <w:tcW w:w="2931"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8023C10" w14:textId="77777777" w:rsidR="002228D9" w:rsidRPr="00A26B0B" w:rsidRDefault="002228D9" w:rsidP="002228D9">
            <w:pPr>
              <w:keepNext/>
              <w:keepLines/>
              <w:ind w:left="113"/>
              <w:jc w:val="left"/>
              <w:rPr>
                <w:sz w:val="18"/>
                <w:szCs w:val="18"/>
              </w:rPr>
            </w:pPr>
            <w:r w:rsidRPr="00A26B0B">
              <w:rPr>
                <w:sz w:val="18"/>
                <w:szCs w:val="18"/>
              </w:rPr>
              <w:t>Morelos</w:t>
            </w:r>
          </w:p>
        </w:tc>
        <w:tc>
          <w:tcPr>
            <w:tcW w:w="811" w:type="dxa"/>
            <w:tcBorders>
              <w:top w:val="single" w:sz="6" w:space="0" w:color="1F497D" w:themeColor="text2"/>
              <w:left w:val="single" w:sz="6" w:space="0" w:color="1F497D" w:themeColor="text2"/>
              <w:bottom w:val="single" w:sz="4" w:space="0" w:color="C6D9F1" w:themeColor="text2" w:themeTint="33"/>
              <w:right w:val="nil"/>
            </w:tcBorders>
            <w:shd w:val="clear" w:color="auto" w:fill="auto"/>
            <w:vAlign w:val="center"/>
          </w:tcPr>
          <w:p w14:paraId="28C6F64C" w14:textId="7A00D128" w:rsidR="002228D9" w:rsidRPr="0000345A" w:rsidRDefault="002228D9" w:rsidP="002228D9">
            <w:pPr>
              <w:keepNext/>
              <w:keepLines/>
              <w:tabs>
                <w:tab w:val="decimal" w:pos="279"/>
              </w:tabs>
              <w:jc w:val="left"/>
              <w:rPr>
                <w:sz w:val="18"/>
                <w:szCs w:val="18"/>
              </w:rPr>
            </w:pPr>
            <w:r>
              <w:rPr>
                <w:color w:val="000000"/>
                <w:sz w:val="18"/>
                <w:szCs w:val="18"/>
              </w:rPr>
              <w:t>2.4</w:t>
            </w:r>
          </w:p>
        </w:tc>
        <w:tc>
          <w:tcPr>
            <w:tcW w:w="811" w:type="dxa"/>
            <w:tcBorders>
              <w:top w:val="single" w:sz="6" w:space="0" w:color="1F497D" w:themeColor="text2"/>
              <w:left w:val="nil"/>
              <w:bottom w:val="single" w:sz="4" w:space="0" w:color="C6D9F1" w:themeColor="text2" w:themeTint="33"/>
              <w:right w:val="single" w:sz="8" w:space="0" w:color="1F497D" w:themeColor="text2"/>
            </w:tcBorders>
            <w:shd w:val="clear" w:color="auto" w:fill="auto"/>
            <w:vAlign w:val="center"/>
          </w:tcPr>
          <w:p w14:paraId="73E39C32" w14:textId="147856B5" w:rsidR="002228D9" w:rsidRPr="0000345A" w:rsidRDefault="002228D9" w:rsidP="002228D9">
            <w:pPr>
              <w:keepNext/>
              <w:keepLines/>
              <w:tabs>
                <w:tab w:val="decimal" w:pos="253"/>
              </w:tabs>
              <w:jc w:val="left"/>
              <w:rPr>
                <w:sz w:val="18"/>
                <w:szCs w:val="18"/>
              </w:rPr>
            </w:pPr>
            <w:r>
              <w:rPr>
                <w:color w:val="000000"/>
                <w:sz w:val="18"/>
                <w:szCs w:val="18"/>
              </w:rPr>
              <w:t>2.8</w:t>
            </w:r>
          </w:p>
        </w:tc>
      </w:tr>
      <w:tr w:rsidR="002228D9" w:rsidRPr="00A26B0B" w14:paraId="67DA3D2B" w14:textId="77777777" w:rsidTr="002228D9">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5DAA412" w14:textId="77777777" w:rsidR="002228D9" w:rsidRPr="00A26B0B" w:rsidRDefault="002228D9" w:rsidP="002228D9">
            <w:pPr>
              <w:keepNext/>
              <w:keepLines/>
              <w:ind w:left="113"/>
              <w:jc w:val="left"/>
              <w:rPr>
                <w:sz w:val="18"/>
                <w:szCs w:val="18"/>
              </w:rPr>
            </w:pPr>
            <w:r w:rsidRPr="00A26B0B">
              <w:rPr>
                <w:sz w:val="18"/>
                <w:szCs w:val="18"/>
              </w:rPr>
              <w:t>Baja California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FD53EF4" w14:textId="422ACED9" w:rsidR="002228D9" w:rsidRPr="0000345A" w:rsidRDefault="002228D9" w:rsidP="00CA6DD5">
            <w:pPr>
              <w:keepNext/>
              <w:keepLines/>
              <w:tabs>
                <w:tab w:val="decimal" w:pos="282"/>
              </w:tabs>
              <w:jc w:val="left"/>
              <w:rPr>
                <w:sz w:val="18"/>
                <w:szCs w:val="18"/>
              </w:rPr>
            </w:pPr>
            <w:r>
              <w:rPr>
                <w:color w:val="000000"/>
                <w:sz w:val="18"/>
                <w:szCs w:val="18"/>
              </w:rPr>
              <w:t>3.2</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2DCC626" w14:textId="75BAA27E" w:rsidR="002228D9" w:rsidRPr="0000345A" w:rsidRDefault="002228D9" w:rsidP="00CA6DD5">
            <w:pPr>
              <w:keepNext/>
              <w:keepLines/>
              <w:tabs>
                <w:tab w:val="decimal" w:pos="253"/>
              </w:tabs>
              <w:jc w:val="left"/>
              <w:rPr>
                <w:sz w:val="18"/>
                <w:szCs w:val="18"/>
              </w:rPr>
            </w:pPr>
            <w:r>
              <w:rPr>
                <w:color w:val="000000"/>
                <w:sz w:val="18"/>
                <w:szCs w:val="18"/>
              </w:rPr>
              <w:t>2.9</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6AAA596C" w14:textId="77777777" w:rsidR="002228D9" w:rsidRPr="00A26B0B" w:rsidRDefault="002228D9" w:rsidP="002228D9">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435783A" w14:textId="77777777" w:rsidR="002228D9" w:rsidRPr="00A26B0B" w:rsidRDefault="002228D9" w:rsidP="002228D9">
            <w:pPr>
              <w:keepNext/>
              <w:keepLines/>
              <w:ind w:left="113"/>
              <w:jc w:val="left"/>
              <w:rPr>
                <w:sz w:val="18"/>
                <w:szCs w:val="18"/>
              </w:rPr>
            </w:pPr>
            <w:r w:rsidRPr="00A26B0B">
              <w:rPr>
                <w:sz w:val="18"/>
                <w:szCs w:val="18"/>
              </w:rPr>
              <w:t>Nayarit</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2521A72" w14:textId="77F25DEB" w:rsidR="002228D9" w:rsidRPr="0000345A" w:rsidRDefault="002228D9" w:rsidP="002228D9">
            <w:pPr>
              <w:keepNext/>
              <w:keepLines/>
              <w:tabs>
                <w:tab w:val="decimal" w:pos="279"/>
              </w:tabs>
              <w:jc w:val="left"/>
              <w:rPr>
                <w:sz w:val="18"/>
                <w:szCs w:val="18"/>
              </w:rPr>
            </w:pPr>
            <w:r>
              <w:rPr>
                <w:color w:val="000000"/>
                <w:sz w:val="18"/>
                <w:szCs w:val="18"/>
              </w:rPr>
              <w:t>5.0</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2CD44EF" w14:textId="22323FAC" w:rsidR="002228D9" w:rsidRPr="0000345A" w:rsidRDefault="002228D9" w:rsidP="002228D9">
            <w:pPr>
              <w:keepNext/>
              <w:keepLines/>
              <w:tabs>
                <w:tab w:val="decimal" w:pos="253"/>
              </w:tabs>
              <w:jc w:val="left"/>
              <w:rPr>
                <w:sz w:val="18"/>
                <w:szCs w:val="18"/>
              </w:rPr>
            </w:pPr>
            <w:r>
              <w:rPr>
                <w:color w:val="000000"/>
                <w:sz w:val="18"/>
                <w:szCs w:val="18"/>
              </w:rPr>
              <w:t>4.7</w:t>
            </w:r>
          </w:p>
        </w:tc>
      </w:tr>
      <w:tr w:rsidR="002228D9" w:rsidRPr="00A26B0B" w14:paraId="79C834F2" w14:textId="77777777" w:rsidTr="002228D9">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A698B3D" w14:textId="77777777" w:rsidR="002228D9" w:rsidRPr="00A26B0B" w:rsidRDefault="002228D9" w:rsidP="002228D9">
            <w:pPr>
              <w:keepNext/>
              <w:keepLines/>
              <w:ind w:left="113"/>
              <w:jc w:val="left"/>
              <w:rPr>
                <w:sz w:val="18"/>
                <w:szCs w:val="18"/>
              </w:rPr>
            </w:pPr>
            <w:r w:rsidRPr="00A26B0B">
              <w:rPr>
                <w:sz w:val="18"/>
                <w:szCs w:val="18"/>
              </w:rPr>
              <w:t>Baja California Sur</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E0F7D38" w14:textId="440628F8" w:rsidR="002228D9" w:rsidRPr="0000345A" w:rsidRDefault="002228D9" w:rsidP="00CA6DD5">
            <w:pPr>
              <w:keepNext/>
              <w:keepLines/>
              <w:tabs>
                <w:tab w:val="decimal" w:pos="282"/>
              </w:tabs>
              <w:jc w:val="left"/>
              <w:rPr>
                <w:sz w:val="18"/>
                <w:szCs w:val="18"/>
              </w:rPr>
            </w:pPr>
            <w:r>
              <w:rPr>
                <w:color w:val="000000"/>
                <w:sz w:val="18"/>
                <w:szCs w:val="18"/>
              </w:rPr>
              <w:t>4.1</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343DA49" w14:textId="3658F3EB" w:rsidR="002228D9" w:rsidRPr="0000345A" w:rsidRDefault="002228D9" w:rsidP="00CA6DD5">
            <w:pPr>
              <w:keepNext/>
              <w:keepLines/>
              <w:tabs>
                <w:tab w:val="decimal" w:pos="253"/>
              </w:tabs>
              <w:jc w:val="left"/>
              <w:rPr>
                <w:sz w:val="18"/>
                <w:szCs w:val="18"/>
              </w:rPr>
            </w:pPr>
            <w:r>
              <w:rPr>
                <w:color w:val="000000"/>
                <w:sz w:val="18"/>
                <w:szCs w:val="18"/>
              </w:rPr>
              <w:t>4.8</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D19EF9F" w14:textId="77777777" w:rsidR="002228D9" w:rsidRPr="00A26B0B" w:rsidRDefault="002228D9" w:rsidP="002228D9">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70A7D13" w14:textId="77777777" w:rsidR="002228D9" w:rsidRPr="00A26B0B" w:rsidRDefault="002228D9" w:rsidP="002228D9">
            <w:pPr>
              <w:keepNext/>
              <w:keepLines/>
              <w:ind w:left="113"/>
              <w:jc w:val="left"/>
              <w:rPr>
                <w:sz w:val="18"/>
                <w:szCs w:val="18"/>
              </w:rPr>
            </w:pPr>
            <w:r w:rsidRPr="00A26B0B">
              <w:rPr>
                <w:sz w:val="18"/>
                <w:szCs w:val="18"/>
              </w:rPr>
              <w:t>Nuevo León</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86D4BB1" w14:textId="23C71C22" w:rsidR="002228D9" w:rsidRPr="0000345A" w:rsidRDefault="002228D9" w:rsidP="002228D9">
            <w:pPr>
              <w:keepNext/>
              <w:keepLines/>
              <w:tabs>
                <w:tab w:val="decimal" w:pos="279"/>
              </w:tabs>
              <w:jc w:val="left"/>
              <w:rPr>
                <w:sz w:val="18"/>
                <w:szCs w:val="18"/>
              </w:rPr>
            </w:pPr>
            <w:r>
              <w:rPr>
                <w:color w:val="000000"/>
                <w:sz w:val="18"/>
                <w:szCs w:val="18"/>
              </w:rPr>
              <w:t>3.7</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3FDC700" w14:textId="1197FCBD" w:rsidR="002228D9" w:rsidRPr="0000345A" w:rsidRDefault="002228D9" w:rsidP="002228D9">
            <w:pPr>
              <w:keepNext/>
              <w:keepLines/>
              <w:tabs>
                <w:tab w:val="decimal" w:pos="253"/>
              </w:tabs>
              <w:jc w:val="left"/>
              <w:rPr>
                <w:sz w:val="18"/>
                <w:szCs w:val="18"/>
              </w:rPr>
            </w:pPr>
            <w:r>
              <w:rPr>
                <w:color w:val="000000"/>
                <w:sz w:val="18"/>
                <w:szCs w:val="18"/>
              </w:rPr>
              <w:t>3.5</w:t>
            </w:r>
          </w:p>
        </w:tc>
      </w:tr>
      <w:tr w:rsidR="002228D9" w:rsidRPr="00A26B0B" w14:paraId="2CD81654" w14:textId="77777777" w:rsidTr="002228D9">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0A421FA" w14:textId="77777777" w:rsidR="002228D9" w:rsidRPr="00A26B0B" w:rsidRDefault="002228D9" w:rsidP="002228D9">
            <w:pPr>
              <w:keepNext/>
              <w:keepLines/>
              <w:ind w:left="113"/>
              <w:jc w:val="left"/>
              <w:rPr>
                <w:sz w:val="18"/>
                <w:szCs w:val="18"/>
              </w:rPr>
            </w:pPr>
            <w:r w:rsidRPr="00A26B0B">
              <w:rPr>
                <w:sz w:val="18"/>
                <w:szCs w:val="18"/>
              </w:rPr>
              <w:t>Campeche</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3B82341" w14:textId="40A2948F" w:rsidR="002228D9" w:rsidRPr="0000345A" w:rsidRDefault="002228D9" w:rsidP="00CA6DD5">
            <w:pPr>
              <w:keepNext/>
              <w:keepLines/>
              <w:tabs>
                <w:tab w:val="decimal" w:pos="282"/>
              </w:tabs>
              <w:jc w:val="left"/>
              <w:rPr>
                <w:sz w:val="18"/>
                <w:szCs w:val="18"/>
              </w:rPr>
            </w:pPr>
            <w:r>
              <w:rPr>
                <w:color w:val="000000"/>
                <w:sz w:val="18"/>
                <w:szCs w:val="18"/>
              </w:rPr>
              <w:t>3.6</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A2D2744" w14:textId="400A7671" w:rsidR="002228D9" w:rsidRPr="0000345A" w:rsidRDefault="002228D9" w:rsidP="00CA6DD5">
            <w:pPr>
              <w:keepNext/>
              <w:keepLines/>
              <w:tabs>
                <w:tab w:val="decimal" w:pos="253"/>
              </w:tabs>
              <w:jc w:val="left"/>
              <w:rPr>
                <w:sz w:val="18"/>
                <w:szCs w:val="18"/>
              </w:rPr>
            </w:pPr>
            <w:r>
              <w:rPr>
                <w:color w:val="000000"/>
                <w:sz w:val="18"/>
                <w:szCs w:val="18"/>
              </w:rPr>
              <w:t>3.0</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1482D73" w14:textId="77777777" w:rsidR="002228D9" w:rsidRPr="00A26B0B" w:rsidRDefault="002228D9" w:rsidP="002228D9">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9047524" w14:textId="77777777" w:rsidR="002228D9" w:rsidRPr="00A26B0B" w:rsidRDefault="002228D9" w:rsidP="002228D9">
            <w:pPr>
              <w:keepNext/>
              <w:keepLines/>
              <w:ind w:left="113"/>
              <w:jc w:val="left"/>
              <w:rPr>
                <w:sz w:val="18"/>
                <w:szCs w:val="18"/>
              </w:rPr>
            </w:pPr>
            <w:r w:rsidRPr="00A26B0B">
              <w:rPr>
                <w:sz w:val="18"/>
                <w:szCs w:val="18"/>
              </w:rPr>
              <w:t>Oaxaca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B0E89D3" w14:textId="1C9C7397" w:rsidR="002228D9" w:rsidRPr="0000345A" w:rsidRDefault="002228D9" w:rsidP="002228D9">
            <w:pPr>
              <w:keepNext/>
              <w:keepLines/>
              <w:tabs>
                <w:tab w:val="decimal" w:pos="279"/>
              </w:tabs>
              <w:jc w:val="left"/>
              <w:rPr>
                <w:sz w:val="18"/>
                <w:szCs w:val="18"/>
              </w:rPr>
            </w:pPr>
            <w:r>
              <w:rPr>
                <w:color w:val="000000"/>
                <w:sz w:val="18"/>
                <w:szCs w:val="18"/>
              </w:rPr>
              <w:t>1.7</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7CA096B" w14:textId="7E856B1C" w:rsidR="002228D9" w:rsidRPr="0000345A" w:rsidRDefault="002228D9" w:rsidP="002228D9">
            <w:pPr>
              <w:keepNext/>
              <w:keepLines/>
              <w:tabs>
                <w:tab w:val="decimal" w:pos="253"/>
              </w:tabs>
              <w:jc w:val="left"/>
              <w:rPr>
                <w:sz w:val="18"/>
                <w:szCs w:val="18"/>
              </w:rPr>
            </w:pPr>
            <w:r>
              <w:rPr>
                <w:color w:val="000000"/>
                <w:sz w:val="18"/>
                <w:szCs w:val="18"/>
              </w:rPr>
              <w:t>2.1</w:t>
            </w:r>
          </w:p>
        </w:tc>
      </w:tr>
      <w:tr w:rsidR="002228D9" w:rsidRPr="00A26B0B" w14:paraId="0FF94FB3" w14:textId="77777777" w:rsidTr="002228D9">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DD60CA" w14:textId="77777777" w:rsidR="002228D9" w:rsidRPr="00A26B0B" w:rsidRDefault="002228D9" w:rsidP="002228D9">
            <w:pPr>
              <w:keepNext/>
              <w:keepLines/>
              <w:ind w:left="113"/>
              <w:jc w:val="left"/>
              <w:rPr>
                <w:sz w:val="18"/>
                <w:szCs w:val="18"/>
              </w:rPr>
            </w:pPr>
            <w:r w:rsidRPr="00A26B0B">
              <w:rPr>
                <w:sz w:val="18"/>
                <w:szCs w:val="18"/>
              </w:rPr>
              <w:t>Coahuila de Zaragoza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FD72223" w14:textId="6DCE55EF" w:rsidR="002228D9" w:rsidRPr="0000345A" w:rsidRDefault="002228D9" w:rsidP="00CA6DD5">
            <w:pPr>
              <w:keepNext/>
              <w:keepLines/>
              <w:tabs>
                <w:tab w:val="decimal" w:pos="282"/>
              </w:tabs>
              <w:jc w:val="left"/>
              <w:rPr>
                <w:sz w:val="18"/>
                <w:szCs w:val="18"/>
              </w:rPr>
            </w:pPr>
            <w:r>
              <w:rPr>
                <w:color w:val="000000"/>
                <w:sz w:val="18"/>
                <w:szCs w:val="18"/>
              </w:rPr>
              <w:t>4.9</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B458330" w14:textId="310D4E3D" w:rsidR="002228D9" w:rsidRPr="0000345A" w:rsidRDefault="002228D9" w:rsidP="00CA6DD5">
            <w:pPr>
              <w:keepNext/>
              <w:keepLines/>
              <w:tabs>
                <w:tab w:val="decimal" w:pos="253"/>
              </w:tabs>
              <w:jc w:val="left"/>
              <w:rPr>
                <w:sz w:val="18"/>
                <w:szCs w:val="18"/>
              </w:rPr>
            </w:pPr>
            <w:r>
              <w:rPr>
                <w:color w:val="000000"/>
                <w:sz w:val="18"/>
                <w:szCs w:val="18"/>
              </w:rPr>
              <w:t>5.0</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14C6A68D" w14:textId="77777777" w:rsidR="002228D9" w:rsidRPr="00A26B0B" w:rsidRDefault="002228D9" w:rsidP="002228D9">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3F02818" w14:textId="77777777" w:rsidR="002228D9" w:rsidRPr="00A26B0B" w:rsidRDefault="002228D9" w:rsidP="002228D9">
            <w:pPr>
              <w:keepNext/>
              <w:keepLines/>
              <w:ind w:left="113"/>
              <w:jc w:val="left"/>
              <w:rPr>
                <w:sz w:val="18"/>
                <w:szCs w:val="18"/>
              </w:rPr>
            </w:pPr>
            <w:r w:rsidRPr="00A26B0B">
              <w:rPr>
                <w:sz w:val="18"/>
                <w:szCs w:val="18"/>
              </w:rPr>
              <w:t>Puebla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F3EF563" w14:textId="2A105B6A" w:rsidR="002228D9" w:rsidRPr="0000345A" w:rsidRDefault="002228D9" w:rsidP="002228D9">
            <w:pPr>
              <w:keepNext/>
              <w:keepLines/>
              <w:tabs>
                <w:tab w:val="decimal" w:pos="279"/>
              </w:tabs>
              <w:jc w:val="left"/>
              <w:rPr>
                <w:sz w:val="18"/>
                <w:szCs w:val="18"/>
              </w:rPr>
            </w:pPr>
            <w:r>
              <w:rPr>
                <w:color w:val="000000"/>
                <w:sz w:val="18"/>
                <w:szCs w:val="18"/>
              </w:rPr>
              <w:t>3.0</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D58BA8C" w14:textId="378D0619" w:rsidR="002228D9" w:rsidRPr="0000345A" w:rsidRDefault="002228D9" w:rsidP="002228D9">
            <w:pPr>
              <w:keepNext/>
              <w:keepLines/>
              <w:tabs>
                <w:tab w:val="decimal" w:pos="253"/>
              </w:tabs>
              <w:jc w:val="left"/>
              <w:rPr>
                <w:sz w:val="18"/>
                <w:szCs w:val="18"/>
              </w:rPr>
            </w:pPr>
            <w:r>
              <w:rPr>
                <w:color w:val="000000"/>
                <w:sz w:val="18"/>
                <w:szCs w:val="18"/>
              </w:rPr>
              <w:t>2.9</w:t>
            </w:r>
          </w:p>
        </w:tc>
      </w:tr>
      <w:tr w:rsidR="002228D9" w:rsidRPr="00A26B0B" w14:paraId="125ECF11" w14:textId="77777777" w:rsidTr="002228D9">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A733A66" w14:textId="77777777" w:rsidR="002228D9" w:rsidRPr="00A26B0B" w:rsidRDefault="002228D9" w:rsidP="002228D9">
            <w:pPr>
              <w:keepNext/>
              <w:keepLines/>
              <w:ind w:left="113"/>
              <w:jc w:val="left"/>
              <w:rPr>
                <w:sz w:val="18"/>
                <w:szCs w:val="18"/>
              </w:rPr>
            </w:pPr>
            <w:r w:rsidRPr="00A26B0B">
              <w:rPr>
                <w:sz w:val="18"/>
                <w:szCs w:val="18"/>
              </w:rPr>
              <w:t>Colima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19459FB" w14:textId="3E6A2E4D" w:rsidR="002228D9" w:rsidRPr="0000345A" w:rsidRDefault="002228D9" w:rsidP="00CA6DD5">
            <w:pPr>
              <w:keepNext/>
              <w:keepLines/>
              <w:tabs>
                <w:tab w:val="decimal" w:pos="282"/>
              </w:tabs>
              <w:jc w:val="left"/>
              <w:rPr>
                <w:sz w:val="18"/>
                <w:szCs w:val="18"/>
              </w:rPr>
            </w:pPr>
            <w:r>
              <w:rPr>
                <w:color w:val="000000"/>
                <w:sz w:val="18"/>
                <w:szCs w:val="18"/>
              </w:rPr>
              <w:t>3.2</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34CE6DA" w14:textId="4847BB28" w:rsidR="002228D9" w:rsidRPr="0000345A" w:rsidRDefault="002228D9" w:rsidP="00CA6DD5">
            <w:pPr>
              <w:keepNext/>
              <w:keepLines/>
              <w:tabs>
                <w:tab w:val="decimal" w:pos="253"/>
              </w:tabs>
              <w:jc w:val="left"/>
              <w:rPr>
                <w:sz w:val="18"/>
                <w:szCs w:val="18"/>
              </w:rPr>
            </w:pPr>
            <w:r>
              <w:rPr>
                <w:color w:val="000000"/>
                <w:sz w:val="18"/>
                <w:szCs w:val="18"/>
              </w:rPr>
              <w:t>3.8</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840E58E" w14:textId="77777777" w:rsidR="002228D9" w:rsidRPr="00A26B0B" w:rsidRDefault="002228D9" w:rsidP="002228D9">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CB34071" w14:textId="77777777" w:rsidR="002228D9" w:rsidRPr="00A26B0B" w:rsidRDefault="002228D9" w:rsidP="002228D9">
            <w:pPr>
              <w:keepNext/>
              <w:keepLines/>
              <w:ind w:left="113"/>
              <w:jc w:val="left"/>
              <w:rPr>
                <w:sz w:val="18"/>
                <w:szCs w:val="18"/>
              </w:rPr>
            </w:pPr>
            <w:r w:rsidRPr="00A26B0B">
              <w:rPr>
                <w:sz w:val="18"/>
                <w:szCs w:val="18"/>
              </w:rPr>
              <w:t>Querétaro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3BC104F" w14:textId="1D4AEDC3" w:rsidR="002228D9" w:rsidRPr="0000345A" w:rsidRDefault="002228D9" w:rsidP="002228D9">
            <w:pPr>
              <w:keepNext/>
              <w:keepLines/>
              <w:tabs>
                <w:tab w:val="decimal" w:pos="279"/>
              </w:tabs>
              <w:jc w:val="left"/>
              <w:rPr>
                <w:sz w:val="18"/>
                <w:szCs w:val="18"/>
              </w:rPr>
            </w:pPr>
            <w:r>
              <w:rPr>
                <w:color w:val="000000"/>
                <w:sz w:val="18"/>
                <w:szCs w:val="18"/>
              </w:rPr>
              <w:t>4.2</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0CA77B3" w14:textId="561A66BE" w:rsidR="002228D9" w:rsidRPr="0000345A" w:rsidRDefault="002228D9" w:rsidP="002228D9">
            <w:pPr>
              <w:keepNext/>
              <w:keepLines/>
              <w:tabs>
                <w:tab w:val="decimal" w:pos="253"/>
              </w:tabs>
              <w:jc w:val="left"/>
              <w:rPr>
                <w:sz w:val="18"/>
                <w:szCs w:val="18"/>
              </w:rPr>
            </w:pPr>
            <w:r>
              <w:rPr>
                <w:color w:val="000000"/>
                <w:sz w:val="18"/>
                <w:szCs w:val="18"/>
              </w:rPr>
              <w:t>5.4</w:t>
            </w:r>
          </w:p>
        </w:tc>
      </w:tr>
      <w:tr w:rsidR="002228D9" w:rsidRPr="00A26B0B" w14:paraId="7BB811B8" w14:textId="77777777" w:rsidTr="002228D9">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3A8C20" w14:textId="77777777" w:rsidR="002228D9" w:rsidRPr="00A26B0B" w:rsidRDefault="002228D9" w:rsidP="002228D9">
            <w:pPr>
              <w:keepNext/>
              <w:keepLines/>
              <w:ind w:left="113"/>
              <w:jc w:val="left"/>
              <w:rPr>
                <w:sz w:val="18"/>
                <w:szCs w:val="18"/>
              </w:rPr>
            </w:pPr>
            <w:r w:rsidRPr="00A26B0B">
              <w:rPr>
                <w:sz w:val="18"/>
                <w:szCs w:val="18"/>
              </w:rPr>
              <w:t>Chiapas</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31E965F" w14:textId="79B19EAB" w:rsidR="002228D9" w:rsidRPr="0000345A" w:rsidRDefault="002228D9" w:rsidP="00CA6DD5">
            <w:pPr>
              <w:keepNext/>
              <w:keepLines/>
              <w:tabs>
                <w:tab w:val="decimal" w:pos="282"/>
              </w:tabs>
              <w:jc w:val="left"/>
              <w:rPr>
                <w:sz w:val="18"/>
                <w:szCs w:val="18"/>
              </w:rPr>
            </w:pPr>
            <w:r>
              <w:rPr>
                <w:color w:val="000000"/>
                <w:sz w:val="18"/>
                <w:szCs w:val="18"/>
              </w:rPr>
              <w:t>2.9</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77B7FD3" w14:textId="43CBA91A" w:rsidR="002228D9" w:rsidRPr="0000345A" w:rsidRDefault="002228D9" w:rsidP="00CA6DD5">
            <w:pPr>
              <w:keepNext/>
              <w:keepLines/>
              <w:tabs>
                <w:tab w:val="decimal" w:pos="253"/>
              </w:tabs>
              <w:jc w:val="left"/>
              <w:rPr>
                <w:sz w:val="18"/>
                <w:szCs w:val="18"/>
              </w:rPr>
            </w:pPr>
            <w:r>
              <w:rPr>
                <w:color w:val="000000"/>
                <w:sz w:val="18"/>
                <w:szCs w:val="18"/>
              </w:rPr>
              <w:t>3.6</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77E375CD" w14:textId="77777777" w:rsidR="002228D9" w:rsidRPr="00A26B0B" w:rsidRDefault="002228D9" w:rsidP="002228D9">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C2B237E" w14:textId="77777777" w:rsidR="002228D9" w:rsidRPr="00A26B0B" w:rsidRDefault="002228D9" w:rsidP="002228D9">
            <w:pPr>
              <w:keepNext/>
              <w:keepLines/>
              <w:ind w:left="113"/>
              <w:jc w:val="left"/>
              <w:rPr>
                <w:sz w:val="18"/>
                <w:szCs w:val="18"/>
              </w:rPr>
            </w:pPr>
            <w:r w:rsidRPr="00A26B0B">
              <w:rPr>
                <w:sz w:val="18"/>
                <w:szCs w:val="18"/>
              </w:rPr>
              <w:t>Quintana Roo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DFD99E0" w14:textId="506A0D2B" w:rsidR="002228D9" w:rsidRPr="0000345A" w:rsidRDefault="002228D9" w:rsidP="002228D9">
            <w:pPr>
              <w:keepNext/>
              <w:keepLines/>
              <w:tabs>
                <w:tab w:val="decimal" w:pos="279"/>
              </w:tabs>
              <w:jc w:val="left"/>
              <w:rPr>
                <w:sz w:val="18"/>
                <w:szCs w:val="18"/>
              </w:rPr>
            </w:pPr>
            <w:r>
              <w:rPr>
                <w:color w:val="000000"/>
                <w:sz w:val="18"/>
                <w:szCs w:val="18"/>
              </w:rPr>
              <w:t>2.7</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504FF05" w14:textId="70A70E75" w:rsidR="002228D9" w:rsidRPr="0000345A" w:rsidRDefault="002228D9" w:rsidP="002228D9">
            <w:pPr>
              <w:keepNext/>
              <w:keepLines/>
              <w:tabs>
                <w:tab w:val="decimal" w:pos="253"/>
              </w:tabs>
              <w:jc w:val="left"/>
              <w:rPr>
                <w:sz w:val="18"/>
                <w:szCs w:val="18"/>
              </w:rPr>
            </w:pPr>
            <w:r>
              <w:rPr>
                <w:color w:val="000000"/>
                <w:sz w:val="18"/>
                <w:szCs w:val="18"/>
              </w:rPr>
              <w:t>3.4</w:t>
            </w:r>
          </w:p>
        </w:tc>
      </w:tr>
      <w:tr w:rsidR="002228D9" w:rsidRPr="00A26B0B" w14:paraId="11A51015" w14:textId="77777777" w:rsidTr="002228D9">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8CB4CE" w14:textId="77777777" w:rsidR="002228D9" w:rsidRPr="00A26B0B" w:rsidRDefault="002228D9" w:rsidP="002228D9">
            <w:pPr>
              <w:keepNext/>
              <w:keepLines/>
              <w:ind w:left="113"/>
              <w:jc w:val="left"/>
              <w:rPr>
                <w:sz w:val="18"/>
                <w:szCs w:val="18"/>
              </w:rPr>
            </w:pPr>
            <w:r w:rsidRPr="00A26B0B">
              <w:rPr>
                <w:sz w:val="18"/>
                <w:szCs w:val="18"/>
              </w:rPr>
              <w:t>Chihuahua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4013182" w14:textId="18D2461A" w:rsidR="002228D9" w:rsidRPr="0000345A" w:rsidRDefault="002228D9" w:rsidP="00CA6DD5">
            <w:pPr>
              <w:keepNext/>
              <w:keepLines/>
              <w:tabs>
                <w:tab w:val="decimal" w:pos="282"/>
              </w:tabs>
              <w:jc w:val="left"/>
              <w:rPr>
                <w:sz w:val="18"/>
                <w:szCs w:val="18"/>
              </w:rPr>
            </w:pPr>
            <w:r>
              <w:rPr>
                <w:color w:val="000000"/>
                <w:sz w:val="18"/>
                <w:szCs w:val="18"/>
              </w:rPr>
              <w:t>3.0</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CD50692" w14:textId="5CB94FF4" w:rsidR="002228D9" w:rsidRPr="0000345A" w:rsidRDefault="002228D9" w:rsidP="00CA6DD5">
            <w:pPr>
              <w:keepNext/>
              <w:keepLines/>
              <w:tabs>
                <w:tab w:val="decimal" w:pos="253"/>
              </w:tabs>
              <w:jc w:val="left"/>
              <w:rPr>
                <w:sz w:val="18"/>
                <w:szCs w:val="18"/>
              </w:rPr>
            </w:pPr>
            <w:r>
              <w:rPr>
                <w:color w:val="000000"/>
                <w:sz w:val="18"/>
                <w:szCs w:val="18"/>
              </w:rPr>
              <w:t>3.0</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369C750" w14:textId="77777777" w:rsidR="002228D9" w:rsidRPr="00A26B0B" w:rsidRDefault="002228D9" w:rsidP="002228D9">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100B5A" w14:textId="77777777" w:rsidR="002228D9" w:rsidRPr="00A26B0B" w:rsidRDefault="002228D9" w:rsidP="002228D9">
            <w:pPr>
              <w:keepNext/>
              <w:keepLines/>
              <w:ind w:left="113"/>
              <w:jc w:val="left"/>
              <w:rPr>
                <w:sz w:val="18"/>
                <w:szCs w:val="18"/>
              </w:rPr>
            </w:pPr>
            <w:r w:rsidRPr="00A26B0B">
              <w:rPr>
                <w:sz w:val="18"/>
                <w:szCs w:val="18"/>
              </w:rPr>
              <w:t>San Luis Potosí</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E903384" w14:textId="37963B70" w:rsidR="002228D9" w:rsidRPr="0000345A" w:rsidRDefault="002228D9" w:rsidP="002228D9">
            <w:pPr>
              <w:keepNext/>
              <w:keepLines/>
              <w:tabs>
                <w:tab w:val="decimal" w:pos="279"/>
              </w:tabs>
              <w:jc w:val="left"/>
              <w:rPr>
                <w:sz w:val="18"/>
                <w:szCs w:val="18"/>
              </w:rPr>
            </w:pPr>
            <w:r>
              <w:rPr>
                <w:color w:val="000000"/>
                <w:sz w:val="18"/>
                <w:szCs w:val="18"/>
              </w:rPr>
              <w:t>2.6</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D153527" w14:textId="6A8906D9" w:rsidR="002228D9" w:rsidRPr="0000345A" w:rsidRDefault="002228D9" w:rsidP="002228D9">
            <w:pPr>
              <w:keepNext/>
              <w:keepLines/>
              <w:tabs>
                <w:tab w:val="decimal" w:pos="253"/>
              </w:tabs>
              <w:jc w:val="left"/>
              <w:rPr>
                <w:sz w:val="18"/>
                <w:szCs w:val="18"/>
              </w:rPr>
            </w:pPr>
            <w:r>
              <w:rPr>
                <w:color w:val="000000"/>
                <w:sz w:val="18"/>
                <w:szCs w:val="18"/>
              </w:rPr>
              <w:t>3.4</w:t>
            </w:r>
          </w:p>
        </w:tc>
      </w:tr>
      <w:tr w:rsidR="002228D9" w:rsidRPr="00A26B0B" w14:paraId="610E5ABD" w14:textId="77777777" w:rsidTr="002228D9">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466B339" w14:textId="77777777" w:rsidR="002228D9" w:rsidRPr="00A26B0B" w:rsidRDefault="002228D9" w:rsidP="002228D9">
            <w:pPr>
              <w:keepNext/>
              <w:keepLines/>
              <w:ind w:left="113"/>
              <w:jc w:val="left"/>
              <w:rPr>
                <w:sz w:val="18"/>
                <w:szCs w:val="18"/>
              </w:rPr>
            </w:pPr>
            <w:r w:rsidRPr="00A26B0B">
              <w:rPr>
                <w:sz w:val="18"/>
                <w:szCs w:val="18"/>
              </w:rPr>
              <w:t>Ciudad de México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2F65105" w14:textId="6452534C" w:rsidR="002228D9" w:rsidRPr="0000345A" w:rsidRDefault="002228D9" w:rsidP="00CA6DD5">
            <w:pPr>
              <w:keepNext/>
              <w:keepLines/>
              <w:tabs>
                <w:tab w:val="decimal" w:pos="282"/>
              </w:tabs>
              <w:jc w:val="left"/>
              <w:rPr>
                <w:sz w:val="18"/>
                <w:szCs w:val="18"/>
              </w:rPr>
            </w:pPr>
            <w:r>
              <w:rPr>
                <w:color w:val="000000"/>
                <w:sz w:val="18"/>
                <w:szCs w:val="18"/>
              </w:rPr>
              <w:t>4.7</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E8F194F" w14:textId="0562DBC3" w:rsidR="002228D9" w:rsidRPr="0000345A" w:rsidRDefault="002228D9" w:rsidP="00CA6DD5">
            <w:pPr>
              <w:keepNext/>
              <w:keepLines/>
              <w:tabs>
                <w:tab w:val="decimal" w:pos="253"/>
              </w:tabs>
              <w:jc w:val="left"/>
              <w:rPr>
                <w:sz w:val="18"/>
                <w:szCs w:val="18"/>
              </w:rPr>
            </w:pPr>
            <w:r>
              <w:rPr>
                <w:color w:val="000000"/>
                <w:sz w:val="18"/>
                <w:szCs w:val="18"/>
              </w:rPr>
              <w:t>5.0</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2CAEC81" w14:textId="77777777" w:rsidR="002228D9" w:rsidRPr="00A26B0B" w:rsidRDefault="002228D9" w:rsidP="002228D9">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DDFCDA1" w14:textId="77777777" w:rsidR="002228D9" w:rsidRPr="00A26B0B" w:rsidRDefault="002228D9" w:rsidP="002228D9">
            <w:pPr>
              <w:keepNext/>
              <w:keepLines/>
              <w:ind w:left="113"/>
              <w:jc w:val="left"/>
              <w:rPr>
                <w:sz w:val="18"/>
                <w:szCs w:val="18"/>
              </w:rPr>
            </w:pPr>
            <w:r w:rsidRPr="00A26B0B">
              <w:rPr>
                <w:sz w:val="18"/>
                <w:szCs w:val="18"/>
              </w:rPr>
              <w:t>Sinaloa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DE07F3E" w14:textId="0259B47A" w:rsidR="002228D9" w:rsidRPr="0000345A" w:rsidRDefault="002228D9" w:rsidP="002228D9">
            <w:pPr>
              <w:keepNext/>
              <w:keepLines/>
              <w:tabs>
                <w:tab w:val="decimal" w:pos="279"/>
              </w:tabs>
              <w:jc w:val="left"/>
              <w:rPr>
                <w:sz w:val="18"/>
                <w:szCs w:val="18"/>
              </w:rPr>
            </w:pPr>
            <w:r>
              <w:rPr>
                <w:color w:val="000000"/>
                <w:sz w:val="18"/>
                <w:szCs w:val="18"/>
              </w:rPr>
              <w:t>3.5</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87E51A1" w14:textId="6B1B1CA3" w:rsidR="002228D9" w:rsidRPr="0000345A" w:rsidRDefault="002228D9" w:rsidP="002228D9">
            <w:pPr>
              <w:keepNext/>
              <w:keepLines/>
              <w:tabs>
                <w:tab w:val="decimal" w:pos="253"/>
              </w:tabs>
              <w:jc w:val="left"/>
              <w:rPr>
                <w:sz w:val="18"/>
                <w:szCs w:val="18"/>
              </w:rPr>
            </w:pPr>
            <w:r>
              <w:rPr>
                <w:color w:val="000000"/>
                <w:sz w:val="18"/>
                <w:szCs w:val="18"/>
              </w:rPr>
              <w:t>3.6</w:t>
            </w:r>
          </w:p>
        </w:tc>
      </w:tr>
      <w:tr w:rsidR="002228D9" w:rsidRPr="00A26B0B" w14:paraId="02EC1521" w14:textId="77777777" w:rsidTr="002228D9">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EBBE8E9" w14:textId="77777777" w:rsidR="002228D9" w:rsidRPr="00A26B0B" w:rsidRDefault="002228D9" w:rsidP="002228D9">
            <w:pPr>
              <w:keepNext/>
              <w:keepLines/>
              <w:ind w:left="113"/>
              <w:jc w:val="left"/>
              <w:rPr>
                <w:sz w:val="18"/>
                <w:szCs w:val="18"/>
              </w:rPr>
            </w:pPr>
            <w:r w:rsidRPr="00A26B0B">
              <w:rPr>
                <w:sz w:val="18"/>
                <w:szCs w:val="18"/>
              </w:rPr>
              <w:t>Durango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9E33433" w14:textId="4F29D2C4" w:rsidR="002228D9" w:rsidRPr="0000345A" w:rsidRDefault="002228D9" w:rsidP="00CA6DD5">
            <w:pPr>
              <w:keepNext/>
              <w:keepLines/>
              <w:tabs>
                <w:tab w:val="decimal" w:pos="282"/>
              </w:tabs>
              <w:jc w:val="left"/>
              <w:rPr>
                <w:sz w:val="18"/>
                <w:szCs w:val="18"/>
              </w:rPr>
            </w:pPr>
            <w:r>
              <w:rPr>
                <w:color w:val="000000"/>
                <w:sz w:val="18"/>
                <w:szCs w:val="18"/>
              </w:rPr>
              <w:t>5.1</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C563E40" w14:textId="7724E75A" w:rsidR="002228D9" w:rsidRPr="0000345A" w:rsidRDefault="002228D9" w:rsidP="00CA6DD5">
            <w:pPr>
              <w:keepNext/>
              <w:keepLines/>
              <w:tabs>
                <w:tab w:val="decimal" w:pos="253"/>
              </w:tabs>
              <w:jc w:val="left"/>
              <w:rPr>
                <w:sz w:val="18"/>
                <w:szCs w:val="18"/>
              </w:rPr>
            </w:pPr>
            <w:r>
              <w:rPr>
                <w:color w:val="000000"/>
                <w:sz w:val="18"/>
                <w:szCs w:val="18"/>
              </w:rPr>
              <w:t>3.9</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39F0028" w14:textId="77777777" w:rsidR="002228D9" w:rsidRPr="00A26B0B" w:rsidRDefault="002228D9" w:rsidP="002228D9">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5D5CF61" w14:textId="77777777" w:rsidR="002228D9" w:rsidRPr="00A26B0B" w:rsidRDefault="002228D9" w:rsidP="002228D9">
            <w:pPr>
              <w:keepNext/>
              <w:keepLines/>
              <w:ind w:left="113"/>
              <w:jc w:val="left"/>
              <w:rPr>
                <w:sz w:val="18"/>
                <w:szCs w:val="18"/>
              </w:rPr>
            </w:pPr>
            <w:r w:rsidRPr="00A26B0B">
              <w:rPr>
                <w:sz w:val="18"/>
                <w:szCs w:val="18"/>
              </w:rPr>
              <w:t>Sonora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68195B4" w14:textId="045D00B1" w:rsidR="002228D9" w:rsidRPr="0000345A" w:rsidRDefault="002228D9" w:rsidP="002228D9">
            <w:pPr>
              <w:keepNext/>
              <w:keepLines/>
              <w:tabs>
                <w:tab w:val="decimal" w:pos="279"/>
              </w:tabs>
              <w:jc w:val="left"/>
              <w:rPr>
                <w:sz w:val="18"/>
                <w:szCs w:val="18"/>
              </w:rPr>
            </w:pPr>
            <w:r>
              <w:rPr>
                <w:color w:val="000000"/>
                <w:sz w:val="18"/>
                <w:szCs w:val="18"/>
              </w:rPr>
              <w:t>4.1</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458EF96" w14:textId="62E7E1D0" w:rsidR="002228D9" w:rsidRPr="0000345A" w:rsidRDefault="002228D9" w:rsidP="002228D9">
            <w:pPr>
              <w:keepNext/>
              <w:keepLines/>
              <w:tabs>
                <w:tab w:val="decimal" w:pos="253"/>
              </w:tabs>
              <w:jc w:val="left"/>
              <w:rPr>
                <w:sz w:val="18"/>
                <w:szCs w:val="18"/>
              </w:rPr>
            </w:pPr>
            <w:r>
              <w:rPr>
                <w:color w:val="000000"/>
                <w:sz w:val="18"/>
                <w:szCs w:val="18"/>
              </w:rPr>
              <w:t>5.1</w:t>
            </w:r>
          </w:p>
        </w:tc>
      </w:tr>
      <w:tr w:rsidR="002228D9" w:rsidRPr="00A26B0B" w14:paraId="2FC0544A" w14:textId="77777777" w:rsidTr="002228D9">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F338FA" w14:textId="77777777" w:rsidR="002228D9" w:rsidRPr="00A26B0B" w:rsidRDefault="002228D9" w:rsidP="002228D9">
            <w:pPr>
              <w:keepNext/>
              <w:keepLines/>
              <w:ind w:left="113"/>
              <w:jc w:val="left"/>
              <w:rPr>
                <w:sz w:val="18"/>
                <w:szCs w:val="18"/>
              </w:rPr>
            </w:pPr>
            <w:r w:rsidRPr="00A26B0B">
              <w:rPr>
                <w:sz w:val="18"/>
                <w:szCs w:val="18"/>
              </w:rPr>
              <w:t>Guanajuato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EDDAC2F" w14:textId="01E3A089" w:rsidR="002228D9" w:rsidRPr="0000345A" w:rsidRDefault="002228D9" w:rsidP="00CA6DD5">
            <w:pPr>
              <w:keepNext/>
              <w:keepLines/>
              <w:tabs>
                <w:tab w:val="decimal" w:pos="282"/>
              </w:tabs>
              <w:jc w:val="left"/>
              <w:rPr>
                <w:sz w:val="18"/>
                <w:szCs w:val="18"/>
              </w:rPr>
            </w:pPr>
            <w:r>
              <w:rPr>
                <w:color w:val="000000"/>
                <w:sz w:val="18"/>
                <w:szCs w:val="18"/>
              </w:rPr>
              <w:t>3.4</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9235DFE" w14:textId="4D3C37A4" w:rsidR="002228D9" w:rsidRPr="0000345A" w:rsidRDefault="002228D9" w:rsidP="00CA6DD5">
            <w:pPr>
              <w:keepNext/>
              <w:keepLines/>
              <w:tabs>
                <w:tab w:val="decimal" w:pos="253"/>
              </w:tabs>
              <w:jc w:val="left"/>
              <w:rPr>
                <w:sz w:val="18"/>
                <w:szCs w:val="18"/>
              </w:rPr>
            </w:pPr>
            <w:r>
              <w:rPr>
                <w:color w:val="000000"/>
                <w:sz w:val="18"/>
                <w:szCs w:val="18"/>
              </w:rPr>
              <w:t>3.8</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CD9A7B9" w14:textId="77777777" w:rsidR="002228D9" w:rsidRPr="00A26B0B" w:rsidRDefault="002228D9" w:rsidP="002228D9">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50444DD" w14:textId="77777777" w:rsidR="002228D9" w:rsidRPr="00A26B0B" w:rsidRDefault="002228D9" w:rsidP="002228D9">
            <w:pPr>
              <w:keepNext/>
              <w:keepLines/>
              <w:ind w:left="113"/>
              <w:jc w:val="left"/>
              <w:rPr>
                <w:sz w:val="18"/>
                <w:szCs w:val="18"/>
              </w:rPr>
            </w:pPr>
            <w:r w:rsidRPr="00A26B0B">
              <w:rPr>
                <w:sz w:val="18"/>
                <w:szCs w:val="18"/>
              </w:rPr>
              <w:t>Tabasco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FD2B844" w14:textId="3F65C8A7" w:rsidR="002228D9" w:rsidRPr="0000345A" w:rsidRDefault="002228D9" w:rsidP="002228D9">
            <w:pPr>
              <w:keepNext/>
              <w:keepLines/>
              <w:tabs>
                <w:tab w:val="decimal" w:pos="279"/>
              </w:tabs>
              <w:jc w:val="left"/>
              <w:rPr>
                <w:sz w:val="18"/>
                <w:szCs w:val="18"/>
              </w:rPr>
            </w:pPr>
            <w:r>
              <w:rPr>
                <w:color w:val="000000"/>
                <w:sz w:val="18"/>
                <w:szCs w:val="18"/>
              </w:rPr>
              <w:t>7.3</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1F3C458" w14:textId="3B3EAEB1" w:rsidR="002228D9" w:rsidRPr="0000345A" w:rsidRDefault="002228D9" w:rsidP="002228D9">
            <w:pPr>
              <w:keepNext/>
              <w:keepLines/>
              <w:tabs>
                <w:tab w:val="decimal" w:pos="253"/>
              </w:tabs>
              <w:jc w:val="left"/>
              <w:rPr>
                <w:sz w:val="18"/>
                <w:szCs w:val="18"/>
              </w:rPr>
            </w:pPr>
            <w:r>
              <w:rPr>
                <w:color w:val="000000"/>
                <w:sz w:val="18"/>
                <w:szCs w:val="18"/>
              </w:rPr>
              <w:t>7.0</w:t>
            </w:r>
          </w:p>
        </w:tc>
      </w:tr>
      <w:tr w:rsidR="002228D9" w:rsidRPr="00A26B0B" w14:paraId="47C73EEB" w14:textId="77777777" w:rsidTr="002228D9">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6E5927" w14:textId="77777777" w:rsidR="002228D9" w:rsidRPr="00A26B0B" w:rsidRDefault="002228D9" w:rsidP="002228D9">
            <w:pPr>
              <w:keepNext/>
              <w:keepLines/>
              <w:ind w:left="113"/>
              <w:jc w:val="left"/>
              <w:rPr>
                <w:sz w:val="18"/>
                <w:szCs w:val="18"/>
              </w:rPr>
            </w:pPr>
            <w:r w:rsidRPr="00A26B0B">
              <w:rPr>
                <w:sz w:val="18"/>
                <w:szCs w:val="18"/>
              </w:rPr>
              <w:t>Guerrero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45EDE79" w14:textId="25AEFA99" w:rsidR="002228D9" w:rsidRPr="0000345A" w:rsidRDefault="002228D9" w:rsidP="00CA6DD5">
            <w:pPr>
              <w:keepNext/>
              <w:keepLines/>
              <w:tabs>
                <w:tab w:val="decimal" w:pos="282"/>
              </w:tabs>
              <w:jc w:val="left"/>
              <w:rPr>
                <w:sz w:val="18"/>
                <w:szCs w:val="18"/>
              </w:rPr>
            </w:pPr>
            <w:r>
              <w:rPr>
                <w:color w:val="000000"/>
                <w:sz w:val="18"/>
                <w:szCs w:val="18"/>
              </w:rPr>
              <w:t>1.6</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6898F5D" w14:textId="116C97FB" w:rsidR="002228D9" w:rsidRPr="0000345A" w:rsidRDefault="002228D9" w:rsidP="00CA6DD5">
            <w:pPr>
              <w:keepNext/>
              <w:keepLines/>
              <w:tabs>
                <w:tab w:val="decimal" w:pos="253"/>
              </w:tabs>
              <w:jc w:val="left"/>
              <w:rPr>
                <w:sz w:val="18"/>
                <w:szCs w:val="18"/>
              </w:rPr>
            </w:pPr>
            <w:r>
              <w:rPr>
                <w:color w:val="000000"/>
                <w:sz w:val="18"/>
                <w:szCs w:val="18"/>
              </w:rPr>
              <w:t>1.5</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64DCC19" w14:textId="77777777" w:rsidR="002228D9" w:rsidRPr="00A26B0B" w:rsidRDefault="002228D9" w:rsidP="002228D9">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19BAD0E" w14:textId="77777777" w:rsidR="002228D9" w:rsidRPr="00A26B0B" w:rsidRDefault="002228D9" w:rsidP="002228D9">
            <w:pPr>
              <w:keepNext/>
              <w:keepLines/>
              <w:ind w:left="113"/>
              <w:jc w:val="left"/>
              <w:rPr>
                <w:sz w:val="18"/>
                <w:szCs w:val="18"/>
              </w:rPr>
            </w:pPr>
            <w:r w:rsidRPr="00A26B0B">
              <w:rPr>
                <w:sz w:val="18"/>
                <w:szCs w:val="18"/>
              </w:rPr>
              <w:t>Tamaulipas</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C4AC0FC" w14:textId="6C557FDF" w:rsidR="002228D9" w:rsidRPr="0000345A" w:rsidRDefault="002228D9" w:rsidP="002228D9">
            <w:pPr>
              <w:keepNext/>
              <w:keepLines/>
              <w:tabs>
                <w:tab w:val="decimal" w:pos="279"/>
              </w:tabs>
              <w:jc w:val="left"/>
              <w:rPr>
                <w:sz w:val="18"/>
                <w:szCs w:val="18"/>
              </w:rPr>
            </w:pPr>
            <w:r>
              <w:rPr>
                <w:color w:val="000000"/>
                <w:sz w:val="18"/>
                <w:szCs w:val="18"/>
              </w:rPr>
              <w:t>3.8</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ADA67A7" w14:textId="494558F1" w:rsidR="002228D9" w:rsidRPr="0000345A" w:rsidRDefault="002228D9" w:rsidP="002228D9">
            <w:pPr>
              <w:keepNext/>
              <w:keepLines/>
              <w:tabs>
                <w:tab w:val="decimal" w:pos="253"/>
              </w:tabs>
              <w:jc w:val="left"/>
              <w:rPr>
                <w:sz w:val="18"/>
                <w:szCs w:val="18"/>
              </w:rPr>
            </w:pPr>
            <w:r>
              <w:rPr>
                <w:color w:val="000000"/>
                <w:sz w:val="18"/>
                <w:szCs w:val="18"/>
              </w:rPr>
              <w:t>3.7</w:t>
            </w:r>
          </w:p>
        </w:tc>
      </w:tr>
      <w:tr w:rsidR="002228D9" w:rsidRPr="00A26B0B" w14:paraId="17E1D6CD" w14:textId="77777777" w:rsidTr="002228D9">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C5A1A0" w14:textId="77777777" w:rsidR="002228D9" w:rsidRPr="00A26B0B" w:rsidRDefault="002228D9" w:rsidP="002228D9">
            <w:pPr>
              <w:keepNext/>
              <w:keepLines/>
              <w:ind w:left="113"/>
              <w:jc w:val="left"/>
              <w:rPr>
                <w:sz w:val="18"/>
                <w:szCs w:val="18"/>
              </w:rPr>
            </w:pPr>
            <w:r w:rsidRPr="00A26B0B">
              <w:rPr>
                <w:sz w:val="18"/>
                <w:szCs w:val="18"/>
              </w:rPr>
              <w:t>Hidalgo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5D65250" w14:textId="755B9776" w:rsidR="002228D9" w:rsidRPr="0000345A" w:rsidRDefault="002228D9" w:rsidP="00CA6DD5">
            <w:pPr>
              <w:keepNext/>
              <w:keepLines/>
              <w:tabs>
                <w:tab w:val="decimal" w:pos="282"/>
              </w:tabs>
              <w:jc w:val="left"/>
              <w:rPr>
                <w:sz w:val="18"/>
                <w:szCs w:val="18"/>
              </w:rPr>
            </w:pPr>
            <w:r>
              <w:rPr>
                <w:color w:val="000000"/>
                <w:sz w:val="18"/>
                <w:szCs w:val="18"/>
              </w:rPr>
              <w:t>3.3</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A20A314" w14:textId="70291F8F" w:rsidR="002228D9" w:rsidRPr="0000345A" w:rsidRDefault="002228D9" w:rsidP="00CA6DD5">
            <w:pPr>
              <w:keepNext/>
              <w:keepLines/>
              <w:tabs>
                <w:tab w:val="decimal" w:pos="253"/>
              </w:tabs>
              <w:jc w:val="left"/>
              <w:rPr>
                <w:sz w:val="18"/>
                <w:szCs w:val="18"/>
              </w:rPr>
            </w:pPr>
            <w:r>
              <w:rPr>
                <w:color w:val="000000"/>
                <w:sz w:val="18"/>
                <w:szCs w:val="18"/>
              </w:rPr>
              <w:t>2.0</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711CEBD6" w14:textId="77777777" w:rsidR="002228D9" w:rsidRPr="00A26B0B" w:rsidRDefault="002228D9" w:rsidP="002228D9">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906C12" w14:textId="77777777" w:rsidR="002228D9" w:rsidRPr="00A26B0B" w:rsidRDefault="002228D9" w:rsidP="002228D9">
            <w:pPr>
              <w:keepNext/>
              <w:keepLines/>
              <w:ind w:left="113"/>
              <w:jc w:val="left"/>
              <w:rPr>
                <w:sz w:val="18"/>
                <w:szCs w:val="18"/>
              </w:rPr>
            </w:pPr>
            <w:r w:rsidRPr="00A26B0B">
              <w:rPr>
                <w:sz w:val="18"/>
                <w:szCs w:val="18"/>
              </w:rPr>
              <w:t>Tlaxcala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88EEE25" w14:textId="204D5446" w:rsidR="002228D9" w:rsidRPr="0000345A" w:rsidRDefault="002228D9" w:rsidP="002228D9">
            <w:pPr>
              <w:keepNext/>
              <w:keepLines/>
              <w:tabs>
                <w:tab w:val="decimal" w:pos="279"/>
              </w:tabs>
              <w:jc w:val="left"/>
              <w:rPr>
                <w:sz w:val="18"/>
                <w:szCs w:val="18"/>
              </w:rPr>
            </w:pPr>
            <w:r>
              <w:rPr>
                <w:color w:val="000000"/>
                <w:sz w:val="18"/>
                <w:szCs w:val="18"/>
              </w:rPr>
              <w:t>3.7</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E52C1CF" w14:textId="036E5A58" w:rsidR="002228D9" w:rsidRPr="0000345A" w:rsidRDefault="002228D9" w:rsidP="002228D9">
            <w:pPr>
              <w:keepNext/>
              <w:keepLines/>
              <w:tabs>
                <w:tab w:val="decimal" w:pos="253"/>
              </w:tabs>
              <w:jc w:val="left"/>
              <w:rPr>
                <w:sz w:val="18"/>
                <w:szCs w:val="18"/>
              </w:rPr>
            </w:pPr>
            <w:r>
              <w:rPr>
                <w:color w:val="000000"/>
                <w:sz w:val="18"/>
                <w:szCs w:val="18"/>
              </w:rPr>
              <w:t>3.8</w:t>
            </w:r>
          </w:p>
        </w:tc>
      </w:tr>
      <w:tr w:rsidR="002228D9" w:rsidRPr="00A26B0B" w14:paraId="28F29532" w14:textId="77777777" w:rsidTr="002228D9">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DFA3D94" w14:textId="77777777" w:rsidR="002228D9" w:rsidRPr="00A26B0B" w:rsidRDefault="002228D9" w:rsidP="002228D9">
            <w:pPr>
              <w:keepNext/>
              <w:keepLines/>
              <w:ind w:left="113"/>
              <w:jc w:val="left"/>
              <w:rPr>
                <w:sz w:val="18"/>
                <w:szCs w:val="18"/>
              </w:rPr>
            </w:pPr>
            <w:r w:rsidRPr="00A26B0B">
              <w:rPr>
                <w:sz w:val="18"/>
                <w:szCs w:val="18"/>
              </w:rPr>
              <w:t>Jalisco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4193F12" w14:textId="1DB0B28A" w:rsidR="002228D9" w:rsidRPr="0000345A" w:rsidRDefault="002228D9" w:rsidP="00CA6DD5">
            <w:pPr>
              <w:keepNext/>
              <w:keepLines/>
              <w:tabs>
                <w:tab w:val="decimal" w:pos="282"/>
              </w:tabs>
              <w:jc w:val="left"/>
              <w:rPr>
                <w:sz w:val="18"/>
                <w:szCs w:val="18"/>
              </w:rPr>
            </w:pPr>
            <w:r>
              <w:rPr>
                <w:color w:val="000000"/>
                <w:sz w:val="18"/>
                <w:szCs w:val="18"/>
              </w:rPr>
              <w:t>3.0</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7954306" w14:textId="7D2921D2" w:rsidR="002228D9" w:rsidRPr="0000345A" w:rsidRDefault="002228D9" w:rsidP="00CA6DD5">
            <w:pPr>
              <w:keepNext/>
              <w:keepLines/>
              <w:tabs>
                <w:tab w:val="decimal" w:pos="253"/>
              </w:tabs>
              <w:jc w:val="left"/>
              <w:rPr>
                <w:sz w:val="18"/>
                <w:szCs w:val="18"/>
              </w:rPr>
            </w:pPr>
            <w:r>
              <w:rPr>
                <w:color w:val="000000"/>
                <w:sz w:val="18"/>
                <w:szCs w:val="18"/>
              </w:rPr>
              <w:t>3.4</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2438FA79" w14:textId="77777777" w:rsidR="002228D9" w:rsidRPr="00A26B0B" w:rsidRDefault="002228D9" w:rsidP="002228D9">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EDBDC3" w14:textId="77777777" w:rsidR="002228D9" w:rsidRPr="00A26B0B" w:rsidRDefault="002228D9" w:rsidP="002228D9">
            <w:pPr>
              <w:keepNext/>
              <w:keepLines/>
              <w:ind w:left="113"/>
              <w:jc w:val="left"/>
              <w:rPr>
                <w:sz w:val="18"/>
                <w:szCs w:val="18"/>
              </w:rPr>
            </w:pPr>
            <w:r w:rsidRPr="00A26B0B">
              <w:rPr>
                <w:sz w:val="18"/>
                <w:szCs w:val="18"/>
              </w:rPr>
              <w:t>Veracruz de Ignacio de la Llave</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395B876" w14:textId="1D171387" w:rsidR="002228D9" w:rsidRPr="0000345A" w:rsidRDefault="002228D9" w:rsidP="002228D9">
            <w:pPr>
              <w:keepNext/>
              <w:keepLines/>
              <w:tabs>
                <w:tab w:val="decimal" w:pos="279"/>
              </w:tabs>
              <w:jc w:val="left"/>
              <w:rPr>
                <w:sz w:val="18"/>
                <w:szCs w:val="18"/>
              </w:rPr>
            </w:pPr>
            <w:r>
              <w:rPr>
                <w:color w:val="000000"/>
                <w:sz w:val="18"/>
                <w:szCs w:val="18"/>
              </w:rPr>
              <w:t>3.6</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1D23971" w14:textId="66090711" w:rsidR="002228D9" w:rsidRPr="0000345A" w:rsidRDefault="002228D9" w:rsidP="002228D9">
            <w:pPr>
              <w:keepNext/>
              <w:keepLines/>
              <w:tabs>
                <w:tab w:val="decimal" w:pos="253"/>
              </w:tabs>
              <w:jc w:val="left"/>
              <w:rPr>
                <w:sz w:val="18"/>
                <w:szCs w:val="18"/>
              </w:rPr>
            </w:pPr>
            <w:r>
              <w:rPr>
                <w:color w:val="000000"/>
                <w:sz w:val="18"/>
                <w:szCs w:val="18"/>
              </w:rPr>
              <w:t>3.6</w:t>
            </w:r>
          </w:p>
        </w:tc>
      </w:tr>
      <w:tr w:rsidR="002228D9" w:rsidRPr="00A26B0B" w14:paraId="68CF5B99" w14:textId="77777777" w:rsidTr="002228D9">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525D6D" w14:textId="77777777" w:rsidR="002228D9" w:rsidRPr="00A26B0B" w:rsidRDefault="002228D9" w:rsidP="002228D9">
            <w:pPr>
              <w:keepNext/>
              <w:keepLines/>
              <w:ind w:left="113"/>
              <w:jc w:val="left"/>
              <w:rPr>
                <w:sz w:val="18"/>
                <w:szCs w:val="18"/>
              </w:rPr>
            </w:pPr>
            <w:r w:rsidRPr="00A26B0B">
              <w:rPr>
                <w:sz w:val="18"/>
                <w:szCs w:val="18"/>
              </w:rPr>
              <w:t>Estado de México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BD71CA0" w14:textId="564EEE0E" w:rsidR="002228D9" w:rsidRPr="0000345A" w:rsidRDefault="002228D9" w:rsidP="00CA6DD5">
            <w:pPr>
              <w:keepNext/>
              <w:keepLines/>
              <w:tabs>
                <w:tab w:val="decimal" w:pos="282"/>
              </w:tabs>
              <w:jc w:val="left"/>
              <w:rPr>
                <w:sz w:val="18"/>
                <w:szCs w:val="18"/>
              </w:rPr>
            </w:pPr>
            <w:r>
              <w:rPr>
                <w:color w:val="000000"/>
                <w:sz w:val="18"/>
                <w:szCs w:val="18"/>
              </w:rPr>
              <w:t>4.0</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672140B" w14:textId="42110B17" w:rsidR="002228D9" w:rsidRPr="0000345A" w:rsidRDefault="002228D9" w:rsidP="00CA6DD5">
            <w:pPr>
              <w:keepNext/>
              <w:keepLines/>
              <w:tabs>
                <w:tab w:val="decimal" w:pos="253"/>
              </w:tabs>
              <w:jc w:val="left"/>
              <w:rPr>
                <w:sz w:val="18"/>
                <w:szCs w:val="18"/>
              </w:rPr>
            </w:pPr>
            <w:r>
              <w:rPr>
                <w:color w:val="000000"/>
                <w:sz w:val="18"/>
                <w:szCs w:val="18"/>
              </w:rPr>
              <w:t>4.7</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177D5BE" w14:textId="77777777" w:rsidR="002228D9" w:rsidRPr="00A26B0B" w:rsidRDefault="002228D9" w:rsidP="002228D9">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D4FBB82" w14:textId="77777777" w:rsidR="002228D9" w:rsidRPr="00A26B0B" w:rsidRDefault="002228D9" w:rsidP="002228D9">
            <w:pPr>
              <w:keepNext/>
              <w:keepLines/>
              <w:ind w:left="113"/>
              <w:jc w:val="left"/>
              <w:rPr>
                <w:sz w:val="18"/>
                <w:szCs w:val="18"/>
              </w:rPr>
            </w:pPr>
            <w:r w:rsidRPr="00A26B0B">
              <w:rPr>
                <w:sz w:val="18"/>
                <w:szCs w:val="18"/>
              </w:rPr>
              <w:t>Yucatán</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6D929C4" w14:textId="394195AB" w:rsidR="002228D9" w:rsidRPr="0000345A" w:rsidRDefault="002228D9" w:rsidP="002228D9">
            <w:pPr>
              <w:keepNext/>
              <w:keepLines/>
              <w:tabs>
                <w:tab w:val="decimal" w:pos="279"/>
              </w:tabs>
              <w:jc w:val="left"/>
              <w:rPr>
                <w:sz w:val="18"/>
                <w:szCs w:val="18"/>
              </w:rPr>
            </w:pPr>
            <w:r>
              <w:rPr>
                <w:color w:val="000000"/>
                <w:sz w:val="18"/>
                <w:szCs w:val="18"/>
              </w:rPr>
              <w:t>2.2</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4241F3E" w14:textId="38530488" w:rsidR="002228D9" w:rsidRPr="0000345A" w:rsidRDefault="002228D9" w:rsidP="002228D9">
            <w:pPr>
              <w:keepNext/>
              <w:keepLines/>
              <w:tabs>
                <w:tab w:val="decimal" w:pos="253"/>
              </w:tabs>
              <w:jc w:val="left"/>
              <w:rPr>
                <w:sz w:val="18"/>
                <w:szCs w:val="18"/>
              </w:rPr>
            </w:pPr>
            <w:r>
              <w:rPr>
                <w:color w:val="000000"/>
                <w:sz w:val="18"/>
                <w:szCs w:val="18"/>
              </w:rPr>
              <w:t>2.0</w:t>
            </w:r>
          </w:p>
        </w:tc>
      </w:tr>
      <w:tr w:rsidR="002228D9" w:rsidRPr="00A26B0B" w14:paraId="1FA5F010" w14:textId="77777777" w:rsidTr="002228D9">
        <w:trPr>
          <w:trHeight w:val="170"/>
          <w:jc w:val="center"/>
        </w:trPr>
        <w:tc>
          <w:tcPr>
            <w:tcW w:w="2932"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75F9E0C2" w14:textId="77777777" w:rsidR="002228D9" w:rsidRPr="00A26B0B" w:rsidRDefault="002228D9" w:rsidP="002228D9">
            <w:pPr>
              <w:keepNext/>
              <w:keepLines/>
              <w:ind w:left="113"/>
              <w:jc w:val="left"/>
              <w:rPr>
                <w:sz w:val="18"/>
                <w:szCs w:val="18"/>
              </w:rPr>
            </w:pPr>
            <w:r w:rsidRPr="00A26B0B">
              <w:rPr>
                <w:sz w:val="18"/>
                <w:szCs w:val="18"/>
              </w:rPr>
              <w:t>Michoacán de Ocampo</w:t>
            </w:r>
          </w:p>
        </w:tc>
        <w:tc>
          <w:tcPr>
            <w:tcW w:w="812"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0E306D10" w14:textId="05162B59" w:rsidR="002228D9" w:rsidRPr="0000345A" w:rsidRDefault="002228D9" w:rsidP="00CA6DD5">
            <w:pPr>
              <w:keepNext/>
              <w:keepLines/>
              <w:tabs>
                <w:tab w:val="decimal" w:pos="282"/>
              </w:tabs>
              <w:jc w:val="left"/>
              <w:rPr>
                <w:sz w:val="18"/>
                <w:szCs w:val="18"/>
              </w:rPr>
            </w:pPr>
            <w:r>
              <w:rPr>
                <w:color w:val="000000"/>
                <w:sz w:val="18"/>
                <w:szCs w:val="18"/>
              </w:rPr>
              <w:t>2.4</w:t>
            </w:r>
          </w:p>
        </w:tc>
        <w:tc>
          <w:tcPr>
            <w:tcW w:w="81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72D4B894" w14:textId="429F390D" w:rsidR="002228D9" w:rsidRPr="0000345A" w:rsidRDefault="002228D9" w:rsidP="00CA6DD5">
            <w:pPr>
              <w:keepNext/>
              <w:keepLines/>
              <w:tabs>
                <w:tab w:val="decimal" w:pos="253"/>
              </w:tabs>
              <w:jc w:val="left"/>
              <w:rPr>
                <w:sz w:val="18"/>
                <w:szCs w:val="18"/>
              </w:rPr>
            </w:pPr>
            <w:r>
              <w:rPr>
                <w:color w:val="000000"/>
                <w:sz w:val="18"/>
                <w:szCs w:val="18"/>
              </w:rPr>
              <w:t>3.0</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65BA07B0" w14:textId="77777777" w:rsidR="002228D9" w:rsidRPr="00A26B0B" w:rsidRDefault="002228D9" w:rsidP="002228D9">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2CC5E9F1" w14:textId="77777777" w:rsidR="002228D9" w:rsidRPr="00A26B0B" w:rsidRDefault="002228D9" w:rsidP="002228D9">
            <w:pPr>
              <w:keepNext/>
              <w:keepLines/>
              <w:ind w:left="113"/>
              <w:jc w:val="left"/>
              <w:rPr>
                <w:sz w:val="18"/>
                <w:szCs w:val="18"/>
              </w:rPr>
            </w:pPr>
            <w:r w:rsidRPr="00A26B0B">
              <w:rPr>
                <w:sz w:val="18"/>
                <w:szCs w:val="18"/>
              </w:rPr>
              <w:t>Zacatecas</w:t>
            </w:r>
          </w:p>
        </w:tc>
        <w:tc>
          <w:tcPr>
            <w:tcW w:w="81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3FAC97D2" w14:textId="6368FCEE" w:rsidR="002228D9" w:rsidRPr="0000345A" w:rsidRDefault="002228D9" w:rsidP="002228D9">
            <w:pPr>
              <w:keepNext/>
              <w:keepLines/>
              <w:tabs>
                <w:tab w:val="decimal" w:pos="279"/>
              </w:tabs>
              <w:jc w:val="left"/>
              <w:rPr>
                <w:sz w:val="18"/>
                <w:szCs w:val="18"/>
              </w:rPr>
            </w:pPr>
            <w:r>
              <w:rPr>
                <w:color w:val="000000"/>
                <w:sz w:val="18"/>
                <w:szCs w:val="18"/>
              </w:rPr>
              <w:t>3.0</w:t>
            </w:r>
          </w:p>
        </w:tc>
        <w:tc>
          <w:tcPr>
            <w:tcW w:w="811"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5B4921E3" w14:textId="436E0446" w:rsidR="002228D9" w:rsidRPr="0000345A" w:rsidRDefault="002228D9" w:rsidP="002228D9">
            <w:pPr>
              <w:keepNext/>
              <w:keepLines/>
              <w:tabs>
                <w:tab w:val="decimal" w:pos="253"/>
              </w:tabs>
              <w:jc w:val="left"/>
              <w:rPr>
                <w:sz w:val="18"/>
                <w:szCs w:val="18"/>
              </w:rPr>
            </w:pPr>
            <w:r>
              <w:rPr>
                <w:color w:val="000000"/>
                <w:sz w:val="18"/>
                <w:szCs w:val="18"/>
              </w:rPr>
              <w:t>3.1</w:t>
            </w:r>
          </w:p>
        </w:tc>
      </w:tr>
    </w:tbl>
    <w:p w14:paraId="3BF74D2F" w14:textId="77777777" w:rsidR="002D6584" w:rsidRPr="00A26B0B" w:rsidRDefault="002D6584" w:rsidP="0045210D">
      <w:pPr>
        <w:pStyle w:val="n0"/>
        <w:keepNext/>
        <w:spacing w:before="20"/>
        <w:ind w:left="126" w:right="0" w:firstLine="0"/>
        <w:jc w:val="left"/>
        <w:rPr>
          <w:color w:val="auto"/>
          <w:sz w:val="16"/>
          <w:szCs w:val="16"/>
        </w:rPr>
      </w:pPr>
      <w:r w:rsidRPr="00A26B0B">
        <w:rPr>
          <w:color w:val="auto"/>
          <w:sz w:val="18"/>
          <w:szCs w:val="16"/>
        </w:rPr>
        <w:t>*</w:t>
      </w:r>
      <w:r w:rsidRPr="00A26B0B">
        <w:rPr>
          <w:color w:val="auto"/>
          <w:sz w:val="16"/>
          <w:szCs w:val="16"/>
          <w:vertAlign w:val="superscript"/>
        </w:rPr>
        <w:t>/</w:t>
      </w:r>
      <w:r w:rsidRPr="00A26B0B">
        <w:rPr>
          <w:color w:val="auto"/>
          <w:position w:val="4"/>
          <w:sz w:val="16"/>
          <w:szCs w:val="16"/>
        </w:rPr>
        <w:t xml:space="preserve"> </w:t>
      </w:r>
      <w:r w:rsidRPr="00A26B0B">
        <w:rPr>
          <w:color w:val="auto"/>
          <w:sz w:val="16"/>
          <w:szCs w:val="16"/>
        </w:rPr>
        <w:t>Promedio móvil de tres con extremo superior.</w:t>
      </w:r>
    </w:p>
    <w:p w14:paraId="1958E6D5" w14:textId="77777777" w:rsidR="002D6584" w:rsidRPr="00A26B0B" w:rsidRDefault="002D6584" w:rsidP="0045210D">
      <w:pPr>
        <w:pStyle w:val="n0"/>
        <w:keepNext/>
        <w:spacing w:before="20"/>
        <w:ind w:left="126" w:right="0" w:firstLine="0"/>
        <w:jc w:val="left"/>
        <w:rPr>
          <w:color w:val="auto"/>
          <w:sz w:val="16"/>
          <w:szCs w:val="16"/>
        </w:rPr>
      </w:pPr>
      <w:r w:rsidRPr="00A26B0B">
        <w:rPr>
          <w:color w:val="auto"/>
          <w:sz w:val="16"/>
          <w:szCs w:val="16"/>
        </w:rPr>
        <w:t>Fuente: INEGI.</w:t>
      </w:r>
    </w:p>
    <w:p w14:paraId="029C3C4B" w14:textId="77777777" w:rsidR="002D6584" w:rsidRPr="00A26B0B" w:rsidRDefault="002D6584" w:rsidP="002D6584">
      <w:pPr>
        <w:widowControl w:val="0"/>
        <w:spacing w:before="360"/>
        <w:rPr>
          <w:b/>
          <w:i/>
          <w:lang w:val="es-ES"/>
        </w:rPr>
      </w:pPr>
      <w:r w:rsidRPr="00A26B0B">
        <w:rPr>
          <w:b/>
          <w:i/>
          <w:lang w:val="es-ES"/>
        </w:rPr>
        <w:t xml:space="preserve">Tasas complementarias </w:t>
      </w:r>
    </w:p>
    <w:p w14:paraId="3EC1C497" w14:textId="77777777" w:rsidR="002D6584" w:rsidRPr="00A26B0B" w:rsidRDefault="002D6584" w:rsidP="002D6584">
      <w:pPr>
        <w:widowControl w:val="0"/>
        <w:spacing w:before="240"/>
        <w:rPr>
          <w:sz w:val="28"/>
        </w:rPr>
      </w:pPr>
      <w:r w:rsidRPr="00A26B0B">
        <w:rPr>
          <w:szCs w:val="20"/>
        </w:rPr>
        <w:t xml:space="preserve">Con el fin de proporcionar a los usuarios mayores elementos que apoyen el análisis de las características del mercado laboral de nuestro país, el INEGI genera mensualmente un conjunto de indicadores complementarios sobre la calidad de inserción en el mercado laboral, tomando en cuenta distintos aspectos que van más allá de las mediciones tradicionales y que recogen la heterogeneidad de circunstancias que se presentan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2A9FA94E" w14:textId="5B535ABC" w:rsidR="002D6584" w:rsidRPr="00A26B0B" w:rsidRDefault="002D6584" w:rsidP="00C662E7">
      <w:pPr>
        <w:pStyle w:val="n01"/>
        <w:keepLines w:val="0"/>
        <w:widowControl w:val="0"/>
        <w:ind w:left="0" w:firstLine="0"/>
        <w:rPr>
          <w:rFonts w:ascii="Arial" w:hAnsi="Arial"/>
          <w:color w:val="auto"/>
        </w:rPr>
      </w:pPr>
      <w:r w:rsidRPr="00A26B0B">
        <w:rPr>
          <w:rFonts w:ascii="Arial" w:hAnsi="Arial"/>
          <w:color w:val="auto"/>
        </w:rPr>
        <w:t xml:space="preserve">La </w:t>
      </w:r>
      <w:r w:rsidRPr="00A26B0B">
        <w:rPr>
          <w:rFonts w:ascii="Arial" w:hAnsi="Arial"/>
          <w:color w:val="auto"/>
          <w:u w:val="single"/>
        </w:rPr>
        <w:t>Tasa de Ocupación Parcial y Desocupación</w:t>
      </w:r>
      <w:r w:rsidRPr="00A26B0B">
        <w:rPr>
          <w:rFonts w:ascii="Arial" w:hAnsi="Arial"/>
          <w:color w:val="auto"/>
        </w:rPr>
        <w:t xml:space="preserve"> considera a la población desocupada y la ocupada que trabajó menos de 15 horas a la semana, no importando si estos ocupados con menos de 15 horas que se añaden se hayan comportado o no como buscadores de empleo.  </w:t>
      </w:r>
      <w:r w:rsidR="00A538C7" w:rsidRPr="00A26B0B">
        <w:rPr>
          <w:rFonts w:ascii="Arial" w:hAnsi="Arial"/>
          <w:color w:val="auto"/>
        </w:rPr>
        <w:t>Ésta se situó</w:t>
      </w:r>
      <w:r w:rsidR="005D75D9" w:rsidRPr="00A26B0B">
        <w:rPr>
          <w:rFonts w:ascii="Arial" w:hAnsi="Arial"/>
          <w:color w:val="auto"/>
        </w:rPr>
        <w:t xml:space="preserve"> en </w:t>
      </w:r>
      <w:r w:rsidR="002228D9">
        <w:rPr>
          <w:rFonts w:ascii="Arial" w:hAnsi="Arial"/>
          <w:color w:val="auto"/>
        </w:rPr>
        <w:t>10</w:t>
      </w:r>
      <w:r w:rsidR="00022FD4" w:rsidRPr="00A26B0B">
        <w:rPr>
          <w:rFonts w:ascii="Arial" w:hAnsi="Arial"/>
          <w:color w:val="auto"/>
        </w:rPr>
        <w:t>%</w:t>
      </w:r>
      <w:r w:rsidR="005D75D9" w:rsidRPr="00A26B0B">
        <w:rPr>
          <w:rFonts w:ascii="Arial" w:hAnsi="Arial"/>
          <w:color w:val="auto"/>
        </w:rPr>
        <w:t xml:space="preserve"> respecto a la PEA </w:t>
      </w:r>
      <w:r w:rsidR="00D84F2D" w:rsidRPr="00A26B0B">
        <w:rPr>
          <w:rFonts w:ascii="Arial" w:hAnsi="Arial"/>
          <w:color w:val="auto"/>
        </w:rPr>
        <w:t xml:space="preserve">en </w:t>
      </w:r>
      <w:r w:rsidR="00A0204E">
        <w:rPr>
          <w:rFonts w:ascii="Arial" w:hAnsi="Arial"/>
          <w:color w:val="auto"/>
        </w:rPr>
        <w:t>septiembre de 2019</w:t>
      </w:r>
      <w:r w:rsidR="005D75D9" w:rsidRPr="00A26B0B">
        <w:rPr>
          <w:rFonts w:ascii="Arial" w:hAnsi="Arial"/>
          <w:color w:val="auto"/>
        </w:rPr>
        <w:t xml:space="preserve">, </w:t>
      </w:r>
      <w:r w:rsidR="00A538C7" w:rsidRPr="00A26B0B">
        <w:rPr>
          <w:rFonts w:ascii="Arial" w:hAnsi="Arial"/>
          <w:color w:val="auto"/>
        </w:rPr>
        <w:t xml:space="preserve">tasa </w:t>
      </w:r>
      <w:r w:rsidR="00AA0CE9" w:rsidRPr="00A26B0B">
        <w:rPr>
          <w:rFonts w:ascii="Arial" w:hAnsi="Arial"/>
          <w:color w:val="auto"/>
        </w:rPr>
        <w:t xml:space="preserve">superior a </w:t>
      </w:r>
      <w:r w:rsidR="001E690D" w:rsidRPr="00A26B0B">
        <w:rPr>
          <w:rFonts w:ascii="Arial" w:hAnsi="Arial"/>
          <w:color w:val="auto"/>
        </w:rPr>
        <w:t xml:space="preserve">la de </w:t>
      </w:r>
      <w:r w:rsidR="00AA0CE9" w:rsidRPr="00A26B0B">
        <w:rPr>
          <w:rFonts w:ascii="Arial" w:hAnsi="Arial"/>
          <w:color w:val="auto"/>
        </w:rPr>
        <w:t>9</w:t>
      </w:r>
      <w:r w:rsidR="002228D9">
        <w:rPr>
          <w:rFonts w:ascii="Arial" w:hAnsi="Arial"/>
          <w:color w:val="auto"/>
        </w:rPr>
        <w:t>.5</w:t>
      </w:r>
      <w:r w:rsidR="001E690D" w:rsidRPr="00A26B0B">
        <w:rPr>
          <w:rFonts w:ascii="Arial" w:hAnsi="Arial"/>
          <w:color w:val="auto"/>
        </w:rPr>
        <w:t xml:space="preserve">% </w:t>
      </w:r>
      <w:r w:rsidR="003D31CC" w:rsidRPr="00A26B0B">
        <w:rPr>
          <w:rFonts w:ascii="Arial" w:hAnsi="Arial"/>
          <w:color w:val="auto"/>
        </w:rPr>
        <w:t>de</w:t>
      </w:r>
      <w:r w:rsidR="00A044CD" w:rsidRPr="00A26B0B">
        <w:rPr>
          <w:rFonts w:ascii="Arial" w:hAnsi="Arial"/>
          <w:color w:val="auto"/>
        </w:rPr>
        <w:t>l</w:t>
      </w:r>
      <w:r w:rsidR="003D31CC" w:rsidRPr="00A26B0B">
        <w:rPr>
          <w:rFonts w:ascii="Arial" w:hAnsi="Arial"/>
          <w:color w:val="auto"/>
        </w:rPr>
        <w:t xml:space="preserve"> </w:t>
      </w:r>
      <w:r w:rsidR="00A044CD" w:rsidRPr="00A26B0B">
        <w:rPr>
          <w:rFonts w:ascii="Arial" w:hAnsi="Arial"/>
          <w:color w:val="auto"/>
        </w:rPr>
        <w:t xml:space="preserve">mismo </w:t>
      </w:r>
      <w:r w:rsidR="001E690D" w:rsidRPr="00A26B0B">
        <w:rPr>
          <w:rFonts w:ascii="Arial" w:hAnsi="Arial"/>
          <w:color w:val="auto"/>
        </w:rPr>
        <w:t>mes</w:t>
      </w:r>
      <w:r w:rsidR="00A538C7" w:rsidRPr="00A26B0B">
        <w:rPr>
          <w:rFonts w:ascii="Arial" w:hAnsi="Arial"/>
          <w:color w:val="auto"/>
        </w:rPr>
        <w:t xml:space="preserve"> de un año antes.</w:t>
      </w:r>
    </w:p>
    <w:p w14:paraId="4A2ED4A6" w14:textId="426B55FD" w:rsidR="002D6584" w:rsidRPr="00A26B0B" w:rsidRDefault="002D6584" w:rsidP="00EE1DCD">
      <w:pPr>
        <w:pStyle w:val="n01"/>
        <w:keepNext/>
        <w:widowControl w:val="0"/>
        <w:ind w:left="0" w:firstLine="0"/>
        <w:rPr>
          <w:rFonts w:ascii="Arial" w:hAnsi="Arial"/>
          <w:color w:val="auto"/>
        </w:rPr>
      </w:pPr>
      <w:r w:rsidRPr="00A26B0B">
        <w:rPr>
          <w:rFonts w:ascii="Arial" w:hAnsi="Arial"/>
          <w:color w:val="auto"/>
        </w:rPr>
        <w:lastRenderedPageBreak/>
        <w:t xml:space="preserve">La </w:t>
      </w:r>
      <w:r w:rsidRPr="00A26B0B">
        <w:rPr>
          <w:rFonts w:ascii="Arial" w:hAnsi="Arial"/>
          <w:color w:val="auto"/>
          <w:u w:val="single"/>
        </w:rPr>
        <w:t>Tasa de Presión General</w:t>
      </w:r>
      <w:r w:rsidRPr="00A26B0B">
        <w:rPr>
          <w:rFonts w:ascii="Arial" w:hAnsi="Arial"/>
          <w:color w:val="auto"/>
        </w:rPr>
        <w:t xml:space="preserve"> incluye además de los desocupados, a los ocupados que buscan empleo, por lo que da una medida global de la competencia por plazas de trabajo conformada no sólo por los que quieren trabajar sino por los que teniendo un empleo quieren cambiarlo o también los que buscan otro más para tener un segundo trabajo. </w:t>
      </w:r>
      <w:r w:rsidR="00A538C7" w:rsidRPr="00A26B0B">
        <w:rPr>
          <w:rFonts w:ascii="Arial" w:hAnsi="Arial"/>
          <w:color w:val="auto"/>
        </w:rPr>
        <w:t>Ésta se ubicó</w:t>
      </w:r>
      <w:r w:rsidR="005D75D9" w:rsidRPr="00A26B0B">
        <w:rPr>
          <w:rFonts w:ascii="Arial" w:hAnsi="Arial"/>
          <w:color w:val="auto"/>
        </w:rPr>
        <w:t xml:space="preserve"> en </w:t>
      </w:r>
      <w:r w:rsidR="006C45E4">
        <w:rPr>
          <w:rFonts w:ascii="Arial" w:hAnsi="Arial"/>
          <w:color w:val="auto"/>
        </w:rPr>
        <w:t>7</w:t>
      </w:r>
      <w:r w:rsidR="0000345A">
        <w:rPr>
          <w:rFonts w:ascii="Arial" w:hAnsi="Arial"/>
          <w:color w:val="auto"/>
        </w:rPr>
        <w:t>.</w:t>
      </w:r>
      <w:r w:rsidR="002228D9">
        <w:rPr>
          <w:rFonts w:ascii="Arial" w:hAnsi="Arial"/>
          <w:color w:val="auto"/>
        </w:rPr>
        <w:t>1</w:t>
      </w:r>
      <w:r w:rsidR="005D75D9" w:rsidRPr="00A26B0B">
        <w:rPr>
          <w:rFonts w:ascii="Arial" w:hAnsi="Arial"/>
          <w:color w:val="auto"/>
        </w:rPr>
        <w:t xml:space="preserve">% de la PEA en </w:t>
      </w:r>
      <w:r w:rsidR="002228D9">
        <w:rPr>
          <w:rFonts w:ascii="Arial" w:hAnsi="Arial"/>
          <w:color w:val="auto"/>
        </w:rPr>
        <w:t>septiembre</w:t>
      </w:r>
      <w:r w:rsidR="006C45E4">
        <w:rPr>
          <w:rFonts w:ascii="Arial" w:hAnsi="Arial"/>
          <w:color w:val="auto"/>
        </w:rPr>
        <w:t xml:space="preserve"> </w:t>
      </w:r>
      <w:r w:rsidR="006C45E4" w:rsidRPr="00A26B0B">
        <w:rPr>
          <w:rFonts w:ascii="Arial" w:hAnsi="Arial"/>
          <w:color w:val="auto"/>
        </w:rPr>
        <w:t xml:space="preserve">pasado </w:t>
      </w:r>
      <w:r w:rsidR="00C8494E" w:rsidRPr="00A26B0B">
        <w:rPr>
          <w:rFonts w:ascii="Arial" w:hAnsi="Arial"/>
          <w:color w:val="auto"/>
        </w:rPr>
        <w:t xml:space="preserve">y significó un </w:t>
      </w:r>
      <w:r w:rsidR="002228D9">
        <w:rPr>
          <w:rFonts w:ascii="Arial" w:hAnsi="Arial"/>
          <w:color w:val="auto"/>
        </w:rPr>
        <w:t>au</w:t>
      </w:r>
      <w:r w:rsidR="00A044CD" w:rsidRPr="00A26B0B">
        <w:rPr>
          <w:rFonts w:ascii="Arial" w:hAnsi="Arial"/>
          <w:color w:val="auto"/>
        </w:rPr>
        <w:t xml:space="preserve">mento frente a </w:t>
      </w:r>
      <w:r w:rsidR="00A52E8E" w:rsidRPr="00A26B0B">
        <w:rPr>
          <w:rFonts w:ascii="Arial" w:hAnsi="Arial"/>
          <w:color w:val="auto"/>
        </w:rPr>
        <w:t>la de 6.</w:t>
      </w:r>
      <w:r w:rsidR="002228D9">
        <w:rPr>
          <w:rFonts w:ascii="Arial" w:hAnsi="Arial"/>
          <w:color w:val="auto"/>
        </w:rPr>
        <w:t>5</w:t>
      </w:r>
      <w:r w:rsidR="00A52E8E" w:rsidRPr="00A26B0B">
        <w:rPr>
          <w:rFonts w:ascii="Arial" w:hAnsi="Arial"/>
          <w:color w:val="auto"/>
        </w:rPr>
        <w:t>% de igual mes de 2018</w:t>
      </w:r>
      <w:r w:rsidR="00A538C7" w:rsidRPr="00A26B0B">
        <w:rPr>
          <w:rFonts w:ascii="Arial" w:hAnsi="Arial"/>
          <w:color w:val="auto"/>
        </w:rPr>
        <w:t>.</w:t>
      </w:r>
    </w:p>
    <w:p w14:paraId="01A0D0CE" w14:textId="0214ACBC" w:rsidR="002D6584" w:rsidRPr="00A26B0B" w:rsidRDefault="002D6584" w:rsidP="00EE1DCD">
      <w:pPr>
        <w:pStyle w:val="n01"/>
        <w:keepLines w:val="0"/>
        <w:widowControl w:val="0"/>
        <w:ind w:left="0" w:firstLine="0"/>
        <w:rPr>
          <w:rFonts w:ascii="Arial" w:hAnsi="Arial"/>
          <w:color w:val="auto"/>
        </w:rPr>
      </w:pPr>
      <w:r w:rsidRPr="00A26B0B">
        <w:rPr>
          <w:rFonts w:ascii="Arial" w:hAnsi="Arial"/>
          <w:color w:val="auto"/>
        </w:rPr>
        <w:t xml:space="preserve">La </w:t>
      </w:r>
      <w:r w:rsidRPr="00A26B0B">
        <w:rPr>
          <w:rFonts w:ascii="Arial" w:hAnsi="Arial"/>
          <w:color w:val="auto"/>
          <w:u w:val="single"/>
        </w:rPr>
        <w:t>Tasa de Trabajo Asalariado</w:t>
      </w:r>
      <w:r w:rsidRPr="00A26B0B">
        <w:rPr>
          <w:rFonts w:ascii="Arial" w:hAnsi="Arial"/>
          <w:color w:val="auto"/>
        </w:rPr>
        <w:t xml:space="preserve"> representa a la población que percibe de la unidad económica para la que trabaja un sueldo, salario o jornal, por las actividades realizadas. La tasa fue de </w:t>
      </w:r>
      <w:r w:rsidR="00F957DC" w:rsidRPr="00A26B0B">
        <w:rPr>
          <w:rFonts w:ascii="Arial" w:hAnsi="Arial"/>
          <w:color w:val="auto"/>
        </w:rPr>
        <w:t>6</w:t>
      </w:r>
      <w:r w:rsidR="004D0913" w:rsidRPr="00A26B0B">
        <w:rPr>
          <w:rFonts w:ascii="Arial" w:hAnsi="Arial"/>
          <w:color w:val="auto"/>
        </w:rPr>
        <w:t>4</w:t>
      </w:r>
      <w:r w:rsidR="002228D9">
        <w:rPr>
          <w:rFonts w:ascii="Arial" w:hAnsi="Arial"/>
          <w:color w:val="auto"/>
        </w:rPr>
        <w:t>.4</w:t>
      </w:r>
      <w:r w:rsidRPr="00A26B0B">
        <w:rPr>
          <w:rFonts w:ascii="Arial" w:hAnsi="Arial"/>
          <w:color w:val="auto"/>
        </w:rPr>
        <w:t xml:space="preserve">% de la población ocupada </w:t>
      </w:r>
      <w:r w:rsidR="002E1F5F" w:rsidRPr="00A26B0B">
        <w:rPr>
          <w:rFonts w:ascii="Arial" w:hAnsi="Arial"/>
          <w:color w:val="auto"/>
        </w:rPr>
        <w:t xml:space="preserve">en </w:t>
      </w:r>
      <w:r w:rsidR="006C45E4">
        <w:rPr>
          <w:rFonts w:ascii="Arial" w:hAnsi="Arial"/>
          <w:color w:val="auto"/>
        </w:rPr>
        <w:t xml:space="preserve">el </w:t>
      </w:r>
      <w:r w:rsidR="000C59FE">
        <w:rPr>
          <w:rFonts w:ascii="Arial" w:hAnsi="Arial"/>
          <w:color w:val="auto"/>
        </w:rPr>
        <w:t>noven</w:t>
      </w:r>
      <w:r w:rsidR="0000345A">
        <w:rPr>
          <w:rFonts w:ascii="Arial" w:hAnsi="Arial"/>
          <w:color w:val="auto"/>
        </w:rPr>
        <w:t xml:space="preserve">o </w:t>
      </w:r>
      <w:r w:rsidR="006C45E4">
        <w:rPr>
          <w:rFonts w:ascii="Arial" w:hAnsi="Arial"/>
          <w:color w:val="auto"/>
        </w:rPr>
        <w:t>mes</w:t>
      </w:r>
      <w:r w:rsidR="006C45E4" w:rsidRPr="006C45E4">
        <w:rPr>
          <w:rFonts w:ascii="Arial" w:hAnsi="Arial"/>
          <w:color w:val="auto"/>
        </w:rPr>
        <w:t xml:space="preserve"> </w:t>
      </w:r>
      <w:r w:rsidR="006C45E4" w:rsidRPr="00A26B0B">
        <w:rPr>
          <w:rFonts w:ascii="Arial" w:hAnsi="Arial"/>
          <w:color w:val="auto"/>
        </w:rPr>
        <w:t>de 2019</w:t>
      </w:r>
      <w:r w:rsidRPr="00A26B0B">
        <w:rPr>
          <w:rFonts w:ascii="Arial" w:hAnsi="Arial"/>
          <w:color w:val="auto"/>
        </w:rPr>
        <w:t>,</w:t>
      </w:r>
      <w:r w:rsidR="008106C9" w:rsidRPr="00A26B0B">
        <w:rPr>
          <w:rFonts w:ascii="Arial" w:hAnsi="Arial"/>
          <w:color w:val="auto"/>
        </w:rPr>
        <w:t xml:space="preserve"> </w:t>
      </w:r>
      <w:r w:rsidR="003716FC" w:rsidRPr="00A26B0B">
        <w:rPr>
          <w:rFonts w:ascii="Arial" w:hAnsi="Arial"/>
          <w:color w:val="auto"/>
        </w:rPr>
        <w:t>registrando</w:t>
      </w:r>
      <w:r w:rsidR="00DD69E0" w:rsidRPr="00A26B0B">
        <w:rPr>
          <w:rFonts w:ascii="Arial" w:hAnsi="Arial"/>
          <w:color w:val="auto"/>
        </w:rPr>
        <w:t xml:space="preserve"> </w:t>
      </w:r>
      <w:r w:rsidR="003716FC" w:rsidRPr="00A26B0B">
        <w:rPr>
          <w:rFonts w:ascii="Arial" w:hAnsi="Arial"/>
          <w:color w:val="auto"/>
        </w:rPr>
        <w:t>un</w:t>
      </w:r>
      <w:r w:rsidR="00507470">
        <w:rPr>
          <w:rFonts w:ascii="Arial" w:hAnsi="Arial"/>
          <w:color w:val="auto"/>
        </w:rPr>
        <w:t xml:space="preserve"> descenso</w:t>
      </w:r>
      <w:r w:rsidR="00EF00E6">
        <w:rPr>
          <w:rFonts w:ascii="Arial" w:hAnsi="Arial"/>
          <w:color w:val="auto"/>
        </w:rPr>
        <w:t xml:space="preserve"> </w:t>
      </w:r>
      <w:r w:rsidR="003716FC" w:rsidRPr="00A26B0B">
        <w:rPr>
          <w:rFonts w:ascii="Arial" w:hAnsi="Arial"/>
          <w:color w:val="auto"/>
        </w:rPr>
        <w:t>respecto a la de 6</w:t>
      </w:r>
      <w:r w:rsidR="002228D9">
        <w:rPr>
          <w:rFonts w:ascii="Arial" w:hAnsi="Arial"/>
          <w:color w:val="auto"/>
        </w:rPr>
        <w:t>4.6</w:t>
      </w:r>
      <w:r w:rsidR="003716FC" w:rsidRPr="00A26B0B">
        <w:rPr>
          <w:rFonts w:ascii="Arial" w:hAnsi="Arial"/>
          <w:color w:val="auto"/>
        </w:rPr>
        <w:t>% de</w:t>
      </w:r>
      <w:r w:rsidR="00A044CD" w:rsidRPr="00A26B0B">
        <w:rPr>
          <w:rFonts w:ascii="Arial" w:hAnsi="Arial"/>
          <w:color w:val="auto"/>
        </w:rPr>
        <w:t xml:space="preserve">l mismo mes </w:t>
      </w:r>
      <w:r w:rsidR="00DD69E0" w:rsidRPr="00A26B0B">
        <w:rPr>
          <w:rFonts w:ascii="Arial" w:hAnsi="Arial"/>
          <w:color w:val="auto"/>
        </w:rPr>
        <w:t xml:space="preserve">de </w:t>
      </w:r>
      <w:r w:rsidR="00764712" w:rsidRPr="00A26B0B">
        <w:rPr>
          <w:rFonts w:ascii="Arial" w:hAnsi="Arial"/>
          <w:color w:val="auto"/>
        </w:rPr>
        <w:t>un año antes</w:t>
      </w:r>
      <w:r w:rsidR="008C6ECA" w:rsidRPr="00A26B0B">
        <w:rPr>
          <w:rFonts w:ascii="Arial" w:hAnsi="Arial"/>
          <w:color w:val="auto"/>
        </w:rPr>
        <w:t>.</w:t>
      </w:r>
    </w:p>
    <w:p w14:paraId="117722EA" w14:textId="340B6915" w:rsidR="002D6584" w:rsidRPr="000C071F" w:rsidRDefault="002D6584" w:rsidP="00EE1DCD">
      <w:pPr>
        <w:pStyle w:val="n01"/>
        <w:keepLines w:val="0"/>
        <w:widowControl w:val="0"/>
        <w:ind w:left="0" w:firstLine="0"/>
        <w:rPr>
          <w:rFonts w:ascii="Arial" w:hAnsi="Arial"/>
          <w:color w:val="auto"/>
        </w:rPr>
      </w:pPr>
      <w:r w:rsidRPr="000C071F">
        <w:rPr>
          <w:rFonts w:ascii="Arial" w:hAnsi="Arial"/>
          <w:color w:val="auto"/>
          <w:u w:val="single"/>
        </w:rPr>
        <w:t>Tasa de Condiciones Críticas de Ocupación</w:t>
      </w:r>
      <w:r w:rsidRPr="000C071F">
        <w:rPr>
          <w:rFonts w:ascii="Arial" w:hAnsi="Arial"/>
          <w:color w:val="auto"/>
        </w:rPr>
        <w:t xml:space="preserve">. Éste es un indicador de condiciones inadecuadas de empleo desde el punto de vista del tiempo de trabajo, los ingresos o una combinación insatisfactoria de ambos y resulta particularmente sensible en las áreas rurales del país.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  El indicador se calcula como porcentaje de la población ocupada. </w:t>
      </w:r>
      <w:r w:rsidR="005D75D9" w:rsidRPr="000C071F">
        <w:rPr>
          <w:rFonts w:ascii="Arial" w:hAnsi="Arial"/>
          <w:color w:val="auto"/>
        </w:rPr>
        <w:t xml:space="preserve">La tasa </w:t>
      </w:r>
      <w:r w:rsidR="00A538C7" w:rsidRPr="000C071F">
        <w:rPr>
          <w:rFonts w:ascii="Arial" w:hAnsi="Arial"/>
          <w:color w:val="auto"/>
        </w:rPr>
        <w:t>se estableció</w:t>
      </w:r>
      <w:r w:rsidR="00B020F1" w:rsidRPr="000C071F">
        <w:rPr>
          <w:rFonts w:ascii="Arial" w:hAnsi="Arial"/>
          <w:color w:val="auto"/>
        </w:rPr>
        <w:t xml:space="preserve"> en </w:t>
      </w:r>
      <w:r w:rsidR="008D222F" w:rsidRPr="000C071F">
        <w:rPr>
          <w:rFonts w:ascii="Arial" w:hAnsi="Arial"/>
          <w:color w:val="auto"/>
        </w:rPr>
        <w:t>1</w:t>
      </w:r>
      <w:r w:rsidR="00665330">
        <w:rPr>
          <w:rFonts w:ascii="Arial" w:hAnsi="Arial"/>
          <w:color w:val="auto"/>
        </w:rPr>
        <w:t>8.</w:t>
      </w:r>
      <w:r w:rsidR="00A044CD" w:rsidRPr="000C071F">
        <w:rPr>
          <w:rFonts w:ascii="Arial" w:hAnsi="Arial"/>
          <w:color w:val="auto"/>
        </w:rPr>
        <w:t>9</w:t>
      </w:r>
      <w:r w:rsidR="000C071F">
        <w:rPr>
          <w:rFonts w:ascii="Arial" w:hAnsi="Arial"/>
          <w:color w:val="auto"/>
        </w:rPr>
        <w:t>%</w:t>
      </w:r>
      <w:r w:rsidR="00CA4043" w:rsidRPr="000C071F">
        <w:rPr>
          <w:rFonts w:ascii="Arial" w:hAnsi="Arial"/>
          <w:color w:val="auto"/>
        </w:rPr>
        <w:t xml:space="preserve"> </w:t>
      </w:r>
      <w:r w:rsidR="00666D2E" w:rsidRPr="000C071F">
        <w:rPr>
          <w:rFonts w:ascii="Arial" w:hAnsi="Arial"/>
          <w:color w:val="auto"/>
        </w:rPr>
        <w:t xml:space="preserve">en </w:t>
      </w:r>
      <w:r w:rsidR="002228D9">
        <w:rPr>
          <w:rFonts w:ascii="Arial" w:hAnsi="Arial"/>
          <w:color w:val="auto"/>
        </w:rPr>
        <w:t>septiembre</w:t>
      </w:r>
      <w:r w:rsidR="00B020F1" w:rsidRPr="000C071F">
        <w:rPr>
          <w:rFonts w:ascii="Arial" w:hAnsi="Arial"/>
          <w:color w:val="auto"/>
        </w:rPr>
        <w:t xml:space="preserve"> </w:t>
      </w:r>
      <w:r w:rsidR="00666D2E" w:rsidRPr="000C071F">
        <w:rPr>
          <w:rFonts w:ascii="Arial" w:hAnsi="Arial"/>
          <w:color w:val="auto"/>
        </w:rPr>
        <w:t>de</w:t>
      </w:r>
      <w:r w:rsidR="008C6ECA" w:rsidRPr="000C071F">
        <w:rPr>
          <w:rFonts w:ascii="Arial" w:hAnsi="Arial"/>
          <w:color w:val="auto"/>
        </w:rPr>
        <w:t xml:space="preserve"> </w:t>
      </w:r>
      <w:r w:rsidR="00CA4043" w:rsidRPr="000C071F">
        <w:rPr>
          <w:rFonts w:ascii="Arial" w:hAnsi="Arial"/>
          <w:color w:val="auto"/>
        </w:rPr>
        <w:t>201</w:t>
      </w:r>
      <w:r w:rsidR="00D9781C">
        <w:rPr>
          <w:rFonts w:ascii="Arial" w:hAnsi="Arial"/>
          <w:color w:val="auto"/>
        </w:rPr>
        <w:t>9</w:t>
      </w:r>
      <w:r w:rsidR="005D75D9" w:rsidRPr="000C071F">
        <w:rPr>
          <w:rFonts w:ascii="Arial" w:hAnsi="Arial"/>
          <w:color w:val="auto"/>
        </w:rPr>
        <w:t>.</w:t>
      </w:r>
    </w:p>
    <w:p w14:paraId="228327B4" w14:textId="77777777" w:rsidR="00AD0007" w:rsidRPr="00A26B0B" w:rsidRDefault="00AD0007" w:rsidP="00AD0007">
      <w:pPr>
        <w:pStyle w:val="n01"/>
        <w:keepLines w:val="0"/>
        <w:widowControl w:val="0"/>
        <w:ind w:left="0" w:firstLine="0"/>
        <w:jc w:val="center"/>
        <w:rPr>
          <w:rFonts w:ascii="Arial" w:hAnsi="Arial"/>
          <w:color w:val="auto"/>
          <w:sz w:val="20"/>
        </w:rPr>
      </w:pPr>
      <w:r w:rsidRPr="00A26B0B">
        <w:rPr>
          <w:rFonts w:ascii="Arial" w:hAnsi="Arial"/>
          <w:color w:val="auto"/>
          <w:sz w:val="20"/>
        </w:rPr>
        <w:t>Cuadro 4</w:t>
      </w:r>
    </w:p>
    <w:p w14:paraId="1C96E851" w14:textId="79270638" w:rsidR="00AD0007" w:rsidRPr="00A26B0B" w:rsidRDefault="00AD0007" w:rsidP="00AD0007">
      <w:pPr>
        <w:pStyle w:val="n01"/>
        <w:keepLines w:val="0"/>
        <w:widowControl w:val="0"/>
        <w:spacing w:before="0"/>
        <w:ind w:left="0" w:firstLine="0"/>
        <w:jc w:val="center"/>
        <w:rPr>
          <w:rFonts w:ascii="Arial" w:hAnsi="Arial"/>
          <w:b/>
          <w:smallCaps/>
          <w:color w:val="auto"/>
          <w:sz w:val="22"/>
        </w:rPr>
      </w:pPr>
      <w:r w:rsidRPr="00A26B0B">
        <w:rPr>
          <w:rFonts w:ascii="Arial" w:hAnsi="Arial"/>
          <w:b/>
          <w:smallCaps/>
          <w:color w:val="auto"/>
          <w:sz w:val="22"/>
        </w:rPr>
        <w:t xml:space="preserve">Tasas complementarias de ocupación y desocupación durante </w:t>
      </w:r>
      <w:r w:rsidR="00CA6DD5">
        <w:rPr>
          <w:rFonts w:ascii="Arial" w:hAnsi="Arial"/>
          <w:b/>
          <w:smallCaps/>
          <w:color w:val="auto"/>
          <w:sz w:val="22"/>
        </w:rPr>
        <w:t>septiembre</w:t>
      </w:r>
    </w:p>
    <w:p w14:paraId="645B24EE" w14:textId="77777777" w:rsidR="00AD0007" w:rsidRPr="00A26B0B" w:rsidRDefault="00AD0007" w:rsidP="00AD0007">
      <w:pPr>
        <w:pStyle w:val="n0"/>
        <w:keepLines w:val="0"/>
        <w:widowControl w:val="0"/>
        <w:spacing w:before="0"/>
        <w:ind w:left="0" w:right="0" w:firstLine="0"/>
        <w:jc w:val="center"/>
        <w:rPr>
          <w:color w:val="auto"/>
          <w:sz w:val="18"/>
          <w:szCs w:val="18"/>
        </w:rPr>
      </w:pPr>
      <w:r w:rsidRPr="00A26B0B">
        <w:rPr>
          <w:color w:val="auto"/>
          <w:sz w:val="18"/>
          <w:szCs w:val="18"/>
        </w:rPr>
        <w:t>(Porcentajes)</w:t>
      </w:r>
    </w:p>
    <w:tbl>
      <w:tblPr>
        <w:tblW w:w="42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70" w:type="dxa"/>
          <w:right w:w="70" w:type="dxa"/>
        </w:tblCellMar>
        <w:tblLook w:val="0000" w:firstRow="0" w:lastRow="0" w:firstColumn="0" w:lastColumn="0" w:noHBand="0" w:noVBand="0"/>
      </w:tblPr>
      <w:tblGrid>
        <w:gridCol w:w="4177"/>
        <w:gridCol w:w="950"/>
        <w:gridCol w:w="950"/>
        <w:gridCol w:w="950"/>
        <w:gridCol w:w="951"/>
      </w:tblGrid>
      <w:tr w:rsidR="00911C3F" w:rsidRPr="00A26B0B" w14:paraId="7D3E686F" w14:textId="77777777" w:rsidTr="00911C3F">
        <w:trPr>
          <w:trHeight w:val="340"/>
          <w:jc w:val="center"/>
        </w:trPr>
        <w:tc>
          <w:tcPr>
            <w:tcW w:w="4177" w:type="dxa"/>
            <w:vMerge w:val="restart"/>
            <w:tcBorders>
              <w:top w:val="single" w:sz="8" w:space="0" w:color="1F497D" w:themeColor="text2"/>
              <w:right w:val="single" w:sz="6" w:space="0" w:color="1F497D" w:themeColor="text2"/>
            </w:tcBorders>
            <w:shd w:val="clear" w:color="auto" w:fill="ABC3DF"/>
            <w:vAlign w:val="center"/>
          </w:tcPr>
          <w:p w14:paraId="17A4BB2F" w14:textId="77777777" w:rsidR="00911C3F" w:rsidRPr="00A26B0B" w:rsidRDefault="00911C3F" w:rsidP="007F246B">
            <w:pPr>
              <w:pStyle w:val="Normal1"/>
              <w:widowControl w:val="0"/>
              <w:spacing w:before="80" w:after="80"/>
              <w:ind w:left="57"/>
              <w:rPr>
                <w:rFonts w:ascii="Arial" w:hAnsi="Arial" w:cs="Arial"/>
                <w:sz w:val="18"/>
                <w:szCs w:val="18"/>
                <w:lang w:val="es-MX"/>
              </w:rPr>
            </w:pPr>
            <w:bookmarkStart w:id="2" w:name="_Hlk14350592"/>
            <w:r w:rsidRPr="00A26B0B">
              <w:rPr>
                <w:rFonts w:ascii="Arial" w:hAnsi="Arial" w:cs="Arial"/>
                <w:sz w:val="18"/>
                <w:szCs w:val="18"/>
                <w:lang w:val="es-MX"/>
              </w:rPr>
              <w:t>Concepto</w:t>
            </w:r>
          </w:p>
        </w:tc>
        <w:tc>
          <w:tcPr>
            <w:tcW w:w="1900" w:type="dxa"/>
            <w:gridSpan w:val="2"/>
            <w:tcBorders>
              <w:top w:val="single" w:sz="8" w:space="0" w:color="1F497D" w:themeColor="text2"/>
              <w:left w:val="single" w:sz="6" w:space="0" w:color="1F497D" w:themeColor="text2"/>
              <w:bottom w:val="single" w:sz="8" w:space="0" w:color="1F497D" w:themeColor="text2"/>
              <w:right w:val="nil"/>
            </w:tcBorders>
            <w:shd w:val="clear" w:color="auto" w:fill="ABC3DF"/>
            <w:vAlign w:val="center"/>
          </w:tcPr>
          <w:p w14:paraId="25ADA77C" w14:textId="77777777" w:rsidR="00911C3F" w:rsidRPr="00A26B0B" w:rsidRDefault="00911C3F" w:rsidP="007F246B">
            <w:pPr>
              <w:widowControl w:val="0"/>
              <w:spacing w:before="40" w:after="40"/>
              <w:jc w:val="center"/>
              <w:rPr>
                <w:sz w:val="18"/>
                <w:szCs w:val="18"/>
              </w:rPr>
            </w:pPr>
            <w:r w:rsidRPr="00A26B0B">
              <w:rPr>
                <w:sz w:val="18"/>
                <w:szCs w:val="18"/>
              </w:rPr>
              <w:t>A nivel nacional</w:t>
            </w:r>
          </w:p>
        </w:tc>
        <w:tc>
          <w:tcPr>
            <w:tcW w:w="1901" w:type="dxa"/>
            <w:gridSpan w:val="2"/>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BC3DF"/>
          </w:tcPr>
          <w:p w14:paraId="11FEF65F" w14:textId="77777777" w:rsidR="00911C3F" w:rsidRPr="00A26B0B" w:rsidRDefault="00911C3F" w:rsidP="007F246B">
            <w:pPr>
              <w:widowControl w:val="0"/>
              <w:spacing w:before="40" w:after="40"/>
              <w:jc w:val="center"/>
              <w:rPr>
                <w:sz w:val="18"/>
                <w:szCs w:val="18"/>
              </w:rPr>
            </w:pPr>
            <w:r w:rsidRPr="00A26B0B">
              <w:rPr>
                <w:sz w:val="18"/>
                <w:szCs w:val="18"/>
              </w:rPr>
              <w:t xml:space="preserve">Agregado urbano </w:t>
            </w:r>
            <w:r>
              <w:rPr>
                <w:sz w:val="18"/>
                <w:szCs w:val="18"/>
              </w:rPr>
              <w:t>de</w:t>
            </w:r>
            <w:r w:rsidRPr="00A26B0B">
              <w:rPr>
                <w:sz w:val="18"/>
                <w:szCs w:val="18"/>
              </w:rPr>
              <w:t xml:space="preserve"> 32 ciudades</w:t>
            </w:r>
          </w:p>
        </w:tc>
      </w:tr>
      <w:tr w:rsidR="00911C3F" w:rsidRPr="00A26B0B" w14:paraId="64F503D8" w14:textId="77777777" w:rsidTr="00911C3F">
        <w:trPr>
          <w:trHeight w:val="340"/>
          <w:jc w:val="center"/>
        </w:trPr>
        <w:tc>
          <w:tcPr>
            <w:tcW w:w="4177" w:type="dxa"/>
            <w:vMerge/>
            <w:tcBorders>
              <w:bottom w:val="single" w:sz="8" w:space="0" w:color="1F497D" w:themeColor="text2"/>
              <w:right w:val="single" w:sz="6" w:space="0" w:color="1F497D" w:themeColor="text2"/>
            </w:tcBorders>
            <w:shd w:val="clear" w:color="auto" w:fill="ABC3DF"/>
            <w:vAlign w:val="center"/>
          </w:tcPr>
          <w:p w14:paraId="5E3966EE" w14:textId="77777777" w:rsidR="00911C3F" w:rsidRPr="00A26B0B" w:rsidRDefault="00911C3F" w:rsidP="007F246B">
            <w:pPr>
              <w:pStyle w:val="Normal1"/>
              <w:widowControl w:val="0"/>
              <w:spacing w:before="80" w:after="80"/>
              <w:ind w:left="557"/>
              <w:rPr>
                <w:rFonts w:ascii="Arial" w:hAnsi="Arial" w:cs="Arial"/>
                <w:sz w:val="18"/>
                <w:szCs w:val="18"/>
                <w:lang w:val="es-MX"/>
              </w:rPr>
            </w:pPr>
          </w:p>
        </w:tc>
        <w:tc>
          <w:tcPr>
            <w:tcW w:w="950" w:type="dxa"/>
            <w:tcBorders>
              <w:top w:val="single" w:sz="8" w:space="0" w:color="1F497D" w:themeColor="text2"/>
              <w:left w:val="single" w:sz="6" w:space="0" w:color="1F497D" w:themeColor="text2"/>
              <w:bottom w:val="single" w:sz="8" w:space="0" w:color="1F497D" w:themeColor="text2"/>
              <w:right w:val="single" w:sz="6" w:space="0" w:color="1F497D" w:themeColor="text2"/>
            </w:tcBorders>
            <w:shd w:val="clear" w:color="auto" w:fill="ABC3DF"/>
            <w:vAlign w:val="center"/>
          </w:tcPr>
          <w:p w14:paraId="5B2E94FF" w14:textId="77777777" w:rsidR="00911C3F" w:rsidRPr="00A26B0B" w:rsidRDefault="00911C3F" w:rsidP="007F246B">
            <w:pPr>
              <w:widowControl w:val="0"/>
              <w:spacing w:before="40" w:after="40"/>
              <w:jc w:val="center"/>
              <w:rPr>
                <w:sz w:val="18"/>
                <w:szCs w:val="18"/>
              </w:rPr>
            </w:pPr>
            <w:r w:rsidRPr="00A26B0B">
              <w:rPr>
                <w:sz w:val="18"/>
                <w:szCs w:val="18"/>
              </w:rPr>
              <w:t>2018</w:t>
            </w:r>
          </w:p>
        </w:tc>
        <w:tc>
          <w:tcPr>
            <w:tcW w:w="950" w:type="dxa"/>
            <w:tcBorders>
              <w:top w:val="single" w:sz="8" w:space="0" w:color="1F497D" w:themeColor="text2"/>
              <w:left w:val="single" w:sz="6" w:space="0" w:color="1F497D" w:themeColor="text2"/>
              <w:bottom w:val="single" w:sz="8" w:space="0" w:color="1F497D" w:themeColor="text2"/>
              <w:right w:val="nil"/>
            </w:tcBorders>
            <w:shd w:val="clear" w:color="auto" w:fill="ABC3DF"/>
            <w:vAlign w:val="center"/>
          </w:tcPr>
          <w:p w14:paraId="2516E0FE" w14:textId="77777777" w:rsidR="00911C3F" w:rsidRPr="00A26B0B" w:rsidRDefault="00911C3F" w:rsidP="007F246B">
            <w:pPr>
              <w:widowControl w:val="0"/>
              <w:spacing w:before="40" w:after="40"/>
              <w:jc w:val="center"/>
              <w:rPr>
                <w:sz w:val="18"/>
                <w:szCs w:val="18"/>
              </w:rPr>
            </w:pPr>
            <w:r w:rsidRPr="00A26B0B">
              <w:rPr>
                <w:sz w:val="18"/>
                <w:szCs w:val="18"/>
              </w:rPr>
              <w:t>2019</w:t>
            </w:r>
          </w:p>
        </w:tc>
        <w:tc>
          <w:tcPr>
            <w:tcW w:w="950" w:type="dxa"/>
            <w:tcBorders>
              <w:top w:val="single" w:sz="8" w:space="0" w:color="1F497D" w:themeColor="text2"/>
              <w:left w:val="single" w:sz="8" w:space="0" w:color="1F497D" w:themeColor="text2"/>
              <w:bottom w:val="single" w:sz="8" w:space="0" w:color="1F497D" w:themeColor="text2"/>
              <w:right w:val="single" w:sz="6" w:space="0" w:color="1F497D" w:themeColor="text2"/>
            </w:tcBorders>
            <w:shd w:val="clear" w:color="auto" w:fill="ABC3DF"/>
            <w:vAlign w:val="center"/>
          </w:tcPr>
          <w:p w14:paraId="79C22864" w14:textId="77777777" w:rsidR="00911C3F" w:rsidRPr="00A26B0B" w:rsidRDefault="00911C3F" w:rsidP="007F246B">
            <w:pPr>
              <w:widowControl w:val="0"/>
              <w:spacing w:before="40" w:after="40"/>
              <w:jc w:val="center"/>
              <w:rPr>
                <w:sz w:val="18"/>
                <w:szCs w:val="18"/>
              </w:rPr>
            </w:pPr>
            <w:r w:rsidRPr="00A26B0B">
              <w:rPr>
                <w:sz w:val="18"/>
                <w:szCs w:val="18"/>
              </w:rPr>
              <w:t>2018</w:t>
            </w:r>
          </w:p>
        </w:tc>
        <w:tc>
          <w:tcPr>
            <w:tcW w:w="951" w:type="dxa"/>
            <w:tcBorders>
              <w:top w:val="single" w:sz="8" w:space="0" w:color="1F497D" w:themeColor="text2"/>
              <w:left w:val="single" w:sz="6" w:space="0" w:color="1F497D" w:themeColor="text2"/>
              <w:bottom w:val="single" w:sz="8" w:space="0" w:color="1F497D" w:themeColor="text2"/>
              <w:right w:val="single" w:sz="8" w:space="0" w:color="1F497D" w:themeColor="text2"/>
            </w:tcBorders>
            <w:shd w:val="clear" w:color="auto" w:fill="ABC3DF"/>
            <w:vAlign w:val="center"/>
          </w:tcPr>
          <w:p w14:paraId="28948668" w14:textId="77777777" w:rsidR="00911C3F" w:rsidRPr="00A26B0B" w:rsidRDefault="00911C3F" w:rsidP="007F246B">
            <w:pPr>
              <w:widowControl w:val="0"/>
              <w:spacing w:before="40" w:after="40"/>
              <w:jc w:val="center"/>
              <w:rPr>
                <w:sz w:val="18"/>
                <w:szCs w:val="18"/>
              </w:rPr>
            </w:pPr>
            <w:r w:rsidRPr="00A26B0B">
              <w:rPr>
                <w:sz w:val="18"/>
                <w:szCs w:val="18"/>
              </w:rPr>
              <w:t>2019</w:t>
            </w:r>
          </w:p>
        </w:tc>
      </w:tr>
      <w:tr w:rsidR="00CA6DD5" w:rsidRPr="00A26B0B" w14:paraId="638CE7A3" w14:textId="77777777" w:rsidTr="00CA6DD5">
        <w:trPr>
          <w:trHeight w:val="227"/>
          <w:jc w:val="center"/>
        </w:trPr>
        <w:tc>
          <w:tcPr>
            <w:tcW w:w="4177" w:type="dxa"/>
            <w:tcBorders>
              <w:top w:val="single" w:sz="8" w:space="0" w:color="C6D9F1" w:themeColor="text2" w:themeTint="33"/>
              <w:bottom w:val="single" w:sz="4" w:space="0" w:color="C6D9F1" w:themeColor="text2" w:themeTint="33"/>
              <w:right w:val="single" w:sz="6" w:space="0" w:color="1F497D" w:themeColor="text2"/>
            </w:tcBorders>
            <w:vAlign w:val="center"/>
          </w:tcPr>
          <w:p w14:paraId="26A15AEC" w14:textId="77777777" w:rsidR="00CA6DD5" w:rsidRPr="00A26B0B" w:rsidRDefault="00CA6DD5" w:rsidP="00CA6DD5">
            <w:pPr>
              <w:pStyle w:val="Normal1"/>
              <w:widowControl w:val="0"/>
              <w:spacing w:line="200" w:lineRule="exact"/>
              <w:ind w:left="57"/>
              <w:rPr>
                <w:rFonts w:ascii="Arial" w:hAnsi="Arial" w:cs="Arial"/>
                <w:sz w:val="18"/>
                <w:szCs w:val="18"/>
                <w:lang w:val="es-MX"/>
              </w:rPr>
            </w:pPr>
            <w:r w:rsidRPr="00A26B0B">
              <w:rPr>
                <w:rFonts w:ascii="Arial" w:hAnsi="Arial" w:cs="Arial"/>
                <w:sz w:val="18"/>
                <w:szCs w:val="18"/>
                <w:lang w:val="es-MX"/>
              </w:rPr>
              <w:t>Tasa de Participación</w:t>
            </w:r>
            <w:r w:rsidRPr="00A26B0B">
              <w:rPr>
                <w:rFonts w:ascii="Arial" w:hAnsi="Arial" w:cs="Arial"/>
                <w:position w:val="-2"/>
                <w:vertAlign w:val="superscript"/>
                <w:lang w:val="es-MX"/>
              </w:rPr>
              <w:t>1/</w:t>
            </w:r>
          </w:p>
        </w:tc>
        <w:tc>
          <w:tcPr>
            <w:tcW w:w="950" w:type="dxa"/>
            <w:tcBorders>
              <w:top w:val="single" w:sz="8" w:space="0" w:color="C6D9F1" w:themeColor="text2" w:themeTint="33"/>
              <w:left w:val="single" w:sz="6" w:space="0" w:color="1F497D" w:themeColor="text2"/>
              <w:bottom w:val="single" w:sz="4" w:space="0" w:color="C6D9F1" w:themeColor="text2" w:themeTint="33"/>
            </w:tcBorders>
            <w:vAlign w:val="center"/>
          </w:tcPr>
          <w:p w14:paraId="1729E754" w14:textId="3A12FFB8" w:rsidR="00CA6DD5" w:rsidRPr="00665330" w:rsidRDefault="00CA6DD5" w:rsidP="00CA6DD5">
            <w:pPr>
              <w:tabs>
                <w:tab w:val="decimal" w:pos="433"/>
              </w:tabs>
              <w:jc w:val="left"/>
              <w:rPr>
                <w:sz w:val="18"/>
                <w:szCs w:val="18"/>
              </w:rPr>
            </w:pPr>
            <w:r>
              <w:rPr>
                <w:color w:val="000000"/>
                <w:sz w:val="18"/>
                <w:szCs w:val="18"/>
              </w:rPr>
              <w:t>59.5</w:t>
            </w:r>
          </w:p>
        </w:tc>
        <w:tc>
          <w:tcPr>
            <w:tcW w:w="950" w:type="dxa"/>
            <w:tcBorders>
              <w:top w:val="single" w:sz="8" w:space="0" w:color="C6D9F1" w:themeColor="text2" w:themeTint="33"/>
              <w:bottom w:val="single" w:sz="4" w:space="0" w:color="C6D9F1" w:themeColor="text2" w:themeTint="33"/>
              <w:right w:val="nil"/>
            </w:tcBorders>
            <w:vAlign w:val="center"/>
          </w:tcPr>
          <w:p w14:paraId="3D9C41F4" w14:textId="55F7E1AE" w:rsidR="00CA6DD5" w:rsidRPr="00665330" w:rsidRDefault="00CA6DD5" w:rsidP="00CA6DD5">
            <w:pPr>
              <w:tabs>
                <w:tab w:val="decimal" w:pos="433"/>
              </w:tabs>
              <w:jc w:val="left"/>
              <w:rPr>
                <w:sz w:val="18"/>
                <w:szCs w:val="18"/>
              </w:rPr>
            </w:pPr>
            <w:r>
              <w:rPr>
                <w:color w:val="000000"/>
                <w:sz w:val="18"/>
                <w:szCs w:val="18"/>
              </w:rPr>
              <w:t>60.1</w:t>
            </w:r>
          </w:p>
        </w:tc>
        <w:tc>
          <w:tcPr>
            <w:tcW w:w="950" w:type="dxa"/>
            <w:tcBorders>
              <w:top w:val="single" w:sz="8" w:space="0" w:color="C6D9F1" w:themeColor="text2" w:themeTint="33"/>
              <w:left w:val="single" w:sz="8" w:space="0" w:color="1F497D" w:themeColor="text2"/>
              <w:bottom w:val="single" w:sz="4" w:space="0" w:color="C6D9F1" w:themeColor="text2" w:themeTint="33"/>
            </w:tcBorders>
            <w:vAlign w:val="center"/>
          </w:tcPr>
          <w:p w14:paraId="2E9B0F93" w14:textId="05C13C06" w:rsidR="00CA6DD5" w:rsidRPr="00665330" w:rsidRDefault="00CA6DD5" w:rsidP="00CA6DD5">
            <w:pPr>
              <w:tabs>
                <w:tab w:val="decimal" w:pos="450"/>
              </w:tabs>
              <w:jc w:val="left"/>
              <w:rPr>
                <w:sz w:val="18"/>
                <w:szCs w:val="18"/>
              </w:rPr>
            </w:pPr>
            <w:r>
              <w:rPr>
                <w:color w:val="000000"/>
                <w:sz w:val="18"/>
                <w:szCs w:val="18"/>
              </w:rPr>
              <w:t>61.0</w:t>
            </w:r>
          </w:p>
        </w:tc>
        <w:tc>
          <w:tcPr>
            <w:tcW w:w="951" w:type="dxa"/>
            <w:tcBorders>
              <w:top w:val="single" w:sz="8" w:space="0" w:color="C6D9F1" w:themeColor="text2" w:themeTint="33"/>
              <w:bottom w:val="single" w:sz="4" w:space="0" w:color="C6D9F1" w:themeColor="text2" w:themeTint="33"/>
            </w:tcBorders>
            <w:vAlign w:val="center"/>
          </w:tcPr>
          <w:p w14:paraId="0DB13D64" w14:textId="631BEEDE" w:rsidR="00CA6DD5" w:rsidRPr="00665330" w:rsidRDefault="00CA6DD5" w:rsidP="00CA6DD5">
            <w:pPr>
              <w:tabs>
                <w:tab w:val="decimal" w:pos="450"/>
              </w:tabs>
              <w:jc w:val="left"/>
              <w:rPr>
                <w:sz w:val="18"/>
                <w:szCs w:val="18"/>
              </w:rPr>
            </w:pPr>
            <w:r>
              <w:rPr>
                <w:color w:val="000000"/>
                <w:sz w:val="18"/>
                <w:szCs w:val="18"/>
              </w:rPr>
              <w:t>61.0</w:t>
            </w:r>
          </w:p>
        </w:tc>
      </w:tr>
      <w:tr w:rsidR="00CA6DD5" w:rsidRPr="00A26B0B" w14:paraId="51CE32F2" w14:textId="77777777" w:rsidTr="00CA6DD5">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F9F4EE7" w14:textId="77777777" w:rsidR="00CA6DD5" w:rsidRPr="00A26B0B" w:rsidRDefault="00CA6DD5" w:rsidP="00CA6DD5">
            <w:pPr>
              <w:widowControl w:val="0"/>
              <w:spacing w:line="200" w:lineRule="exact"/>
              <w:ind w:left="57"/>
              <w:jc w:val="left"/>
              <w:rPr>
                <w:sz w:val="20"/>
                <w:szCs w:val="20"/>
              </w:rPr>
            </w:pPr>
            <w:r w:rsidRPr="00A26B0B">
              <w:rPr>
                <w:sz w:val="18"/>
                <w:szCs w:val="18"/>
              </w:rPr>
              <w:t>Tasa de Desocupación</w:t>
            </w:r>
            <w:r w:rsidRPr="00A26B0B">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0DA2C2F9" w14:textId="218A6A76" w:rsidR="00CA6DD5" w:rsidRPr="00665330" w:rsidRDefault="00CA6DD5" w:rsidP="00CA6DD5">
            <w:pPr>
              <w:tabs>
                <w:tab w:val="decimal" w:pos="433"/>
              </w:tabs>
              <w:jc w:val="left"/>
              <w:rPr>
                <w:sz w:val="18"/>
                <w:szCs w:val="18"/>
              </w:rPr>
            </w:pPr>
            <w:r>
              <w:rPr>
                <w:color w:val="000000"/>
                <w:sz w:val="18"/>
                <w:szCs w:val="18"/>
              </w:rPr>
              <w:t>3.6</w:t>
            </w:r>
          </w:p>
        </w:tc>
        <w:tc>
          <w:tcPr>
            <w:tcW w:w="950" w:type="dxa"/>
            <w:tcBorders>
              <w:top w:val="single" w:sz="4" w:space="0" w:color="C6D9F1" w:themeColor="text2" w:themeTint="33"/>
              <w:bottom w:val="single" w:sz="4" w:space="0" w:color="C6D9F1" w:themeColor="text2" w:themeTint="33"/>
              <w:right w:val="nil"/>
            </w:tcBorders>
            <w:vAlign w:val="center"/>
          </w:tcPr>
          <w:p w14:paraId="381E6FC6" w14:textId="182261A8" w:rsidR="00CA6DD5" w:rsidRPr="00665330" w:rsidRDefault="00CA6DD5" w:rsidP="00CA6DD5">
            <w:pPr>
              <w:tabs>
                <w:tab w:val="decimal" w:pos="433"/>
              </w:tabs>
              <w:jc w:val="left"/>
              <w:rPr>
                <w:sz w:val="18"/>
                <w:szCs w:val="18"/>
              </w:rPr>
            </w:pPr>
            <w:r>
              <w:rPr>
                <w:color w:val="000000"/>
                <w:sz w:val="18"/>
                <w:szCs w:val="18"/>
              </w:rPr>
              <w:t>3.8</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02B2C3F1" w14:textId="5A02F703" w:rsidR="00CA6DD5" w:rsidRPr="00665330" w:rsidRDefault="00CA6DD5" w:rsidP="00CA6DD5">
            <w:pPr>
              <w:tabs>
                <w:tab w:val="decimal" w:pos="450"/>
              </w:tabs>
              <w:jc w:val="left"/>
              <w:rPr>
                <w:sz w:val="18"/>
                <w:szCs w:val="18"/>
              </w:rPr>
            </w:pPr>
            <w:r>
              <w:rPr>
                <w:color w:val="000000"/>
                <w:sz w:val="18"/>
                <w:szCs w:val="18"/>
              </w:rPr>
              <w:t>4.0</w:t>
            </w:r>
          </w:p>
        </w:tc>
        <w:tc>
          <w:tcPr>
            <w:tcW w:w="951" w:type="dxa"/>
            <w:tcBorders>
              <w:top w:val="single" w:sz="4" w:space="0" w:color="C6D9F1" w:themeColor="text2" w:themeTint="33"/>
              <w:bottom w:val="single" w:sz="4" w:space="0" w:color="C6D9F1" w:themeColor="text2" w:themeTint="33"/>
            </w:tcBorders>
            <w:vAlign w:val="center"/>
          </w:tcPr>
          <w:p w14:paraId="1F13B331" w14:textId="12547516" w:rsidR="00CA6DD5" w:rsidRPr="00665330" w:rsidRDefault="00CA6DD5" w:rsidP="00CA6DD5">
            <w:pPr>
              <w:tabs>
                <w:tab w:val="decimal" w:pos="450"/>
              </w:tabs>
              <w:jc w:val="left"/>
              <w:rPr>
                <w:sz w:val="18"/>
                <w:szCs w:val="18"/>
              </w:rPr>
            </w:pPr>
            <w:r>
              <w:rPr>
                <w:color w:val="000000"/>
                <w:sz w:val="18"/>
                <w:szCs w:val="18"/>
              </w:rPr>
              <w:t>4.3</w:t>
            </w:r>
          </w:p>
        </w:tc>
      </w:tr>
      <w:tr w:rsidR="00CA6DD5" w:rsidRPr="00A26B0B" w14:paraId="1CA900CD" w14:textId="77777777" w:rsidTr="00CA6DD5">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shd w:val="clear" w:color="auto" w:fill="auto"/>
            <w:vAlign w:val="center"/>
          </w:tcPr>
          <w:p w14:paraId="6E855E14" w14:textId="77777777" w:rsidR="00CA6DD5" w:rsidRPr="00A26B0B" w:rsidRDefault="00CA6DD5" w:rsidP="00CA6DD5">
            <w:pPr>
              <w:pStyle w:val="Predeterminado"/>
              <w:widowControl w:val="0"/>
              <w:suppressAutoHyphens w:val="0"/>
              <w:spacing w:after="0" w:line="240" w:lineRule="auto"/>
              <w:ind w:left="170"/>
              <w:rPr>
                <w:rFonts w:ascii="Arial" w:hAnsi="Arial" w:cs="Arial"/>
                <w:color w:val="auto"/>
                <w:sz w:val="18"/>
                <w:szCs w:val="18"/>
                <w:lang w:eastAsia="es-MX"/>
              </w:rPr>
            </w:pPr>
            <w:r w:rsidRPr="00A26B0B">
              <w:rPr>
                <w:rFonts w:ascii="Arial" w:hAnsi="Arial" w:cs="Arial"/>
                <w:color w:val="auto"/>
                <w:sz w:val="18"/>
                <w:szCs w:val="18"/>
                <w:lang w:eastAsia="es-MX"/>
              </w:rPr>
              <w:t>TD Hombres</w:t>
            </w:r>
          </w:p>
        </w:tc>
        <w:tc>
          <w:tcPr>
            <w:tcW w:w="950" w:type="dxa"/>
            <w:tcBorders>
              <w:top w:val="single" w:sz="4" w:space="0" w:color="C6D9F1" w:themeColor="text2" w:themeTint="33"/>
              <w:left w:val="single" w:sz="6" w:space="0" w:color="1F497D" w:themeColor="text2"/>
              <w:bottom w:val="single" w:sz="4" w:space="0" w:color="C6D9F1" w:themeColor="text2" w:themeTint="33"/>
            </w:tcBorders>
            <w:shd w:val="clear" w:color="auto" w:fill="auto"/>
            <w:vAlign w:val="center"/>
          </w:tcPr>
          <w:p w14:paraId="0D772240" w14:textId="499E62D5" w:rsidR="00CA6DD5" w:rsidRPr="00665330" w:rsidRDefault="00CA6DD5" w:rsidP="00CA6DD5">
            <w:pPr>
              <w:tabs>
                <w:tab w:val="decimal" w:pos="433"/>
              </w:tabs>
              <w:jc w:val="left"/>
              <w:rPr>
                <w:sz w:val="18"/>
                <w:szCs w:val="18"/>
              </w:rPr>
            </w:pPr>
            <w:r>
              <w:rPr>
                <w:color w:val="000000"/>
                <w:sz w:val="18"/>
                <w:szCs w:val="18"/>
              </w:rPr>
              <w:t>3.4</w:t>
            </w:r>
          </w:p>
        </w:tc>
        <w:tc>
          <w:tcPr>
            <w:tcW w:w="950" w:type="dxa"/>
            <w:tcBorders>
              <w:top w:val="single" w:sz="4" w:space="0" w:color="C6D9F1" w:themeColor="text2" w:themeTint="33"/>
              <w:bottom w:val="single" w:sz="4" w:space="0" w:color="C6D9F1" w:themeColor="text2" w:themeTint="33"/>
              <w:right w:val="nil"/>
            </w:tcBorders>
            <w:shd w:val="clear" w:color="auto" w:fill="auto"/>
            <w:vAlign w:val="center"/>
          </w:tcPr>
          <w:p w14:paraId="2E69A3D4" w14:textId="77C4CA9A" w:rsidR="00CA6DD5" w:rsidRPr="00665330" w:rsidRDefault="00CA6DD5" w:rsidP="00CA6DD5">
            <w:pPr>
              <w:tabs>
                <w:tab w:val="decimal" w:pos="433"/>
              </w:tabs>
              <w:jc w:val="left"/>
              <w:rPr>
                <w:sz w:val="18"/>
                <w:szCs w:val="18"/>
              </w:rPr>
            </w:pPr>
            <w:r>
              <w:rPr>
                <w:color w:val="000000"/>
                <w:sz w:val="18"/>
                <w:szCs w:val="18"/>
              </w:rPr>
              <w:t>3.8</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25BEC6CC" w14:textId="5BDD91B8" w:rsidR="00CA6DD5" w:rsidRPr="00665330" w:rsidRDefault="00CA6DD5" w:rsidP="00CA6DD5">
            <w:pPr>
              <w:tabs>
                <w:tab w:val="decimal" w:pos="450"/>
              </w:tabs>
              <w:jc w:val="left"/>
              <w:rPr>
                <w:sz w:val="18"/>
                <w:szCs w:val="18"/>
              </w:rPr>
            </w:pPr>
            <w:r>
              <w:rPr>
                <w:color w:val="000000"/>
                <w:sz w:val="18"/>
                <w:szCs w:val="18"/>
              </w:rPr>
              <w:t>4.0</w:t>
            </w:r>
          </w:p>
        </w:tc>
        <w:tc>
          <w:tcPr>
            <w:tcW w:w="951" w:type="dxa"/>
            <w:tcBorders>
              <w:top w:val="single" w:sz="4" w:space="0" w:color="C6D9F1" w:themeColor="text2" w:themeTint="33"/>
              <w:bottom w:val="single" w:sz="4" w:space="0" w:color="C6D9F1" w:themeColor="text2" w:themeTint="33"/>
            </w:tcBorders>
            <w:vAlign w:val="center"/>
          </w:tcPr>
          <w:p w14:paraId="22DD3E3A" w14:textId="5D803922" w:rsidR="00CA6DD5" w:rsidRPr="00665330" w:rsidRDefault="00CA6DD5" w:rsidP="00CA6DD5">
            <w:pPr>
              <w:tabs>
                <w:tab w:val="decimal" w:pos="450"/>
              </w:tabs>
              <w:jc w:val="left"/>
              <w:rPr>
                <w:sz w:val="18"/>
                <w:szCs w:val="18"/>
              </w:rPr>
            </w:pPr>
            <w:r>
              <w:rPr>
                <w:color w:val="000000"/>
                <w:sz w:val="18"/>
                <w:szCs w:val="18"/>
              </w:rPr>
              <w:t>4.4</w:t>
            </w:r>
          </w:p>
        </w:tc>
      </w:tr>
      <w:tr w:rsidR="00CA6DD5" w:rsidRPr="00A26B0B" w14:paraId="6CB29DCA" w14:textId="77777777" w:rsidTr="00CA6DD5">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shd w:val="clear" w:color="auto" w:fill="auto"/>
            <w:vAlign w:val="center"/>
          </w:tcPr>
          <w:p w14:paraId="1A908820" w14:textId="77777777" w:rsidR="00CA6DD5" w:rsidRPr="00A26B0B" w:rsidRDefault="00CA6DD5" w:rsidP="00CA6DD5">
            <w:pPr>
              <w:pStyle w:val="Predeterminado"/>
              <w:widowControl w:val="0"/>
              <w:suppressAutoHyphens w:val="0"/>
              <w:spacing w:after="0" w:line="240" w:lineRule="auto"/>
              <w:ind w:left="170"/>
              <w:rPr>
                <w:rFonts w:ascii="Arial" w:hAnsi="Arial" w:cs="Arial"/>
                <w:color w:val="auto"/>
                <w:sz w:val="18"/>
                <w:szCs w:val="18"/>
                <w:lang w:eastAsia="es-MX"/>
              </w:rPr>
            </w:pPr>
            <w:r w:rsidRPr="00A26B0B">
              <w:rPr>
                <w:rFonts w:ascii="Arial" w:hAnsi="Arial" w:cs="Arial"/>
                <w:color w:val="auto"/>
                <w:sz w:val="18"/>
                <w:szCs w:val="18"/>
                <w:lang w:eastAsia="es-MX"/>
              </w:rPr>
              <w:t>TD Mujeres</w:t>
            </w:r>
          </w:p>
        </w:tc>
        <w:tc>
          <w:tcPr>
            <w:tcW w:w="950" w:type="dxa"/>
            <w:tcBorders>
              <w:top w:val="single" w:sz="4" w:space="0" w:color="C6D9F1" w:themeColor="text2" w:themeTint="33"/>
              <w:left w:val="single" w:sz="6" w:space="0" w:color="1F497D" w:themeColor="text2"/>
              <w:bottom w:val="single" w:sz="4" w:space="0" w:color="C6D9F1" w:themeColor="text2" w:themeTint="33"/>
            </w:tcBorders>
            <w:shd w:val="clear" w:color="auto" w:fill="auto"/>
            <w:vAlign w:val="center"/>
          </w:tcPr>
          <w:p w14:paraId="35C2EA53" w14:textId="587A3C31" w:rsidR="00CA6DD5" w:rsidRPr="00665330" w:rsidRDefault="00CA6DD5" w:rsidP="00CA6DD5">
            <w:pPr>
              <w:tabs>
                <w:tab w:val="decimal" w:pos="433"/>
              </w:tabs>
              <w:jc w:val="left"/>
              <w:rPr>
                <w:sz w:val="18"/>
                <w:szCs w:val="18"/>
              </w:rPr>
            </w:pPr>
            <w:r>
              <w:rPr>
                <w:color w:val="000000"/>
                <w:sz w:val="18"/>
                <w:szCs w:val="18"/>
              </w:rPr>
              <w:t>3.9</w:t>
            </w:r>
          </w:p>
        </w:tc>
        <w:tc>
          <w:tcPr>
            <w:tcW w:w="950" w:type="dxa"/>
            <w:tcBorders>
              <w:top w:val="single" w:sz="4" w:space="0" w:color="C6D9F1" w:themeColor="text2" w:themeTint="33"/>
              <w:bottom w:val="single" w:sz="4" w:space="0" w:color="C6D9F1" w:themeColor="text2" w:themeTint="33"/>
              <w:right w:val="nil"/>
            </w:tcBorders>
            <w:shd w:val="clear" w:color="auto" w:fill="auto"/>
            <w:vAlign w:val="center"/>
          </w:tcPr>
          <w:p w14:paraId="11A43C8F" w14:textId="6CBE1A76" w:rsidR="00CA6DD5" w:rsidRPr="00665330" w:rsidRDefault="00CA6DD5" w:rsidP="00CA6DD5">
            <w:pPr>
              <w:tabs>
                <w:tab w:val="decimal" w:pos="433"/>
              </w:tabs>
              <w:jc w:val="left"/>
              <w:rPr>
                <w:sz w:val="18"/>
                <w:szCs w:val="18"/>
              </w:rPr>
            </w:pPr>
            <w:r>
              <w:rPr>
                <w:color w:val="000000"/>
                <w:sz w:val="18"/>
                <w:szCs w:val="18"/>
              </w:rPr>
              <w:t>3.8</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4B3FB96" w14:textId="35BCAF2C" w:rsidR="00CA6DD5" w:rsidRPr="00665330" w:rsidRDefault="00CA6DD5" w:rsidP="00CA6DD5">
            <w:pPr>
              <w:tabs>
                <w:tab w:val="decimal" w:pos="450"/>
              </w:tabs>
              <w:jc w:val="left"/>
              <w:rPr>
                <w:sz w:val="18"/>
                <w:szCs w:val="18"/>
              </w:rPr>
            </w:pPr>
            <w:r>
              <w:rPr>
                <w:color w:val="000000"/>
                <w:sz w:val="18"/>
                <w:szCs w:val="18"/>
              </w:rPr>
              <w:t>3.9</w:t>
            </w:r>
          </w:p>
        </w:tc>
        <w:tc>
          <w:tcPr>
            <w:tcW w:w="951" w:type="dxa"/>
            <w:tcBorders>
              <w:top w:val="single" w:sz="4" w:space="0" w:color="C6D9F1" w:themeColor="text2" w:themeTint="33"/>
              <w:bottom w:val="single" w:sz="4" w:space="0" w:color="C6D9F1" w:themeColor="text2" w:themeTint="33"/>
            </w:tcBorders>
            <w:vAlign w:val="center"/>
          </w:tcPr>
          <w:p w14:paraId="67C787D3" w14:textId="60F69FDE" w:rsidR="00CA6DD5" w:rsidRPr="00665330" w:rsidRDefault="00CA6DD5" w:rsidP="00CA6DD5">
            <w:pPr>
              <w:tabs>
                <w:tab w:val="decimal" w:pos="450"/>
              </w:tabs>
              <w:jc w:val="left"/>
              <w:rPr>
                <w:sz w:val="18"/>
                <w:szCs w:val="18"/>
              </w:rPr>
            </w:pPr>
            <w:r>
              <w:rPr>
                <w:color w:val="000000"/>
                <w:sz w:val="18"/>
                <w:szCs w:val="18"/>
              </w:rPr>
              <w:t>4.2</w:t>
            </w:r>
          </w:p>
        </w:tc>
      </w:tr>
      <w:tr w:rsidR="00CA6DD5" w:rsidRPr="00A26B0B" w14:paraId="54A28D22" w14:textId="77777777" w:rsidTr="00CA6DD5">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1B5C3D0E" w14:textId="77777777" w:rsidR="00CA6DD5" w:rsidRPr="00A26B0B" w:rsidRDefault="00CA6DD5" w:rsidP="00CA6DD5">
            <w:pPr>
              <w:widowControl w:val="0"/>
              <w:spacing w:line="200" w:lineRule="exact"/>
              <w:ind w:left="57"/>
              <w:jc w:val="left"/>
              <w:rPr>
                <w:sz w:val="18"/>
                <w:szCs w:val="18"/>
              </w:rPr>
            </w:pPr>
            <w:r w:rsidRPr="00A26B0B">
              <w:rPr>
                <w:sz w:val="18"/>
                <w:szCs w:val="18"/>
              </w:rPr>
              <w:t>Tasa de Ocupación Parcial y Desocupación</w:t>
            </w:r>
            <w:r w:rsidRPr="00A26B0B">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3C9F0080" w14:textId="21113EFB" w:rsidR="00CA6DD5" w:rsidRPr="00665330" w:rsidRDefault="00CA6DD5" w:rsidP="00CA6DD5">
            <w:pPr>
              <w:tabs>
                <w:tab w:val="decimal" w:pos="433"/>
              </w:tabs>
              <w:jc w:val="left"/>
              <w:rPr>
                <w:sz w:val="18"/>
                <w:szCs w:val="18"/>
              </w:rPr>
            </w:pPr>
            <w:r>
              <w:rPr>
                <w:color w:val="000000"/>
                <w:sz w:val="18"/>
                <w:szCs w:val="18"/>
              </w:rPr>
              <w:t>9.5</w:t>
            </w:r>
          </w:p>
        </w:tc>
        <w:tc>
          <w:tcPr>
            <w:tcW w:w="950" w:type="dxa"/>
            <w:tcBorders>
              <w:top w:val="single" w:sz="4" w:space="0" w:color="C6D9F1" w:themeColor="text2" w:themeTint="33"/>
              <w:bottom w:val="single" w:sz="4" w:space="0" w:color="C6D9F1" w:themeColor="text2" w:themeTint="33"/>
              <w:right w:val="nil"/>
            </w:tcBorders>
            <w:vAlign w:val="center"/>
          </w:tcPr>
          <w:p w14:paraId="3AE3141A" w14:textId="6755064C" w:rsidR="00CA6DD5" w:rsidRPr="00665330" w:rsidRDefault="00CA6DD5" w:rsidP="00CA6DD5">
            <w:pPr>
              <w:tabs>
                <w:tab w:val="decimal" w:pos="433"/>
              </w:tabs>
              <w:jc w:val="left"/>
              <w:rPr>
                <w:sz w:val="18"/>
                <w:szCs w:val="18"/>
              </w:rPr>
            </w:pPr>
            <w:r>
              <w:rPr>
                <w:color w:val="000000"/>
                <w:sz w:val="18"/>
                <w:szCs w:val="18"/>
              </w:rPr>
              <w:t>10.0</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34870EF9" w14:textId="2E597089" w:rsidR="00CA6DD5" w:rsidRPr="00665330" w:rsidRDefault="00CA6DD5" w:rsidP="00CA6DD5">
            <w:pPr>
              <w:tabs>
                <w:tab w:val="decimal" w:pos="450"/>
              </w:tabs>
              <w:jc w:val="left"/>
              <w:rPr>
                <w:sz w:val="18"/>
                <w:szCs w:val="18"/>
              </w:rPr>
            </w:pPr>
            <w:r>
              <w:rPr>
                <w:color w:val="000000"/>
                <w:sz w:val="18"/>
                <w:szCs w:val="18"/>
              </w:rPr>
              <w:t>8.4</w:t>
            </w:r>
          </w:p>
        </w:tc>
        <w:tc>
          <w:tcPr>
            <w:tcW w:w="951" w:type="dxa"/>
            <w:tcBorders>
              <w:top w:val="single" w:sz="4" w:space="0" w:color="C6D9F1" w:themeColor="text2" w:themeTint="33"/>
              <w:bottom w:val="single" w:sz="4" w:space="0" w:color="C6D9F1" w:themeColor="text2" w:themeTint="33"/>
            </w:tcBorders>
            <w:vAlign w:val="center"/>
          </w:tcPr>
          <w:p w14:paraId="3C564504" w14:textId="61E79524" w:rsidR="00CA6DD5" w:rsidRPr="00665330" w:rsidRDefault="00CA6DD5" w:rsidP="00CA6DD5">
            <w:pPr>
              <w:tabs>
                <w:tab w:val="decimal" w:pos="450"/>
              </w:tabs>
              <w:jc w:val="left"/>
              <w:rPr>
                <w:sz w:val="18"/>
                <w:szCs w:val="18"/>
              </w:rPr>
            </w:pPr>
            <w:r>
              <w:rPr>
                <w:color w:val="000000"/>
                <w:sz w:val="18"/>
                <w:szCs w:val="18"/>
              </w:rPr>
              <w:t>9.5</w:t>
            </w:r>
          </w:p>
        </w:tc>
      </w:tr>
      <w:tr w:rsidR="00CA6DD5" w:rsidRPr="00A26B0B" w14:paraId="3902C600" w14:textId="77777777" w:rsidTr="00CA6DD5">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7B0D33A7" w14:textId="77777777" w:rsidR="00CA6DD5" w:rsidRPr="00A26B0B" w:rsidRDefault="00CA6DD5" w:rsidP="00CA6DD5">
            <w:pPr>
              <w:widowControl w:val="0"/>
              <w:spacing w:line="200" w:lineRule="exact"/>
              <w:ind w:left="57"/>
              <w:jc w:val="left"/>
              <w:rPr>
                <w:sz w:val="18"/>
                <w:szCs w:val="18"/>
              </w:rPr>
            </w:pPr>
            <w:r w:rsidRPr="00A26B0B">
              <w:rPr>
                <w:sz w:val="18"/>
                <w:szCs w:val="18"/>
              </w:rPr>
              <w:t>Tasa de Presión General</w:t>
            </w:r>
            <w:r w:rsidRPr="00A26B0B">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448399DC" w14:textId="71099FD4" w:rsidR="00CA6DD5" w:rsidRPr="00665330" w:rsidRDefault="00CA6DD5" w:rsidP="00CA6DD5">
            <w:pPr>
              <w:tabs>
                <w:tab w:val="decimal" w:pos="433"/>
              </w:tabs>
              <w:jc w:val="left"/>
              <w:rPr>
                <w:sz w:val="18"/>
                <w:szCs w:val="18"/>
              </w:rPr>
            </w:pPr>
            <w:r>
              <w:rPr>
                <w:color w:val="000000"/>
                <w:sz w:val="18"/>
                <w:szCs w:val="18"/>
              </w:rPr>
              <w:t>6.5</w:t>
            </w:r>
          </w:p>
        </w:tc>
        <w:tc>
          <w:tcPr>
            <w:tcW w:w="950" w:type="dxa"/>
            <w:tcBorders>
              <w:top w:val="single" w:sz="4" w:space="0" w:color="C6D9F1" w:themeColor="text2" w:themeTint="33"/>
              <w:bottom w:val="single" w:sz="4" w:space="0" w:color="C6D9F1" w:themeColor="text2" w:themeTint="33"/>
              <w:right w:val="nil"/>
            </w:tcBorders>
            <w:vAlign w:val="center"/>
          </w:tcPr>
          <w:p w14:paraId="07B26112" w14:textId="1B1D42F4" w:rsidR="00CA6DD5" w:rsidRPr="00665330" w:rsidRDefault="00CA6DD5" w:rsidP="00CA6DD5">
            <w:pPr>
              <w:tabs>
                <w:tab w:val="decimal" w:pos="433"/>
              </w:tabs>
              <w:jc w:val="left"/>
              <w:rPr>
                <w:sz w:val="18"/>
                <w:szCs w:val="18"/>
              </w:rPr>
            </w:pPr>
            <w:r>
              <w:rPr>
                <w:color w:val="000000"/>
                <w:sz w:val="18"/>
                <w:szCs w:val="18"/>
              </w:rPr>
              <w:t>7.1</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142A257" w14:textId="2CBC1F4C" w:rsidR="00CA6DD5" w:rsidRPr="00665330" w:rsidRDefault="00CA6DD5" w:rsidP="00CA6DD5">
            <w:pPr>
              <w:tabs>
                <w:tab w:val="decimal" w:pos="450"/>
              </w:tabs>
              <w:jc w:val="left"/>
              <w:rPr>
                <w:sz w:val="18"/>
                <w:szCs w:val="18"/>
              </w:rPr>
            </w:pPr>
            <w:r>
              <w:rPr>
                <w:color w:val="000000"/>
                <w:sz w:val="18"/>
                <w:szCs w:val="18"/>
              </w:rPr>
              <w:t>6.7</w:t>
            </w:r>
          </w:p>
        </w:tc>
        <w:tc>
          <w:tcPr>
            <w:tcW w:w="951" w:type="dxa"/>
            <w:tcBorders>
              <w:top w:val="single" w:sz="4" w:space="0" w:color="C6D9F1" w:themeColor="text2" w:themeTint="33"/>
              <w:bottom w:val="single" w:sz="4" w:space="0" w:color="C6D9F1" w:themeColor="text2" w:themeTint="33"/>
            </w:tcBorders>
            <w:vAlign w:val="center"/>
          </w:tcPr>
          <w:p w14:paraId="545AC34A" w14:textId="2E891959" w:rsidR="00CA6DD5" w:rsidRPr="00665330" w:rsidRDefault="00CA6DD5" w:rsidP="00CA6DD5">
            <w:pPr>
              <w:tabs>
                <w:tab w:val="decimal" w:pos="450"/>
              </w:tabs>
              <w:jc w:val="left"/>
              <w:rPr>
                <w:sz w:val="18"/>
                <w:szCs w:val="18"/>
              </w:rPr>
            </w:pPr>
            <w:r>
              <w:rPr>
                <w:color w:val="000000"/>
                <w:sz w:val="18"/>
                <w:szCs w:val="18"/>
              </w:rPr>
              <w:t>7.2</w:t>
            </w:r>
          </w:p>
        </w:tc>
      </w:tr>
      <w:tr w:rsidR="00CA6DD5" w:rsidRPr="00A26B0B" w14:paraId="1F9E95C3" w14:textId="77777777" w:rsidTr="00CA6DD5">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3A72B8DB" w14:textId="77777777" w:rsidR="00CA6DD5" w:rsidRPr="00A26B0B" w:rsidRDefault="00CA6DD5" w:rsidP="00CA6DD5">
            <w:pPr>
              <w:widowControl w:val="0"/>
              <w:spacing w:line="200" w:lineRule="exact"/>
              <w:ind w:left="57"/>
              <w:jc w:val="left"/>
              <w:rPr>
                <w:sz w:val="18"/>
                <w:szCs w:val="18"/>
              </w:rPr>
            </w:pPr>
            <w:r w:rsidRPr="00A26B0B">
              <w:rPr>
                <w:sz w:val="18"/>
                <w:szCs w:val="18"/>
              </w:rPr>
              <w:t>Tasa de Trabajo Asalariado</w:t>
            </w:r>
            <w:r w:rsidRPr="00A26B0B">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5E2A6EA4" w14:textId="6FA1E0F8" w:rsidR="00CA6DD5" w:rsidRPr="00665330" w:rsidRDefault="00CA6DD5" w:rsidP="00CA6DD5">
            <w:pPr>
              <w:tabs>
                <w:tab w:val="decimal" w:pos="433"/>
              </w:tabs>
              <w:jc w:val="left"/>
              <w:rPr>
                <w:sz w:val="18"/>
                <w:szCs w:val="18"/>
              </w:rPr>
            </w:pPr>
            <w:r>
              <w:rPr>
                <w:color w:val="000000"/>
                <w:sz w:val="18"/>
                <w:szCs w:val="18"/>
              </w:rPr>
              <w:t>64.6</w:t>
            </w:r>
          </w:p>
        </w:tc>
        <w:tc>
          <w:tcPr>
            <w:tcW w:w="950" w:type="dxa"/>
            <w:tcBorders>
              <w:top w:val="single" w:sz="4" w:space="0" w:color="C6D9F1" w:themeColor="text2" w:themeTint="33"/>
              <w:bottom w:val="single" w:sz="4" w:space="0" w:color="C6D9F1" w:themeColor="text2" w:themeTint="33"/>
              <w:right w:val="nil"/>
            </w:tcBorders>
            <w:vAlign w:val="center"/>
          </w:tcPr>
          <w:p w14:paraId="1CE3758D" w14:textId="374E340D" w:rsidR="00CA6DD5" w:rsidRPr="00665330" w:rsidRDefault="00CA6DD5" w:rsidP="00CA6DD5">
            <w:pPr>
              <w:tabs>
                <w:tab w:val="decimal" w:pos="433"/>
              </w:tabs>
              <w:jc w:val="left"/>
              <w:rPr>
                <w:sz w:val="18"/>
                <w:szCs w:val="18"/>
              </w:rPr>
            </w:pPr>
            <w:r>
              <w:rPr>
                <w:color w:val="000000"/>
                <w:sz w:val="18"/>
                <w:szCs w:val="18"/>
              </w:rPr>
              <w:t>64.4</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5D21723F" w14:textId="3E12C331" w:rsidR="00CA6DD5" w:rsidRPr="00665330" w:rsidRDefault="00CA6DD5" w:rsidP="00CA6DD5">
            <w:pPr>
              <w:tabs>
                <w:tab w:val="decimal" w:pos="450"/>
              </w:tabs>
              <w:jc w:val="left"/>
              <w:rPr>
                <w:sz w:val="18"/>
                <w:szCs w:val="18"/>
              </w:rPr>
            </w:pPr>
            <w:r>
              <w:rPr>
                <w:color w:val="000000"/>
                <w:sz w:val="18"/>
                <w:szCs w:val="18"/>
              </w:rPr>
              <w:t>69.6</w:t>
            </w:r>
          </w:p>
        </w:tc>
        <w:tc>
          <w:tcPr>
            <w:tcW w:w="951" w:type="dxa"/>
            <w:tcBorders>
              <w:top w:val="single" w:sz="4" w:space="0" w:color="C6D9F1" w:themeColor="text2" w:themeTint="33"/>
              <w:bottom w:val="single" w:sz="4" w:space="0" w:color="C6D9F1" w:themeColor="text2" w:themeTint="33"/>
            </w:tcBorders>
            <w:vAlign w:val="center"/>
          </w:tcPr>
          <w:p w14:paraId="6728B46D" w14:textId="04E64815" w:rsidR="00CA6DD5" w:rsidRPr="00665330" w:rsidRDefault="00CA6DD5" w:rsidP="00CA6DD5">
            <w:pPr>
              <w:tabs>
                <w:tab w:val="decimal" w:pos="450"/>
              </w:tabs>
              <w:jc w:val="left"/>
              <w:rPr>
                <w:sz w:val="18"/>
                <w:szCs w:val="18"/>
              </w:rPr>
            </w:pPr>
            <w:r>
              <w:rPr>
                <w:color w:val="000000"/>
                <w:sz w:val="18"/>
                <w:szCs w:val="18"/>
              </w:rPr>
              <w:t>70.0</w:t>
            </w:r>
          </w:p>
        </w:tc>
      </w:tr>
      <w:tr w:rsidR="00CA6DD5" w:rsidRPr="00A26B0B" w14:paraId="5ACDC9F9" w14:textId="77777777" w:rsidTr="00CA6DD5">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1E41D5A" w14:textId="77777777" w:rsidR="00CA6DD5" w:rsidRPr="00A26B0B" w:rsidRDefault="00CA6DD5" w:rsidP="00CA6DD5">
            <w:pPr>
              <w:widowControl w:val="0"/>
              <w:spacing w:line="200" w:lineRule="exact"/>
              <w:ind w:left="57"/>
              <w:jc w:val="left"/>
              <w:rPr>
                <w:sz w:val="18"/>
                <w:szCs w:val="18"/>
              </w:rPr>
            </w:pPr>
            <w:r w:rsidRPr="00A26B0B">
              <w:rPr>
                <w:sz w:val="18"/>
                <w:szCs w:val="18"/>
              </w:rPr>
              <w:t>Tasa de Subocupación</w:t>
            </w:r>
            <w:r w:rsidRPr="00A26B0B">
              <w:rPr>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4746D26C" w14:textId="12932428" w:rsidR="00CA6DD5" w:rsidRPr="00665330" w:rsidRDefault="00CA6DD5" w:rsidP="00CA6DD5">
            <w:pPr>
              <w:tabs>
                <w:tab w:val="decimal" w:pos="433"/>
              </w:tabs>
              <w:jc w:val="left"/>
              <w:rPr>
                <w:sz w:val="18"/>
                <w:szCs w:val="18"/>
              </w:rPr>
            </w:pPr>
            <w:r>
              <w:rPr>
                <w:color w:val="000000"/>
                <w:sz w:val="18"/>
                <w:szCs w:val="18"/>
              </w:rPr>
              <w:t>6.7</w:t>
            </w:r>
          </w:p>
        </w:tc>
        <w:tc>
          <w:tcPr>
            <w:tcW w:w="950" w:type="dxa"/>
            <w:tcBorders>
              <w:top w:val="single" w:sz="4" w:space="0" w:color="C6D9F1" w:themeColor="text2" w:themeTint="33"/>
              <w:bottom w:val="single" w:sz="4" w:space="0" w:color="C6D9F1" w:themeColor="text2" w:themeTint="33"/>
              <w:right w:val="nil"/>
            </w:tcBorders>
            <w:vAlign w:val="center"/>
          </w:tcPr>
          <w:p w14:paraId="03035314" w14:textId="4C505606" w:rsidR="00CA6DD5" w:rsidRPr="00665330" w:rsidRDefault="00CA6DD5" w:rsidP="00CA6DD5">
            <w:pPr>
              <w:tabs>
                <w:tab w:val="decimal" w:pos="433"/>
              </w:tabs>
              <w:jc w:val="left"/>
              <w:rPr>
                <w:sz w:val="18"/>
                <w:szCs w:val="18"/>
              </w:rPr>
            </w:pPr>
            <w:r>
              <w:rPr>
                <w:color w:val="000000"/>
                <w:sz w:val="18"/>
                <w:szCs w:val="18"/>
              </w:rPr>
              <w:t>7.9</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3196D193" w14:textId="5C3ECEA7" w:rsidR="00CA6DD5" w:rsidRPr="00665330" w:rsidRDefault="00CA6DD5" w:rsidP="00CA6DD5">
            <w:pPr>
              <w:tabs>
                <w:tab w:val="decimal" w:pos="450"/>
              </w:tabs>
              <w:jc w:val="left"/>
              <w:rPr>
                <w:sz w:val="18"/>
                <w:szCs w:val="18"/>
              </w:rPr>
            </w:pPr>
            <w:r>
              <w:rPr>
                <w:color w:val="000000"/>
                <w:sz w:val="18"/>
                <w:szCs w:val="18"/>
              </w:rPr>
              <w:t>6.3</w:t>
            </w:r>
          </w:p>
        </w:tc>
        <w:tc>
          <w:tcPr>
            <w:tcW w:w="951" w:type="dxa"/>
            <w:tcBorders>
              <w:top w:val="single" w:sz="4" w:space="0" w:color="C6D9F1" w:themeColor="text2" w:themeTint="33"/>
              <w:bottom w:val="single" w:sz="4" w:space="0" w:color="C6D9F1" w:themeColor="text2" w:themeTint="33"/>
            </w:tcBorders>
            <w:vAlign w:val="center"/>
          </w:tcPr>
          <w:p w14:paraId="01F2CDCC" w14:textId="18D27980" w:rsidR="00CA6DD5" w:rsidRPr="00665330" w:rsidRDefault="00CA6DD5" w:rsidP="00CA6DD5">
            <w:pPr>
              <w:tabs>
                <w:tab w:val="decimal" w:pos="450"/>
              </w:tabs>
              <w:jc w:val="left"/>
              <w:rPr>
                <w:sz w:val="18"/>
                <w:szCs w:val="18"/>
              </w:rPr>
            </w:pPr>
            <w:r>
              <w:rPr>
                <w:color w:val="000000"/>
                <w:sz w:val="18"/>
                <w:szCs w:val="18"/>
              </w:rPr>
              <w:t>6.9</w:t>
            </w:r>
          </w:p>
        </w:tc>
      </w:tr>
      <w:tr w:rsidR="00CA6DD5" w:rsidRPr="00EF00E6" w14:paraId="47ECA265" w14:textId="77777777" w:rsidTr="00CA6DD5">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3CA3E83" w14:textId="77777777" w:rsidR="00CA6DD5" w:rsidRPr="000C071F" w:rsidRDefault="00CA6DD5" w:rsidP="00CA6DD5">
            <w:pPr>
              <w:widowControl w:val="0"/>
              <w:spacing w:line="200" w:lineRule="exact"/>
              <w:ind w:left="57"/>
              <w:jc w:val="left"/>
              <w:rPr>
                <w:sz w:val="18"/>
                <w:szCs w:val="18"/>
              </w:rPr>
            </w:pPr>
            <w:r w:rsidRPr="000C071F">
              <w:rPr>
                <w:sz w:val="18"/>
                <w:szCs w:val="18"/>
              </w:rPr>
              <w:t>Tasa de Condiciones Críticas de Ocupación</w:t>
            </w:r>
            <w:r w:rsidRPr="000C071F">
              <w:rPr>
                <w:position w:val="-2"/>
                <w:sz w:val="20"/>
                <w:szCs w:val="20"/>
                <w:vertAlign w:val="superscript"/>
              </w:rPr>
              <w:t>3/</w:t>
            </w:r>
            <w:r>
              <w:rPr>
                <w:position w:val="-2"/>
                <w:sz w:val="20"/>
                <w:szCs w:val="20"/>
                <w:vertAlign w:val="superscript"/>
              </w:rPr>
              <w:t xml:space="preserve"> 4/</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20CCE509" w14:textId="6070DCB7" w:rsidR="00CA6DD5" w:rsidRPr="00665330" w:rsidRDefault="00CA6DD5" w:rsidP="00CA6DD5">
            <w:pPr>
              <w:tabs>
                <w:tab w:val="decimal" w:pos="433"/>
              </w:tabs>
              <w:jc w:val="left"/>
              <w:rPr>
                <w:sz w:val="18"/>
                <w:szCs w:val="18"/>
              </w:rPr>
            </w:pPr>
            <w:r>
              <w:rPr>
                <w:color w:val="000000"/>
                <w:sz w:val="18"/>
                <w:szCs w:val="18"/>
              </w:rPr>
              <w:t>15.6</w:t>
            </w:r>
          </w:p>
        </w:tc>
        <w:tc>
          <w:tcPr>
            <w:tcW w:w="950" w:type="dxa"/>
            <w:tcBorders>
              <w:top w:val="single" w:sz="4" w:space="0" w:color="C6D9F1" w:themeColor="text2" w:themeTint="33"/>
              <w:bottom w:val="single" w:sz="4" w:space="0" w:color="C6D9F1" w:themeColor="text2" w:themeTint="33"/>
              <w:right w:val="nil"/>
            </w:tcBorders>
            <w:vAlign w:val="center"/>
          </w:tcPr>
          <w:p w14:paraId="6F7B3BA5" w14:textId="2679F3AC" w:rsidR="00CA6DD5" w:rsidRPr="00665330" w:rsidRDefault="00CA6DD5" w:rsidP="00CA6DD5">
            <w:pPr>
              <w:tabs>
                <w:tab w:val="decimal" w:pos="433"/>
              </w:tabs>
              <w:jc w:val="left"/>
              <w:rPr>
                <w:sz w:val="18"/>
                <w:szCs w:val="18"/>
              </w:rPr>
            </w:pPr>
            <w:r>
              <w:rPr>
                <w:color w:val="000000"/>
                <w:sz w:val="18"/>
                <w:szCs w:val="18"/>
              </w:rPr>
              <w:t>18.9</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5AC1DAD" w14:textId="587E0998" w:rsidR="00CA6DD5" w:rsidRPr="00665330" w:rsidRDefault="00CA6DD5" w:rsidP="00CA6DD5">
            <w:pPr>
              <w:tabs>
                <w:tab w:val="decimal" w:pos="450"/>
              </w:tabs>
              <w:jc w:val="left"/>
              <w:rPr>
                <w:sz w:val="18"/>
                <w:szCs w:val="18"/>
              </w:rPr>
            </w:pPr>
            <w:r>
              <w:rPr>
                <w:color w:val="000000"/>
                <w:sz w:val="18"/>
                <w:szCs w:val="18"/>
              </w:rPr>
              <w:t>13.2</w:t>
            </w:r>
          </w:p>
        </w:tc>
        <w:tc>
          <w:tcPr>
            <w:tcW w:w="951" w:type="dxa"/>
            <w:tcBorders>
              <w:top w:val="single" w:sz="4" w:space="0" w:color="C6D9F1" w:themeColor="text2" w:themeTint="33"/>
              <w:bottom w:val="single" w:sz="4" w:space="0" w:color="C6D9F1" w:themeColor="text2" w:themeTint="33"/>
            </w:tcBorders>
            <w:vAlign w:val="center"/>
          </w:tcPr>
          <w:p w14:paraId="16FB760E" w14:textId="02C2399F" w:rsidR="00CA6DD5" w:rsidRPr="00665330" w:rsidRDefault="00CA6DD5" w:rsidP="00CA6DD5">
            <w:pPr>
              <w:tabs>
                <w:tab w:val="decimal" w:pos="450"/>
              </w:tabs>
              <w:jc w:val="left"/>
              <w:rPr>
                <w:sz w:val="18"/>
                <w:szCs w:val="18"/>
              </w:rPr>
            </w:pPr>
            <w:r>
              <w:rPr>
                <w:color w:val="000000"/>
                <w:sz w:val="18"/>
                <w:szCs w:val="18"/>
              </w:rPr>
              <w:t>16.4</w:t>
            </w:r>
          </w:p>
        </w:tc>
      </w:tr>
      <w:tr w:rsidR="00CA6DD5" w:rsidRPr="00A26B0B" w14:paraId="717EDF78" w14:textId="77777777" w:rsidTr="00CA6DD5">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5C1ED614" w14:textId="77777777" w:rsidR="00CA6DD5" w:rsidRPr="00A26B0B" w:rsidRDefault="00CA6DD5" w:rsidP="00CA6DD5">
            <w:pPr>
              <w:widowControl w:val="0"/>
              <w:spacing w:line="200" w:lineRule="exact"/>
              <w:ind w:left="57"/>
              <w:jc w:val="left"/>
              <w:rPr>
                <w:sz w:val="18"/>
                <w:szCs w:val="18"/>
              </w:rPr>
            </w:pPr>
            <w:r w:rsidRPr="00A26B0B">
              <w:rPr>
                <w:sz w:val="18"/>
                <w:szCs w:val="18"/>
              </w:rPr>
              <w:t>Tasa de Informalidad Laboral 1</w:t>
            </w:r>
            <w:r w:rsidRPr="00A26B0B">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2607B1DB" w14:textId="3CE8E544" w:rsidR="00CA6DD5" w:rsidRPr="00665330" w:rsidRDefault="00CA6DD5" w:rsidP="00CA6DD5">
            <w:pPr>
              <w:tabs>
                <w:tab w:val="decimal" w:pos="433"/>
              </w:tabs>
              <w:jc w:val="left"/>
              <w:rPr>
                <w:sz w:val="18"/>
                <w:szCs w:val="18"/>
              </w:rPr>
            </w:pPr>
            <w:r>
              <w:rPr>
                <w:color w:val="000000"/>
                <w:sz w:val="18"/>
                <w:szCs w:val="18"/>
              </w:rPr>
              <w:t>56.3</w:t>
            </w:r>
          </w:p>
        </w:tc>
        <w:tc>
          <w:tcPr>
            <w:tcW w:w="950" w:type="dxa"/>
            <w:tcBorders>
              <w:top w:val="single" w:sz="4" w:space="0" w:color="C6D9F1" w:themeColor="text2" w:themeTint="33"/>
              <w:bottom w:val="single" w:sz="4" w:space="0" w:color="C6D9F1" w:themeColor="text2" w:themeTint="33"/>
              <w:right w:val="nil"/>
            </w:tcBorders>
            <w:vAlign w:val="center"/>
          </w:tcPr>
          <w:p w14:paraId="103EEA50" w14:textId="7E9561E5" w:rsidR="00CA6DD5" w:rsidRPr="00665330" w:rsidRDefault="00CA6DD5" w:rsidP="00CA6DD5">
            <w:pPr>
              <w:tabs>
                <w:tab w:val="decimal" w:pos="433"/>
              </w:tabs>
              <w:jc w:val="left"/>
              <w:rPr>
                <w:sz w:val="18"/>
                <w:szCs w:val="18"/>
              </w:rPr>
            </w:pPr>
            <w:r>
              <w:rPr>
                <w:color w:val="000000"/>
                <w:sz w:val="18"/>
                <w:szCs w:val="18"/>
              </w:rPr>
              <w:t>56.6</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58AFCB0A" w14:textId="78074CB2" w:rsidR="00CA6DD5" w:rsidRPr="00665330" w:rsidRDefault="00CA6DD5" w:rsidP="00CA6DD5">
            <w:pPr>
              <w:tabs>
                <w:tab w:val="decimal" w:pos="450"/>
              </w:tabs>
              <w:jc w:val="left"/>
              <w:rPr>
                <w:sz w:val="18"/>
                <w:szCs w:val="18"/>
              </w:rPr>
            </w:pPr>
            <w:r>
              <w:rPr>
                <w:color w:val="000000"/>
                <w:sz w:val="18"/>
                <w:szCs w:val="18"/>
              </w:rPr>
              <w:t>46.1</w:t>
            </w:r>
          </w:p>
        </w:tc>
        <w:tc>
          <w:tcPr>
            <w:tcW w:w="951" w:type="dxa"/>
            <w:tcBorders>
              <w:top w:val="single" w:sz="4" w:space="0" w:color="C6D9F1" w:themeColor="text2" w:themeTint="33"/>
              <w:bottom w:val="single" w:sz="4" w:space="0" w:color="C6D9F1" w:themeColor="text2" w:themeTint="33"/>
            </w:tcBorders>
            <w:vAlign w:val="center"/>
          </w:tcPr>
          <w:p w14:paraId="6B0D1F83" w14:textId="2EBD1801" w:rsidR="00CA6DD5" w:rsidRPr="00665330" w:rsidRDefault="00CA6DD5" w:rsidP="00CA6DD5">
            <w:pPr>
              <w:tabs>
                <w:tab w:val="decimal" w:pos="450"/>
              </w:tabs>
              <w:jc w:val="left"/>
              <w:rPr>
                <w:sz w:val="18"/>
                <w:szCs w:val="18"/>
              </w:rPr>
            </w:pPr>
            <w:r>
              <w:rPr>
                <w:color w:val="000000"/>
                <w:sz w:val="18"/>
                <w:szCs w:val="18"/>
              </w:rPr>
              <w:t>46.0</w:t>
            </w:r>
          </w:p>
        </w:tc>
      </w:tr>
      <w:tr w:rsidR="00CA6DD5" w:rsidRPr="00A26B0B" w14:paraId="6072DC78" w14:textId="77777777" w:rsidTr="00CA6DD5">
        <w:trPr>
          <w:trHeight w:val="227"/>
          <w:jc w:val="center"/>
        </w:trPr>
        <w:tc>
          <w:tcPr>
            <w:tcW w:w="4177" w:type="dxa"/>
            <w:tcBorders>
              <w:top w:val="single" w:sz="4" w:space="0" w:color="C6D9F1" w:themeColor="text2" w:themeTint="33"/>
              <w:bottom w:val="single" w:sz="8" w:space="0" w:color="1F497D" w:themeColor="text2"/>
              <w:right w:val="single" w:sz="6" w:space="0" w:color="1F497D" w:themeColor="text2"/>
            </w:tcBorders>
            <w:vAlign w:val="center"/>
          </w:tcPr>
          <w:p w14:paraId="2B4FFA9A" w14:textId="77777777" w:rsidR="00CA6DD5" w:rsidRPr="00A26B0B" w:rsidRDefault="00CA6DD5" w:rsidP="00CA6DD5">
            <w:pPr>
              <w:widowControl w:val="0"/>
              <w:spacing w:line="200" w:lineRule="exact"/>
              <w:ind w:left="57"/>
              <w:jc w:val="left"/>
              <w:rPr>
                <w:sz w:val="18"/>
                <w:szCs w:val="18"/>
              </w:rPr>
            </w:pPr>
            <w:r w:rsidRPr="00A26B0B">
              <w:rPr>
                <w:sz w:val="18"/>
                <w:szCs w:val="18"/>
              </w:rPr>
              <w:t>Tasa de Ocupación en el Sector Informal 1</w:t>
            </w:r>
            <w:r w:rsidRPr="00A26B0B">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8" w:space="0" w:color="1F497D" w:themeColor="text2"/>
            </w:tcBorders>
            <w:vAlign w:val="center"/>
          </w:tcPr>
          <w:p w14:paraId="364DB119" w14:textId="0C1EABAE" w:rsidR="00CA6DD5" w:rsidRPr="00665330" w:rsidRDefault="00CA6DD5" w:rsidP="00CA6DD5">
            <w:pPr>
              <w:tabs>
                <w:tab w:val="decimal" w:pos="433"/>
              </w:tabs>
              <w:jc w:val="left"/>
              <w:rPr>
                <w:sz w:val="18"/>
                <w:szCs w:val="18"/>
              </w:rPr>
            </w:pPr>
            <w:r>
              <w:rPr>
                <w:color w:val="000000"/>
                <w:sz w:val="18"/>
                <w:szCs w:val="18"/>
              </w:rPr>
              <w:t>27.5</w:t>
            </w:r>
          </w:p>
        </w:tc>
        <w:tc>
          <w:tcPr>
            <w:tcW w:w="950" w:type="dxa"/>
            <w:tcBorders>
              <w:top w:val="single" w:sz="4" w:space="0" w:color="C6D9F1" w:themeColor="text2" w:themeTint="33"/>
              <w:bottom w:val="single" w:sz="8" w:space="0" w:color="1F497D" w:themeColor="text2"/>
              <w:right w:val="nil"/>
            </w:tcBorders>
            <w:vAlign w:val="center"/>
          </w:tcPr>
          <w:p w14:paraId="5D8FED0A" w14:textId="78C8ED87" w:rsidR="00CA6DD5" w:rsidRPr="00665330" w:rsidRDefault="00CA6DD5" w:rsidP="00CA6DD5">
            <w:pPr>
              <w:tabs>
                <w:tab w:val="decimal" w:pos="433"/>
              </w:tabs>
              <w:jc w:val="left"/>
              <w:rPr>
                <w:sz w:val="18"/>
                <w:szCs w:val="18"/>
              </w:rPr>
            </w:pPr>
            <w:r>
              <w:rPr>
                <w:color w:val="000000"/>
                <w:sz w:val="18"/>
                <w:szCs w:val="18"/>
              </w:rPr>
              <w:t>27.7</w:t>
            </w:r>
          </w:p>
        </w:tc>
        <w:tc>
          <w:tcPr>
            <w:tcW w:w="950" w:type="dxa"/>
            <w:tcBorders>
              <w:top w:val="single" w:sz="4" w:space="0" w:color="C6D9F1" w:themeColor="text2" w:themeTint="33"/>
              <w:left w:val="single" w:sz="8" w:space="0" w:color="1F497D" w:themeColor="text2"/>
              <w:bottom w:val="single" w:sz="8" w:space="0" w:color="1F497D" w:themeColor="text2"/>
            </w:tcBorders>
            <w:vAlign w:val="center"/>
          </w:tcPr>
          <w:p w14:paraId="7585741E" w14:textId="0EC479AF" w:rsidR="00CA6DD5" w:rsidRPr="00665330" w:rsidRDefault="00CA6DD5" w:rsidP="00CA6DD5">
            <w:pPr>
              <w:tabs>
                <w:tab w:val="decimal" w:pos="450"/>
              </w:tabs>
              <w:jc w:val="left"/>
              <w:rPr>
                <w:sz w:val="18"/>
                <w:szCs w:val="18"/>
              </w:rPr>
            </w:pPr>
            <w:r>
              <w:rPr>
                <w:color w:val="000000"/>
                <w:sz w:val="18"/>
                <w:szCs w:val="18"/>
              </w:rPr>
              <w:t>26.7</w:t>
            </w:r>
          </w:p>
        </w:tc>
        <w:tc>
          <w:tcPr>
            <w:tcW w:w="951" w:type="dxa"/>
            <w:tcBorders>
              <w:top w:val="single" w:sz="4" w:space="0" w:color="C6D9F1" w:themeColor="text2" w:themeTint="33"/>
              <w:bottom w:val="single" w:sz="8" w:space="0" w:color="1F497D" w:themeColor="text2"/>
            </w:tcBorders>
            <w:vAlign w:val="center"/>
          </w:tcPr>
          <w:p w14:paraId="1BC49AC9" w14:textId="2AED8A6C" w:rsidR="00CA6DD5" w:rsidRPr="00665330" w:rsidRDefault="00CA6DD5" w:rsidP="00CA6DD5">
            <w:pPr>
              <w:tabs>
                <w:tab w:val="decimal" w:pos="450"/>
              </w:tabs>
              <w:jc w:val="left"/>
              <w:rPr>
                <w:sz w:val="18"/>
                <w:szCs w:val="18"/>
              </w:rPr>
            </w:pPr>
            <w:r>
              <w:rPr>
                <w:color w:val="000000"/>
                <w:sz w:val="18"/>
                <w:szCs w:val="18"/>
              </w:rPr>
              <w:t>26.7</w:t>
            </w:r>
          </w:p>
        </w:tc>
      </w:tr>
    </w:tbl>
    <w:p w14:paraId="3180E46D" w14:textId="77777777" w:rsidR="009C2DEC" w:rsidRPr="00A26B0B" w:rsidRDefault="009C2DEC" w:rsidP="009C2DEC">
      <w:pPr>
        <w:tabs>
          <w:tab w:val="left" w:pos="1876"/>
        </w:tabs>
        <w:ind w:left="1078" w:right="741" w:hanging="227"/>
        <w:rPr>
          <w:sz w:val="16"/>
          <w:szCs w:val="16"/>
        </w:rPr>
      </w:pPr>
      <w:r w:rsidRPr="00A26B0B">
        <w:rPr>
          <w:sz w:val="18"/>
          <w:szCs w:val="18"/>
          <w:vertAlign w:val="superscript"/>
        </w:rPr>
        <w:t>1/</w:t>
      </w:r>
      <w:r w:rsidRPr="00A26B0B">
        <w:rPr>
          <w:sz w:val="18"/>
          <w:szCs w:val="18"/>
          <w:vertAlign w:val="superscript"/>
        </w:rPr>
        <w:tab/>
      </w:r>
      <w:r w:rsidRPr="00A26B0B">
        <w:rPr>
          <w:sz w:val="16"/>
          <w:szCs w:val="18"/>
        </w:rPr>
        <w:t>Población</w:t>
      </w:r>
      <w:r w:rsidRPr="00A26B0B">
        <w:rPr>
          <w:sz w:val="18"/>
          <w:szCs w:val="18"/>
          <w:vertAlign w:val="superscript"/>
        </w:rPr>
        <w:t xml:space="preserve"> </w:t>
      </w:r>
      <w:r w:rsidRPr="00A26B0B">
        <w:rPr>
          <w:sz w:val="16"/>
          <w:szCs w:val="18"/>
        </w:rPr>
        <w:t>Económicamente Activa</w:t>
      </w:r>
      <w:r w:rsidRPr="00A26B0B">
        <w:rPr>
          <w:sz w:val="16"/>
          <w:szCs w:val="16"/>
        </w:rPr>
        <w:t xml:space="preserve"> como porcentaje de la Población de 15 años y más.</w:t>
      </w:r>
    </w:p>
    <w:p w14:paraId="38C7F49A" w14:textId="77777777" w:rsidR="009C2DEC" w:rsidRPr="00A26B0B" w:rsidRDefault="009C2DEC" w:rsidP="009C2DEC">
      <w:pPr>
        <w:tabs>
          <w:tab w:val="left" w:pos="1876"/>
        </w:tabs>
        <w:ind w:left="1078" w:right="741" w:hanging="227"/>
        <w:rPr>
          <w:sz w:val="16"/>
          <w:szCs w:val="16"/>
        </w:rPr>
      </w:pPr>
      <w:r w:rsidRPr="00A26B0B">
        <w:rPr>
          <w:sz w:val="18"/>
          <w:szCs w:val="18"/>
          <w:vertAlign w:val="superscript"/>
        </w:rPr>
        <w:t>2/</w:t>
      </w:r>
      <w:r w:rsidRPr="00A26B0B">
        <w:rPr>
          <w:sz w:val="18"/>
          <w:szCs w:val="18"/>
          <w:vertAlign w:val="superscript"/>
        </w:rPr>
        <w:tab/>
      </w:r>
      <w:r w:rsidRPr="00A26B0B">
        <w:rPr>
          <w:sz w:val="16"/>
          <w:szCs w:val="16"/>
        </w:rPr>
        <w:t>Porcentaje respecto a la Población Económicamente Activa.</w:t>
      </w:r>
    </w:p>
    <w:p w14:paraId="69FF8AF7" w14:textId="77777777" w:rsidR="009C2DEC" w:rsidRDefault="009C2DEC" w:rsidP="009C2DEC">
      <w:pPr>
        <w:tabs>
          <w:tab w:val="left" w:pos="1876"/>
        </w:tabs>
        <w:ind w:left="1078" w:right="741" w:hanging="227"/>
        <w:rPr>
          <w:sz w:val="16"/>
          <w:szCs w:val="16"/>
        </w:rPr>
      </w:pPr>
      <w:r w:rsidRPr="00A26B0B">
        <w:rPr>
          <w:sz w:val="18"/>
          <w:szCs w:val="18"/>
          <w:vertAlign w:val="superscript"/>
        </w:rPr>
        <w:t>3/</w:t>
      </w:r>
      <w:r w:rsidRPr="00A26B0B">
        <w:rPr>
          <w:sz w:val="18"/>
          <w:szCs w:val="18"/>
          <w:vertAlign w:val="superscript"/>
        </w:rPr>
        <w:tab/>
      </w:r>
      <w:r w:rsidRPr="00A26B0B">
        <w:rPr>
          <w:sz w:val="16"/>
          <w:szCs w:val="16"/>
        </w:rPr>
        <w:t>Porcentaje respecto a la Población Ocupada.</w:t>
      </w:r>
    </w:p>
    <w:p w14:paraId="0B830977" w14:textId="77777777" w:rsidR="00911C3F" w:rsidRPr="00A26B0B" w:rsidRDefault="00911C3F" w:rsidP="009C2DEC">
      <w:pPr>
        <w:tabs>
          <w:tab w:val="left" w:pos="1876"/>
        </w:tabs>
        <w:ind w:left="1078" w:right="741" w:hanging="227"/>
        <w:rPr>
          <w:sz w:val="16"/>
          <w:szCs w:val="16"/>
        </w:rPr>
      </w:pPr>
      <w:r w:rsidRPr="00911C3F">
        <w:rPr>
          <w:sz w:val="18"/>
          <w:szCs w:val="18"/>
          <w:vertAlign w:val="superscript"/>
        </w:rPr>
        <w:t>4/</w:t>
      </w:r>
      <w:r>
        <w:rPr>
          <w:sz w:val="16"/>
          <w:szCs w:val="16"/>
        </w:rPr>
        <w:tab/>
      </w:r>
      <w:r w:rsidRPr="00911C3F">
        <w:rPr>
          <w:sz w:val="16"/>
          <w:szCs w:val="16"/>
        </w:rPr>
        <w:t>Por construcción, los indicadores de la Encuesta Nacional de Ocupación y Empleo que involucran a la población ocupada u otra variable clasificada en rangos de salarios mínimos</w:t>
      </w:r>
      <w:r>
        <w:rPr>
          <w:sz w:val="16"/>
          <w:szCs w:val="16"/>
        </w:rPr>
        <w:t>,</w:t>
      </w:r>
      <w:r w:rsidRPr="00911C3F">
        <w:rPr>
          <w:sz w:val="16"/>
          <w:szCs w:val="16"/>
        </w:rPr>
        <w:t xml:space="preserve"> son sensibles a los cambios en dichos salarios.</w:t>
      </w:r>
    </w:p>
    <w:p w14:paraId="3D0EC4A4" w14:textId="77777777" w:rsidR="00AD0007" w:rsidRPr="00A26B0B" w:rsidRDefault="00AD0007" w:rsidP="00AD0007">
      <w:pPr>
        <w:pStyle w:val="n0"/>
        <w:keepLines w:val="0"/>
        <w:widowControl w:val="0"/>
        <w:spacing w:before="0"/>
        <w:ind w:left="854" w:right="539" w:firstLine="0"/>
        <w:jc w:val="left"/>
        <w:rPr>
          <w:color w:val="auto"/>
          <w:sz w:val="16"/>
          <w:szCs w:val="16"/>
        </w:rPr>
      </w:pPr>
      <w:r w:rsidRPr="00A26B0B">
        <w:rPr>
          <w:color w:val="auto"/>
          <w:sz w:val="16"/>
          <w:szCs w:val="16"/>
        </w:rPr>
        <w:t>Fuente: INEGI.</w:t>
      </w:r>
    </w:p>
    <w:bookmarkEnd w:id="2"/>
    <w:p w14:paraId="7A9A9A12" w14:textId="77777777" w:rsidR="0033743E" w:rsidRPr="00A26B0B" w:rsidRDefault="0033743E" w:rsidP="002D17F9">
      <w:pPr>
        <w:pStyle w:val="n0"/>
        <w:keepNext/>
        <w:spacing w:before="480"/>
        <w:ind w:right="-352"/>
        <w:jc w:val="left"/>
        <w:rPr>
          <w:b/>
          <w:i/>
          <w:color w:val="auto"/>
          <w:lang w:val="es-ES"/>
        </w:rPr>
      </w:pPr>
      <w:r w:rsidRPr="00A26B0B">
        <w:rPr>
          <w:b/>
          <w:i/>
          <w:color w:val="auto"/>
          <w:lang w:val="es-ES"/>
        </w:rPr>
        <w:lastRenderedPageBreak/>
        <w:t>Aspectos metodológicos</w:t>
      </w:r>
    </w:p>
    <w:p w14:paraId="1815A438" w14:textId="77777777" w:rsidR="0033743E" w:rsidRPr="00A26B0B" w:rsidRDefault="0033743E" w:rsidP="0031399B">
      <w:pPr>
        <w:spacing w:before="240"/>
        <w:rPr>
          <w:bCs/>
          <w:lang w:val="es-ES"/>
        </w:rPr>
      </w:pPr>
      <w:r w:rsidRPr="00A26B0B">
        <w:rPr>
          <w:bCs/>
          <w:lang w:val="es-ES"/>
        </w:rPr>
        <w:t>La Encuesta Nacional de Ocupación y Empleo (ENOE) se aplica a los miembros del hogar de una vivienda seleccionada por medio de técnicas de muestreo.</w:t>
      </w:r>
    </w:p>
    <w:p w14:paraId="1149BF9B" w14:textId="77777777" w:rsidR="0033743E" w:rsidRPr="00A26B0B" w:rsidRDefault="0033743E" w:rsidP="0031399B">
      <w:pPr>
        <w:spacing w:before="240"/>
        <w:rPr>
          <w:bCs/>
          <w:lang w:val="es-ES"/>
        </w:rPr>
      </w:pPr>
      <w:r w:rsidRPr="00A26B0B">
        <w:rPr>
          <w:bCs/>
          <w:lang w:val="es-ES"/>
        </w:rPr>
        <w:t xml:space="preserve">El esquema de muestreo es probabilístico, </w:t>
      </w:r>
      <w:proofErr w:type="spellStart"/>
      <w:r w:rsidRPr="00A26B0B">
        <w:rPr>
          <w:bCs/>
          <w:lang w:val="es-ES"/>
        </w:rPr>
        <w:t>bietápico</w:t>
      </w:r>
      <w:proofErr w:type="spellEnd"/>
      <w:r w:rsidRPr="00A26B0B">
        <w:rPr>
          <w:bCs/>
          <w:lang w:val="es-ES"/>
        </w:rPr>
        <w:t>, estratificado y por conglomerados; tiene como unidad última de selección las viviendas particulares y como unidad de observación a las personas.</w:t>
      </w:r>
    </w:p>
    <w:p w14:paraId="554846D1" w14:textId="77777777" w:rsidR="0033743E" w:rsidRPr="00A26B0B" w:rsidRDefault="00B72837" w:rsidP="0031399B">
      <w:pPr>
        <w:pStyle w:val="p0"/>
        <w:keepLines w:val="0"/>
        <w:widowControl/>
        <w:rPr>
          <w:rFonts w:ascii="Arial" w:hAnsi="Arial"/>
          <w:color w:val="auto"/>
          <w:lang w:val="es-ES"/>
        </w:rPr>
      </w:pPr>
      <w:r w:rsidRPr="00A26B0B">
        <w:rPr>
          <w:rFonts w:ascii="Arial" w:hAnsi="Arial"/>
          <w:color w:val="auto"/>
        </w:rPr>
        <w:t xml:space="preserve">El presente documento destaca </w:t>
      </w:r>
      <w:r w:rsidR="0033743E" w:rsidRPr="00A26B0B">
        <w:rPr>
          <w:rFonts w:ascii="Arial" w:hAnsi="Arial"/>
          <w:color w:val="auto"/>
          <w:lang w:val="es-MX"/>
        </w:rPr>
        <w:t xml:space="preserve">las variaciones porcentuales de las series desestacionalizadas o ajustadas estacionalmente, tanto respecto al mes anterior como respecto al mismo mes del año anterior, ya </w:t>
      </w:r>
      <w:r w:rsidR="0033743E" w:rsidRPr="00A26B0B">
        <w:rPr>
          <w:rFonts w:ascii="Arial" w:hAnsi="Arial"/>
          <w:color w:val="auto"/>
          <w:lang w:val="es-ES"/>
        </w:rPr>
        <w:t>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50D1B1E4" w14:textId="77777777" w:rsidR="0033743E" w:rsidRPr="00A26B0B" w:rsidRDefault="0033743E" w:rsidP="0031399B">
      <w:pPr>
        <w:pStyle w:val="p1"/>
        <w:keepLines w:val="0"/>
        <w:widowControl/>
        <w:spacing w:before="240"/>
        <w:rPr>
          <w:rFonts w:cs="Arial"/>
          <w:color w:val="auto"/>
        </w:rPr>
      </w:pPr>
      <w:r w:rsidRPr="00A26B0B">
        <w:rPr>
          <w:rFonts w:cs="Arial"/>
          <w:color w:val="auto"/>
        </w:rPr>
        <w:t xml:space="preserve">En este sentido, la desestacionalización o ajuste estacional de series económicas consiste en remover estas influencias </w:t>
      </w:r>
      <w:proofErr w:type="spellStart"/>
      <w:r w:rsidRPr="00A26B0B">
        <w:rPr>
          <w:rFonts w:cs="Arial"/>
          <w:color w:val="auto"/>
        </w:rPr>
        <w:t>intra</w:t>
      </w:r>
      <w:proofErr w:type="spellEnd"/>
      <w:r w:rsidRPr="00A26B0B">
        <w:rPr>
          <w:rFonts w:cs="Arial"/>
          <w:color w:val="auto"/>
        </w:rPr>
        <w:t>-anuales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Cabe señalar que las series desestacionalizadas de las tasas de ocupación y desocupación se calculan de manera independiente a la de sus componentes.</w:t>
      </w:r>
    </w:p>
    <w:p w14:paraId="17A25C3C" w14:textId="77777777" w:rsidR="0033743E" w:rsidRPr="00A65038" w:rsidRDefault="004419CF" w:rsidP="00A65038">
      <w:pPr>
        <w:pStyle w:val="p1"/>
        <w:keepLines w:val="0"/>
        <w:widowControl/>
        <w:spacing w:before="240"/>
        <w:rPr>
          <w:color w:val="auto"/>
        </w:rPr>
      </w:pPr>
      <w:r w:rsidRPr="00A65038">
        <w:rPr>
          <w:color w:val="auto"/>
        </w:rPr>
        <w:t xml:space="preserve">Las series originales se </w:t>
      </w:r>
      <w:r w:rsidRPr="00A65038">
        <w:rPr>
          <w:rFonts w:cs="Arial"/>
          <w:color w:val="auto"/>
        </w:rPr>
        <w:t>ajustan</w:t>
      </w:r>
      <w:r w:rsidRPr="00A65038">
        <w:rPr>
          <w:color w:val="auto"/>
        </w:rPr>
        <w:t xml:space="preserve"> estacionalmente mediante el paquete estadístico X</w:t>
      </w:r>
      <w:r w:rsidRPr="00A65038">
        <w:rPr>
          <w:color w:val="auto"/>
        </w:rPr>
        <w:noBreakHyphen/>
        <w:t>13ARIMA</w:t>
      </w:r>
      <w:r w:rsidRPr="00A65038">
        <w:rPr>
          <w:color w:val="auto"/>
        </w:rPr>
        <w:noBreakHyphen/>
        <w:t>SEATS. Para conocer la metodología se sugiere consultar la siguiente liga</w:t>
      </w:r>
      <w:r w:rsidR="0033743E" w:rsidRPr="00A65038">
        <w:rPr>
          <w:color w:val="auto"/>
        </w:rPr>
        <w:t>:</w:t>
      </w:r>
    </w:p>
    <w:p w14:paraId="4AB92C8F" w14:textId="77777777" w:rsidR="005A318C" w:rsidRPr="00A26B0B" w:rsidRDefault="00351ABF" w:rsidP="00A65038">
      <w:pPr>
        <w:spacing w:before="120"/>
        <w:rPr>
          <w:rFonts w:ascii="Calibri" w:hAnsi="Calibri"/>
          <w:sz w:val="22"/>
          <w:szCs w:val="22"/>
          <w:lang w:eastAsia="en-US"/>
        </w:rPr>
      </w:pPr>
      <w:hyperlink r:id="rId33" w:history="1">
        <w:r w:rsidR="00B97993" w:rsidRPr="00A26B0B">
          <w:rPr>
            <w:rStyle w:val="Hipervnculo"/>
            <w:color w:val="auto"/>
            <w:sz w:val="22"/>
            <w:szCs w:val="22"/>
            <w:lang w:eastAsia="en-US"/>
          </w:rPr>
          <w:t>http://www.inegi.org.mx/app/biblioteca/ficha.html?upc=702825099060</w:t>
        </w:r>
      </w:hyperlink>
    </w:p>
    <w:p w14:paraId="3CEF3DB8" w14:textId="77777777" w:rsidR="0033743E" w:rsidRPr="00A26B0B" w:rsidRDefault="00AD5DED" w:rsidP="0031399B">
      <w:pPr>
        <w:spacing w:before="240"/>
        <w:outlineLvl w:val="3"/>
      </w:pPr>
      <w:r w:rsidRPr="00A26B0B">
        <w:rPr>
          <w:noProof/>
          <w:sz w:val="18"/>
          <w:szCs w:val="18"/>
          <w:lang w:val="es-MX" w:eastAsia="es-MX"/>
        </w:rPr>
        <w:drawing>
          <wp:anchor distT="0" distB="0" distL="36195" distR="36195" simplePos="0" relativeHeight="251658240" behindDoc="1" locked="0" layoutInCell="1" allowOverlap="1" wp14:anchorId="14F01D94" wp14:editId="5AAB60F3">
            <wp:simplePos x="0" y="0"/>
            <wp:positionH relativeFrom="column">
              <wp:posOffset>829310</wp:posOffset>
            </wp:positionH>
            <wp:positionV relativeFrom="paragraph">
              <wp:posOffset>521496</wp:posOffset>
            </wp:positionV>
            <wp:extent cx="151200" cy="151200"/>
            <wp:effectExtent l="0" t="0" r="1270" b="1270"/>
            <wp:wrapTight wrapText="bothSides">
              <wp:wrapPolygon edited="0">
                <wp:start x="0" y="0"/>
                <wp:lineTo x="0" y="19059"/>
                <wp:lineTo x="16336" y="19059"/>
                <wp:lineTo x="19059" y="16336"/>
                <wp:lineTo x="19059" y="5445"/>
                <wp:lineTo x="16336" y="0"/>
                <wp:lineTo x="0" y="0"/>
              </wp:wrapPolygon>
            </wp:wrapTight>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2917" t="-2917" r="-2917" b="-2917"/>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43E" w:rsidRPr="00A26B0B">
        <w:t>Asimismo, las especificaciones de los modelos utilizados para realizar el ajuste estacional están disponibles en el Banco de Información Económica, seleccionando el icono de información</w:t>
      </w:r>
      <w:r w:rsidR="0045210D" w:rsidRPr="00A26B0B">
        <w:t xml:space="preserve"> </w:t>
      </w:r>
      <w:r w:rsidR="0033743E" w:rsidRPr="00A26B0B">
        <w:t>correspondiente a las “series desestacionalizadas y de tendencia-ciclo”</w:t>
      </w:r>
      <w:r w:rsidRPr="00A26B0B">
        <w:t xml:space="preserve"> </w:t>
      </w:r>
      <w:r w:rsidR="0033743E" w:rsidRPr="00A26B0B">
        <w:t>de las Tasas de ocupación, desocupación y subocupación (resultados mensuales de la ENOE, 15 años y más).</w:t>
      </w:r>
    </w:p>
    <w:p w14:paraId="411F9888" w14:textId="77777777" w:rsidR="006B746B" w:rsidRDefault="006B746B">
      <w:pPr>
        <w:jc w:val="left"/>
        <w:rPr>
          <w:bCs/>
          <w:lang w:val="es-ES"/>
        </w:rPr>
      </w:pPr>
      <w:r>
        <w:rPr>
          <w:bCs/>
          <w:lang w:val="es-ES"/>
        </w:rPr>
        <w:br w:type="page"/>
      </w:r>
    </w:p>
    <w:p w14:paraId="742B6754" w14:textId="77777777" w:rsidR="0033743E" w:rsidRPr="00A26B0B" w:rsidRDefault="0033743E" w:rsidP="005C230C">
      <w:pPr>
        <w:spacing w:before="240"/>
        <w:outlineLvl w:val="3"/>
        <w:rPr>
          <w:bCs/>
          <w:lang w:val="es-ES"/>
        </w:rPr>
      </w:pPr>
      <w:r w:rsidRPr="00A26B0B">
        <w:rPr>
          <w:bCs/>
          <w:lang w:val="es-ES"/>
        </w:rPr>
        <w:lastRenderedPageBreak/>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027FE1F" w14:textId="77777777" w:rsidR="0033743E" w:rsidRPr="00A26B0B" w:rsidRDefault="0033743E" w:rsidP="005C230C">
      <w:pPr>
        <w:spacing w:before="240"/>
        <w:outlineLvl w:val="3"/>
        <w:rPr>
          <w:bCs/>
          <w:lang w:val="es-ES"/>
        </w:rPr>
      </w:pPr>
      <w:r w:rsidRPr="00A26B0B">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594CC7CC" w14:textId="77777777" w:rsidR="00756430" w:rsidRPr="00A26B0B" w:rsidRDefault="0033743E" w:rsidP="005C230C">
      <w:pPr>
        <w:spacing w:before="240"/>
        <w:outlineLvl w:val="3"/>
        <w:rPr>
          <w:bCs/>
          <w:lang w:val="es-ES"/>
        </w:rPr>
      </w:pPr>
      <w:r w:rsidRPr="00A26B0B">
        <w:rPr>
          <w:bCs/>
          <w:lang w:val="es-ES"/>
        </w:rPr>
        <w:t>Cabe señalar que los factores de expansión se corrigen por el porcentaje de viviendas habitadas y seleccionadas en muestra, más las seleccionadas pero no entrevistadas ya sea por rechazo o por no encontrarse nadie al momento de la visita.  Además, para asegurar que se obtenga la población total, los factores de expansión ajustados por la no respuesta se ajustan nuevamente</w:t>
      </w:r>
      <w:r w:rsidR="001B4B48" w:rsidRPr="00A26B0B">
        <w:rPr>
          <w:bCs/>
          <w:lang w:val="es-ES"/>
        </w:rPr>
        <w:t xml:space="preserve"> por las proyecciones de población que elabora el Consejo Nacional de Población (CONAPO). Los </w:t>
      </w:r>
      <w:r w:rsidR="00196B03" w:rsidRPr="00A26B0B">
        <w:rPr>
          <w:bCs/>
          <w:lang w:val="es-ES"/>
        </w:rPr>
        <w:t>i</w:t>
      </w:r>
      <w:r w:rsidR="001B4B48" w:rsidRPr="00A26B0B">
        <w:rPr>
          <w:bCs/>
          <w:lang w:val="es-ES"/>
        </w:rPr>
        <w:t>ndicadores oportunos de ocupación y empleo, están ajustados a la modificación de las proyecciones demográficas 2010–2050, que publicó el CONAPO el 16 de abril de 2013.</w:t>
      </w:r>
    </w:p>
    <w:p w14:paraId="7199C375" w14:textId="77777777" w:rsidR="002A59CE" w:rsidRPr="00A26B0B" w:rsidRDefault="00317F93" w:rsidP="005C230C">
      <w:pPr>
        <w:spacing w:before="240"/>
        <w:outlineLvl w:val="3"/>
        <w:rPr>
          <w:bCs/>
        </w:rPr>
      </w:pPr>
      <w:r w:rsidRPr="00A26B0B">
        <w:rPr>
          <w:bCs/>
        </w:rPr>
        <w:t xml:space="preserve">La encuesta está diseñada para dar resultados a nivel nacional, entidad federativa y áreas urbanas para cada trimestre del año.  </w:t>
      </w:r>
      <w:r w:rsidR="005A438D" w:rsidRPr="00A26B0B">
        <w:rPr>
          <w:bCs/>
        </w:rPr>
        <w:t xml:space="preserve"> </w:t>
      </w:r>
      <w:r w:rsidRPr="00A26B0B">
        <w:rPr>
          <w:bCs/>
        </w:rPr>
        <w:t>También permite que el nivel nacional pueda desagregarse en cuatro dominios:</w:t>
      </w:r>
      <w:r w:rsidR="005A438D" w:rsidRPr="00A26B0B">
        <w:rPr>
          <w:bCs/>
        </w:rPr>
        <w:t xml:space="preserve"> </w:t>
      </w:r>
      <w:r w:rsidRPr="00A26B0B">
        <w:rPr>
          <w:bCs/>
        </w:rPr>
        <w:t xml:space="preserve"> I) localidades de 100 000 y más habitantes,</w:t>
      </w:r>
      <w:r w:rsidR="005A438D" w:rsidRPr="00A26B0B">
        <w:rPr>
          <w:bCs/>
        </w:rPr>
        <w:t xml:space="preserve"> </w:t>
      </w:r>
      <w:r w:rsidR="009641A2" w:rsidRPr="00A26B0B">
        <w:rPr>
          <w:bCs/>
        </w:rPr>
        <w:t xml:space="preserve">II) de </w:t>
      </w:r>
      <w:r w:rsidR="005A438D" w:rsidRPr="00A26B0B">
        <w:rPr>
          <w:bCs/>
        </w:rPr>
        <w:t>15 000</w:t>
      </w:r>
      <w:r w:rsidR="009641A2" w:rsidRPr="00A26B0B">
        <w:rPr>
          <w:bCs/>
        </w:rPr>
        <w:t xml:space="preserve"> a</w:t>
      </w:r>
      <w:r w:rsidRPr="00A26B0B">
        <w:rPr>
          <w:bCs/>
        </w:rPr>
        <w:t xml:space="preserve"> 99 999 habitantes, III) de 2 500 a 14 999 habitantes y IV) menos de 2 500 habitantes.  </w:t>
      </w:r>
      <w:r w:rsidR="005A438D" w:rsidRPr="00A26B0B">
        <w:rPr>
          <w:bCs/>
        </w:rPr>
        <w:t xml:space="preserve"> </w:t>
      </w:r>
      <w:r w:rsidRPr="00A26B0B">
        <w:rPr>
          <w:bCs/>
        </w:rPr>
        <w:t>Como preliminar de la información trimestral se proporciona información mensual con un tercio de la muestra; ese tercio no permite la desagregación arriba descrita para el trimestre, pero sí garantiza tener para cualquier mes transcurrido el dato nacional y el del agregado de áreas urbanas, de modo que puedan contrastarse para uno y otro ámbito (nacional y urbano) los niveles que respectivamente presentan la desocupación y la subocupación</w:t>
      </w:r>
      <w:r w:rsidR="002A59CE" w:rsidRPr="00A26B0B">
        <w:rPr>
          <w:bCs/>
        </w:rPr>
        <w:t>.</w:t>
      </w:r>
    </w:p>
    <w:p w14:paraId="32EC645A" w14:textId="77777777" w:rsidR="0033743E" w:rsidRPr="00A26B0B" w:rsidRDefault="0033743E" w:rsidP="005C230C">
      <w:pPr>
        <w:spacing w:before="240"/>
        <w:outlineLvl w:val="3"/>
        <w:rPr>
          <w:bCs/>
        </w:rPr>
      </w:pPr>
      <w:r w:rsidRPr="00A26B0B">
        <w:rPr>
          <w:bCs/>
        </w:rPr>
        <w:lastRenderedPageBreak/>
        <w:t xml:space="preserve">En el calendario de difusión del INEGI -disponible en su página de Internet- se indica en qué fecha será proporcionada la información correspondiente a un mes de levantamiento y en qué otra la información de un trimestre, más abundante y a detalle. </w:t>
      </w:r>
    </w:p>
    <w:p w14:paraId="31D2AC7C" w14:textId="77777777" w:rsidR="0033743E" w:rsidRPr="00A26B0B" w:rsidRDefault="0033743E" w:rsidP="005C230C">
      <w:pPr>
        <w:spacing w:before="240"/>
        <w:outlineLvl w:val="3"/>
        <w:rPr>
          <w:bCs/>
          <w:lang w:val="es-ES"/>
        </w:rPr>
      </w:pPr>
      <w:r w:rsidRPr="00A26B0B">
        <w:rPr>
          <w:bCs/>
          <w:lang w:val="es-ES"/>
        </w:rPr>
        <w:t>En el plano conceptual, la ENOE toma en cuenta los criterios que la Organización para la Cooperación y el Desarrollo Económicos (OCDE) propone dentro del marco general de la Organización Internacional del Trabajo (OIT), lo que permite delimitar con mayor claridad a la población ocupada y a la desocupada, además de facilitar la comparabilidad internacional de las cifras de ocupación y empleo.  La ENOE asimismo incorpora el marco conceptual de la OIT y las recomendaciones del Grupo de Delhi relativas a la medición de la ocupación en el Sector Informal.  La encuesta está diseñada para identificar sin confundir los conceptos de desocupación, subocupación e informalidad, así como para tomar en cuenta y darles un lugar específico a aqu</w:t>
      </w:r>
      <w:r w:rsidR="00196B03" w:rsidRPr="00A26B0B">
        <w:rPr>
          <w:bCs/>
          <w:lang w:val="es-ES"/>
        </w:rPr>
        <w:t>e</w:t>
      </w:r>
      <w:r w:rsidRPr="00A26B0B">
        <w:rPr>
          <w:bCs/>
          <w:lang w:val="es-ES"/>
        </w:rPr>
        <w:t>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7A2FD813" w14:textId="77777777" w:rsidR="0033743E" w:rsidRPr="00A26B0B" w:rsidRDefault="0033743E" w:rsidP="005C230C">
      <w:pPr>
        <w:spacing w:before="240"/>
        <w:outlineLvl w:val="3"/>
        <w:rPr>
          <w:bCs/>
          <w:lang w:val="es-ES"/>
        </w:rPr>
      </w:pPr>
      <w:r w:rsidRPr="00A26B0B">
        <w:rPr>
          <w:bCs/>
          <w:lang w:val="es-ES"/>
        </w:rPr>
        <w:t>A lo anterior se añade el que el diseño de la ENOE está enfocado a proporcionar abundantes elementos para caracterizar la calidad de la ocupación en México al considerarse que este aspecto es analíticamente tan relevante como el de la desocupación misma o cualquier otro fenómeno de desequilibrio entre oferta y demanda de trabajo.  No menos importante es que el diseño de la encuesta ha abierto más posibilidades para el enfoque de género relativo tanto al ámbito del trabajo como a la marginación con respecto a dicho ámbito.</w:t>
      </w:r>
    </w:p>
    <w:p w14:paraId="1881589A" w14:textId="77777777" w:rsidR="0033743E" w:rsidRPr="00A26B0B" w:rsidRDefault="0033743E" w:rsidP="005C230C">
      <w:pPr>
        <w:spacing w:before="240"/>
        <w:outlineLvl w:val="3"/>
        <w:rPr>
          <w:bCs/>
          <w:lang w:val="es-ES"/>
        </w:rPr>
      </w:pPr>
      <w:r w:rsidRPr="00A26B0B">
        <w:rPr>
          <w:bCs/>
          <w:lang w:val="es-ES"/>
        </w:rPr>
        <w:t>Las Tasas de Desocupación mensuales por entidad federativa se calculan como el promedio del mes en cuestión con los dos meses anteriores (promedio móvil de tres con extremo superior). Este tratamiento busca compensar la variabilidad de los datos mensuales a niveles con mayor desagregación, ya que las cifras de donde se obtienen los indicadores mensuales de ocupación y empleo resultan de utilizar un tercio de la muestra total de viviendas.  Por lo anterior, la interpretación de las tasas de desocupación mensual por entidad federativa debe centrarse en sus tendencias, más que en los datos puntuales. Estos últimos deberán considerarse como cifras preliminares de la información trimestral.</w:t>
      </w:r>
    </w:p>
    <w:p w14:paraId="3530BDA0" w14:textId="77777777" w:rsidR="0033743E" w:rsidRPr="00A26B0B" w:rsidRDefault="0033743E" w:rsidP="005C230C">
      <w:pPr>
        <w:spacing w:before="240"/>
        <w:outlineLvl w:val="3"/>
        <w:rPr>
          <w:lang w:val="es-ES"/>
        </w:rPr>
      </w:pPr>
      <w:r w:rsidRPr="00A26B0B">
        <w:rPr>
          <w:lang w:val="es-ES"/>
        </w:rPr>
        <w:t xml:space="preserve">La información contenida en este </w:t>
      </w:r>
      <w:r w:rsidR="005C230C" w:rsidRPr="00A26B0B">
        <w:rPr>
          <w:lang w:val="es-ES"/>
        </w:rPr>
        <w:t>documento</w:t>
      </w:r>
      <w:r w:rsidRPr="00A26B0B">
        <w:rPr>
          <w:lang w:val="es-ES"/>
        </w:rPr>
        <w:t xml:space="preserve"> es generada por el INEGI </w:t>
      </w:r>
      <w:r w:rsidR="009F4F01" w:rsidRPr="00A26B0B">
        <w:rPr>
          <w:lang w:val="es-ES"/>
        </w:rPr>
        <w:t xml:space="preserve">con base en la Encuesta Nacional de Ocupación y Empleo </w:t>
      </w:r>
      <w:r w:rsidRPr="00A26B0B">
        <w:rPr>
          <w:lang w:val="es-ES"/>
        </w:rPr>
        <w:t xml:space="preserve">y se da a conocer en la fecha establecida en </w:t>
      </w:r>
      <w:r w:rsidR="00E862C9" w:rsidRPr="00A26B0B">
        <w:rPr>
          <w:lang w:val="es-ES"/>
        </w:rPr>
        <w:t>el</w:t>
      </w:r>
      <w:r w:rsidRPr="00A26B0B">
        <w:rPr>
          <w:lang w:val="es-ES"/>
        </w:rPr>
        <w:t xml:space="preserve"> Calendario de </w:t>
      </w:r>
      <w:r w:rsidR="008C36D9" w:rsidRPr="00A26B0B">
        <w:rPr>
          <w:snapToGrid w:val="0"/>
        </w:rPr>
        <w:t>difusión de información estadística y geográfica y de Interés Nacional</w:t>
      </w:r>
      <w:r w:rsidRPr="00A26B0B">
        <w:rPr>
          <w:lang w:val="es-ES"/>
        </w:rPr>
        <w:t>.</w:t>
      </w:r>
    </w:p>
    <w:p w14:paraId="29E76703" w14:textId="77777777" w:rsidR="0033743E" w:rsidRPr="00A26B0B" w:rsidRDefault="0033743E" w:rsidP="005C230C">
      <w:pPr>
        <w:spacing w:before="240"/>
        <w:outlineLvl w:val="3"/>
        <w:rPr>
          <w:lang w:val="es-ES"/>
        </w:rPr>
      </w:pPr>
      <w:r w:rsidRPr="00A26B0B">
        <w:rPr>
          <w:lang w:val="es-ES"/>
        </w:rPr>
        <w:t>Las cifras aquí mencionadas podrán ser consultadas en la página del Instituto en Internet:</w:t>
      </w:r>
    </w:p>
    <w:p w14:paraId="2D67A74C" w14:textId="77777777" w:rsidR="0033743E" w:rsidRPr="00A26B0B" w:rsidRDefault="00351ABF" w:rsidP="007F7746">
      <w:pPr>
        <w:widowControl w:val="0"/>
        <w:spacing w:before="120"/>
        <w:jc w:val="left"/>
        <w:rPr>
          <w:rStyle w:val="Hipervnculo"/>
          <w:color w:val="auto"/>
          <w:sz w:val="22"/>
          <w:lang w:val="es-ES" w:eastAsia="es-MX"/>
        </w:rPr>
      </w:pPr>
      <w:hyperlink r:id="rId35" w:history="1">
        <w:r w:rsidR="0033743E" w:rsidRPr="00A26B0B">
          <w:rPr>
            <w:rStyle w:val="Hipervnculo"/>
            <w:color w:val="auto"/>
            <w:sz w:val="22"/>
            <w:lang w:val="es-ES" w:eastAsia="es-MX"/>
          </w:rPr>
          <w:t>http://www.inegi.org.mx/sistemas/bie/</w:t>
        </w:r>
      </w:hyperlink>
    </w:p>
    <w:sectPr w:rsidR="0033743E" w:rsidRPr="00A26B0B" w:rsidSect="0045210D">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16A06" w14:textId="77777777" w:rsidR="00351ABF" w:rsidRDefault="00351ABF">
      <w:r>
        <w:separator/>
      </w:r>
    </w:p>
  </w:endnote>
  <w:endnote w:type="continuationSeparator" w:id="0">
    <w:p w14:paraId="763B990C" w14:textId="77777777" w:rsidR="00351ABF" w:rsidRDefault="0035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F17A6" w14:textId="77777777" w:rsidR="001E6418" w:rsidRDefault="001E641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940B7" w14:textId="77777777" w:rsidR="00871AAB" w:rsidRPr="007B361B" w:rsidRDefault="00871AAB" w:rsidP="006A6BB6">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47C5A" w14:textId="77777777" w:rsidR="001E6418" w:rsidRDefault="001E6418">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96DDA" w14:textId="77777777" w:rsidR="00871AAB" w:rsidRDefault="00871AAB"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C9CA5" w14:textId="77777777" w:rsidR="00351ABF" w:rsidRDefault="00351ABF">
      <w:r>
        <w:separator/>
      </w:r>
    </w:p>
  </w:footnote>
  <w:footnote w:type="continuationSeparator" w:id="0">
    <w:p w14:paraId="19CFB7AD" w14:textId="77777777" w:rsidR="00351ABF" w:rsidRDefault="00351ABF">
      <w:r>
        <w:continuationSeparator/>
      </w:r>
    </w:p>
  </w:footnote>
  <w:footnote w:id="1">
    <w:p w14:paraId="3B81AB0C" w14:textId="77777777" w:rsidR="00871AAB" w:rsidRDefault="00871AAB" w:rsidP="005E7CD4">
      <w:pPr>
        <w:pStyle w:val="Textonotapie"/>
        <w:spacing w:before="20"/>
        <w:ind w:left="142" w:right="-263" w:hanging="142"/>
        <w:rPr>
          <w:sz w:val="16"/>
          <w:szCs w:val="16"/>
        </w:rPr>
      </w:pPr>
      <w:r w:rsidRPr="00DB099E">
        <w:rPr>
          <w:sz w:val="18"/>
          <w:vertAlign w:val="superscript"/>
        </w:rPr>
        <w:footnoteRef/>
      </w:r>
      <w:r w:rsidRPr="00DB099E">
        <w:rPr>
          <w:sz w:val="18"/>
        </w:rPr>
        <w:tab/>
      </w:r>
      <w:r w:rsidRPr="00DB099E">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788BC858" w14:textId="77777777" w:rsidR="00871AAB" w:rsidRPr="00DB099E" w:rsidRDefault="00871AAB" w:rsidP="005E7CD4">
      <w:pPr>
        <w:pStyle w:val="Textonotapie"/>
        <w:spacing w:before="20"/>
        <w:ind w:left="142" w:right="-263" w:hanging="142"/>
        <w:rPr>
          <w:sz w:val="16"/>
          <w:szCs w:val="16"/>
        </w:rPr>
      </w:pPr>
    </w:p>
  </w:footnote>
  <w:footnote w:id="2">
    <w:p w14:paraId="71BE87AD" w14:textId="77777777" w:rsidR="00871AAB" w:rsidRPr="00732061" w:rsidRDefault="00871AAB" w:rsidP="00C03124">
      <w:pPr>
        <w:pStyle w:val="Textonotapie"/>
        <w:ind w:left="142" w:right="57" w:hanging="142"/>
        <w:jc w:val="left"/>
        <w:rPr>
          <w:sz w:val="16"/>
          <w:szCs w:val="16"/>
        </w:rPr>
      </w:pPr>
      <w:r w:rsidRPr="00732061">
        <w:rPr>
          <w:sz w:val="18"/>
          <w:vertAlign w:val="superscript"/>
        </w:rPr>
        <w:footnoteRef/>
      </w:r>
      <w:r w:rsidRPr="002A5417">
        <w:rPr>
          <w:sz w:val="18"/>
          <w:vertAlign w:val="superscript"/>
        </w:rPr>
        <w:tab/>
      </w:r>
      <w:r w:rsidRPr="002A5417">
        <w:rPr>
          <w:sz w:val="16"/>
          <w:szCs w:val="16"/>
        </w:rPr>
        <w:t xml:space="preserve">Las tasas o porcentajes que se presentan en este documento resultan de considerar los Indicadores de Ocupación y Empleo con todos sus decimales, razón por la cual las sumas de los componentes a un decimal pueden no dar 100 por ciento. </w:t>
      </w:r>
    </w:p>
  </w:footnote>
  <w:footnote w:id="3">
    <w:p w14:paraId="0F0E5E86" w14:textId="77777777" w:rsidR="00871AAB" w:rsidRPr="00906820" w:rsidRDefault="00871AAB" w:rsidP="004C1F18">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 xml:space="preserve">al agregado urbano que se tenía de 32 ciudades del país el área metropolitana de La Laguna (área conurbada de Torreón y Matamoros en Coahuila y de Gómez Palacio y Lerdo en Durango), y a partir del primer trimestre de 2019 se </w:t>
      </w:r>
      <w:r w:rsidRPr="00A2621F">
        <w:rPr>
          <w:bCs/>
          <w:sz w:val="16"/>
          <w:szCs w:val="16"/>
          <w:lang w:val="es-ES"/>
        </w:rPr>
        <w:t xml:space="preserve">incluyeron Mexicali, Baja California; Ciudad Juárez, Chihuahua, y Reynosa, Tamaulipas. </w:t>
      </w:r>
      <w:r w:rsidRPr="00A2621F">
        <w:rPr>
          <w:sz w:val="16"/>
          <w:szCs w:val="16"/>
        </w:rPr>
        <w:t>Si bien ahora el agregado urbano es de 36 ciudades, el comportamiento de ambos agregados no muestra diferencias significativas, por lo que con objeto de no perder la información de una serie comparable, en este instrumento de comunicación se continúan divulgando las cifras correspondientes al agregado urbano de 32 ciudades.</w:t>
      </w:r>
      <w:r w:rsidRPr="002A59CE">
        <w:rPr>
          <w:sz w:val="16"/>
          <w:szCs w:val="16"/>
        </w:rPr>
        <w:t xml:space="preserve"> Cabe señalar que en la página del Instituto en internet se podrá consultar la información para ambas coberturas.</w:t>
      </w:r>
    </w:p>
  </w:footnote>
  <w:footnote w:id="4">
    <w:p w14:paraId="354CFA5F" w14:textId="77777777" w:rsidR="00871AAB" w:rsidRPr="00D93ECE" w:rsidRDefault="00871AAB" w:rsidP="002D6584">
      <w:pPr>
        <w:pStyle w:val="Textonotapie"/>
        <w:ind w:left="142" w:hanging="142"/>
        <w:rPr>
          <w:lang w:val="es-ES"/>
        </w:rPr>
      </w:pPr>
      <w:r w:rsidRPr="007E0F50">
        <w:rPr>
          <w:rStyle w:val="Refdenotaalpie"/>
          <w:sz w:val="18"/>
          <w:szCs w:val="18"/>
        </w:rPr>
        <w:footnoteRef/>
      </w:r>
      <w:r w:rsidRPr="007F0C99">
        <w:rPr>
          <w:sz w:val="16"/>
        </w:rPr>
        <w:tab/>
      </w:r>
      <w:r w:rsidRPr="00D93ECE">
        <w:rPr>
          <w:sz w:val="16"/>
          <w:szCs w:val="16"/>
          <w:lang w:val="es-ES"/>
        </w:rPr>
        <w:t xml:space="preserve">Las Tasas de Desocupación mensuales por entidad federativa se calculan como el promedio del mes en cuestión con los dos meses anteriores (promedio móvil de tres con extremo superior). Este tratamiento busca compensar la variabilidad de los datos mensuales a niveles con mayor desagregación, ya que las cifras de donde se obtienen los indicadores mensuales de ocupación y empleo resultan de utilizar un tercio de la muestra total de viviendas.  </w:t>
      </w:r>
      <w:r>
        <w:rPr>
          <w:sz w:val="16"/>
          <w:szCs w:val="16"/>
          <w:lang w:val="es-ES"/>
        </w:rPr>
        <w:t>Por l</w:t>
      </w:r>
      <w:r w:rsidRPr="00D93ECE">
        <w:rPr>
          <w:sz w:val="16"/>
          <w:szCs w:val="16"/>
          <w:lang w:val="es-ES"/>
        </w:rPr>
        <w:t xml:space="preserve">o anterior, </w:t>
      </w:r>
      <w:r>
        <w:rPr>
          <w:sz w:val="16"/>
          <w:szCs w:val="16"/>
          <w:lang w:val="es-ES"/>
        </w:rPr>
        <w:t xml:space="preserve">la interpretación de las tasas de desocupación mensual por entidad federativa debe centrarse en sus tendencias, más que en los datos puntuales. Estos últimos deberán considerarse como cifras preliminares de la información trimestral.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C51D6" w14:textId="77777777" w:rsidR="001E6418" w:rsidRDefault="001E641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1C1C5" w14:textId="36976590" w:rsidR="00871AAB" w:rsidRPr="00265B8C" w:rsidRDefault="00871AAB" w:rsidP="001E6418">
    <w:pPr>
      <w:pStyle w:val="Encabezado"/>
      <w:framePr w:w="5306" w:hSpace="141" w:wrap="auto" w:vAnchor="text" w:hAnchor="page" w:x="5793" w:y="32"/>
      <w:ind w:left="567" w:hanging="11"/>
      <w:jc w:val="right"/>
      <w:rPr>
        <w:b/>
        <w:color w:val="002060"/>
      </w:rPr>
    </w:pPr>
    <w:r w:rsidRPr="00265B8C">
      <w:rPr>
        <w:b/>
        <w:color w:val="002060"/>
      </w:rPr>
      <w:t xml:space="preserve">COMUNICADO DE PRENSA NÚM. </w:t>
    </w:r>
    <w:r w:rsidR="001E6418">
      <w:rPr>
        <w:b/>
        <w:color w:val="002060"/>
      </w:rPr>
      <w:t>49</w:t>
    </w:r>
    <w:r w:rsidR="0002487D">
      <w:rPr>
        <w:b/>
        <w:color w:val="002060"/>
      </w:rPr>
      <w:t>4</w:t>
    </w:r>
    <w:bookmarkStart w:id="1" w:name="_GoBack"/>
    <w:bookmarkEnd w:id="1"/>
    <w:r w:rsidRPr="00265B8C">
      <w:rPr>
        <w:b/>
        <w:color w:val="002060"/>
      </w:rPr>
      <w:t>/1</w:t>
    </w:r>
    <w:r>
      <w:rPr>
        <w:b/>
        <w:color w:val="002060"/>
      </w:rPr>
      <w:t>9</w:t>
    </w:r>
  </w:p>
  <w:p w14:paraId="63C36853" w14:textId="77777777" w:rsidR="00871AAB" w:rsidRPr="00265B8C" w:rsidRDefault="00871AAB" w:rsidP="001E6418">
    <w:pPr>
      <w:pStyle w:val="Encabezado"/>
      <w:framePr w:w="5306" w:hSpace="141" w:wrap="auto" w:vAnchor="text" w:hAnchor="page" w:x="5793" w:y="32"/>
      <w:ind w:left="567" w:hanging="11"/>
      <w:jc w:val="right"/>
      <w:rPr>
        <w:b/>
        <w:color w:val="002060"/>
        <w:lang w:val="pt-BR"/>
      </w:rPr>
    </w:pPr>
    <w:r>
      <w:rPr>
        <w:b/>
        <w:color w:val="002060"/>
        <w:lang w:val="pt-BR"/>
      </w:rPr>
      <w:t xml:space="preserve">22 </w:t>
    </w:r>
    <w:r w:rsidRPr="00265B8C">
      <w:rPr>
        <w:b/>
        <w:color w:val="002060"/>
        <w:lang w:val="pt-BR"/>
      </w:rPr>
      <w:t>DE</w:t>
    </w:r>
    <w:r>
      <w:rPr>
        <w:b/>
        <w:color w:val="002060"/>
        <w:lang w:val="pt-BR"/>
      </w:rPr>
      <w:t xml:space="preserve"> OCTUBRE </w:t>
    </w:r>
    <w:r w:rsidRPr="00265B8C">
      <w:rPr>
        <w:b/>
        <w:color w:val="002060"/>
        <w:lang w:val="pt-BR"/>
      </w:rPr>
      <w:t>DE 201</w:t>
    </w:r>
    <w:r>
      <w:rPr>
        <w:b/>
        <w:color w:val="002060"/>
        <w:lang w:val="pt-BR"/>
      </w:rPr>
      <w:t>9</w:t>
    </w:r>
  </w:p>
  <w:p w14:paraId="5A86161C" w14:textId="7E87DA36" w:rsidR="00871AAB" w:rsidRPr="00265B8C" w:rsidRDefault="00871AAB" w:rsidP="001E6418">
    <w:pPr>
      <w:pStyle w:val="Encabezado"/>
      <w:framePr w:w="5306" w:hSpace="141" w:wrap="auto" w:vAnchor="text" w:hAnchor="page" w:x="5793"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02487D">
      <w:rPr>
        <w:b/>
        <w:noProof/>
        <w:color w:val="002060"/>
        <w:lang w:val="pt-BR"/>
      </w:rPr>
      <w:t>1</w:t>
    </w:r>
    <w:r w:rsidRPr="00265B8C">
      <w:rPr>
        <w:color w:val="002060"/>
      </w:rPr>
      <w:fldChar w:fldCharType="end"/>
    </w:r>
    <w:r w:rsidRPr="00265B8C">
      <w:rPr>
        <w:b/>
        <w:color w:val="002060"/>
        <w:lang w:val="pt-BR"/>
      </w:rPr>
      <w:t>/</w:t>
    </w:r>
    <w:r>
      <w:rPr>
        <w:b/>
        <w:color w:val="002060"/>
        <w:lang w:val="pt-BR"/>
      </w:rPr>
      <w:t>2</w:t>
    </w:r>
  </w:p>
  <w:p w14:paraId="650B27D5" w14:textId="77777777" w:rsidR="00871AAB" w:rsidRDefault="00871AAB" w:rsidP="006A6BB6">
    <w:pPr>
      <w:pStyle w:val="Encabezado"/>
      <w:ind w:left="-993"/>
    </w:pPr>
    <w:r>
      <w:rPr>
        <w:noProof/>
        <w:lang w:val="es-MX" w:eastAsia="es-MX"/>
      </w:rPr>
      <w:drawing>
        <wp:inline distT="0" distB="0" distL="0" distR="0" wp14:anchorId="675064E0" wp14:editId="123ADC97">
          <wp:extent cx="927615" cy="963545"/>
          <wp:effectExtent l="0" t="0" r="635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ECA54" w14:textId="77777777" w:rsidR="001E6418" w:rsidRDefault="001E6418">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94B8" w14:textId="49A91049" w:rsidR="00871AAB" w:rsidRDefault="00871AAB" w:rsidP="006A6BB6">
    <w:pPr>
      <w:pStyle w:val="Encabezado"/>
      <w:jc w:val="center"/>
    </w:pPr>
    <w:r>
      <w:rPr>
        <w:noProof/>
        <w:lang w:val="es-MX" w:eastAsia="es-MX"/>
      </w:rPr>
      <w:drawing>
        <wp:inline distT="0" distB="0" distL="0" distR="0" wp14:anchorId="3B1D9761" wp14:editId="794546EA">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D507D9"/>
    <w:multiLevelType w:val="hybridMultilevel"/>
    <w:tmpl w:val="1D04870A"/>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5F383C"/>
    <w:multiLevelType w:val="hybridMultilevel"/>
    <w:tmpl w:val="325A27B4"/>
    <w:lvl w:ilvl="0" w:tplc="080A0001">
      <w:start w:val="1"/>
      <w:numFmt w:val="bullet"/>
      <w:lvlText w:val=""/>
      <w:lvlJc w:val="left"/>
      <w:pPr>
        <w:ind w:left="-851" w:hanging="360"/>
      </w:pPr>
      <w:rPr>
        <w:rFonts w:ascii="Symbol" w:hAnsi="Symbol" w:hint="default"/>
      </w:rPr>
    </w:lvl>
    <w:lvl w:ilvl="1" w:tplc="080A0003" w:tentative="1">
      <w:start w:val="1"/>
      <w:numFmt w:val="bullet"/>
      <w:lvlText w:val="o"/>
      <w:lvlJc w:val="left"/>
      <w:pPr>
        <w:ind w:left="-131" w:hanging="360"/>
      </w:pPr>
      <w:rPr>
        <w:rFonts w:ascii="Courier New" w:hAnsi="Courier New" w:cs="Courier New" w:hint="default"/>
      </w:rPr>
    </w:lvl>
    <w:lvl w:ilvl="2" w:tplc="080A0005" w:tentative="1">
      <w:start w:val="1"/>
      <w:numFmt w:val="bullet"/>
      <w:lvlText w:val=""/>
      <w:lvlJc w:val="left"/>
      <w:pPr>
        <w:ind w:left="589" w:hanging="360"/>
      </w:pPr>
      <w:rPr>
        <w:rFonts w:ascii="Wingdings" w:hAnsi="Wingdings" w:hint="default"/>
      </w:rPr>
    </w:lvl>
    <w:lvl w:ilvl="3" w:tplc="080A0001" w:tentative="1">
      <w:start w:val="1"/>
      <w:numFmt w:val="bullet"/>
      <w:lvlText w:val=""/>
      <w:lvlJc w:val="left"/>
      <w:pPr>
        <w:ind w:left="1309" w:hanging="360"/>
      </w:pPr>
      <w:rPr>
        <w:rFonts w:ascii="Symbol" w:hAnsi="Symbol" w:hint="default"/>
      </w:rPr>
    </w:lvl>
    <w:lvl w:ilvl="4" w:tplc="080A0003" w:tentative="1">
      <w:start w:val="1"/>
      <w:numFmt w:val="bullet"/>
      <w:lvlText w:val="o"/>
      <w:lvlJc w:val="left"/>
      <w:pPr>
        <w:ind w:left="2029" w:hanging="360"/>
      </w:pPr>
      <w:rPr>
        <w:rFonts w:ascii="Courier New" w:hAnsi="Courier New" w:cs="Courier New" w:hint="default"/>
      </w:rPr>
    </w:lvl>
    <w:lvl w:ilvl="5" w:tplc="080A0005" w:tentative="1">
      <w:start w:val="1"/>
      <w:numFmt w:val="bullet"/>
      <w:lvlText w:val=""/>
      <w:lvlJc w:val="left"/>
      <w:pPr>
        <w:ind w:left="2749" w:hanging="360"/>
      </w:pPr>
      <w:rPr>
        <w:rFonts w:ascii="Wingdings" w:hAnsi="Wingdings" w:hint="default"/>
      </w:rPr>
    </w:lvl>
    <w:lvl w:ilvl="6" w:tplc="080A0001" w:tentative="1">
      <w:start w:val="1"/>
      <w:numFmt w:val="bullet"/>
      <w:lvlText w:val=""/>
      <w:lvlJc w:val="left"/>
      <w:pPr>
        <w:ind w:left="3469" w:hanging="360"/>
      </w:pPr>
      <w:rPr>
        <w:rFonts w:ascii="Symbol" w:hAnsi="Symbol" w:hint="default"/>
      </w:rPr>
    </w:lvl>
    <w:lvl w:ilvl="7" w:tplc="080A0003" w:tentative="1">
      <w:start w:val="1"/>
      <w:numFmt w:val="bullet"/>
      <w:lvlText w:val="o"/>
      <w:lvlJc w:val="left"/>
      <w:pPr>
        <w:ind w:left="4189" w:hanging="360"/>
      </w:pPr>
      <w:rPr>
        <w:rFonts w:ascii="Courier New" w:hAnsi="Courier New" w:cs="Courier New" w:hint="default"/>
      </w:rPr>
    </w:lvl>
    <w:lvl w:ilvl="8" w:tplc="080A0005" w:tentative="1">
      <w:start w:val="1"/>
      <w:numFmt w:val="bullet"/>
      <w:lvlText w:val=""/>
      <w:lvlJc w:val="left"/>
      <w:pPr>
        <w:ind w:left="4909" w:hanging="360"/>
      </w:pPr>
      <w:rPr>
        <w:rFonts w:ascii="Wingdings" w:hAnsi="Wingding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18DE3C46"/>
    <w:lvl w:ilvl="0" w:tplc="22321E8A">
      <w:start w:val="1"/>
      <w:numFmt w:val="bullet"/>
      <w:lvlText w:val=""/>
      <w:lvlJc w:val="left"/>
      <w:pPr>
        <w:tabs>
          <w:tab w:val="num" w:pos="1571"/>
        </w:tabs>
        <w:ind w:left="1571" w:hanging="360"/>
      </w:pPr>
      <w:rPr>
        <w:rFonts w:ascii="Symbol" w:hAnsi="Symbol" w:hint="default"/>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8"/>
  </w:num>
  <w:num w:numId="13">
    <w:abstractNumId w:val="19"/>
  </w:num>
  <w:num w:numId="14">
    <w:abstractNumId w:val="10"/>
  </w:num>
  <w:num w:numId="15">
    <w:abstractNumId w:val="8"/>
  </w:num>
  <w:num w:numId="16">
    <w:abstractNumId w:val="13"/>
  </w:num>
  <w:num w:numId="17">
    <w:abstractNumId w:val="9"/>
  </w:num>
  <w:num w:numId="18">
    <w:abstractNumId w:val="12"/>
  </w:num>
  <w:num w:numId="19">
    <w:abstractNumId w:val="5"/>
  </w:num>
  <w:num w:numId="20">
    <w:abstractNumId w:val="17"/>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84"/>
    <w:rsid w:val="0000043F"/>
    <w:rsid w:val="00000BEA"/>
    <w:rsid w:val="0000180F"/>
    <w:rsid w:val="00002466"/>
    <w:rsid w:val="00002665"/>
    <w:rsid w:val="000027BD"/>
    <w:rsid w:val="00002B26"/>
    <w:rsid w:val="0000345A"/>
    <w:rsid w:val="00003C25"/>
    <w:rsid w:val="00003C68"/>
    <w:rsid w:val="00004291"/>
    <w:rsid w:val="0000458A"/>
    <w:rsid w:val="000050C6"/>
    <w:rsid w:val="0000521A"/>
    <w:rsid w:val="00005940"/>
    <w:rsid w:val="0000636C"/>
    <w:rsid w:val="00006B5A"/>
    <w:rsid w:val="000078B1"/>
    <w:rsid w:val="00007A1A"/>
    <w:rsid w:val="00010A59"/>
    <w:rsid w:val="000112A7"/>
    <w:rsid w:val="0001151F"/>
    <w:rsid w:val="00011840"/>
    <w:rsid w:val="00011AC0"/>
    <w:rsid w:val="00011BD3"/>
    <w:rsid w:val="00012278"/>
    <w:rsid w:val="00012A27"/>
    <w:rsid w:val="00012A44"/>
    <w:rsid w:val="00012E16"/>
    <w:rsid w:val="0001302A"/>
    <w:rsid w:val="000132A4"/>
    <w:rsid w:val="00013319"/>
    <w:rsid w:val="00013717"/>
    <w:rsid w:val="00013735"/>
    <w:rsid w:val="00013957"/>
    <w:rsid w:val="00013E55"/>
    <w:rsid w:val="0001447E"/>
    <w:rsid w:val="000144ED"/>
    <w:rsid w:val="00014633"/>
    <w:rsid w:val="00014FBD"/>
    <w:rsid w:val="00015302"/>
    <w:rsid w:val="00016590"/>
    <w:rsid w:val="00016B4E"/>
    <w:rsid w:val="00016D3A"/>
    <w:rsid w:val="0001718D"/>
    <w:rsid w:val="000176AC"/>
    <w:rsid w:val="000176E7"/>
    <w:rsid w:val="00020F65"/>
    <w:rsid w:val="00021432"/>
    <w:rsid w:val="00021492"/>
    <w:rsid w:val="000216A3"/>
    <w:rsid w:val="000228C4"/>
    <w:rsid w:val="00022CA3"/>
    <w:rsid w:val="00022FD4"/>
    <w:rsid w:val="0002487D"/>
    <w:rsid w:val="000260EE"/>
    <w:rsid w:val="00026B3C"/>
    <w:rsid w:val="00026B52"/>
    <w:rsid w:val="00030480"/>
    <w:rsid w:val="0003065F"/>
    <w:rsid w:val="00030D10"/>
    <w:rsid w:val="00031231"/>
    <w:rsid w:val="000314D3"/>
    <w:rsid w:val="00031A99"/>
    <w:rsid w:val="00031BCF"/>
    <w:rsid w:val="000329B2"/>
    <w:rsid w:val="00032B16"/>
    <w:rsid w:val="00033603"/>
    <w:rsid w:val="00033792"/>
    <w:rsid w:val="00033A14"/>
    <w:rsid w:val="000340E5"/>
    <w:rsid w:val="0003447A"/>
    <w:rsid w:val="000349B4"/>
    <w:rsid w:val="00034BC3"/>
    <w:rsid w:val="000353F3"/>
    <w:rsid w:val="00035600"/>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139"/>
    <w:rsid w:val="000465BF"/>
    <w:rsid w:val="00046822"/>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44F7"/>
    <w:rsid w:val="00054A4F"/>
    <w:rsid w:val="00055047"/>
    <w:rsid w:val="00055B54"/>
    <w:rsid w:val="00055DAA"/>
    <w:rsid w:val="00056F51"/>
    <w:rsid w:val="000573F5"/>
    <w:rsid w:val="00057F37"/>
    <w:rsid w:val="000602B0"/>
    <w:rsid w:val="0006056C"/>
    <w:rsid w:val="0006228A"/>
    <w:rsid w:val="00063614"/>
    <w:rsid w:val="00063838"/>
    <w:rsid w:val="0006433F"/>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40FD"/>
    <w:rsid w:val="000753EC"/>
    <w:rsid w:val="0007567F"/>
    <w:rsid w:val="00075B3A"/>
    <w:rsid w:val="00075DEC"/>
    <w:rsid w:val="00076234"/>
    <w:rsid w:val="000767F7"/>
    <w:rsid w:val="00076EE9"/>
    <w:rsid w:val="00076F61"/>
    <w:rsid w:val="00077C46"/>
    <w:rsid w:val="0008027F"/>
    <w:rsid w:val="0008084D"/>
    <w:rsid w:val="000814ED"/>
    <w:rsid w:val="0008175A"/>
    <w:rsid w:val="0008195B"/>
    <w:rsid w:val="000826F7"/>
    <w:rsid w:val="00082C8A"/>
    <w:rsid w:val="00082F11"/>
    <w:rsid w:val="0008325D"/>
    <w:rsid w:val="000834DD"/>
    <w:rsid w:val="00084687"/>
    <w:rsid w:val="00084A57"/>
    <w:rsid w:val="00084BED"/>
    <w:rsid w:val="00084C6E"/>
    <w:rsid w:val="00084EDB"/>
    <w:rsid w:val="00084FA9"/>
    <w:rsid w:val="00084FF2"/>
    <w:rsid w:val="000850D8"/>
    <w:rsid w:val="0008524D"/>
    <w:rsid w:val="000856E9"/>
    <w:rsid w:val="0008604B"/>
    <w:rsid w:val="000860E2"/>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6DC"/>
    <w:rsid w:val="00096737"/>
    <w:rsid w:val="00097C0A"/>
    <w:rsid w:val="000A0344"/>
    <w:rsid w:val="000A0823"/>
    <w:rsid w:val="000A101A"/>
    <w:rsid w:val="000A1FAB"/>
    <w:rsid w:val="000A21D6"/>
    <w:rsid w:val="000A2F4F"/>
    <w:rsid w:val="000A31EF"/>
    <w:rsid w:val="000A3354"/>
    <w:rsid w:val="000A3733"/>
    <w:rsid w:val="000A37D7"/>
    <w:rsid w:val="000A43B0"/>
    <w:rsid w:val="000A53E6"/>
    <w:rsid w:val="000A574B"/>
    <w:rsid w:val="000A5B04"/>
    <w:rsid w:val="000A5E2A"/>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C06C6"/>
    <w:rsid w:val="000C071F"/>
    <w:rsid w:val="000C1051"/>
    <w:rsid w:val="000C162B"/>
    <w:rsid w:val="000C171F"/>
    <w:rsid w:val="000C1F04"/>
    <w:rsid w:val="000C2892"/>
    <w:rsid w:val="000C2B3C"/>
    <w:rsid w:val="000C2EA7"/>
    <w:rsid w:val="000C30D7"/>
    <w:rsid w:val="000C3105"/>
    <w:rsid w:val="000C34DD"/>
    <w:rsid w:val="000C37BC"/>
    <w:rsid w:val="000C439B"/>
    <w:rsid w:val="000C482F"/>
    <w:rsid w:val="000C48EC"/>
    <w:rsid w:val="000C4992"/>
    <w:rsid w:val="000C51C5"/>
    <w:rsid w:val="000C5299"/>
    <w:rsid w:val="000C5468"/>
    <w:rsid w:val="000C55CC"/>
    <w:rsid w:val="000C5852"/>
    <w:rsid w:val="000C59FE"/>
    <w:rsid w:val="000C5D0E"/>
    <w:rsid w:val="000C632D"/>
    <w:rsid w:val="000C6A4A"/>
    <w:rsid w:val="000C6AFD"/>
    <w:rsid w:val="000C6C42"/>
    <w:rsid w:val="000D06FA"/>
    <w:rsid w:val="000D0DDA"/>
    <w:rsid w:val="000D0ED5"/>
    <w:rsid w:val="000D113E"/>
    <w:rsid w:val="000D1169"/>
    <w:rsid w:val="000D15C5"/>
    <w:rsid w:val="000D28A5"/>
    <w:rsid w:val="000D2AF7"/>
    <w:rsid w:val="000D31C1"/>
    <w:rsid w:val="000D3223"/>
    <w:rsid w:val="000D36B2"/>
    <w:rsid w:val="000D39FD"/>
    <w:rsid w:val="000D4833"/>
    <w:rsid w:val="000D49D2"/>
    <w:rsid w:val="000D4A88"/>
    <w:rsid w:val="000D4BBC"/>
    <w:rsid w:val="000D4D90"/>
    <w:rsid w:val="000D4E26"/>
    <w:rsid w:val="000D5176"/>
    <w:rsid w:val="000D5EDB"/>
    <w:rsid w:val="000D679B"/>
    <w:rsid w:val="000D6C0F"/>
    <w:rsid w:val="000D6F1E"/>
    <w:rsid w:val="000D7A95"/>
    <w:rsid w:val="000D7BBD"/>
    <w:rsid w:val="000E03C0"/>
    <w:rsid w:val="000E0654"/>
    <w:rsid w:val="000E1625"/>
    <w:rsid w:val="000E19B3"/>
    <w:rsid w:val="000E2970"/>
    <w:rsid w:val="000E37CE"/>
    <w:rsid w:val="000E3CC1"/>
    <w:rsid w:val="000E429F"/>
    <w:rsid w:val="000E4F66"/>
    <w:rsid w:val="000E5331"/>
    <w:rsid w:val="000E536C"/>
    <w:rsid w:val="000E5526"/>
    <w:rsid w:val="000E5CBF"/>
    <w:rsid w:val="000E5D6B"/>
    <w:rsid w:val="000E5FE0"/>
    <w:rsid w:val="000E5FF6"/>
    <w:rsid w:val="000E6D5D"/>
    <w:rsid w:val="000E6DF4"/>
    <w:rsid w:val="000E6E5F"/>
    <w:rsid w:val="000E7028"/>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913"/>
    <w:rsid w:val="00105234"/>
    <w:rsid w:val="00105E2B"/>
    <w:rsid w:val="0010619C"/>
    <w:rsid w:val="0010664D"/>
    <w:rsid w:val="00106C6B"/>
    <w:rsid w:val="00107A97"/>
    <w:rsid w:val="00110510"/>
    <w:rsid w:val="0011062D"/>
    <w:rsid w:val="0011076D"/>
    <w:rsid w:val="00110DB1"/>
    <w:rsid w:val="00110DF0"/>
    <w:rsid w:val="001114D0"/>
    <w:rsid w:val="00111703"/>
    <w:rsid w:val="0011177B"/>
    <w:rsid w:val="00111AA3"/>
    <w:rsid w:val="00111F29"/>
    <w:rsid w:val="00113348"/>
    <w:rsid w:val="00113404"/>
    <w:rsid w:val="001134B4"/>
    <w:rsid w:val="00113515"/>
    <w:rsid w:val="00113DE8"/>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F0E"/>
    <w:rsid w:val="001313EB"/>
    <w:rsid w:val="0013222E"/>
    <w:rsid w:val="00134904"/>
    <w:rsid w:val="001349AB"/>
    <w:rsid w:val="00134F4E"/>
    <w:rsid w:val="00134FB0"/>
    <w:rsid w:val="001350AC"/>
    <w:rsid w:val="001352EC"/>
    <w:rsid w:val="00135E0B"/>
    <w:rsid w:val="001361A8"/>
    <w:rsid w:val="00136323"/>
    <w:rsid w:val="001365A5"/>
    <w:rsid w:val="001368CC"/>
    <w:rsid w:val="00136EDC"/>
    <w:rsid w:val="001372CA"/>
    <w:rsid w:val="00137AFD"/>
    <w:rsid w:val="0014012A"/>
    <w:rsid w:val="00140AD8"/>
    <w:rsid w:val="00140BE4"/>
    <w:rsid w:val="001411DE"/>
    <w:rsid w:val="00141399"/>
    <w:rsid w:val="00141A0B"/>
    <w:rsid w:val="00141AF4"/>
    <w:rsid w:val="00142E09"/>
    <w:rsid w:val="0014377B"/>
    <w:rsid w:val="00143D3A"/>
    <w:rsid w:val="0014412A"/>
    <w:rsid w:val="00145F65"/>
    <w:rsid w:val="001460E0"/>
    <w:rsid w:val="00146902"/>
    <w:rsid w:val="00146DFA"/>
    <w:rsid w:val="0015018D"/>
    <w:rsid w:val="00150228"/>
    <w:rsid w:val="001502C3"/>
    <w:rsid w:val="001504E8"/>
    <w:rsid w:val="00150536"/>
    <w:rsid w:val="00151B58"/>
    <w:rsid w:val="001533B2"/>
    <w:rsid w:val="001534CA"/>
    <w:rsid w:val="0015359A"/>
    <w:rsid w:val="0015369A"/>
    <w:rsid w:val="0015386A"/>
    <w:rsid w:val="001538AC"/>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0F"/>
    <w:rsid w:val="00161E62"/>
    <w:rsid w:val="00162797"/>
    <w:rsid w:val="00162A20"/>
    <w:rsid w:val="00164CD1"/>
    <w:rsid w:val="001655BD"/>
    <w:rsid w:val="00165810"/>
    <w:rsid w:val="001658B7"/>
    <w:rsid w:val="00165E36"/>
    <w:rsid w:val="0016614B"/>
    <w:rsid w:val="00166286"/>
    <w:rsid w:val="001665FD"/>
    <w:rsid w:val="00167A23"/>
    <w:rsid w:val="00167A72"/>
    <w:rsid w:val="0017080F"/>
    <w:rsid w:val="00170972"/>
    <w:rsid w:val="00170BD4"/>
    <w:rsid w:val="001711E3"/>
    <w:rsid w:val="00171620"/>
    <w:rsid w:val="00171F3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FC0"/>
    <w:rsid w:val="00180887"/>
    <w:rsid w:val="00180A83"/>
    <w:rsid w:val="00180BE1"/>
    <w:rsid w:val="001813AB"/>
    <w:rsid w:val="00181649"/>
    <w:rsid w:val="001819C6"/>
    <w:rsid w:val="00181B0A"/>
    <w:rsid w:val="00181B78"/>
    <w:rsid w:val="0018211C"/>
    <w:rsid w:val="001821F8"/>
    <w:rsid w:val="00182CBE"/>
    <w:rsid w:val="00182DCF"/>
    <w:rsid w:val="001831B3"/>
    <w:rsid w:val="001845FA"/>
    <w:rsid w:val="0018522B"/>
    <w:rsid w:val="001854A8"/>
    <w:rsid w:val="00185D40"/>
    <w:rsid w:val="00186C17"/>
    <w:rsid w:val="00190180"/>
    <w:rsid w:val="00190A43"/>
    <w:rsid w:val="00190D0B"/>
    <w:rsid w:val="001912FB"/>
    <w:rsid w:val="00191571"/>
    <w:rsid w:val="00191608"/>
    <w:rsid w:val="00191664"/>
    <w:rsid w:val="0019171E"/>
    <w:rsid w:val="00191A11"/>
    <w:rsid w:val="00192065"/>
    <w:rsid w:val="001923DE"/>
    <w:rsid w:val="001941AA"/>
    <w:rsid w:val="00194F73"/>
    <w:rsid w:val="00195EC2"/>
    <w:rsid w:val="00195F99"/>
    <w:rsid w:val="00196B03"/>
    <w:rsid w:val="001976FE"/>
    <w:rsid w:val="001A016C"/>
    <w:rsid w:val="001A0422"/>
    <w:rsid w:val="001A0556"/>
    <w:rsid w:val="001A0DF3"/>
    <w:rsid w:val="001A102F"/>
    <w:rsid w:val="001A1A27"/>
    <w:rsid w:val="001A1ED0"/>
    <w:rsid w:val="001A2A79"/>
    <w:rsid w:val="001A2A95"/>
    <w:rsid w:val="001A35A6"/>
    <w:rsid w:val="001A368A"/>
    <w:rsid w:val="001A3963"/>
    <w:rsid w:val="001A4130"/>
    <w:rsid w:val="001A41DF"/>
    <w:rsid w:val="001A43F5"/>
    <w:rsid w:val="001A4E0E"/>
    <w:rsid w:val="001A4E8C"/>
    <w:rsid w:val="001A4EF7"/>
    <w:rsid w:val="001A4F6E"/>
    <w:rsid w:val="001A5ABD"/>
    <w:rsid w:val="001A5CE0"/>
    <w:rsid w:val="001A60E2"/>
    <w:rsid w:val="001A670B"/>
    <w:rsid w:val="001A69F0"/>
    <w:rsid w:val="001A79AA"/>
    <w:rsid w:val="001A7C0D"/>
    <w:rsid w:val="001A7F95"/>
    <w:rsid w:val="001B07B0"/>
    <w:rsid w:val="001B0992"/>
    <w:rsid w:val="001B0AC4"/>
    <w:rsid w:val="001B1120"/>
    <w:rsid w:val="001B15E2"/>
    <w:rsid w:val="001B163A"/>
    <w:rsid w:val="001B253D"/>
    <w:rsid w:val="001B277C"/>
    <w:rsid w:val="001B2C6A"/>
    <w:rsid w:val="001B2F19"/>
    <w:rsid w:val="001B3216"/>
    <w:rsid w:val="001B35ED"/>
    <w:rsid w:val="001B369D"/>
    <w:rsid w:val="001B450E"/>
    <w:rsid w:val="001B46DB"/>
    <w:rsid w:val="001B4B48"/>
    <w:rsid w:val="001B4F75"/>
    <w:rsid w:val="001B50CD"/>
    <w:rsid w:val="001B5DDB"/>
    <w:rsid w:val="001B62D3"/>
    <w:rsid w:val="001B74F4"/>
    <w:rsid w:val="001B75DC"/>
    <w:rsid w:val="001C0136"/>
    <w:rsid w:val="001C0A6E"/>
    <w:rsid w:val="001C0AD1"/>
    <w:rsid w:val="001C0BCC"/>
    <w:rsid w:val="001C117D"/>
    <w:rsid w:val="001C1F9C"/>
    <w:rsid w:val="001C226A"/>
    <w:rsid w:val="001C236E"/>
    <w:rsid w:val="001C29E7"/>
    <w:rsid w:val="001C32C6"/>
    <w:rsid w:val="001C32E7"/>
    <w:rsid w:val="001C37A9"/>
    <w:rsid w:val="001C3E2D"/>
    <w:rsid w:val="001C48C7"/>
    <w:rsid w:val="001C4A9E"/>
    <w:rsid w:val="001C6CAB"/>
    <w:rsid w:val="001C6CC1"/>
    <w:rsid w:val="001C7130"/>
    <w:rsid w:val="001C7901"/>
    <w:rsid w:val="001C7E70"/>
    <w:rsid w:val="001D0068"/>
    <w:rsid w:val="001D01C6"/>
    <w:rsid w:val="001D092F"/>
    <w:rsid w:val="001D1AEF"/>
    <w:rsid w:val="001D1CDC"/>
    <w:rsid w:val="001D244E"/>
    <w:rsid w:val="001D24A4"/>
    <w:rsid w:val="001D24F1"/>
    <w:rsid w:val="001D3AD1"/>
    <w:rsid w:val="001D478B"/>
    <w:rsid w:val="001D4970"/>
    <w:rsid w:val="001D4A4E"/>
    <w:rsid w:val="001D5F02"/>
    <w:rsid w:val="001D6186"/>
    <w:rsid w:val="001D62AF"/>
    <w:rsid w:val="001D637E"/>
    <w:rsid w:val="001D6652"/>
    <w:rsid w:val="001D69E5"/>
    <w:rsid w:val="001D6B3D"/>
    <w:rsid w:val="001D6F8F"/>
    <w:rsid w:val="001D7104"/>
    <w:rsid w:val="001D7A8E"/>
    <w:rsid w:val="001E075F"/>
    <w:rsid w:val="001E0933"/>
    <w:rsid w:val="001E1332"/>
    <w:rsid w:val="001E14E8"/>
    <w:rsid w:val="001E1627"/>
    <w:rsid w:val="001E18BD"/>
    <w:rsid w:val="001E1DBA"/>
    <w:rsid w:val="001E1EF2"/>
    <w:rsid w:val="001E251A"/>
    <w:rsid w:val="001E290B"/>
    <w:rsid w:val="001E37B7"/>
    <w:rsid w:val="001E385F"/>
    <w:rsid w:val="001E39E4"/>
    <w:rsid w:val="001E414C"/>
    <w:rsid w:val="001E490C"/>
    <w:rsid w:val="001E4C68"/>
    <w:rsid w:val="001E50FD"/>
    <w:rsid w:val="001E5310"/>
    <w:rsid w:val="001E59DC"/>
    <w:rsid w:val="001E5DD7"/>
    <w:rsid w:val="001E5EEE"/>
    <w:rsid w:val="001E6418"/>
    <w:rsid w:val="001E690D"/>
    <w:rsid w:val="001E6B7D"/>
    <w:rsid w:val="001E7358"/>
    <w:rsid w:val="001E7C72"/>
    <w:rsid w:val="001E7EDD"/>
    <w:rsid w:val="001F02CD"/>
    <w:rsid w:val="001F0B7F"/>
    <w:rsid w:val="001F0CD0"/>
    <w:rsid w:val="001F0F71"/>
    <w:rsid w:val="001F19D1"/>
    <w:rsid w:val="001F1B69"/>
    <w:rsid w:val="001F1C9D"/>
    <w:rsid w:val="001F1D9A"/>
    <w:rsid w:val="001F2740"/>
    <w:rsid w:val="001F2C3A"/>
    <w:rsid w:val="001F318E"/>
    <w:rsid w:val="001F3531"/>
    <w:rsid w:val="001F3696"/>
    <w:rsid w:val="001F42FF"/>
    <w:rsid w:val="001F44B4"/>
    <w:rsid w:val="001F44D3"/>
    <w:rsid w:val="001F4510"/>
    <w:rsid w:val="001F58D3"/>
    <w:rsid w:val="001F65A4"/>
    <w:rsid w:val="001F65E0"/>
    <w:rsid w:val="001F6E2B"/>
    <w:rsid w:val="001F6EE3"/>
    <w:rsid w:val="001F7362"/>
    <w:rsid w:val="001F78AE"/>
    <w:rsid w:val="001F7AE9"/>
    <w:rsid w:val="001F7CFD"/>
    <w:rsid w:val="002011D5"/>
    <w:rsid w:val="00201C2D"/>
    <w:rsid w:val="002025DB"/>
    <w:rsid w:val="00203367"/>
    <w:rsid w:val="0020398A"/>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360"/>
    <w:rsid w:val="002146CA"/>
    <w:rsid w:val="002147D6"/>
    <w:rsid w:val="0021575B"/>
    <w:rsid w:val="00215783"/>
    <w:rsid w:val="00215FE0"/>
    <w:rsid w:val="0021669B"/>
    <w:rsid w:val="00216876"/>
    <w:rsid w:val="0022018A"/>
    <w:rsid w:val="002201A1"/>
    <w:rsid w:val="00220ADA"/>
    <w:rsid w:val="00220B7B"/>
    <w:rsid w:val="0022180E"/>
    <w:rsid w:val="00221FF3"/>
    <w:rsid w:val="002220BA"/>
    <w:rsid w:val="002227B3"/>
    <w:rsid w:val="002228A1"/>
    <w:rsid w:val="002228D9"/>
    <w:rsid w:val="00222CE3"/>
    <w:rsid w:val="002235D7"/>
    <w:rsid w:val="002239C4"/>
    <w:rsid w:val="00224617"/>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621"/>
    <w:rsid w:val="0023262B"/>
    <w:rsid w:val="002326EF"/>
    <w:rsid w:val="00232A4E"/>
    <w:rsid w:val="00233A7D"/>
    <w:rsid w:val="0023482B"/>
    <w:rsid w:val="0023482C"/>
    <w:rsid w:val="00234AA4"/>
    <w:rsid w:val="00234C7F"/>
    <w:rsid w:val="00234E62"/>
    <w:rsid w:val="00234F8F"/>
    <w:rsid w:val="00235FC9"/>
    <w:rsid w:val="0023658F"/>
    <w:rsid w:val="00236872"/>
    <w:rsid w:val="00236890"/>
    <w:rsid w:val="002368C0"/>
    <w:rsid w:val="00236CC2"/>
    <w:rsid w:val="00236CDE"/>
    <w:rsid w:val="0023763A"/>
    <w:rsid w:val="00237C47"/>
    <w:rsid w:val="00237D7D"/>
    <w:rsid w:val="002404C4"/>
    <w:rsid w:val="002404D1"/>
    <w:rsid w:val="002404FD"/>
    <w:rsid w:val="002405C8"/>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6B9"/>
    <w:rsid w:val="00252DD3"/>
    <w:rsid w:val="00253619"/>
    <w:rsid w:val="0025394F"/>
    <w:rsid w:val="00253B97"/>
    <w:rsid w:val="002544CB"/>
    <w:rsid w:val="00254724"/>
    <w:rsid w:val="00255D8E"/>
    <w:rsid w:val="00256584"/>
    <w:rsid w:val="00256C48"/>
    <w:rsid w:val="00256EF8"/>
    <w:rsid w:val="002570D5"/>
    <w:rsid w:val="00257177"/>
    <w:rsid w:val="002573C5"/>
    <w:rsid w:val="00257730"/>
    <w:rsid w:val="00257803"/>
    <w:rsid w:val="00257B74"/>
    <w:rsid w:val="00257CD8"/>
    <w:rsid w:val="002610D8"/>
    <w:rsid w:val="0026146A"/>
    <w:rsid w:val="0026177C"/>
    <w:rsid w:val="00261A6C"/>
    <w:rsid w:val="002629E2"/>
    <w:rsid w:val="00262B81"/>
    <w:rsid w:val="00262BA8"/>
    <w:rsid w:val="00262BC8"/>
    <w:rsid w:val="002638FD"/>
    <w:rsid w:val="002641D9"/>
    <w:rsid w:val="002643C5"/>
    <w:rsid w:val="00264917"/>
    <w:rsid w:val="00264FB4"/>
    <w:rsid w:val="002651EC"/>
    <w:rsid w:val="002654DD"/>
    <w:rsid w:val="00265DC2"/>
    <w:rsid w:val="0026638C"/>
    <w:rsid w:val="00266E05"/>
    <w:rsid w:val="00266F00"/>
    <w:rsid w:val="002670EF"/>
    <w:rsid w:val="002671A2"/>
    <w:rsid w:val="00267A38"/>
    <w:rsid w:val="00267F5F"/>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888"/>
    <w:rsid w:val="00277DBC"/>
    <w:rsid w:val="00277F64"/>
    <w:rsid w:val="002800A7"/>
    <w:rsid w:val="00280550"/>
    <w:rsid w:val="00281063"/>
    <w:rsid w:val="00281610"/>
    <w:rsid w:val="00281676"/>
    <w:rsid w:val="00281E32"/>
    <w:rsid w:val="00282479"/>
    <w:rsid w:val="0028276E"/>
    <w:rsid w:val="002827F3"/>
    <w:rsid w:val="002829BD"/>
    <w:rsid w:val="00282B3E"/>
    <w:rsid w:val="00282C1F"/>
    <w:rsid w:val="00282C6C"/>
    <w:rsid w:val="00282EEB"/>
    <w:rsid w:val="00283B7F"/>
    <w:rsid w:val="0028468D"/>
    <w:rsid w:val="0028470C"/>
    <w:rsid w:val="00284B5F"/>
    <w:rsid w:val="0028596B"/>
    <w:rsid w:val="00285FB9"/>
    <w:rsid w:val="00286219"/>
    <w:rsid w:val="00286A03"/>
    <w:rsid w:val="00287426"/>
    <w:rsid w:val="00287514"/>
    <w:rsid w:val="0028791B"/>
    <w:rsid w:val="00287E44"/>
    <w:rsid w:val="00287F79"/>
    <w:rsid w:val="002900A9"/>
    <w:rsid w:val="00290C43"/>
    <w:rsid w:val="00290C90"/>
    <w:rsid w:val="002916DB"/>
    <w:rsid w:val="0029190A"/>
    <w:rsid w:val="00293271"/>
    <w:rsid w:val="00293587"/>
    <w:rsid w:val="00293896"/>
    <w:rsid w:val="00293ED1"/>
    <w:rsid w:val="00293FFA"/>
    <w:rsid w:val="002940FF"/>
    <w:rsid w:val="00294A06"/>
    <w:rsid w:val="00294FFB"/>
    <w:rsid w:val="002950A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4806"/>
    <w:rsid w:val="002A5227"/>
    <w:rsid w:val="002A5417"/>
    <w:rsid w:val="002A57BC"/>
    <w:rsid w:val="002A581C"/>
    <w:rsid w:val="002A59CE"/>
    <w:rsid w:val="002A753D"/>
    <w:rsid w:val="002B00B5"/>
    <w:rsid w:val="002B00FE"/>
    <w:rsid w:val="002B0CF0"/>
    <w:rsid w:val="002B0E27"/>
    <w:rsid w:val="002B10B6"/>
    <w:rsid w:val="002B10D3"/>
    <w:rsid w:val="002B1113"/>
    <w:rsid w:val="002B145F"/>
    <w:rsid w:val="002B163F"/>
    <w:rsid w:val="002B1867"/>
    <w:rsid w:val="002B1EA3"/>
    <w:rsid w:val="002B2A55"/>
    <w:rsid w:val="002B2DA9"/>
    <w:rsid w:val="002B30C8"/>
    <w:rsid w:val="002B31FA"/>
    <w:rsid w:val="002B33D5"/>
    <w:rsid w:val="002B3488"/>
    <w:rsid w:val="002B3A06"/>
    <w:rsid w:val="002B4552"/>
    <w:rsid w:val="002B4C84"/>
    <w:rsid w:val="002B5746"/>
    <w:rsid w:val="002B63D3"/>
    <w:rsid w:val="002B6815"/>
    <w:rsid w:val="002B6AB1"/>
    <w:rsid w:val="002B6FEF"/>
    <w:rsid w:val="002B71D1"/>
    <w:rsid w:val="002C0144"/>
    <w:rsid w:val="002C0CAC"/>
    <w:rsid w:val="002C1F28"/>
    <w:rsid w:val="002C254B"/>
    <w:rsid w:val="002C25DE"/>
    <w:rsid w:val="002C27E8"/>
    <w:rsid w:val="002C2ACB"/>
    <w:rsid w:val="002C2F60"/>
    <w:rsid w:val="002C2FF5"/>
    <w:rsid w:val="002C387A"/>
    <w:rsid w:val="002C41CB"/>
    <w:rsid w:val="002C51C3"/>
    <w:rsid w:val="002C5C58"/>
    <w:rsid w:val="002C6A1A"/>
    <w:rsid w:val="002C6B67"/>
    <w:rsid w:val="002C73EE"/>
    <w:rsid w:val="002C7660"/>
    <w:rsid w:val="002C7718"/>
    <w:rsid w:val="002C77DB"/>
    <w:rsid w:val="002C77F7"/>
    <w:rsid w:val="002C7CD4"/>
    <w:rsid w:val="002D0321"/>
    <w:rsid w:val="002D0E7A"/>
    <w:rsid w:val="002D155B"/>
    <w:rsid w:val="002D17F9"/>
    <w:rsid w:val="002D1AD3"/>
    <w:rsid w:val="002D27F0"/>
    <w:rsid w:val="002D40A5"/>
    <w:rsid w:val="002D48E1"/>
    <w:rsid w:val="002D61C8"/>
    <w:rsid w:val="002D629E"/>
    <w:rsid w:val="002D6584"/>
    <w:rsid w:val="002D6E9A"/>
    <w:rsid w:val="002D726B"/>
    <w:rsid w:val="002D75DB"/>
    <w:rsid w:val="002E0067"/>
    <w:rsid w:val="002E02D0"/>
    <w:rsid w:val="002E0489"/>
    <w:rsid w:val="002E04C0"/>
    <w:rsid w:val="002E0544"/>
    <w:rsid w:val="002E1377"/>
    <w:rsid w:val="002E1DF4"/>
    <w:rsid w:val="002E1F5F"/>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210A"/>
    <w:rsid w:val="002F30B0"/>
    <w:rsid w:val="002F3C64"/>
    <w:rsid w:val="002F4431"/>
    <w:rsid w:val="002F47E7"/>
    <w:rsid w:val="002F510D"/>
    <w:rsid w:val="002F5264"/>
    <w:rsid w:val="002F5C35"/>
    <w:rsid w:val="002F5F61"/>
    <w:rsid w:val="002F7379"/>
    <w:rsid w:val="00300081"/>
    <w:rsid w:val="0030023E"/>
    <w:rsid w:val="0030045D"/>
    <w:rsid w:val="0030059B"/>
    <w:rsid w:val="00300FC5"/>
    <w:rsid w:val="00301277"/>
    <w:rsid w:val="0030169B"/>
    <w:rsid w:val="00301837"/>
    <w:rsid w:val="003019CD"/>
    <w:rsid w:val="0030341B"/>
    <w:rsid w:val="003034D2"/>
    <w:rsid w:val="0030373E"/>
    <w:rsid w:val="00303A1B"/>
    <w:rsid w:val="003045BE"/>
    <w:rsid w:val="00305E3D"/>
    <w:rsid w:val="00305F53"/>
    <w:rsid w:val="003060F3"/>
    <w:rsid w:val="0030612A"/>
    <w:rsid w:val="003068EC"/>
    <w:rsid w:val="00306C01"/>
    <w:rsid w:val="00306FCF"/>
    <w:rsid w:val="0030759B"/>
    <w:rsid w:val="003075BE"/>
    <w:rsid w:val="003076C4"/>
    <w:rsid w:val="003079A6"/>
    <w:rsid w:val="00307C94"/>
    <w:rsid w:val="003106C8"/>
    <w:rsid w:val="00310E3F"/>
    <w:rsid w:val="00311270"/>
    <w:rsid w:val="0031175D"/>
    <w:rsid w:val="003119DD"/>
    <w:rsid w:val="00312297"/>
    <w:rsid w:val="00313367"/>
    <w:rsid w:val="0031354F"/>
    <w:rsid w:val="0031399B"/>
    <w:rsid w:val="00314614"/>
    <w:rsid w:val="003146D0"/>
    <w:rsid w:val="00314739"/>
    <w:rsid w:val="00314773"/>
    <w:rsid w:val="00314F8A"/>
    <w:rsid w:val="003151F3"/>
    <w:rsid w:val="003152FA"/>
    <w:rsid w:val="003154DB"/>
    <w:rsid w:val="00316779"/>
    <w:rsid w:val="00316EBC"/>
    <w:rsid w:val="00317698"/>
    <w:rsid w:val="00317DA5"/>
    <w:rsid w:val="00317F93"/>
    <w:rsid w:val="003201D0"/>
    <w:rsid w:val="003205E0"/>
    <w:rsid w:val="00321386"/>
    <w:rsid w:val="00321788"/>
    <w:rsid w:val="00321848"/>
    <w:rsid w:val="00321CB3"/>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1306"/>
    <w:rsid w:val="00331625"/>
    <w:rsid w:val="00331659"/>
    <w:rsid w:val="003319C5"/>
    <w:rsid w:val="00331A58"/>
    <w:rsid w:val="003320F9"/>
    <w:rsid w:val="003327BD"/>
    <w:rsid w:val="00332BEF"/>
    <w:rsid w:val="003338EB"/>
    <w:rsid w:val="00334446"/>
    <w:rsid w:val="0033444C"/>
    <w:rsid w:val="00334725"/>
    <w:rsid w:val="00334A38"/>
    <w:rsid w:val="00334AF1"/>
    <w:rsid w:val="003353D5"/>
    <w:rsid w:val="00335A53"/>
    <w:rsid w:val="00335FDF"/>
    <w:rsid w:val="0033743E"/>
    <w:rsid w:val="003379A4"/>
    <w:rsid w:val="00337BB0"/>
    <w:rsid w:val="00337CB6"/>
    <w:rsid w:val="00340077"/>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0DC8"/>
    <w:rsid w:val="00351032"/>
    <w:rsid w:val="0035149A"/>
    <w:rsid w:val="00351668"/>
    <w:rsid w:val="00351ABF"/>
    <w:rsid w:val="00352775"/>
    <w:rsid w:val="00352865"/>
    <w:rsid w:val="00352F14"/>
    <w:rsid w:val="003530B3"/>
    <w:rsid w:val="0035426E"/>
    <w:rsid w:val="003546C0"/>
    <w:rsid w:val="00354BCE"/>
    <w:rsid w:val="0035546F"/>
    <w:rsid w:val="003554BD"/>
    <w:rsid w:val="003554CE"/>
    <w:rsid w:val="00356586"/>
    <w:rsid w:val="00356792"/>
    <w:rsid w:val="003571E2"/>
    <w:rsid w:val="00360A82"/>
    <w:rsid w:val="00361062"/>
    <w:rsid w:val="003610F5"/>
    <w:rsid w:val="0036149C"/>
    <w:rsid w:val="003616F4"/>
    <w:rsid w:val="003627D4"/>
    <w:rsid w:val="00362B5E"/>
    <w:rsid w:val="00363569"/>
    <w:rsid w:val="003638E9"/>
    <w:rsid w:val="003643A5"/>
    <w:rsid w:val="003647B9"/>
    <w:rsid w:val="00364D97"/>
    <w:rsid w:val="0036533F"/>
    <w:rsid w:val="00365370"/>
    <w:rsid w:val="003661C9"/>
    <w:rsid w:val="0036622C"/>
    <w:rsid w:val="0036693A"/>
    <w:rsid w:val="00366AFA"/>
    <w:rsid w:val="00366BD9"/>
    <w:rsid w:val="00366C31"/>
    <w:rsid w:val="00366C38"/>
    <w:rsid w:val="00366E4E"/>
    <w:rsid w:val="003676E5"/>
    <w:rsid w:val="003676EA"/>
    <w:rsid w:val="00367886"/>
    <w:rsid w:val="00367AD9"/>
    <w:rsid w:val="00367CC7"/>
    <w:rsid w:val="00370219"/>
    <w:rsid w:val="00370397"/>
    <w:rsid w:val="0037051E"/>
    <w:rsid w:val="00370859"/>
    <w:rsid w:val="00371208"/>
    <w:rsid w:val="00371264"/>
    <w:rsid w:val="003716FC"/>
    <w:rsid w:val="003718D9"/>
    <w:rsid w:val="00371AA6"/>
    <w:rsid w:val="00371F37"/>
    <w:rsid w:val="0037207D"/>
    <w:rsid w:val="0037238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40B4"/>
    <w:rsid w:val="00384187"/>
    <w:rsid w:val="0038458A"/>
    <w:rsid w:val="0038470C"/>
    <w:rsid w:val="00384744"/>
    <w:rsid w:val="00384900"/>
    <w:rsid w:val="00384D8F"/>
    <w:rsid w:val="00384DCE"/>
    <w:rsid w:val="00384EF8"/>
    <w:rsid w:val="00385705"/>
    <w:rsid w:val="00385954"/>
    <w:rsid w:val="00385ECE"/>
    <w:rsid w:val="00386891"/>
    <w:rsid w:val="00386A21"/>
    <w:rsid w:val="0038735C"/>
    <w:rsid w:val="003874B4"/>
    <w:rsid w:val="00387631"/>
    <w:rsid w:val="00387823"/>
    <w:rsid w:val="00390044"/>
    <w:rsid w:val="0039019A"/>
    <w:rsid w:val="003903FB"/>
    <w:rsid w:val="00390644"/>
    <w:rsid w:val="0039066F"/>
    <w:rsid w:val="00390D50"/>
    <w:rsid w:val="00390EAD"/>
    <w:rsid w:val="00390EAF"/>
    <w:rsid w:val="00391CBB"/>
    <w:rsid w:val="00391D90"/>
    <w:rsid w:val="00391DDE"/>
    <w:rsid w:val="0039208E"/>
    <w:rsid w:val="003923A6"/>
    <w:rsid w:val="0039257A"/>
    <w:rsid w:val="00392DDE"/>
    <w:rsid w:val="00393231"/>
    <w:rsid w:val="0039372B"/>
    <w:rsid w:val="0039383D"/>
    <w:rsid w:val="00394FE8"/>
    <w:rsid w:val="00395069"/>
    <w:rsid w:val="003955AD"/>
    <w:rsid w:val="00395A0A"/>
    <w:rsid w:val="00396C46"/>
    <w:rsid w:val="00396CF2"/>
    <w:rsid w:val="00397BF1"/>
    <w:rsid w:val="003A0A3F"/>
    <w:rsid w:val="003A0A67"/>
    <w:rsid w:val="003A1273"/>
    <w:rsid w:val="003A1596"/>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C5D"/>
    <w:rsid w:val="003B1EAD"/>
    <w:rsid w:val="003B1F1C"/>
    <w:rsid w:val="003B23A8"/>
    <w:rsid w:val="003B3289"/>
    <w:rsid w:val="003B3822"/>
    <w:rsid w:val="003B3BAD"/>
    <w:rsid w:val="003B3F02"/>
    <w:rsid w:val="003B3F64"/>
    <w:rsid w:val="003B4644"/>
    <w:rsid w:val="003B4B26"/>
    <w:rsid w:val="003B4E29"/>
    <w:rsid w:val="003B5306"/>
    <w:rsid w:val="003B5757"/>
    <w:rsid w:val="003B6179"/>
    <w:rsid w:val="003B66D2"/>
    <w:rsid w:val="003B69D0"/>
    <w:rsid w:val="003B7435"/>
    <w:rsid w:val="003B7B4D"/>
    <w:rsid w:val="003C0125"/>
    <w:rsid w:val="003C03F7"/>
    <w:rsid w:val="003C05CD"/>
    <w:rsid w:val="003C0FBF"/>
    <w:rsid w:val="003C0FE5"/>
    <w:rsid w:val="003C139C"/>
    <w:rsid w:val="003C1CAF"/>
    <w:rsid w:val="003C22D4"/>
    <w:rsid w:val="003C29AF"/>
    <w:rsid w:val="003C3F73"/>
    <w:rsid w:val="003C40A2"/>
    <w:rsid w:val="003C5519"/>
    <w:rsid w:val="003C5A97"/>
    <w:rsid w:val="003C616B"/>
    <w:rsid w:val="003C681D"/>
    <w:rsid w:val="003C6BED"/>
    <w:rsid w:val="003C7965"/>
    <w:rsid w:val="003C7D06"/>
    <w:rsid w:val="003C7EF7"/>
    <w:rsid w:val="003D0E1F"/>
    <w:rsid w:val="003D1182"/>
    <w:rsid w:val="003D1AE0"/>
    <w:rsid w:val="003D22DA"/>
    <w:rsid w:val="003D2D67"/>
    <w:rsid w:val="003D31CC"/>
    <w:rsid w:val="003D35D8"/>
    <w:rsid w:val="003D3779"/>
    <w:rsid w:val="003D3F46"/>
    <w:rsid w:val="003D425A"/>
    <w:rsid w:val="003D46DD"/>
    <w:rsid w:val="003D4866"/>
    <w:rsid w:val="003D507A"/>
    <w:rsid w:val="003D6280"/>
    <w:rsid w:val="003D66CB"/>
    <w:rsid w:val="003D687A"/>
    <w:rsid w:val="003D6E45"/>
    <w:rsid w:val="003D71A5"/>
    <w:rsid w:val="003D7A2D"/>
    <w:rsid w:val="003D7C91"/>
    <w:rsid w:val="003E043F"/>
    <w:rsid w:val="003E07F1"/>
    <w:rsid w:val="003E0E8C"/>
    <w:rsid w:val="003E113F"/>
    <w:rsid w:val="003E1418"/>
    <w:rsid w:val="003E29B5"/>
    <w:rsid w:val="003E41EA"/>
    <w:rsid w:val="003E4979"/>
    <w:rsid w:val="003E4B79"/>
    <w:rsid w:val="003E4B85"/>
    <w:rsid w:val="003E581F"/>
    <w:rsid w:val="003E5F16"/>
    <w:rsid w:val="003E62F0"/>
    <w:rsid w:val="003E634D"/>
    <w:rsid w:val="003E64BB"/>
    <w:rsid w:val="003E6AC1"/>
    <w:rsid w:val="003E7EEA"/>
    <w:rsid w:val="003F01E7"/>
    <w:rsid w:val="003F18CF"/>
    <w:rsid w:val="003F2BFE"/>
    <w:rsid w:val="003F3A44"/>
    <w:rsid w:val="003F5F0A"/>
    <w:rsid w:val="003F5F0B"/>
    <w:rsid w:val="003F62E6"/>
    <w:rsid w:val="003F6DF4"/>
    <w:rsid w:val="003F7022"/>
    <w:rsid w:val="003F7263"/>
    <w:rsid w:val="003F7B0D"/>
    <w:rsid w:val="003F7D77"/>
    <w:rsid w:val="004005B8"/>
    <w:rsid w:val="00400A5E"/>
    <w:rsid w:val="004015B0"/>
    <w:rsid w:val="004016AD"/>
    <w:rsid w:val="00401A15"/>
    <w:rsid w:val="00401C5B"/>
    <w:rsid w:val="00401DB1"/>
    <w:rsid w:val="004020FB"/>
    <w:rsid w:val="0040228E"/>
    <w:rsid w:val="0040230D"/>
    <w:rsid w:val="004028D0"/>
    <w:rsid w:val="00402940"/>
    <w:rsid w:val="00403226"/>
    <w:rsid w:val="00403827"/>
    <w:rsid w:val="004040E3"/>
    <w:rsid w:val="00404682"/>
    <w:rsid w:val="00404D4D"/>
    <w:rsid w:val="004072A3"/>
    <w:rsid w:val="00407CDA"/>
    <w:rsid w:val="004100FD"/>
    <w:rsid w:val="0041029D"/>
    <w:rsid w:val="00410347"/>
    <w:rsid w:val="004104BF"/>
    <w:rsid w:val="0041068A"/>
    <w:rsid w:val="00410DEC"/>
    <w:rsid w:val="0041138F"/>
    <w:rsid w:val="004118D5"/>
    <w:rsid w:val="00412D1C"/>
    <w:rsid w:val="00412D45"/>
    <w:rsid w:val="00412EF3"/>
    <w:rsid w:val="00413273"/>
    <w:rsid w:val="0041330A"/>
    <w:rsid w:val="004133CD"/>
    <w:rsid w:val="00413549"/>
    <w:rsid w:val="004142E6"/>
    <w:rsid w:val="00414538"/>
    <w:rsid w:val="0041479C"/>
    <w:rsid w:val="00416787"/>
    <w:rsid w:val="004203CA"/>
    <w:rsid w:val="004208D7"/>
    <w:rsid w:val="00420CA2"/>
    <w:rsid w:val="00421878"/>
    <w:rsid w:val="004228EE"/>
    <w:rsid w:val="00422BB1"/>
    <w:rsid w:val="00422D87"/>
    <w:rsid w:val="0042325A"/>
    <w:rsid w:val="0042336F"/>
    <w:rsid w:val="004234EF"/>
    <w:rsid w:val="00423FAC"/>
    <w:rsid w:val="004242F2"/>
    <w:rsid w:val="004249DB"/>
    <w:rsid w:val="00424B95"/>
    <w:rsid w:val="00424C76"/>
    <w:rsid w:val="00425113"/>
    <w:rsid w:val="00425554"/>
    <w:rsid w:val="0042556A"/>
    <w:rsid w:val="00425B68"/>
    <w:rsid w:val="00425C9F"/>
    <w:rsid w:val="004268A5"/>
    <w:rsid w:val="0042739A"/>
    <w:rsid w:val="00427A53"/>
    <w:rsid w:val="004300E1"/>
    <w:rsid w:val="00430294"/>
    <w:rsid w:val="004309CF"/>
    <w:rsid w:val="00430B44"/>
    <w:rsid w:val="00430F27"/>
    <w:rsid w:val="0043104B"/>
    <w:rsid w:val="00431054"/>
    <w:rsid w:val="00431504"/>
    <w:rsid w:val="0043181D"/>
    <w:rsid w:val="004328E4"/>
    <w:rsid w:val="00432937"/>
    <w:rsid w:val="00433460"/>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89"/>
    <w:rsid w:val="004419CF"/>
    <w:rsid w:val="00442112"/>
    <w:rsid w:val="00442822"/>
    <w:rsid w:val="00442DF0"/>
    <w:rsid w:val="004437F3"/>
    <w:rsid w:val="00443A3A"/>
    <w:rsid w:val="00443AE0"/>
    <w:rsid w:val="00443D1A"/>
    <w:rsid w:val="004442B1"/>
    <w:rsid w:val="004443FB"/>
    <w:rsid w:val="0044476D"/>
    <w:rsid w:val="00445064"/>
    <w:rsid w:val="00445172"/>
    <w:rsid w:val="00446F55"/>
    <w:rsid w:val="0044710D"/>
    <w:rsid w:val="00447603"/>
    <w:rsid w:val="00447999"/>
    <w:rsid w:val="00447AC5"/>
    <w:rsid w:val="00447EAD"/>
    <w:rsid w:val="004504A7"/>
    <w:rsid w:val="00450899"/>
    <w:rsid w:val="004508B7"/>
    <w:rsid w:val="00450FE9"/>
    <w:rsid w:val="00451799"/>
    <w:rsid w:val="00451A7B"/>
    <w:rsid w:val="00451C8B"/>
    <w:rsid w:val="0045210D"/>
    <w:rsid w:val="004522A6"/>
    <w:rsid w:val="004525D8"/>
    <w:rsid w:val="00452931"/>
    <w:rsid w:val="004529D7"/>
    <w:rsid w:val="00452A11"/>
    <w:rsid w:val="00452B43"/>
    <w:rsid w:val="00453BF4"/>
    <w:rsid w:val="00454571"/>
    <w:rsid w:val="0045515B"/>
    <w:rsid w:val="004559BE"/>
    <w:rsid w:val="00455AFA"/>
    <w:rsid w:val="00456308"/>
    <w:rsid w:val="004566BE"/>
    <w:rsid w:val="0045682E"/>
    <w:rsid w:val="004568B4"/>
    <w:rsid w:val="00457142"/>
    <w:rsid w:val="004573A4"/>
    <w:rsid w:val="00457493"/>
    <w:rsid w:val="00457958"/>
    <w:rsid w:val="00457A45"/>
    <w:rsid w:val="0046115F"/>
    <w:rsid w:val="0046148D"/>
    <w:rsid w:val="00461535"/>
    <w:rsid w:val="004627CF"/>
    <w:rsid w:val="00462977"/>
    <w:rsid w:val="00462DBA"/>
    <w:rsid w:val="004635B7"/>
    <w:rsid w:val="00464027"/>
    <w:rsid w:val="004641CB"/>
    <w:rsid w:val="0046443B"/>
    <w:rsid w:val="00464465"/>
    <w:rsid w:val="00464BC7"/>
    <w:rsid w:val="00464FA5"/>
    <w:rsid w:val="004651B8"/>
    <w:rsid w:val="00465580"/>
    <w:rsid w:val="00465972"/>
    <w:rsid w:val="00465E7E"/>
    <w:rsid w:val="00466BB5"/>
    <w:rsid w:val="004672E8"/>
    <w:rsid w:val="004677E9"/>
    <w:rsid w:val="00470535"/>
    <w:rsid w:val="00471183"/>
    <w:rsid w:val="0047123C"/>
    <w:rsid w:val="004714F6"/>
    <w:rsid w:val="00471C66"/>
    <w:rsid w:val="00471DF0"/>
    <w:rsid w:val="0047221A"/>
    <w:rsid w:val="0047289C"/>
    <w:rsid w:val="00472E22"/>
    <w:rsid w:val="00472F67"/>
    <w:rsid w:val="004739A1"/>
    <w:rsid w:val="0047430D"/>
    <w:rsid w:val="00474FDF"/>
    <w:rsid w:val="0047521A"/>
    <w:rsid w:val="00475688"/>
    <w:rsid w:val="004758F6"/>
    <w:rsid w:val="004759E3"/>
    <w:rsid w:val="00475C51"/>
    <w:rsid w:val="00476161"/>
    <w:rsid w:val="00476658"/>
    <w:rsid w:val="00476E34"/>
    <w:rsid w:val="00476EE1"/>
    <w:rsid w:val="00477163"/>
    <w:rsid w:val="00477622"/>
    <w:rsid w:val="00477B0E"/>
    <w:rsid w:val="00477BB5"/>
    <w:rsid w:val="00481688"/>
    <w:rsid w:val="00481847"/>
    <w:rsid w:val="004820E0"/>
    <w:rsid w:val="004822CA"/>
    <w:rsid w:val="00483F95"/>
    <w:rsid w:val="00484D20"/>
    <w:rsid w:val="004850C1"/>
    <w:rsid w:val="00485FBA"/>
    <w:rsid w:val="00486F54"/>
    <w:rsid w:val="004871B4"/>
    <w:rsid w:val="004872C8"/>
    <w:rsid w:val="004873CF"/>
    <w:rsid w:val="004876DD"/>
    <w:rsid w:val="00490856"/>
    <w:rsid w:val="0049178A"/>
    <w:rsid w:val="00491C1D"/>
    <w:rsid w:val="00491DF1"/>
    <w:rsid w:val="00492535"/>
    <w:rsid w:val="00493435"/>
    <w:rsid w:val="004944AE"/>
    <w:rsid w:val="004949EC"/>
    <w:rsid w:val="00494B28"/>
    <w:rsid w:val="00495FFF"/>
    <w:rsid w:val="00496A9F"/>
    <w:rsid w:val="00497358"/>
    <w:rsid w:val="00497FA5"/>
    <w:rsid w:val="004A03B3"/>
    <w:rsid w:val="004A04D5"/>
    <w:rsid w:val="004A1B07"/>
    <w:rsid w:val="004A22D7"/>
    <w:rsid w:val="004A2E04"/>
    <w:rsid w:val="004A3226"/>
    <w:rsid w:val="004A399F"/>
    <w:rsid w:val="004A4096"/>
    <w:rsid w:val="004A4692"/>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0913"/>
    <w:rsid w:val="004D1000"/>
    <w:rsid w:val="004D1D27"/>
    <w:rsid w:val="004D222A"/>
    <w:rsid w:val="004D2EC3"/>
    <w:rsid w:val="004D2FF6"/>
    <w:rsid w:val="004D30AA"/>
    <w:rsid w:val="004D3570"/>
    <w:rsid w:val="004D3FD6"/>
    <w:rsid w:val="004D405F"/>
    <w:rsid w:val="004D466D"/>
    <w:rsid w:val="004D55CA"/>
    <w:rsid w:val="004D5A27"/>
    <w:rsid w:val="004D5A2A"/>
    <w:rsid w:val="004D5F0E"/>
    <w:rsid w:val="004D6626"/>
    <w:rsid w:val="004D6758"/>
    <w:rsid w:val="004D7B1A"/>
    <w:rsid w:val="004E0830"/>
    <w:rsid w:val="004E169C"/>
    <w:rsid w:val="004E1BF0"/>
    <w:rsid w:val="004E1E6A"/>
    <w:rsid w:val="004E28E1"/>
    <w:rsid w:val="004E2B01"/>
    <w:rsid w:val="004E2CDA"/>
    <w:rsid w:val="004E34C7"/>
    <w:rsid w:val="004E356A"/>
    <w:rsid w:val="004E375D"/>
    <w:rsid w:val="004E3850"/>
    <w:rsid w:val="004E3AEB"/>
    <w:rsid w:val="004E3B62"/>
    <w:rsid w:val="004E3FC1"/>
    <w:rsid w:val="004E459E"/>
    <w:rsid w:val="004E58EA"/>
    <w:rsid w:val="004E5F65"/>
    <w:rsid w:val="004E6C7A"/>
    <w:rsid w:val="004E7615"/>
    <w:rsid w:val="004E7CDF"/>
    <w:rsid w:val="004F045A"/>
    <w:rsid w:val="004F078C"/>
    <w:rsid w:val="004F1324"/>
    <w:rsid w:val="004F1C7D"/>
    <w:rsid w:val="004F1D24"/>
    <w:rsid w:val="004F21D2"/>
    <w:rsid w:val="004F2641"/>
    <w:rsid w:val="004F27F3"/>
    <w:rsid w:val="004F29B9"/>
    <w:rsid w:val="004F2B8E"/>
    <w:rsid w:val="004F2C85"/>
    <w:rsid w:val="004F32BF"/>
    <w:rsid w:val="004F3E6A"/>
    <w:rsid w:val="004F469D"/>
    <w:rsid w:val="004F4B4A"/>
    <w:rsid w:val="004F5346"/>
    <w:rsid w:val="004F5C09"/>
    <w:rsid w:val="004F5E4E"/>
    <w:rsid w:val="004F61D1"/>
    <w:rsid w:val="004F63CC"/>
    <w:rsid w:val="004F64E7"/>
    <w:rsid w:val="004F6678"/>
    <w:rsid w:val="004F68A5"/>
    <w:rsid w:val="004F6B28"/>
    <w:rsid w:val="004F6C65"/>
    <w:rsid w:val="004F6D2E"/>
    <w:rsid w:val="004F7F0F"/>
    <w:rsid w:val="004F7FBC"/>
    <w:rsid w:val="005001AE"/>
    <w:rsid w:val="005007E7"/>
    <w:rsid w:val="005012FC"/>
    <w:rsid w:val="005016C0"/>
    <w:rsid w:val="00501EBE"/>
    <w:rsid w:val="00502DF5"/>
    <w:rsid w:val="00503551"/>
    <w:rsid w:val="00503F38"/>
    <w:rsid w:val="005043FC"/>
    <w:rsid w:val="00504A55"/>
    <w:rsid w:val="00504F73"/>
    <w:rsid w:val="00505F08"/>
    <w:rsid w:val="0050671D"/>
    <w:rsid w:val="0050672C"/>
    <w:rsid w:val="005068E2"/>
    <w:rsid w:val="00506C4C"/>
    <w:rsid w:val="0050700E"/>
    <w:rsid w:val="00507470"/>
    <w:rsid w:val="0050755F"/>
    <w:rsid w:val="005079D7"/>
    <w:rsid w:val="00507B2A"/>
    <w:rsid w:val="00510A22"/>
    <w:rsid w:val="00510D8A"/>
    <w:rsid w:val="00511EBC"/>
    <w:rsid w:val="005125D5"/>
    <w:rsid w:val="00512D51"/>
    <w:rsid w:val="00512E95"/>
    <w:rsid w:val="00514674"/>
    <w:rsid w:val="0051477F"/>
    <w:rsid w:val="00514C46"/>
    <w:rsid w:val="00515BCF"/>
    <w:rsid w:val="00516083"/>
    <w:rsid w:val="0051635A"/>
    <w:rsid w:val="0051646E"/>
    <w:rsid w:val="005166C3"/>
    <w:rsid w:val="00516EA5"/>
    <w:rsid w:val="005179DA"/>
    <w:rsid w:val="00517D9C"/>
    <w:rsid w:val="00517E2A"/>
    <w:rsid w:val="00520C1C"/>
    <w:rsid w:val="00521439"/>
    <w:rsid w:val="00522133"/>
    <w:rsid w:val="00522343"/>
    <w:rsid w:val="0052292E"/>
    <w:rsid w:val="005231C3"/>
    <w:rsid w:val="005232E0"/>
    <w:rsid w:val="0052373B"/>
    <w:rsid w:val="00523B82"/>
    <w:rsid w:val="00523E00"/>
    <w:rsid w:val="0052439F"/>
    <w:rsid w:val="005243EB"/>
    <w:rsid w:val="00524D50"/>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2AC"/>
    <w:rsid w:val="0053490C"/>
    <w:rsid w:val="005350DE"/>
    <w:rsid w:val="00535585"/>
    <w:rsid w:val="00536A58"/>
    <w:rsid w:val="00536AB4"/>
    <w:rsid w:val="00537127"/>
    <w:rsid w:val="0053764B"/>
    <w:rsid w:val="0054069F"/>
    <w:rsid w:val="00541058"/>
    <w:rsid w:val="00541307"/>
    <w:rsid w:val="00541B60"/>
    <w:rsid w:val="00541DB8"/>
    <w:rsid w:val="00541F9A"/>
    <w:rsid w:val="00542599"/>
    <w:rsid w:val="00542EB4"/>
    <w:rsid w:val="005448B9"/>
    <w:rsid w:val="00545136"/>
    <w:rsid w:val="005452C1"/>
    <w:rsid w:val="00545B42"/>
    <w:rsid w:val="0054602C"/>
    <w:rsid w:val="0054612B"/>
    <w:rsid w:val="00547208"/>
    <w:rsid w:val="00547753"/>
    <w:rsid w:val="005479F5"/>
    <w:rsid w:val="00547D90"/>
    <w:rsid w:val="005508EF"/>
    <w:rsid w:val="005510E3"/>
    <w:rsid w:val="0055173F"/>
    <w:rsid w:val="00551AE8"/>
    <w:rsid w:val="00551D57"/>
    <w:rsid w:val="005529C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E76"/>
    <w:rsid w:val="00557401"/>
    <w:rsid w:val="0055747C"/>
    <w:rsid w:val="00557670"/>
    <w:rsid w:val="00557D41"/>
    <w:rsid w:val="00557F5B"/>
    <w:rsid w:val="00557FE2"/>
    <w:rsid w:val="00560729"/>
    <w:rsid w:val="00560A86"/>
    <w:rsid w:val="00561C64"/>
    <w:rsid w:val="0056218D"/>
    <w:rsid w:val="00562EAD"/>
    <w:rsid w:val="00563222"/>
    <w:rsid w:val="00563AEB"/>
    <w:rsid w:val="00564775"/>
    <w:rsid w:val="00565024"/>
    <w:rsid w:val="005662F7"/>
    <w:rsid w:val="00566C28"/>
    <w:rsid w:val="00566EBC"/>
    <w:rsid w:val="00567500"/>
    <w:rsid w:val="0056753D"/>
    <w:rsid w:val="00567811"/>
    <w:rsid w:val="00567CDA"/>
    <w:rsid w:val="00570163"/>
    <w:rsid w:val="005701B3"/>
    <w:rsid w:val="005702BD"/>
    <w:rsid w:val="005704B1"/>
    <w:rsid w:val="00570AB8"/>
    <w:rsid w:val="00570BC4"/>
    <w:rsid w:val="00572749"/>
    <w:rsid w:val="005739F4"/>
    <w:rsid w:val="00573A7F"/>
    <w:rsid w:val="00573E60"/>
    <w:rsid w:val="00573EE1"/>
    <w:rsid w:val="0057406C"/>
    <w:rsid w:val="00575051"/>
    <w:rsid w:val="005758E3"/>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904BB"/>
    <w:rsid w:val="00590D18"/>
    <w:rsid w:val="00590EDD"/>
    <w:rsid w:val="00591988"/>
    <w:rsid w:val="005921C8"/>
    <w:rsid w:val="005922A3"/>
    <w:rsid w:val="0059239E"/>
    <w:rsid w:val="005924DB"/>
    <w:rsid w:val="005929E8"/>
    <w:rsid w:val="00592A2E"/>
    <w:rsid w:val="00592BF7"/>
    <w:rsid w:val="00593155"/>
    <w:rsid w:val="0059353B"/>
    <w:rsid w:val="005938DB"/>
    <w:rsid w:val="005941AA"/>
    <w:rsid w:val="005949FB"/>
    <w:rsid w:val="00594C1A"/>
    <w:rsid w:val="00595106"/>
    <w:rsid w:val="00595692"/>
    <w:rsid w:val="00595B7B"/>
    <w:rsid w:val="00596020"/>
    <w:rsid w:val="0059632F"/>
    <w:rsid w:val="00597799"/>
    <w:rsid w:val="005977F9"/>
    <w:rsid w:val="00597A9E"/>
    <w:rsid w:val="00597BA8"/>
    <w:rsid w:val="005A01E7"/>
    <w:rsid w:val="005A02C8"/>
    <w:rsid w:val="005A09E5"/>
    <w:rsid w:val="005A1473"/>
    <w:rsid w:val="005A19FF"/>
    <w:rsid w:val="005A2074"/>
    <w:rsid w:val="005A24AE"/>
    <w:rsid w:val="005A318C"/>
    <w:rsid w:val="005A3394"/>
    <w:rsid w:val="005A403A"/>
    <w:rsid w:val="005A438D"/>
    <w:rsid w:val="005A43BE"/>
    <w:rsid w:val="005A4624"/>
    <w:rsid w:val="005A5011"/>
    <w:rsid w:val="005A508D"/>
    <w:rsid w:val="005A60BA"/>
    <w:rsid w:val="005A7382"/>
    <w:rsid w:val="005A761B"/>
    <w:rsid w:val="005B018B"/>
    <w:rsid w:val="005B01C4"/>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F6E"/>
    <w:rsid w:val="005C12AC"/>
    <w:rsid w:val="005C1C90"/>
    <w:rsid w:val="005C1CEF"/>
    <w:rsid w:val="005C230C"/>
    <w:rsid w:val="005C3964"/>
    <w:rsid w:val="005C428A"/>
    <w:rsid w:val="005C4330"/>
    <w:rsid w:val="005C45F6"/>
    <w:rsid w:val="005C4787"/>
    <w:rsid w:val="005C5113"/>
    <w:rsid w:val="005C51B9"/>
    <w:rsid w:val="005C5304"/>
    <w:rsid w:val="005C54B8"/>
    <w:rsid w:val="005C54C2"/>
    <w:rsid w:val="005C557C"/>
    <w:rsid w:val="005C56B7"/>
    <w:rsid w:val="005C5CDF"/>
    <w:rsid w:val="005C677E"/>
    <w:rsid w:val="005C6CD0"/>
    <w:rsid w:val="005C7072"/>
    <w:rsid w:val="005C785E"/>
    <w:rsid w:val="005C78D5"/>
    <w:rsid w:val="005C7A5E"/>
    <w:rsid w:val="005D00B6"/>
    <w:rsid w:val="005D101F"/>
    <w:rsid w:val="005D1247"/>
    <w:rsid w:val="005D1D60"/>
    <w:rsid w:val="005D205D"/>
    <w:rsid w:val="005D2F54"/>
    <w:rsid w:val="005D33D2"/>
    <w:rsid w:val="005D353D"/>
    <w:rsid w:val="005D38E1"/>
    <w:rsid w:val="005D3DD7"/>
    <w:rsid w:val="005D3FD5"/>
    <w:rsid w:val="005D593D"/>
    <w:rsid w:val="005D61CC"/>
    <w:rsid w:val="005D63A5"/>
    <w:rsid w:val="005D69A4"/>
    <w:rsid w:val="005D7173"/>
    <w:rsid w:val="005D75D6"/>
    <w:rsid w:val="005D75D9"/>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540"/>
    <w:rsid w:val="005E48DE"/>
    <w:rsid w:val="005E566F"/>
    <w:rsid w:val="005E64AF"/>
    <w:rsid w:val="005E6BE9"/>
    <w:rsid w:val="005E71A5"/>
    <w:rsid w:val="005E777B"/>
    <w:rsid w:val="005E7CD4"/>
    <w:rsid w:val="005F032A"/>
    <w:rsid w:val="005F03D5"/>
    <w:rsid w:val="005F0860"/>
    <w:rsid w:val="005F14A7"/>
    <w:rsid w:val="005F1897"/>
    <w:rsid w:val="005F18E4"/>
    <w:rsid w:val="005F1B20"/>
    <w:rsid w:val="005F1E18"/>
    <w:rsid w:val="005F27E0"/>
    <w:rsid w:val="005F29C0"/>
    <w:rsid w:val="005F2A66"/>
    <w:rsid w:val="005F2B32"/>
    <w:rsid w:val="005F3176"/>
    <w:rsid w:val="005F3549"/>
    <w:rsid w:val="005F3C41"/>
    <w:rsid w:val="005F3D8C"/>
    <w:rsid w:val="005F4582"/>
    <w:rsid w:val="005F54B4"/>
    <w:rsid w:val="005F5576"/>
    <w:rsid w:val="005F5A4E"/>
    <w:rsid w:val="005F5A6F"/>
    <w:rsid w:val="005F5C6D"/>
    <w:rsid w:val="005F5E8E"/>
    <w:rsid w:val="005F606E"/>
    <w:rsid w:val="005F60E6"/>
    <w:rsid w:val="005F61DD"/>
    <w:rsid w:val="005F67C3"/>
    <w:rsid w:val="005F764A"/>
    <w:rsid w:val="005F7726"/>
    <w:rsid w:val="0060008E"/>
    <w:rsid w:val="006005C1"/>
    <w:rsid w:val="00601159"/>
    <w:rsid w:val="006011A0"/>
    <w:rsid w:val="00601769"/>
    <w:rsid w:val="00602A78"/>
    <w:rsid w:val="00602BCA"/>
    <w:rsid w:val="0060305F"/>
    <w:rsid w:val="006034C7"/>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906"/>
    <w:rsid w:val="00606EE7"/>
    <w:rsid w:val="00606FAA"/>
    <w:rsid w:val="006076C9"/>
    <w:rsid w:val="00607C10"/>
    <w:rsid w:val="00611BA6"/>
    <w:rsid w:val="0061219D"/>
    <w:rsid w:val="00612C4E"/>
    <w:rsid w:val="00612D19"/>
    <w:rsid w:val="0061330F"/>
    <w:rsid w:val="00613530"/>
    <w:rsid w:val="00613641"/>
    <w:rsid w:val="00613B63"/>
    <w:rsid w:val="00614139"/>
    <w:rsid w:val="00614483"/>
    <w:rsid w:val="0061478C"/>
    <w:rsid w:val="0061516E"/>
    <w:rsid w:val="006151BC"/>
    <w:rsid w:val="00615204"/>
    <w:rsid w:val="006154F0"/>
    <w:rsid w:val="006156F6"/>
    <w:rsid w:val="00615E77"/>
    <w:rsid w:val="006162A3"/>
    <w:rsid w:val="00616C7D"/>
    <w:rsid w:val="00617110"/>
    <w:rsid w:val="0061735F"/>
    <w:rsid w:val="00617EF5"/>
    <w:rsid w:val="006205E1"/>
    <w:rsid w:val="0062062F"/>
    <w:rsid w:val="006208EE"/>
    <w:rsid w:val="0062091D"/>
    <w:rsid w:val="00620C44"/>
    <w:rsid w:val="0062100E"/>
    <w:rsid w:val="00621012"/>
    <w:rsid w:val="006211A5"/>
    <w:rsid w:val="006219BC"/>
    <w:rsid w:val="00621DD8"/>
    <w:rsid w:val="00622789"/>
    <w:rsid w:val="00623060"/>
    <w:rsid w:val="006233C1"/>
    <w:rsid w:val="00624649"/>
    <w:rsid w:val="006249A7"/>
    <w:rsid w:val="006249D1"/>
    <w:rsid w:val="00624D4F"/>
    <w:rsid w:val="00625713"/>
    <w:rsid w:val="00625B22"/>
    <w:rsid w:val="00625B78"/>
    <w:rsid w:val="00625C53"/>
    <w:rsid w:val="006262B8"/>
    <w:rsid w:val="00626415"/>
    <w:rsid w:val="0062768B"/>
    <w:rsid w:val="006278BA"/>
    <w:rsid w:val="00627A49"/>
    <w:rsid w:val="00627D60"/>
    <w:rsid w:val="00627E30"/>
    <w:rsid w:val="006303FC"/>
    <w:rsid w:val="006309D1"/>
    <w:rsid w:val="00631716"/>
    <w:rsid w:val="0063179F"/>
    <w:rsid w:val="006317A4"/>
    <w:rsid w:val="00632259"/>
    <w:rsid w:val="00632765"/>
    <w:rsid w:val="006328C9"/>
    <w:rsid w:val="00632DD8"/>
    <w:rsid w:val="006338DA"/>
    <w:rsid w:val="0063390C"/>
    <w:rsid w:val="006339C0"/>
    <w:rsid w:val="00633A5E"/>
    <w:rsid w:val="00633F74"/>
    <w:rsid w:val="0063585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4504"/>
    <w:rsid w:val="00645210"/>
    <w:rsid w:val="00645933"/>
    <w:rsid w:val="006459B3"/>
    <w:rsid w:val="00645D57"/>
    <w:rsid w:val="00645F16"/>
    <w:rsid w:val="00646328"/>
    <w:rsid w:val="00646970"/>
    <w:rsid w:val="00646A78"/>
    <w:rsid w:val="00646FDD"/>
    <w:rsid w:val="00647545"/>
    <w:rsid w:val="00647C38"/>
    <w:rsid w:val="00647D39"/>
    <w:rsid w:val="006500A2"/>
    <w:rsid w:val="0065058D"/>
    <w:rsid w:val="00650C5E"/>
    <w:rsid w:val="00651147"/>
    <w:rsid w:val="0065131D"/>
    <w:rsid w:val="00651DC1"/>
    <w:rsid w:val="00651EF1"/>
    <w:rsid w:val="00651FD6"/>
    <w:rsid w:val="0065234B"/>
    <w:rsid w:val="0065252C"/>
    <w:rsid w:val="00653AC4"/>
    <w:rsid w:val="00653C52"/>
    <w:rsid w:val="006540A5"/>
    <w:rsid w:val="006540C1"/>
    <w:rsid w:val="00654642"/>
    <w:rsid w:val="00654AF4"/>
    <w:rsid w:val="00654CB8"/>
    <w:rsid w:val="0065561D"/>
    <w:rsid w:val="00655F61"/>
    <w:rsid w:val="006562F3"/>
    <w:rsid w:val="006565D3"/>
    <w:rsid w:val="00656CD4"/>
    <w:rsid w:val="00656F87"/>
    <w:rsid w:val="00656FC3"/>
    <w:rsid w:val="00657693"/>
    <w:rsid w:val="00657861"/>
    <w:rsid w:val="00657B97"/>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51BA"/>
    <w:rsid w:val="0066527F"/>
    <w:rsid w:val="00665330"/>
    <w:rsid w:val="00665DD7"/>
    <w:rsid w:val="00666754"/>
    <w:rsid w:val="00666AEA"/>
    <w:rsid w:val="00666D2E"/>
    <w:rsid w:val="0066707C"/>
    <w:rsid w:val="00667FB2"/>
    <w:rsid w:val="00670D2E"/>
    <w:rsid w:val="00670F9C"/>
    <w:rsid w:val="0067269F"/>
    <w:rsid w:val="006726CB"/>
    <w:rsid w:val="0067272F"/>
    <w:rsid w:val="006727D4"/>
    <w:rsid w:val="006738BB"/>
    <w:rsid w:val="00673BA4"/>
    <w:rsid w:val="00673BFE"/>
    <w:rsid w:val="00674C5D"/>
    <w:rsid w:val="00674ED8"/>
    <w:rsid w:val="00675793"/>
    <w:rsid w:val="00675C5E"/>
    <w:rsid w:val="00676AC4"/>
    <w:rsid w:val="00676F0B"/>
    <w:rsid w:val="00677057"/>
    <w:rsid w:val="006773D1"/>
    <w:rsid w:val="00677487"/>
    <w:rsid w:val="00677F15"/>
    <w:rsid w:val="006801BB"/>
    <w:rsid w:val="006802B9"/>
    <w:rsid w:val="006802E3"/>
    <w:rsid w:val="006805E3"/>
    <w:rsid w:val="0068087E"/>
    <w:rsid w:val="00680CC6"/>
    <w:rsid w:val="0068241B"/>
    <w:rsid w:val="00683889"/>
    <w:rsid w:val="006842A2"/>
    <w:rsid w:val="006848BB"/>
    <w:rsid w:val="00685075"/>
    <w:rsid w:val="00685339"/>
    <w:rsid w:val="00685597"/>
    <w:rsid w:val="00686338"/>
    <w:rsid w:val="0068731C"/>
    <w:rsid w:val="00687B37"/>
    <w:rsid w:val="00687C73"/>
    <w:rsid w:val="006904AD"/>
    <w:rsid w:val="006905F1"/>
    <w:rsid w:val="006912E6"/>
    <w:rsid w:val="006914E9"/>
    <w:rsid w:val="00691815"/>
    <w:rsid w:val="00691E51"/>
    <w:rsid w:val="006920CA"/>
    <w:rsid w:val="006927F0"/>
    <w:rsid w:val="00692916"/>
    <w:rsid w:val="00692C4E"/>
    <w:rsid w:val="006936DB"/>
    <w:rsid w:val="00693801"/>
    <w:rsid w:val="00693B73"/>
    <w:rsid w:val="006944B8"/>
    <w:rsid w:val="00694706"/>
    <w:rsid w:val="00694DF8"/>
    <w:rsid w:val="006956E0"/>
    <w:rsid w:val="00695D95"/>
    <w:rsid w:val="00695DDA"/>
    <w:rsid w:val="00696136"/>
    <w:rsid w:val="00696243"/>
    <w:rsid w:val="006962E6"/>
    <w:rsid w:val="00696476"/>
    <w:rsid w:val="0069657D"/>
    <w:rsid w:val="00696A8E"/>
    <w:rsid w:val="00696E8F"/>
    <w:rsid w:val="0069703E"/>
    <w:rsid w:val="00697208"/>
    <w:rsid w:val="00697235"/>
    <w:rsid w:val="00697A32"/>
    <w:rsid w:val="006A06E3"/>
    <w:rsid w:val="006A0B03"/>
    <w:rsid w:val="006A0ECA"/>
    <w:rsid w:val="006A11F4"/>
    <w:rsid w:val="006A14A8"/>
    <w:rsid w:val="006A182D"/>
    <w:rsid w:val="006A1ADF"/>
    <w:rsid w:val="006A227F"/>
    <w:rsid w:val="006A23AC"/>
    <w:rsid w:val="006A2835"/>
    <w:rsid w:val="006A2AAF"/>
    <w:rsid w:val="006A2AEC"/>
    <w:rsid w:val="006A2FB8"/>
    <w:rsid w:val="006A3A19"/>
    <w:rsid w:val="006A3B9E"/>
    <w:rsid w:val="006A3D6D"/>
    <w:rsid w:val="006A3D73"/>
    <w:rsid w:val="006A43EA"/>
    <w:rsid w:val="006A471A"/>
    <w:rsid w:val="006A5290"/>
    <w:rsid w:val="006A5FBE"/>
    <w:rsid w:val="006A6BB6"/>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65D"/>
    <w:rsid w:val="006C0867"/>
    <w:rsid w:val="006C0CE9"/>
    <w:rsid w:val="006C12F3"/>
    <w:rsid w:val="006C1A8D"/>
    <w:rsid w:val="006C215A"/>
    <w:rsid w:val="006C24C7"/>
    <w:rsid w:val="006C273C"/>
    <w:rsid w:val="006C374A"/>
    <w:rsid w:val="006C3A0F"/>
    <w:rsid w:val="006C3EF1"/>
    <w:rsid w:val="006C45E4"/>
    <w:rsid w:val="006C479E"/>
    <w:rsid w:val="006C57FE"/>
    <w:rsid w:val="006C5AB5"/>
    <w:rsid w:val="006C6152"/>
    <w:rsid w:val="006C6A5C"/>
    <w:rsid w:val="006C6E36"/>
    <w:rsid w:val="006C705E"/>
    <w:rsid w:val="006C7216"/>
    <w:rsid w:val="006C7266"/>
    <w:rsid w:val="006C7A19"/>
    <w:rsid w:val="006C7D52"/>
    <w:rsid w:val="006D045E"/>
    <w:rsid w:val="006D0B6D"/>
    <w:rsid w:val="006D1549"/>
    <w:rsid w:val="006D1A5F"/>
    <w:rsid w:val="006D2781"/>
    <w:rsid w:val="006D381C"/>
    <w:rsid w:val="006D39EA"/>
    <w:rsid w:val="006D3CE0"/>
    <w:rsid w:val="006D4801"/>
    <w:rsid w:val="006D487E"/>
    <w:rsid w:val="006D4A33"/>
    <w:rsid w:val="006D53DF"/>
    <w:rsid w:val="006D54F7"/>
    <w:rsid w:val="006D5604"/>
    <w:rsid w:val="006D5CDA"/>
    <w:rsid w:val="006D6864"/>
    <w:rsid w:val="006D6AA0"/>
    <w:rsid w:val="006D7902"/>
    <w:rsid w:val="006D7C9D"/>
    <w:rsid w:val="006D7D85"/>
    <w:rsid w:val="006E045E"/>
    <w:rsid w:val="006E09E9"/>
    <w:rsid w:val="006E0B21"/>
    <w:rsid w:val="006E0C5D"/>
    <w:rsid w:val="006E171B"/>
    <w:rsid w:val="006E17DA"/>
    <w:rsid w:val="006E1F21"/>
    <w:rsid w:val="006E2C6D"/>
    <w:rsid w:val="006E2CE7"/>
    <w:rsid w:val="006E33D2"/>
    <w:rsid w:val="006E374B"/>
    <w:rsid w:val="006E3B50"/>
    <w:rsid w:val="006E44D3"/>
    <w:rsid w:val="006E4705"/>
    <w:rsid w:val="006E470D"/>
    <w:rsid w:val="006E49DF"/>
    <w:rsid w:val="006E4E81"/>
    <w:rsid w:val="006E58CF"/>
    <w:rsid w:val="006E6241"/>
    <w:rsid w:val="006E645F"/>
    <w:rsid w:val="006E6B8B"/>
    <w:rsid w:val="006E6F3D"/>
    <w:rsid w:val="006F117D"/>
    <w:rsid w:val="006F1195"/>
    <w:rsid w:val="006F13F3"/>
    <w:rsid w:val="006F157C"/>
    <w:rsid w:val="006F1DBD"/>
    <w:rsid w:val="006F1E00"/>
    <w:rsid w:val="006F301F"/>
    <w:rsid w:val="006F506E"/>
    <w:rsid w:val="006F5847"/>
    <w:rsid w:val="006F5B1A"/>
    <w:rsid w:val="006F5F76"/>
    <w:rsid w:val="006F6790"/>
    <w:rsid w:val="00700362"/>
    <w:rsid w:val="00700821"/>
    <w:rsid w:val="007010A7"/>
    <w:rsid w:val="007011D1"/>
    <w:rsid w:val="007011D8"/>
    <w:rsid w:val="00702723"/>
    <w:rsid w:val="0070303A"/>
    <w:rsid w:val="0070328F"/>
    <w:rsid w:val="00703AAF"/>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76E"/>
    <w:rsid w:val="007139BF"/>
    <w:rsid w:val="00713C11"/>
    <w:rsid w:val="00714A38"/>
    <w:rsid w:val="00714B10"/>
    <w:rsid w:val="00714B64"/>
    <w:rsid w:val="00714BA7"/>
    <w:rsid w:val="00714F03"/>
    <w:rsid w:val="00715C06"/>
    <w:rsid w:val="00716D23"/>
    <w:rsid w:val="00716D4E"/>
    <w:rsid w:val="0071717E"/>
    <w:rsid w:val="00717795"/>
    <w:rsid w:val="00717D31"/>
    <w:rsid w:val="00717D83"/>
    <w:rsid w:val="00720A2C"/>
    <w:rsid w:val="00720B85"/>
    <w:rsid w:val="00720C22"/>
    <w:rsid w:val="00720C6E"/>
    <w:rsid w:val="00720E58"/>
    <w:rsid w:val="00720E79"/>
    <w:rsid w:val="0072131C"/>
    <w:rsid w:val="00721531"/>
    <w:rsid w:val="00722BE6"/>
    <w:rsid w:val="00722C7E"/>
    <w:rsid w:val="00722CD9"/>
    <w:rsid w:val="00722EF9"/>
    <w:rsid w:val="007232F1"/>
    <w:rsid w:val="00723F60"/>
    <w:rsid w:val="0072454A"/>
    <w:rsid w:val="007245B1"/>
    <w:rsid w:val="00724696"/>
    <w:rsid w:val="007248B5"/>
    <w:rsid w:val="00724952"/>
    <w:rsid w:val="00724CD4"/>
    <w:rsid w:val="00725D1A"/>
    <w:rsid w:val="00725D3A"/>
    <w:rsid w:val="00725DF3"/>
    <w:rsid w:val="00725E43"/>
    <w:rsid w:val="00726B7D"/>
    <w:rsid w:val="00726F94"/>
    <w:rsid w:val="00727285"/>
    <w:rsid w:val="00727380"/>
    <w:rsid w:val="00727D91"/>
    <w:rsid w:val="00727E44"/>
    <w:rsid w:val="00730152"/>
    <w:rsid w:val="007301B7"/>
    <w:rsid w:val="0073071A"/>
    <w:rsid w:val="00730DD2"/>
    <w:rsid w:val="007310E4"/>
    <w:rsid w:val="00731129"/>
    <w:rsid w:val="0073183F"/>
    <w:rsid w:val="00732732"/>
    <w:rsid w:val="0073397C"/>
    <w:rsid w:val="00734051"/>
    <w:rsid w:val="00734519"/>
    <w:rsid w:val="0073458B"/>
    <w:rsid w:val="00734B84"/>
    <w:rsid w:val="00735728"/>
    <w:rsid w:val="00735EBF"/>
    <w:rsid w:val="0073600C"/>
    <w:rsid w:val="007365ED"/>
    <w:rsid w:val="00736927"/>
    <w:rsid w:val="00737A4B"/>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FE"/>
    <w:rsid w:val="00744CEC"/>
    <w:rsid w:val="0074538A"/>
    <w:rsid w:val="00745A05"/>
    <w:rsid w:val="00745F8E"/>
    <w:rsid w:val="00746564"/>
    <w:rsid w:val="00746721"/>
    <w:rsid w:val="00746B32"/>
    <w:rsid w:val="00747741"/>
    <w:rsid w:val="00747896"/>
    <w:rsid w:val="00750099"/>
    <w:rsid w:val="007505F4"/>
    <w:rsid w:val="00750979"/>
    <w:rsid w:val="00751313"/>
    <w:rsid w:val="007514AA"/>
    <w:rsid w:val="00751760"/>
    <w:rsid w:val="007518C9"/>
    <w:rsid w:val="00751B88"/>
    <w:rsid w:val="0075218A"/>
    <w:rsid w:val="00752238"/>
    <w:rsid w:val="00752D10"/>
    <w:rsid w:val="00752DE0"/>
    <w:rsid w:val="00752E14"/>
    <w:rsid w:val="007532AA"/>
    <w:rsid w:val="00753DA5"/>
    <w:rsid w:val="00754A57"/>
    <w:rsid w:val="00754E53"/>
    <w:rsid w:val="0075502B"/>
    <w:rsid w:val="00755633"/>
    <w:rsid w:val="00755B6F"/>
    <w:rsid w:val="00756430"/>
    <w:rsid w:val="00756A17"/>
    <w:rsid w:val="00756B41"/>
    <w:rsid w:val="007576EC"/>
    <w:rsid w:val="00757957"/>
    <w:rsid w:val="00760978"/>
    <w:rsid w:val="00760D42"/>
    <w:rsid w:val="007623B0"/>
    <w:rsid w:val="00762A7D"/>
    <w:rsid w:val="0076334B"/>
    <w:rsid w:val="00763B9E"/>
    <w:rsid w:val="00764588"/>
    <w:rsid w:val="00764712"/>
    <w:rsid w:val="007648FE"/>
    <w:rsid w:val="00764B39"/>
    <w:rsid w:val="00765A95"/>
    <w:rsid w:val="007664EA"/>
    <w:rsid w:val="007667C4"/>
    <w:rsid w:val="007670FC"/>
    <w:rsid w:val="00767181"/>
    <w:rsid w:val="00767282"/>
    <w:rsid w:val="007678B9"/>
    <w:rsid w:val="00767DDD"/>
    <w:rsid w:val="00767F7F"/>
    <w:rsid w:val="0077008E"/>
    <w:rsid w:val="00770243"/>
    <w:rsid w:val="007703EA"/>
    <w:rsid w:val="00770A9B"/>
    <w:rsid w:val="00770C49"/>
    <w:rsid w:val="0077130E"/>
    <w:rsid w:val="007713D7"/>
    <w:rsid w:val="00771BF6"/>
    <w:rsid w:val="007720AC"/>
    <w:rsid w:val="0077249A"/>
    <w:rsid w:val="0077262C"/>
    <w:rsid w:val="00772A29"/>
    <w:rsid w:val="00772B8D"/>
    <w:rsid w:val="00773B3E"/>
    <w:rsid w:val="00773E65"/>
    <w:rsid w:val="007741B0"/>
    <w:rsid w:val="007745D3"/>
    <w:rsid w:val="007746DC"/>
    <w:rsid w:val="0077558B"/>
    <w:rsid w:val="007756E4"/>
    <w:rsid w:val="00776874"/>
    <w:rsid w:val="00776AF2"/>
    <w:rsid w:val="0077726C"/>
    <w:rsid w:val="00777AAB"/>
    <w:rsid w:val="00780FF9"/>
    <w:rsid w:val="0078100A"/>
    <w:rsid w:val="0078285C"/>
    <w:rsid w:val="00782B30"/>
    <w:rsid w:val="00782BF0"/>
    <w:rsid w:val="00782E0C"/>
    <w:rsid w:val="00783A36"/>
    <w:rsid w:val="007845D4"/>
    <w:rsid w:val="00784DF0"/>
    <w:rsid w:val="00785A38"/>
    <w:rsid w:val="00785C2A"/>
    <w:rsid w:val="0078668F"/>
    <w:rsid w:val="007869E1"/>
    <w:rsid w:val="0078700E"/>
    <w:rsid w:val="00787339"/>
    <w:rsid w:val="00787B59"/>
    <w:rsid w:val="007900A9"/>
    <w:rsid w:val="007910C3"/>
    <w:rsid w:val="00791110"/>
    <w:rsid w:val="00791250"/>
    <w:rsid w:val="0079150D"/>
    <w:rsid w:val="00791DE1"/>
    <w:rsid w:val="00793181"/>
    <w:rsid w:val="007936BD"/>
    <w:rsid w:val="007936C1"/>
    <w:rsid w:val="00793D45"/>
    <w:rsid w:val="007947D6"/>
    <w:rsid w:val="00794C22"/>
    <w:rsid w:val="00794DB6"/>
    <w:rsid w:val="00795E20"/>
    <w:rsid w:val="00796787"/>
    <w:rsid w:val="007975BD"/>
    <w:rsid w:val="00797B7E"/>
    <w:rsid w:val="007A05A2"/>
    <w:rsid w:val="007A10D6"/>
    <w:rsid w:val="007A12EE"/>
    <w:rsid w:val="007A138C"/>
    <w:rsid w:val="007A1834"/>
    <w:rsid w:val="007A1856"/>
    <w:rsid w:val="007A1E52"/>
    <w:rsid w:val="007A208F"/>
    <w:rsid w:val="007A2A4D"/>
    <w:rsid w:val="007A2CB3"/>
    <w:rsid w:val="007A31B2"/>
    <w:rsid w:val="007A3629"/>
    <w:rsid w:val="007A385C"/>
    <w:rsid w:val="007A38F5"/>
    <w:rsid w:val="007A3D24"/>
    <w:rsid w:val="007A4786"/>
    <w:rsid w:val="007A4860"/>
    <w:rsid w:val="007A4B39"/>
    <w:rsid w:val="007A4CAF"/>
    <w:rsid w:val="007A4F7B"/>
    <w:rsid w:val="007A5163"/>
    <w:rsid w:val="007A61E4"/>
    <w:rsid w:val="007A6610"/>
    <w:rsid w:val="007A704A"/>
    <w:rsid w:val="007A7242"/>
    <w:rsid w:val="007B12B0"/>
    <w:rsid w:val="007B1392"/>
    <w:rsid w:val="007B1785"/>
    <w:rsid w:val="007B17D8"/>
    <w:rsid w:val="007B215A"/>
    <w:rsid w:val="007B22DC"/>
    <w:rsid w:val="007B24F0"/>
    <w:rsid w:val="007B320B"/>
    <w:rsid w:val="007B34DC"/>
    <w:rsid w:val="007B3A98"/>
    <w:rsid w:val="007B3F00"/>
    <w:rsid w:val="007B4008"/>
    <w:rsid w:val="007B49C4"/>
    <w:rsid w:val="007B4D74"/>
    <w:rsid w:val="007B4DC6"/>
    <w:rsid w:val="007B5132"/>
    <w:rsid w:val="007B69E8"/>
    <w:rsid w:val="007B6C17"/>
    <w:rsid w:val="007B71BC"/>
    <w:rsid w:val="007B743C"/>
    <w:rsid w:val="007C0165"/>
    <w:rsid w:val="007C048B"/>
    <w:rsid w:val="007C0508"/>
    <w:rsid w:val="007C057E"/>
    <w:rsid w:val="007C1541"/>
    <w:rsid w:val="007C19DF"/>
    <w:rsid w:val="007C20AB"/>
    <w:rsid w:val="007C25F8"/>
    <w:rsid w:val="007C44DC"/>
    <w:rsid w:val="007C4545"/>
    <w:rsid w:val="007C45F7"/>
    <w:rsid w:val="007C46D1"/>
    <w:rsid w:val="007C47C2"/>
    <w:rsid w:val="007C4822"/>
    <w:rsid w:val="007C4DEF"/>
    <w:rsid w:val="007C5468"/>
    <w:rsid w:val="007C5484"/>
    <w:rsid w:val="007C55F1"/>
    <w:rsid w:val="007C58AB"/>
    <w:rsid w:val="007C6148"/>
    <w:rsid w:val="007C6900"/>
    <w:rsid w:val="007C69A9"/>
    <w:rsid w:val="007C6C60"/>
    <w:rsid w:val="007C6D07"/>
    <w:rsid w:val="007C6DD9"/>
    <w:rsid w:val="007C6F1E"/>
    <w:rsid w:val="007C745C"/>
    <w:rsid w:val="007C7578"/>
    <w:rsid w:val="007C7E7C"/>
    <w:rsid w:val="007C7F4C"/>
    <w:rsid w:val="007D065E"/>
    <w:rsid w:val="007D0A94"/>
    <w:rsid w:val="007D0B22"/>
    <w:rsid w:val="007D0BD6"/>
    <w:rsid w:val="007D0D5B"/>
    <w:rsid w:val="007D143D"/>
    <w:rsid w:val="007D1E69"/>
    <w:rsid w:val="007D25B9"/>
    <w:rsid w:val="007D2BE8"/>
    <w:rsid w:val="007D3066"/>
    <w:rsid w:val="007D3912"/>
    <w:rsid w:val="007D421B"/>
    <w:rsid w:val="007D4490"/>
    <w:rsid w:val="007D4579"/>
    <w:rsid w:val="007D4FD4"/>
    <w:rsid w:val="007D51EB"/>
    <w:rsid w:val="007D539B"/>
    <w:rsid w:val="007D58BB"/>
    <w:rsid w:val="007D6835"/>
    <w:rsid w:val="007D6A93"/>
    <w:rsid w:val="007D7C91"/>
    <w:rsid w:val="007D7CDE"/>
    <w:rsid w:val="007D7DC7"/>
    <w:rsid w:val="007E01AF"/>
    <w:rsid w:val="007E0772"/>
    <w:rsid w:val="007E0D31"/>
    <w:rsid w:val="007E0E04"/>
    <w:rsid w:val="007E0EF9"/>
    <w:rsid w:val="007E0F50"/>
    <w:rsid w:val="007E21D9"/>
    <w:rsid w:val="007E2BDD"/>
    <w:rsid w:val="007E327A"/>
    <w:rsid w:val="007E45CA"/>
    <w:rsid w:val="007E48C0"/>
    <w:rsid w:val="007E5885"/>
    <w:rsid w:val="007E61B7"/>
    <w:rsid w:val="007E64FF"/>
    <w:rsid w:val="007E659C"/>
    <w:rsid w:val="007E6F62"/>
    <w:rsid w:val="007E6FEA"/>
    <w:rsid w:val="007E7C7B"/>
    <w:rsid w:val="007E7E0F"/>
    <w:rsid w:val="007E7F8F"/>
    <w:rsid w:val="007F015E"/>
    <w:rsid w:val="007F017D"/>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9B2"/>
    <w:rsid w:val="007F6607"/>
    <w:rsid w:val="007F7746"/>
    <w:rsid w:val="007F7865"/>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558"/>
    <w:rsid w:val="008047AE"/>
    <w:rsid w:val="00804B21"/>
    <w:rsid w:val="00805448"/>
    <w:rsid w:val="00805483"/>
    <w:rsid w:val="0080585D"/>
    <w:rsid w:val="00806273"/>
    <w:rsid w:val="0080661F"/>
    <w:rsid w:val="00806EFD"/>
    <w:rsid w:val="00807074"/>
    <w:rsid w:val="00807E43"/>
    <w:rsid w:val="00807F69"/>
    <w:rsid w:val="00810368"/>
    <w:rsid w:val="008106C9"/>
    <w:rsid w:val="008108B5"/>
    <w:rsid w:val="00810BE7"/>
    <w:rsid w:val="00811336"/>
    <w:rsid w:val="0081165D"/>
    <w:rsid w:val="00811B28"/>
    <w:rsid w:val="00812862"/>
    <w:rsid w:val="00812A7A"/>
    <w:rsid w:val="0081362B"/>
    <w:rsid w:val="00813BD1"/>
    <w:rsid w:val="0081450B"/>
    <w:rsid w:val="0081467F"/>
    <w:rsid w:val="00814E44"/>
    <w:rsid w:val="00814FF1"/>
    <w:rsid w:val="00815339"/>
    <w:rsid w:val="008154F1"/>
    <w:rsid w:val="0081591F"/>
    <w:rsid w:val="00815A99"/>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1E7"/>
    <w:rsid w:val="00825417"/>
    <w:rsid w:val="008262BC"/>
    <w:rsid w:val="008266A2"/>
    <w:rsid w:val="008267AE"/>
    <w:rsid w:val="008271FA"/>
    <w:rsid w:val="00827CBB"/>
    <w:rsid w:val="00830B33"/>
    <w:rsid w:val="0083118A"/>
    <w:rsid w:val="00831784"/>
    <w:rsid w:val="008324B3"/>
    <w:rsid w:val="00832727"/>
    <w:rsid w:val="008337C1"/>
    <w:rsid w:val="00834F23"/>
    <w:rsid w:val="008353B6"/>
    <w:rsid w:val="008354D0"/>
    <w:rsid w:val="00836A67"/>
    <w:rsid w:val="00836B8E"/>
    <w:rsid w:val="00836CEB"/>
    <w:rsid w:val="00840C08"/>
    <w:rsid w:val="00840EAF"/>
    <w:rsid w:val="008416BF"/>
    <w:rsid w:val="008416FD"/>
    <w:rsid w:val="0084188F"/>
    <w:rsid w:val="008425F4"/>
    <w:rsid w:val="00842659"/>
    <w:rsid w:val="0084293A"/>
    <w:rsid w:val="00843364"/>
    <w:rsid w:val="0084354C"/>
    <w:rsid w:val="0084364D"/>
    <w:rsid w:val="0084375D"/>
    <w:rsid w:val="00843EB0"/>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5F3"/>
    <w:rsid w:val="00854946"/>
    <w:rsid w:val="00854B62"/>
    <w:rsid w:val="00854B77"/>
    <w:rsid w:val="00854E58"/>
    <w:rsid w:val="008558ED"/>
    <w:rsid w:val="00855CFC"/>
    <w:rsid w:val="00855FD5"/>
    <w:rsid w:val="00856049"/>
    <w:rsid w:val="0085632A"/>
    <w:rsid w:val="0085659C"/>
    <w:rsid w:val="008568BB"/>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8FB"/>
    <w:rsid w:val="0086444C"/>
    <w:rsid w:val="008644B1"/>
    <w:rsid w:val="00864768"/>
    <w:rsid w:val="008658AB"/>
    <w:rsid w:val="00865B18"/>
    <w:rsid w:val="0086635F"/>
    <w:rsid w:val="0086672E"/>
    <w:rsid w:val="00866CF2"/>
    <w:rsid w:val="00867424"/>
    <w:rsid w:val="008675EC"/>
    <w:rsid w:val="008679CE"/>
    <w:rsid w:val="00867DA7"/>
    <w:rsid w:val="008705A8"/>
    <w:rsid w:val="008718FC"/>
    <w:rsid w:val="00871AAB"/>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44"/>
    <w:rsid w:val="00874C66"/>
    <w:rsid w:val="00874D7C"/>
    <w:rsid w:val="00874F67"/>
    <w:rsid w:val="00875F4F"/>
    <w:rsid w:val="008762D8"/>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077"/>
    <w:rsid w:val="0089160E"/>
    <w:rsid w:val="008921B1"/>
    <w:rsid w:val="00892687"/>
    <w:rsid w:val="00893386"/>
    <w:rsid w:val="0089363C"/>
    <w:rsid w:val="00893657"/>
    <w:rsid w:val="00893671"/>
    <w:rsid w:val="00893FE0"/>
    <w:rsid w:val="008941FB"/>
    <w:rsid w:val="008942BF"/>
    <w:rsid w:val="00894565"/>
    <w:rsid w:val="008950D6"/>
    <w:rsid w:val="008956EE"/>
    <w:rsid w:val="00895734"/>
    <w:rsid w:val="00895B46"/>
    <w:rsid w:val="00896474"/>
    <w:rsid w:val="00896DBC"/>
    <w:rsid w:val="00897237"/>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044"/>
    <w:rsid w:val="008A4C9C"/>
    <w:rsid w:val="008A4E9A"/>
    <w:rsid w:val="008A6041"/>
    <w:rsid w:val="008A60F8"/>
    <w:rsid w:val="008A6448"/>
    <w:rsid w:val="008A69FE"/>
    <w:rsid w:val="008A6EC7"/>
    <w:rsid w:val="008A6F36"/>
    <w:rsid w:val="008A7286"/>
    <w:rsid w:val="008A7B50"/>
    <w:rsid w:val="008B0641"/>
    <w:rsid w:val="008B0EB7"/>
    <w:rsid w:val="008B138E"/>
    <w:rsid w:val="008B1C78"/>
    <w:rsid w:val="008B1F87"/>
    <w:rsid w:val="008B2404"/>
    <w:rsid w:val="008B28BD"/>
    <w:rsid w:val="008B2997"/>
    <w:rsid w:val="008B2E96"/>
    <w:rsid w:val="008B2F53"/>
    <w:rsid w:val="008B3006"/>
    <w:rsid w:val="008B3139"/>
    <w:rsid w:val="008B3B50"/>
    <w:rsid w:val="008B3D47"/>
    <w:rsid w:val="008B44CB"/>
    <w:rsid w:val="008B46D2"/>
    <w:rsid w:val="008B5253"/>
    <w:rsid w:val="008B53D8"/>
    <w:rsid w:val="008B5603"/>
    <w:rsid w:val="008B63BE"/>
    <w:rsid w:val="008B640E"/>
    <w:rsid w:val="008B6505"/>
    <w:rsid w:val="008B688D"/>
    <w:rsid w:val="008B70EE"/>
    <w:rsid w:val="008B715C"/>
    <w:rsid w:val="008B75B8"/>
    <w:rsid w:val="008B7BCB"/>
    <w:rsid w:val="008C0EAD"/>
    <w:rsid w:val="008C1442"/>
    <w:rsid w:val="008C1693"/>
    <w:rsid w:val="008C19D9"/>
    <w:rsid w:val="008C1A5E"/>
    <w:rsid w:val="008C1A81"/>
    <w:rsid w:val="008C29FE"/>
    <w:rsid w:val="008C32CA"/>
    <w:rsid w:val="008C36D9"/>
    <w:rsid w:val="008C3967"/>
    <w:rsid w:val="008C431E"/>
    <w:rsid w:val="008C5411"/>
    <w:rsid w:val="008C54BD"/>
    <w:rsid w:val="008C54C4"/>
    <w:rsid w:val="008C6056"/>
    <w:rsid w:val="008C6628"/>
    <w:rsid w:val="008C69A9"/>
    <w:rsid w:val="008C69C9"/>
    <w:rsid w:val="008C6E38"/>
    <w:rsid w:val="008C6ECA"/>
    <w:rsid w:val="008C6F75"/>
    <w:rsid w:val="008C7C18"/>
    <w:rsid w:val="008C7CC4"/>
    <w:rsid w:val="008D047D"/>
    <w:rsid w:val="008D0B4C"/>
    <w:rsid w:val="008D14C4"/>
    <w:rsid w:val="008D1964"/>
    <w:rsid w:val="008D221A"/>
    <w:rsid w:val="008D222F"/>
    <w:rsid w:val="008D24D6"/>
    <w:rsid w:val="008D24E1"/>
    <w:rsid w:val="008D2CEA"/>
    <w:rsid w:val="008D3A23"/>
    <w:rsid w:val="008D3E0C"/>
    <w:rsid w:val="008D3E6A"/>
    <w:rsid w:val="008D53E2"/>
    <w:rsid w:val="008D5908"/>
    <w:rsid w:val="008D5AF1"/>
    <w:rsid w:val="008D64D9"/>
    <w:rsid w:val="008D6A6E"/>
    <w:rsid w:val="008D781F"/>
    <w:rsid w:val="008D7DBE"/>
    <w:rsid w:val="008E02B7"/>
    <w:rsid w:val="008E1064"/>
    <w:rsid w:val="008E20BE"/>
    <w:rsid w:val="008E241B"/>
    <w:rsid w:val="008E28A7"/>
    <w:rsid w:val="008E3096"/>
    <w:rsid w:val="008E330C"/>
    <w:rsid w:val="008E332F"/>
    <w:rsid w:val="008E3BBA"/>
    <w:rsid w:val="008E4114"/>
    <w:rsid w:val="008E45EA"/>
    <w:rsid w:val="008E4A1A"/>
    <w:rsid w:val="008E5383"/>
    <w:rsid w:val="008E5E01"/>
    <w:rsid w:val="008E69A3"/>
    <w:rsid w:val="008E766D"/>
    <w:rsid w:val="008E7CC9"/>
    <w:rsid w:val="008F00B8"/>
    <w:rsid w:val="008F02A1"/>
    <w:rsid w:val="008F02CC"/>
    <w:rsid w:val="008F0E69"/>
    <w:rsid w:val="008F12FF"/>
    <w:rsid w:val="008F3D3E"/>
    <w:rsid w:val="008F3F31"/>
    <w:rsid w:val="008F4655"/>
    <w:rsid w:val="008F4779"/>
    <w:rsid w:val="008F542B"/>
    <w:rsid w:val="008F5670"/>
    <w:rsid w:val="008F599F"/>
    <w:rsid w:val="008F63DF"/>
    <w:rsid w:val="008F64E5"/>
    <w:rsid w:val="008F677E"/>
    <w:rsid w:val="008F7C28"/>
    <w:rsid w:val="0090034D"/>
    <w:rsid w:val="009003C0"/>
    <w:rsid w:val="00900EC7"/>
    <w:rsid w:val="00900FFC"/>
    <w:rsid w:val="009011F9"/>
    <w:rsid w:val="00901244"/>
    <w:rsid w:val="00901979"/>
    <w:rsid w:val="00901DEE"/>
    <w:rsid w:val="00902357"/>
    <w:rsid w:val="0090242A"/>
    <w:rsid w:val="00902C85"/>
    <w:rsid w:val="009030F7"/>
    <w:rsid w:val="009034D9"/>
    <w:rsid w:val="009046C9"/>
    <w:rsid w:val="009046F1"/>
    <w:rsid w:val="00904883"/>
    <w:rsid w:val="00904B0A"/>
    <w:rsid w:val="00904F84"/>
    <w:rsid w:val="00905346"/>
    <w:rsid w:val="009055DD"/>
    <w:rsid w:val="0090616A"/>
    <w:rsid w:val="00906527"/>
    <w:rsid w:val="00906820"/>
    <w:rsid w:val="00906BD9"/>
    <w:rsid w:val="00906EA0"/>
    <w:rsid w:val="00907F4C"/>
    <w:rsid w:val="0091006A"/>
    <w:rsid w:val="00910B57"/>
    <w:rsid w:val="0091148A"/>
    <w:rsid w:val="009119D2"/>
    <w:rsid w:val="00911C3F"/>
    <w:rsid w:val="009120BD"/>
    <w:rsid w:val="00912347"/>
    <w:rsid w:val="0091268D"/>
    <w:rsid w:val="009129C1"/>
    <w:rsid w:val="00913B74"/>
    <w:rsid w:val="00913D83"/>
    <w:rsid w:val="00913EBB"/>
    <w:rsid w:val="009141BB"/>
    <w:rsid w:val="00914700"/>
    <w:rsid w:val="00914B55"/>
    <w:rsid w:val="00914DC4"/>
    <w:rsid w:val="00915329"/>
    <w:rsid w:val="0091588C"/>
    <w:rsid w:val="00915DB5"/>
    <w:rsid w:val="00915DF4"/>
    <w:rsid w:val="00916068"/>
    <w:rsid w:val="00916399"/>
    <w:rsid w:val="00916BF5"/>
    <w:rsid w:val="00916CCB"/>
    <w:rsid w:val="009171D2"/>
    <w:rsid w:val="00917DB8"/>
    <w:rsid w:val="00920EC8"/>
    <w:rsid w:val="00921102"/>
    <w:rsid w:val="00921305"/>
    <w:rsid w:val="00921783"/>
    <w:rsid w:val="009217D9"/>
    <w:rsid w:val="00921AC8"/>
    <w:rsid w:val="0092206F"/>
    <w:rsid w:val="00922482"/>
    <w:rsid w:val="00922A2B"/>
    <w:rsid w:val="009236B0"/>
    <w:rsid w:val="0092487A"/>
    <w:rsid w:val="00924A04"/>
    <w:rsid w:val="00924A6C"/>
    <w:rsid w:val="00924ED4"/>
    <w:rsid w:val="00924F63"/>
    <w:rsid w:val="00925128"/>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61E8"/>
    <w:rsid w:val="00936247"/>
    <w:rsid w:val="00936501"/>
    <w:rsid w:val="009366AD"/>
    <w:rsid w:val="009377A1"/>
    <w:rsid w:val="0094000C"/>
    <w:rsid w:val="00940218"/>
    <w:rsid w:val="00940850"/>
    <w:rsid w:val="00940B1D"/>
    <w:rsid w:val="0094243B"/>
    <w:rsid w:val="009425EB"/>
    <w:rsid w:val="009428A4"/>
    <w:rsid w:val="00943157"/>
    <w:rsid w:val="0094368C"/>
    <w:rsid w:val="00943893"/>
    <w:rsid w:val="00943F8A"/>
    <w:rsid w:val="00944312"/>
    <w:rsid w:val="009443DC"/>
    <w:rsid w:val="00944AE2"/>
    <w:rsid w:val="009451F7"/>
    <w:rsid w:val="0094526B"/>
    <w:rsid w:val="009456EB"/>
    <w:rsid w:val="00945E4A"/>
    <w:rsid w:val="00945E7E"/>
    <w:rsid w:val="00945E8F"/>
    <w:rsid w:val="009463FD"/>
    <w:rsid w:val="009467FD"/>
    <w:rsid w:val="00946CA3"/>
    <w:rsid w:val="00946D2E"/>
    <w:rsid w:val="00946E64"/>
    <w:rsid w:val="009472F6"/>
    <w:rsid w:val="0094783F"/>
    <w:rsid w:val="00950B18"/>
    <w:rsid w:val="00950C55"/>
    <w:rsid w:val="00950CB3"/>
    <w:rsid w:val="0095267E"/>
    <w:rsid w:val="00952E0E"/>
    <w:rsid w:val="00952EBB"/>
    <w:rsid w:val="00952F24"/>
    <w:rsid w:val="0095330D"/>
    <w:rsid w:val="0095370E"/>
    <w:rsid w:val="00953B5D"/>
    <w:rsid w:val="00953D3D"/>
    <w:rsid w:val="00953F68"/>
    <w:rsid w:val="009543D8"/>
    <w:rsid w:val="009545D6"/>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5D7"/>
    <w:rsid w:val="00962D17"/>
    <w:rsid w:val="00963D17"/>
    <w:rsid w:val="00963D45"/>
    <w:rsid w:val="00963D4E"/>
    <w:rsid w:val="00963EC4"/>
    <w:rsid w:val="009640B5"/>
    <w:rsid w:val="009641A2"/>
    <w:rsid w:val="00964459"/>
    <w:rsid w:val="00964665"/>
    <w:rsid w:val="009657D5"/>
    <w:rsid w:val="00965F9F"/>
    <w:rsid w:val="00966141"/>
    <w:rsid w:val="009662EC"/>
    <w:rsid w:val="00966611"/>
    <w:rsid w:val="009669CC"/>
    <w:rsid w:val="00966DBE"/>
    <w:rsid w:val="00967655"/>
    <w:rsid w:val="00970F12"/>
    <w:rsid w:val="009710BF"/>
    <w:rsid w:val="00971178"/>
    <w:rsid w:val="00971874"/>
    <w:rsid w:val="00971F83"/>
    <w:rsid w:val="00972061"/>
    <w:rsid w:val="0097245C"/>
    <w:rsid w:val="009725FE"/>
    <w:rsid w:val="0097282B"/>
    <w:rsid w:val="00972DAC"/>
    <w:rsid w:val="00973117"/>
    <w:rsid w:val="00973A35"/>
    <w:rsid w:val="00974A1E"/>
    <w:rsid w:val="0097559A"/>
    <w:rsid w:val="00975D48"/>
    <w:rsid w:val="00976546"/>
    <w:rsid w:val="00976F1B"/>
    <w:rsid w:val="00976FCF"/>
    <w:rsid w:val="00980A33"/>
    <w:rsid w:val="00980BAC"/>
    <w:rsid w:val="00980DF0"/>
    <w:rsid w:val="00980F3F"/>
    <w:rsid w:val="00981D1C"/>
    <w:rsid w:val="00982214"/>
    <w:rsid w:val="009823D4"/>
    <w:rsid w:val="00982474"/>
    <w:rsid w:val="00982FE4"/>
    <w:rsid w:val="00983285"/>
    <w:rsid w:val="00984672"/>
    <w:rsid w:val="009849F5"/>
    <w:rsid w:val="00984F97"/>
    <w:rsid w:val="0098521F"/>
    <w:rsid w:val="0098569D"/>
    <w:rsid w:val="00985A09"/>
    <w:rsid w:val="00986277"/>
    <w:rsid w:val="009866A3"/>
    <w:rsid w:val="0098693D"/>
    <w:rsid w:val="00987F04"/>
    <w:rsid w:val="00990343"/>
    <w:rsid w:val="009905E1"/>
    <w:rsid w:val="0099064C"/>
    <w:rsid w:val="0099078A"/>
    <w:rsid w:val="0099097F"/>
    <w:rsid w:val="00991A3F"/>
    <w:rsid w:val="00992097"/>
    <w:rsid w:val="00992869"/>
    <w:rsid w:val="00992914"/>
    <w:rsid w:val="00992C47"/>
    <w:rsid w:val="00993776"/>
    <w:rsid w:val="00993832"/>
    <w:rsid w:val="00993F15"/>
    <w:rsid w:val="00993FD2"/>
    <w:rsid w:val="009944B9"/>
    <w:rsid w:val="009947D5"/>
    <w:rsid w:val="00994B69"/>
    <w:rsid w:val="00994E90"/>
    <w:rsid w:val="0099533A"/>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A771C"/>
    <w:rsid w:val="009B0C04"/>
    <w:rsid w:val="009B0EE7"/>
    <w:rsid w:val="009B1F0C"/>
    <w:rsid w:val="009B1F3A"/>
    <w:rsid w:val="009B20A5"/>
    <w:rsid w:val="009B2766"/>
    <w:rsid w:val="009B28BC"/>
    <w:rsid w:val="009B32F0"/>
    <w:rsid w:val="009B3EB4"/>
    <w:rsid w:val="009B3F21"/>
    <w:rsid w:val="009B42BE"/>
    <w:rsid w:val="009B4F84"/>
    <w:rsid w:val="009B5795"/>
    <w:rsid w:val="009B58B1"/>
    <w:rsid w:val="009B5973"/>
    <w:rsid w:val="009B5B48"/>
    <w:rsid w:val="009B62E6"/>
    <w:rsid w:val="009B66A9"/>
    <w:rsid w:val="009B67C4"/>
    <w:rsid w:val="009B6A3F"/>
    <w:rsid w:val="009B6C01"/>
    <w:rsid w:val="009B6C5A"/>
    <w:rsid w:val="009B71E1"/>
    <w:rsid w:val="009C0448"/>
    <w:rsid w:val="009C0615"/>
    <w:rsid w:val="009C0CF8"/>
    <w:rsid w:val="009C125A"/>
    <w:rsid w:val="009C1EB2"/>
    <w:rsid w:val="009C2609"/>
    <w:rsid w:val="009C2675"/>
    <w:rsid w:val="009C2839"/>
    <w:rsid w:val="009C2B54"/>
    <w:rsid w:val="009C2DC4"/>
    <w:rsid w:val="009C2DEC"/>
    <w:rsid w:val="009C3042"/>
    <w:rsid w:val="009C386A"/>
    <w:rsid w:val="009C3E9C"/>
    <w:rsid w:val="009C4A32"/>
    <w:rsid w:val="009C4D46"/>
    <w:rsid w:val="009C4E4C"/>
    <w:rsid w:val="009C63AB"/>
    <w:rsid w:val="009C67B1"/>
    <w:rsid w:val="009C69D0"/>
    <w:rsid w:val="009C69F4"/>
    <w:rsid w:val="009C7163"/>
    <w:rsid w:val="009C77A3"/>
    <w:rsid w:val="009D0350"/>
    <w:rsid w:val="009D1082"/>
    <w:rsid w:val="009D1294"/>
    <w:rsid w:val="009D20AC"/>
    <w:rsid w:val="009D20C9"/>
    <w:rsid w:val="009D21C8"/>
    <w:rsid w:val="009D26D8"/>
    <w:rsid w:val="009D30F9"/>
    <w:rsid w:val="009D3192"/>
    <w:rsid w:val="009D31C0"/>
    <w:rsid w:val="009D322C"/>
    <w:rsid w:val="009D334F"/>
    <w:rsid w:val="009D372A"/>
    <w:rsid w:val="009D3A26"/>
    <w:rsid w:val="009D3BAC"/>
    <w:rsid w:val="009D3EDD"/>
    <w:rsid w:val="009D41EF"/>
    <w:rsid w:val="009D48BA"/>
    <w:rsid w:val="009D4B7E"/>
    <w:rsid w:val="009D4D48"/>
    <w:rsid w:val="009D4DC6"/>
    <w:rsid w:val="009D5106"/>
    <w:rsid w:val="009D570F"/>
    <w:rsid w:val="009D66B9"/>
    <w:rsid w:val="009D6B77"/>
    <w:rsid w:val="009D6CE1"/>
    <w:rsid w:val="009D7CE0"/>
    <w:rsid w:val="009E085E"/>
    <w:rsid w:val="009E0B5A"/>
    <w:rsid w:val="009E14B2"/>
    <w:rsid w:val="009E1D15"/>
    <w:rsid w:val="009E1DFA"/>
    <w:rsid w:val="009E23ED"/>
    <w:rsid w:val="009E26BC"/>
    <w:rsid w:val="009E322C"/>
    <w:rsid w:val="009E3352"/>
    <w:rsid w:val="009E3479"/>
    <w:rsid w:val="009E387D"/>
    <w:rsid w:val="009E453D"/>
    <w:rsid w:val="009E5013"/>
    <w:rsid w:val="009E5327"/>
    <w:rsid w:val="009E56B0"/>
    <w:rsid w:val="009E5917"/>
    <w:rsid w:val="009E6223"/>
    <w:rsid w:val="009E6837"/>
    <w:rsid w:val="009E725F"/>
    <w:rsid w:val="009E79CF"/>
    <w:rsid w:val="009E7F2E"/>
    <w:rsid w:val="009F009C"/>
    <w:rsid w:val="009F0345"/>
    <w:rsid w:val="009F04F2"/>
    <w:rsid w:val="009F0A8F"/>
    <w:rsid w:val="009F231C"/>
    <w:rsid w:val="009F2512"/>
    <w:rsid w:val="009F2C7D"/>
    <w:rsid w:val="009F3C3F"/>
    <w:rsid w:val="009F40CE"/>
    <w:rsid w:val="009F4CDA"/>
    <w:rsid w:val="009F4F01"/>
    <w:rsid w:val="009F59BF"/>
    <w:rsid w:val="009F5F68"/>
    <w:rsid w:val="009F776E"/>
    <w:rsid w:val="00A009E7"/>
    <w:rsid w:val="00A00F42"/>
    <w:rsid w:val="00A01519"/>
    <w:rsid w:val="00A0195A"/>
    <w:rsid w:val="00A0204E"/>
    <w:rsid w:val="00A02B91"/>
    <w:rsid w:val="00A02D3C"/>
    <w:rsid w:val="00A032EA"/>
    <w:rsid w:val="00A03F90"/>
    <w:rsid w:val="00A0408F"/>
    <w:rsid w:val="00A044CD"/>
    <w:rsid w:val="00A04E68"/>
    <w:rsid w:val="00A04EA6"/>
    <w:rsid w:val="00A05975"/>
    <w:rsid w:val="00A05EAA"/>
    <w:rsid w:val="00A0608D"/>
    <w:rsid w:val="00A060BE"/>
    <w:rsid w:val="00A0695E"/>
    <w:rsid w:val="00A06B49"/>
    <w:rsid w:val="00A07D26"/>
    <w:rsid w:val="00A1036E"/>
    <w:rsid w:val="00A104A1"/>
    <w:rsid w:val="00A10D80"/>
    <w:rsid w:val="00A10FC7"/>
    <w:rsid w:val="00A11135"/>
    <w:rsid w:val="00A11671"/>
    <w:rsid w:val="00A1187C"/>
    <w:rsid w:val="00A12CCC"/>
    <w:rsid w:val="00A12D1A"/>
    <w:rsid w:val="00A12E07"/>
    <w:rsid w:val="00A12F3D"/>
    <w:rsid w:val="00A13A4E"/>
    <w:rsid w:val="00A15566"/>
    <w:rsid w:val="00A15B2D"/>
    <w:rsid w:val="00A163CD"/>
    <w:rsid w:val="00A1670B"/>
    <w:rsid w:val="00A16778"/>
    <w:rsid w:val="00A167CD"/>
    <w:rsid w:val="00A16B57"/>
    <w:rsid w:val="00A17812"/>
    <w:rsid w:val="00A20224"/>
    <w:rsid w:val="00A21424"/>
    <w:rsid w:val="00A21997"/>
    <w:rsid w:val="00A23623"/>
    <w:rsid w:val="00A23A98"/>
    <w:rsid w:val="00A24217"/>
    <w:rsid w:val="00A244E9"/>
    <w:rsid w:val="00A24622"/>
    <w:rsid w:val="00A246A3"/>
    <w:rsid w:val="00A259A8"/>
    <w:rsid w:val="00A25ABB"/>
    <w:rsid w:val="00A25E39"/>
    <w:rsid w:val="00A2621F"/>
    <w:rsid w:val="00A267F3"/>
    <w:rsid w:val="00A26827"/>
    <w:rsid w:val="00A26B0B"/>
    <w:rsid w:val="00A26D47"/>
    <w:rsid w:val="00A26DA7"/>
    <w:rsid w:val="00A26F41"/>
    <w:rsid w:val="00A26F88"/>
    <w:rsid w:val="00A275D1"/>
    <w:rsid w:val="00A27698"/>
    <w:rsid w:val="00A27B57"/>
    <w:rsid w:val="00A313B3"/>
    <w:rsid w:val="00A31D00"/>
    <w:rsid w:val="00A32051"/>
    <w:rsid w:val="00A32AE0"/>
    <w:rsid w:val="00A32B77"/>
    <w:rsid w:val="00A32BB4"/>
    <w:rsid w:val="00A33CCF"/>
    <w:rsid w:val="00A35D65"/>
    <w:rsid w:val="00A36172"/>
    <w:rsid w:val="00A36CF6"/>
    <w:rsid w:val="00A36EC5"/>
    <w:rsid w:val="00A37EDA"/>
    <w:rsid w:val="00A4035D"/>
    <w:rsid w:val="00A413A3"/>
    <w:rsid w:val="00A42824"/>
    <w:rsid w:val="00A42D0A"/>
    <w:rsid w:val="00A43270"/>
    <w:rsid w:val="00A4539E"/>
    <w:rsid w:val="00A46080"/>
    <w:rsid w:val="00A460ED"/>
    <w:rsid w:val="00A461CB"/>
    <w:rsid w:val="00A46C6C"/>
    <w:rsid w:val="00A46EB1"/>
    <w:rsid w:val="00A47A54"/>
    <w:rsid w:val="00A47C59"/>
    <w:rsid w:val="00A50FEC"/>
    <w:rsid w:val="00A51B7A"/>
    <w:rsid w:val="00A51FC3"/>
    <w:rsid w:val="00A52A4C"/>
    <w:rsid w:val="00A52E8E"/>
    <w:rsid w:val="00A532FC"/>
    <w:rsid w:val="00A53624"/>
    <w:rsid w:val="00A538C7"/>
    <w:rsid w:val="00A53BC7"/>
    <w:rsid w:val="00A5432D"/>
    <w:rsid w:val="00A54F72"/>
    <w:rsid w:val="00A565B6"/>
    <w:rsid w:val="00A567E2"/>
    <w:rsid w:val="00A56806"/>
    <w:rsid w:val="00A56E9D"/>
    <w:rsid w:val="00A57F15"/>
    <w:rsid w:val="00A60066"/>
    <w:rsid w:val="00A60179"/>
    <w:rsid w:val="00A613E7"/>
    <w:rsid w:val="00A61782"/>
    <w:rsid w:val="00A61F98"/>
    <w:rsid w:val="00A61FDA"/>
    <w:rsid w:val="00A622F1"/>
    <w:rsid w:val="00A63493"/>
    <w:rsid w:val="00A63850"/>
    <w:rsid w:val="00A645C6"/>
    <w:rsid w:val="00A64787"/>
    <w:rsid w:val="00A648E9"/>
    <w:rsid w:val="00A65038"/>
    <w:rsid w:val="00A6654A"/>
    <w:rsid w:val="00A66C0D"/>
    <w:rsid w:val="00A6764D"/>
    <w:rsid w:val="00A67934"/>
    <w:rsid w:val="00A67D4A"/>
    <w:rsid w:val="00A703AE"/>
    <w:rsid w:val="00A70415"/>
    <w:rsid w:val="00A7044B"/>
    <w:rsid w:val="00A709AE"/>
    <w:rsid w:val="00A70DCB"/>
    <w:rsid w:val="00A70E5B"/>
    <w:rsid w:val="00A711A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8C8"/>
    <w:rsid w:val="00A76946"/>
    <w:rsid w:val="00A76C21"/>
    <w:rsid w:val="00A76EC3"/>
    <w:rsid w:val="00A77727"/>
    <w:rsid w:val="00A80840"/>
    <w:rsid w:val="00A813F2"/>
    <w:rsid w:val="00A82266"/>
    <w:rsid w:val="00A8226A"/>
    <w:rsid w:val="00A82631"/>
    <w:rsid w:val="00A82941"/>
    <w:rsid w:val="00A834D6"/>
    <w:rsid w:val="00A83DBC"/>
    <w:rsid w:val="00A84746"/>
    <w:rsid w:val="00A847AE"/>
    <w:rsid w:val="00A84D2C"/>
    <w:rsid w:val="00A85029"/>
    <w:rsid w:val="00A85084"/>
    <w:rsid w:val="00A855FE"/>
    <w:rsid w:val="00A85836"/>
    <w:rsid w:val="00A85E79"/>
    <w:rsid w:val="00A85F29"/>
    <w:rsid w:val="00A8613B"/>
    <w:rsid w:val="00A86203"/>
    <w:rsid w:val="00A86D62"/>
    <w:rsid w:val="00A87982"/>
    <w:rsid w:val="00A87C2F"/>
    <w:rsid w:val="00A904D9"/>
    <w:rsid w:val="00A904F2"/>
    <w:rsid w:val="00A90A9D"/>
    <w:rsid w:val="00A911A0"/>
    <w:rsid w:val="00A911A9"/>
    <w:rsid w:val="00A91363"/>
    <w:rsid w:val="00A91450"/>
    <w:rsid w:val="00A918BB"/>
    <w:rsid w:val="00A91B63"/>
    <w:rsid w:val="00A920B1"/>
    <w:rsid w:val="00A92564"/>
    <w:rsid w:val="00A92D3C"/>
    <w:rsid w:val="00A92DB9"/>
    <w:rsid w:val="00A93738"/>
    <w:rsid w:val="00A93BA2"/>
    <w:rsid w:val="00A93F54"/>
    <w:rsid w:val="00A94084"/>
    <w:rsid w:val="00A9446E"/>
    <w:rsid w:val="00A95C60"/>
    <w:rsid w:val="00A96852"/>
    <w:rsid w:val="00A96C21"/>
    <w:rsid w:val="00A9791D"/>
    <w:rsid w:val="00A97D4A"/>
    <w:rsid w:val="00A97DB8"/>
    <w:rsid w:val="00AA0209"/>
    <w:rsid w:val="00AA03A6"/>
    <w:rsid w:val="00AA0CE9"/>
    <w:rsid w:val="00AA1128"/>
    <w:rsid w:val="00AA1A7C"/>
    <w:rsid w:val="00AA1ADA"/>
    <w:rsid w:val="00AA20B3"/>
    <w:rsid w:val="00AA2A7D"/>
    <w:rsid w:val="00AA2A95"/>
    <w:rsid w:val="00AA2ECC"/>
    <w:rsid w:val="00AA3579"/>
    <w:rsid w:val="00AA3A3E"/>
    <w:rsid w:val="00AA3B94"/>
    <w:rsid w:val="00AA3C94"/>
    <w:rsid w:val="00AA41D4"/>
    <w:rsid w:val="00AA4203"/>
    <w:rsid w:val="00AA4775"/>
    <w:rsid w:val="00AA488F"/>
    <w:rsid w:val="00AA5515"/>
    <w:rsid w:val="00AA567F"/>
    <w:rsid w:val="00AA583C"/>
    <w:rsid w:val="00AA65CF"/>
    <w:rsid w:val="00AA6A88"/>
    <w:rsid w:val="00AA6B02"/>
    <w:rsid w:val="00AB02DD"/>
    <w:rsid w:val="00AB045C"/>
    <w:rsid w:val="00AB05BB"/>
    <w:rsid w:val="00AB090C"/>
    <w:rsid w:val="00AB0F9A"/>
    <w:rsid w:val="00AB1160"/>
    <w:rsid w:val="00AB1411"/>
    <w:rsid w:val="00AB142E"/>
    <w:rsid w:val="00AB1C10"/>
    <w:rsid w:val="00AB1D98"/>
    <w:rsid w:val="00AB212D"/>
    <w:rsid w:val="00AB25D0"/>
    <w:rsid w:val="00AB32C1"/>
    <w:rsid w:val="00AB3552"/>
    <w:rsid w:val="00AB49C3"/>
    <w:rsid w:val="00AB55F8"/>
    <w:rsid w:val="00AB5DF2"/>
    <w:rsid w:val="00AB6113"/>
    <w:rsid w:val="00AB6C4D"/>
    <w:rsid w:val="00AB73C8"/>
    <w:rsid w:val="00AB7866"/>
    <w:rsid w:val="00AC1D3B"/>
    <w:rsid w:val="00AC226A"/>
    <w:rsid w:val="00AC246C"/>
    <w:rsid w:val="00AC2FB2"/>
    <w:rsid w:val="00AC32FB"/>
    <w:rsid w:val="00AC33FE"/>
    <w:rsid w:val="00AC3ADE"/>
    <w:rsid w:val="00AC3F58"/>
    <w:rsid w:val="00AC4C92"/>
    <w:rsid w:val="00AC4E28"/>
    <w:rsid w:val="00AC4E71"/>
    <w:rsid w:val="00AC4F7E"/>
    <w:rsid w:val="00AC5700"/>
    <w:rsid w:val="00AC5A64"/>
    <w:rsid w:val="00AC7042"/>
    <w:rsid w:val="00AC752F"/>
    <w:rsid w:val="00AC7B8D"/>
    <w:rsid w:val="00AC7E49"/>
    <w:rsid w:val="00AD0007"/>
    <w:rsid w:val="00AD099F"/>
    <w:rsid w:val="00AD1338"/>
    <w:rsid w:val="00AD1956"/>
    <w:rsid w:val="00AD1C10"/>
    <w:rsid w:val="00AD1F1B"/>
    <w:rsid w:val="00AD20B2"/>
    <w:rsid w:val="00AD2E7B"/>
    <w:rsid w:val="00AD2F8F"/>
    <w:rsid w:val="00AD35DF"/>
    <w:rsid w:val="00AD3685"/>
    <w:rsid w:val="00AD3F4F"/>
    <w:rsid w:val="00AD403C"/>
    <w:rsid w:val="00AD4153"/>
    <w:rsid w:val="00AD467A"/>
    <w:rsid w:val="00AD4838"/>
    <w:rsid w:val="00AD5420"/>
    <w:rsid w:val="00AD56CF"/>
    <w:rsid w:val="00AD5DDB"/>
    <w:rsid w:val="00AD5DED"/>
    <w:rsid w:val="00AD5E3E"/>
    <w:rsid w:val="00AD60AC"/>
    <w:rsid w:val="00AD60B8"/>
    <w:rsid w:val="00AD60EF"/>
    <w:rsid w:val="00AD612C"/>
    <w:rsid w:val="00AD734C"/>
    <w:rsid w:val="00AD77B1"/>
    <w:rsid w:val="00AD7922"/>
    <w:rsid w:val="00AD7CBB"/>
    <w:rsid w:val="00AE0413"/>
    <w:rsid w:val="00AE05BF"/>
    <w:rsid w:val="00AE07E2"/>
    <w:rsid w:val="00AE0D8D"/>
    <w:rsid w:val="00AE1AF9"/>
    <w:rsid w:val="00AE1FC7"/>
    <w:rsid w:val="00AE23C8"/>
    <w:rsid w:val="00AE265A"/>
    <w:rsid w:val="00AE308D"/>
    <w:rsid w:val="00AE33FA"/>
    <w:rsid w:val="00AE36D1"/>
    <w:rsid w:val="00AE3DDB"/>
    <w:rsid w:val="00AE3F78"/>
    <w:rsid w:val="00AE4A64"/>
    <w:rsid w:val="00AE5771"/>
    <w:rsid w:val="00AE59FC"/>
    <w:rsid w:val="00AE6AAF"/>
    <w:rsid w:val="00AE6E97"/>
    <w:rsid w:val="00AE758E"/>
    <w:rsid w:val="00AF059D"/>
    <w:rsid w:val="00AF077D"/>
    <w:rsid w:val="00AF0992"/>
    <w:rsid w:val="00AF0C7C"/>
    <w:rsid w:val="00AF0D62"/>
    <w:rsid w:val="00AF0EB3"/>
    <w:rsid w:val="00AF1281"/>
    <w:rsid w:val="00AF14C8"/>
    <w:rsid w:val="00AF176E"/>
    <w:rsid w:val="00AF23D9"/>
    <w:rsid w:val="00AF290E"/>
    <w:rsid w:val="00AF29FA"/>
    <w:rsid w:val="00AF37D5"/>
    <w:rsid w:val="00AF381B"/>
    <w:rsid w:val="00AF3F63"/>
    <w:rsid w:val="00AF4138"/>
    <w:rsid w:val="00AF4345"/>
    <w:rsid w:val="00AF463B"/>
    <w:rsid w:val="00AF4CC5"/>
    <w:rsid w:val="00AF5319"/>
    <w:rsid w:val="00AF608B"/>
    <w:rsid w:val="00AF6A59"/>
    <w:rsid w:val="00AF7BDD"/>
    <w:rsid w:val="00B00F8C"/>
    <w:rsid w:val="00B00FEC"/>
    <w:rsid w:val="00B02064"/>
    <w:rsid w:val="00B020F1"/>
    <w:rsid w:val="00B02145"/>
    <w:rsid w:val="00B02F0C"/>
    <w:rsid w:val="00B03776"/>
    <w:rsid w:val="00B03ED8"/>
    <w:rsid w:val="00B0401D"/>
    <w:rsid w:val="00B042D2"/>
    <w:rsid w:val="00B04E8D"/>
    <w:rsid w:val="00B04F50"/>
    <w:rsid w:val="00B0542F"/>
    <w:rsid w:val="00B0556E"/>
    <w:rsid w:val="00B05A05"/>
    <w:rsid w:val="00B06495"/>
    <w:rsid w:val="00B064F1"/>
    <w:rsid w:val="00B06BAE"/>
    <w:rsid w:val="00B06DA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865"/>
    <w:rsid w:val="00B15DB9"/>
    <w:rsid w:val="00B1780E"/>
    <w:rsid w:val="00B200D3"/>
    <w:rsid w:val="00B2041F"/>
    <w:rsid w:val="00B2060E"/>
    <w:rsid w:val="00B20C01"/>
    <w:rsid w:val="00B20DCF"/>
    <w:rsid w:val="00B20F8A"/>
    <w:rsid w:val="00B215EB"/>
    <w:rsid w:val="00B219CA"/>
    <w:rsid w:val="00B22522"/>
    <w:rsid w:val="00B2288A"/>
    <w:rsid w:val="00B231AF"/>
    <w:rsid w:val="00B242A6"/>
    <w:rsid w:val="00B245BD"/>
    <w:rsid w:val="00B24D66"/>
    <w:rsid w:val="00B258AF"/>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3920"/>
    <w:rsid w:val="00B34497"/>
    <w:rsid w:val="00B34725"/>
    <w:rsid w:val="00B355F0"/>
    <w:rsid w:val="00B3578C"/>
    <w:rsid w:val="00B3687E"/>
    <w:rsid w:val="00B36D9E"/>
    <w:rsid w:val="00B37311"/>
    <w:rsid w:val="00B373FB"/>
    <w:rsid w:val="00B37975"/>
    <w:rsid w:val="00B4106F"/>
    <w:rsid w:val="00B417B4"/>
    <w:rsid w:val="00B41BE7"/>
    <w:rsid w:val="00B424F7"/>
    <w:rsid w:val="00B42568"/>
    <w:rsid w:val="00B42CA1"/>
    <w:rsid w:val="00B4316E"/>
    <w:rsid w:val="00B4339F"/>
    <w:rsid w:val="00B4381B"/>
    <w:rsid w:val="00B4383C"/>
    <w:rsid w:val="00B4403D"/>
    <w:rsid w:val="00B45847"/>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3B4E"/>
    <w:rsid w:val="00B53C5F"/>
    <w:rsid w:val="00B54BD8"/>
    <w:rsid w:val="00B5596C"/>
    <w:rsid w:val="00B569B2"/>
    <w:rsid w:val="00B56FBD"/>
    <w:rsid w:val="00B5715A"/>
    <w:rsid w:val="00B57327"/>
    <w:rsid w:val="00B6002D"/>
    <w:rsid w:val="00B6010B"/>
    <w:rsid w:val="00B61262"/>
    <w:rsid w:val="00B61AF0"/>
    <w:rsid w:val="00B6210A"/>
    <w:rsid w:val="00B6220A"/>
    <w:rsid w:val="00B629F3"/>
    <w:rsid w:val="00B640CF"/>
    <w:rsid w:val="00B64927"/>
    <w:rsid w:val="00B65828"/>
    <w:rsid w:val="00B65E01"/>
    <w:rsid w:val="00B665BB"/>
    <w:rsid w:val="00B66800"/>
    <w:rsid w:val="00B668CA"/>
    <w:rsid w:val="00B66AB0"/>
    <w:rsid w:val="00B677D7"/>
    <w:rsid w:val="00B7095E"/>
    <w:rsid w:val="00B70C27"/>
    <w:rsid w:val="00B70ED8"/>
    <w:rsid w:val="00B710E0"/>
    <w:rsid w:val="00B71165"/>
    <w:rsid w:val="00B7162D"/>
    <w:rsid w:val="00B719AB"/>
    <w:rsid w:val="00B71E56"/>
    <w:rsid w:val="00B727DF"/>
    <w:rsid w:val="00B72837"/>
    <w:rsid w:val="00B728AA"/>
    <w:rsid w:val="00B72CF9"/>
    <w:rsid w:val="00B72EE9"/>
    <w:rsid w:val="00B73637"/>
    <w:rsid w:val="00B73D34"/>
    <w:rsid w:val="00B742C1"/>
    <w:rsid w:val="00B74720"/>
    <w:rsid w:val="00B74AF6"/>
    <w:rsid w:val="00B74C99"/>
    <w:rsid w:val="00B75032"/>
    <w:rsid w:val="00B750D5"/>
    <w:rsid w:val="00B7591C"/>
    <w:rsid w:val="00B75D1D"/>
    <w:rsid w:val="00B75E98"/>
    <w:rsid w:val="00B76A3F"/>
    <w:rsid w:val="00B76A7D"/>
    <w:rsid w:val="00B76CE1"/>
    <w:rsid w:val="00B772D5"/>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098"/>
    <w:rsid w:val="00B951AD"/>
    <w:rsid w:val="00B955F5"/>
    <w:rsid w:val="00B95663"/>
    <w:rsid w:val="00B95A36"/>
    <w:rsid w:val="00B95CCC"/>
    <w:rsid w:val="00B95F44"/>
    <w:rsid w:val="00B96D3C"/>
    <w:rsid w:val="00B9732B"/>
    <w:rsid w:val="00B973E5"/>
    <w:rsid w:val="00B97577"/>
    <w:rsid w:val="00B97993"/>
    <w:rsid w:val="00BA0FE9"/>
    <w:rsid w:val="00BA139F"/>
    <w:rsid w:val="00BA1A0B"/>
    <w:rsid w:val="00BA1E85"/>
    <w:rsid w:val="00BA25FD"/>
    <w:rsid w:val="00BA31DF"/>
    <w:rsid w:val="00BA359B"/>
    <w:rsid w:val="00BA3A93"/>
    <w:rsid w:val="00BA4D05"/>
    <w:rsid w:val="00BA5165"/>
    <w:rsid w:val="00BA5599"/>
    <w:rsid w:val="00BA5A40"/>
    <w:rsid w:val="00BA5FD5"/>
    <w:rsid w:val="00BA62AB"/>
    <w:rsid w:val="00BA7539"/>
    <w:rsid w:val="00BA7E0B"/>
    <w:rsid w:val="00BB013E"/>
    <w:rsid w:val="00BB0DE3"/>
    <w:rsid w:val="00BB0EA0"/>
    <w:rsid w:val="00BB10CD"/>
    <w:rsid w:val="00BB10F0"/>
    <w:rsid w:val="00BB122E"/>
    <w:rsid w:val="00BB253F"/>
    <w:rsid w:val="00BB25BB"/>
    <w:rsid w:val="00BB4A6F"/>
    <w:rsid w:val="00BB52BF"/>
    <w:rsid w:val="00BB56B1"/>
    <w:rsid w:val="00BB5759"/>
    <w:rsid w:val="00BB5A30"/>
    <w:rsid w:val="00BB5B98"/>
    <w:rsid w:val="00BB76A8"/>
    <w:rsid w:val="00BB7BAC"/>
    <w:rsid w:val="00BC08D8"/>
    <w:rsid w:val="00BC08FC"/>
    <w:rsid w:val="00BC202D"/>
    <w:rsid w:val="00BC211C"/>
    <w:rsid w:val="00BC213B"/>
    <w:rsid w:val="00BC2964"/>
    <w:rsid w:val="00BC3112"/>
    <w:rsid w:val="00BC3776"/>
    <w:rsid w:val="00BC3D8E"/>
    <w:rsid w:val="00BC3E7F"/>
    <w:rsid w:val="00BC41B5"/>
    <w:rsid w:val="00BC4C63"/>
    <w:rsid w:val="00BC548A"/>
    <w:rsid w:val="00BC54D1"/>
    <w:rsid w:val="00BC6308"/>
    <w:rsid w:val="00BC6388"/>
    <w:rsid w:val="00BC63FE"/>
    <w:rsid w:val="00BC6424"/>
    <w:rsid w:val="00BC666D"/>
    <w:rsid w:val="00BC67A4"/>
    <w:rsid w:val="00BC6B4D"/>
    <w:rsid w:val="00BC6C4F"/>
    <w:rsid w:val="00BC76AA"/>
    <w:rsid w:val="00BD1290"/>
    <w:rsid w:val="00BD1CFB"/>
    <w:rsid w:val="00BD2093"/>
    <w:rsid w:val="00BD2B8F"/>
    <w:rsid w:val="00BD35B9"/>
    <w:rsid w:val="00BD36EC"/>
    <w:rsid w:val="00BD38CD"/>
    <w:rsid w:val="00BD3AB0"/>
    <w:rsid w:val="00BD4A52"/>
    <w:rsid w:val="00BD51CA"/>
    <w:rsid w:val="00BD5B7F"/>
    <w:rsid w:val="00BD5CD2"/>
    <w:rsid w:val="00BD7065"/>
    <w:rsid w:val="00BD735C"/>
    <w:rsid w:val="00BD77DE"/>
    <w:rsid w:val="00BD79C2"/>
    <w:rsid w:val="00BE19BC"/>
    <w:rsid w:val="00BE1F2E"/>
    <w:rsid w:val="00BE1FA7"/>
    <w:rsid w:val="00BE21D6"/>
    <w:rsid w:val="00BE22C6"/>
    <w:rsid w:val="00BE2AD7"/>
    <w:rsid w:val="00BE2BAA"/>
    <w:rsid w:val="00BE4F8D"/>
    <w:rsid w:val="00BE5818"/>
    <w:rsid w:val="00BE590A"/>
    <w:rsid w:val="00BE770F"/>
    <w:rsid w:val="00BE778C"/>
    <w:rsid w:val="00BF01D4"/>
    <w:rsid w:val="00BF1124"/>
    <w:rsid w:val="00BF20FB"/>
    <w:rsid w:val="00BF2997"/>
    <w:rsid w:val="00BF3AAE"/>
    <w:rsid w:val="00BF4C22"/>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F80"/>
    <w:rsid w:val="00C01250"/>
    <w:rsid w:val="00C01619"/>
    <w:rsid w:val="00C01C73"/>
    <w:rsid w:val="00C02C7B"/>
    <w:rsid w:val="00C03041"/>
    <w:rsid w:val="00C03124"/>
    <w:rsid w:val="00C03815"/>
    <w:rsid w:val="00C03D0F"/>
    <w:rsid w:val="00C041F4"/>
    <w:rsid w:val="00C042EF"/>
    <w:rsid w:val="00C04C59"/>
    <w:rsid w:val="00C04CC6"/>
    <w:rsid w:val="00C0524E"/>
    <w:rsid w:val="00C05428"/>
    <w:rsid w:val="00C058A3"/>
    <w:rsid w:val="00C05E05"/>
    <w:rsid w:val="00C0711F"/>
    <w:rsid w:val="00C077E1"/>
    <w:rsid w:val="00C1076B"/>
    <w:rsid w:val="00C107BE"/>
    <w:rsid w:val="00C10BD0"/>
    <w:rsid w:val="00C10C03"/>
    <w:rsid w:val="00C112F7"/>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AA1"/>
    <w:rsid w:val="00C16B32"/>
    <w:rsid w:val="00C16FF1"/>
    <w:rsid w:val="00C17089"/>
    <w:rsid w:val="00C1715B"/>
    <w:rsid w:val="00C1757F"/>
    <w:rsid w:val="00C17B74"/>
    <w:rsid w:val="00C17BCC"/>
    <w:rsid w:val="00C20358"/>
    <w:rsid w:val="00C20A09"/>
    <w:rsid w:val="00C20AEB"/>
    <w:rsid w:val="00C20C80"/>
    <w:rsid w:val="00C20F22"/>
    <w:rsid w:val="00C21CA8"/>
    <w:rsid w:val="00C21FF8"/>
    <w:rsid w:val="00C220F2"/>
    <w:rsid w:val="00C223A0"/>
    <w:rsid w:val="00C23BBD"/>
    <w:rsid w:val="00C2455C"/>
    <w:rsid w:val="00C24638"/>
    <w:rsid w:val="00C25F3F"/>
    <w:rsid w:val="00C25F61"/>
    <w:rsid w:val="00C26495"/>
    <w:rsid w:val="00C273ED"/>
    <w:rsid w:val="00C27447"/>
    <w:rsid w:val="00C27891"/>
    <w:rsid w:val="00C27CF4"/>
    <w:rsid w:val="00C27D45"/>
    <w:rsid w:val="00C300F5"/>
    <w:rsid w:val="00C30AED"/>
    <w:rsid w:val="00C31073"/>
    <w:rsid w:val="00C314B5"/>
    <w:rsid w:val="00C32570"/>
    <w:rsid w:val="00C32C1E"/>
    <w:rsid w:val="00C32CEB"/>
    <w:rsid w:val="00C32D53"/>
    <w:rsid w:val="00C32F69"/>
    <w:rsid w:val="00C3312E"/>
    <w:rsid w:val="00C33A72"/>
    <w:rsid w:val="00C33CD5"/>
    <w:rsid w:val="00C340CF"/>
    <w:rsid w:val="00C34101"/>
    <w:rsid w:val="00C348FE"/>
    <w:rsid w:val="00C34C08"/>
    <w:rsid w:val="00C34FBC"/>
    <w:rsid w:val="00C35087"/>
    <w:rsid w:val="00C3523B"/>
    <w:rsid w:val="00C35947"/>
    <w:rsid w:val="00C36FFE"/>
    <w:rsid w:val="00C37939"/>
    <w:rsid w:val="00C40A83"/>
    <w:rsid w:val="00C40D37"/>
    <w:rsid w:val="00C412E1"/>
    <w:rsid w:val="00C416FD"/>
    <w:rsid w:val="00C41E73"/>
    <w:rsid w:val="00C41FA0"/>
    <w:rsid w:val="00C4271F"/>
    <w:rsid w:val="00C42A6C"/>
    <w:rsid w:val="00C42B60"/>
    <w:rsid w:val="00C43E4A"/>
    <w:rsid w:val="00C43FD4"/>
    <w:rsid w:val="00C4445E"/>
    <w:rsid w:val="00C44846"/>
    <w:rsid w:val="00C44E18"/>
    <w:rsid w:val="00C45A51"/>
    <w:rsid w:val="00C465B0"/>
    <w:rsid w:val="00C469E3"/>
    <w:rsid w:val="00C47155"/>
    <w:rsid w:val="00C47987"/>
    <w:rsid w:val="00C47CD2"/>
    <w:rsid w:val="00C47D56"/>
    <w:rsid w:val="00C50A44"/>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C25"/>
    <w:rsid w:val="00C54E26"/>
    <w:rsid w:val="00C54E63"/>
    <w:rsid w:val="00C558B2"/>
    <w:rsid w:val="00C55A89"/>
    <w:rsid w:val="00C56A84"/>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38"/>
    <w:rsid w:val="00C6590A"/>
    <w:rsid w:val="00C65FFB"/>
    <w:rsid w:val="00C662E7"/>
    <w:rsid w:val="00C66663"/>
    <w:rsid w:val="00C668D8"/>
    <w:rsid w:val="00C66BCD"/>
    <w:rsid w:val="00C66E74"/>
    <w:rsid w:val="00C67029"/>
    <w:rsid w:val="00C67809"/>
    <w:rsid w:val="00C70B38"/>
    <w:rsid w:val="00C70B43"/>
    <w:rsid w:val="00C71A56"/>
    <w:rsid w:val="00C730CC"/>
    <w:rsid w:val="00C7532A"/>
    <w:rsid w:val="00C75614"/>
    <w:rsid w:val="00C75721"/>
    <w:rsid w:val="00C760A6"/>
    <w:rsid w:val="00C762B7"/>
    <w:rsid w:val="00C76744"/>
    <w:rsid w:val="00C76825"/>
    <w:rsid w:val="00C77C4B"/>
    <w:rsid w:val="00C77D50"/>
    <w:rsid w:val="00C8003A"/>
    <w:rsid w:val="00C80DC6"/>
    <w:rsid w:val="00C815E4"/>
    <w:rsid w:val="00C8290C"/>
    <w:rsid w:val="00C832D7"/>
    <w:rsid w:val="00C83575"/>
    <w:rsid w:val="00C8494E"/>
    <w:rsid w:val="00C8512B"/>
    <w:rsid w:val="00C858C8"/>
    <w:rsid w:val="00C85A79"/>
    <w:rsid w:val="00C86242"/>
    <w:rsid w:val="00C863EF"/>
    <w:rsid w:val="00C86D64"/>
    <w:rsid w:val="00C87CDD"/>
    <w:rsid w:val="00C909EE"/>
    <w:rsid w:val="00C90BB9"/>
    <w:rsid w:val="00C90E27"/>
    <w:rsid w:val="00C910ED"/>
    <w:rsid w:val="00C914C9"/>
    <w:rsid w:val="00C9156F"/>
    <w:rsid w:val="00C91E57"/>
    <w:rsid w:val="00C922E8"/>
    <w:rsid w:val="00C93188"/>
    <w:rsid w:val="00C94EF3"/>
    <w:rsid w:val="00C95191"/>
    <w:rsid w:val="00C952A9"/>
    <w:rsid w:val="00C9534F"/>
    <w:rsid w:val="00C95E98"/>
    <w:rsid w:val="00C95F67"/>
    <w:rsid w:val="00C961C0"/>
    <w:rsid w:val="00C965E4"/>
    <w:rsid w:val="00C97229"/>
    <w:rsid w:val="00C9739A"/>
    <w:rsid w:val="00C97F19"/>
    <w:rsid w:val="00CA13BF"/>
    <w:rsid w:val="00CA13F7"/>
    <w:rsid w:val="00CA1463"/>
    <w:rsid w:val="00CA14DE"/>
    <w:rsid w:val="00CA19B7"/>
    <w:rsid w:val="00CA2A57"/>
    <w:rsid w:val="00CA2C4B"/>
    <w:rsid w:val="00CA2DB9"/>
    <w:rsid w:val="00CA2F38"/>
    <w:rsid w:val="00CA30A9"/>
    <w:rsid w:val="00CA35EC"/>
    <w:rsid w:val="00CA3D36"/>
    <w:rsid w:val="00CA3EC4"/>
    <w:rsid w:val="00CA4043"/>
    <w:rsid w:val="00CA4249"/>
    <w:rsid w:val="00CA4EF3"/>
    <w:rsid w:val="00CA575F"/>
    <w:rsid w:val="00CA6DD5"/>
    <w:rsid w:val="00CA6F7C"/>
    <w:rsid w:val="00CB0652"/>
    <w:rsid w:val="00CB0A8A"/>
    <w:rsid w:val="00CB1053"/>
    <w:rsid w:val="00CB138C"/>
    <w:rsid w:val="00CB1AE7"/>
    <w:rsid w:val="00CB1BD3"/>
    <w:rsid w:val="00CB21EF"/>
    <w:rsid w:val="00CB26B1"/>
    <w:rsid w:val="00CB2714"/>
    <w:rsid w:val="00CB2824"/>
    <w:rsid w:val="00CB2C75"/>
    <w:rsid w:val="00CB2F95"/>
    <w:rsid w:val="00CB30E7"/>
    <w:rsid w:val="00CB3270"/>
    <w:rsid w:val="00CB3B62"/>
    <w:rsid w:val="00CB4DA4"/>
    <w:rsid w:val="00CB557A"/>
    <w:rsid w:val="00CB55C9"/>
    <w:rsid w:val="00CB6108"/>
    <w:rsid w:val="00CB644A"/>
    <w:rsid w:val="00CB7007"/>
    <w:rsid w:val="00CB7071"/>
    <w:rsid w:val="00CB75F9"/>
    <w:rsid w:val="00CB7D14"/>
    <w:rsid w:val="00CB7D9F"/>
    <w:rsid w:val="00CC07A1"/>
    <w:rsid w:val="00CC0824"/>
    <w:rsid w:val="00CC08D7"/>
    <w:rsid w:val="00CC0A9A"/>
    <w:rsid w:val="00CC0EA3"/>
    <w:rsid w:val="00CC156F"/>
    <w:rsid w:val="00CC1BA8"/>
    <w:rsid w:val="00CC1EA9"/>
    <w:rsid w:val="00CC2B9C"/>
    <w:rsid w:val="00CC326E"/>
    <w:rsid w:val="00CC38EE"/>
    <w:rsid w:val="00CC41AF"/>
    <w:rsid w:val="00CC566D"/>
    <w:rsid w:val="00CC5872"/>
    <w:rsid w:val="00CC5CB2"/>
    <w:rsid w:val="00CC6AA6"/>
    <w:rsid w:val="00CC6ACF"/>
    <w:rsid w:val="00CC722F"/>
    <w:rsid w:val="00CC726E"/>
    <w:rsid w:val="00CC7476"/>
    <w:rsid w:val="00CC75EE"/>
    <w:rsid w:val="00CC77E9"/>
    <w:rsid w:val="00CC790E"/>
    <w:rsid w:val="00CC7A39"/>
    <w:rsid w:val="00CD0BAE"/>
    <w:rsid w:val="00CD1017"/>
    <w:rsid w:val="00CD129C"/>
    <w:rsid w:val="00CD12BA"/>
    <w:rsid w:val="00CD181E"/>
    <w:rsid w:val="00CD2C45"/>
    <w:rsid w:val="00CD387C"/>
    <w:rsid w:val="00CD447C"/>
    <w:rsid w:val="00CD473D"/>
    <w:rsid w:val="00CD474C"/>
    <w:rsid w:val="00CD4CCB"/>
    <w:rsid w:val="00CD503F"/>
    <w:rsid w:val="00CD5589"/>
    <w:rsid w:val="00CD5CCC"/>
    <w:rsid w:val="00CD662B"/>
    <w:rsid w:val="00CD6B16"/>
    <w:rsid w:val="00CD6B5E"/>
    <w:rsid w:val="00CD7422"/>
    <w:rsid w:val="00CE0950"/>
    <w:rsid w:val="00CE0FA0"/>
    <w:rsid w:val="00CE0FC5"/>
    <w:rsid w:val="00CE11D8"/>
    <w:rsid w:val="00CE1648"/>
    <w:rsid w:val="00CE1A90"/>
    <w:rsid w:val="00CE1C5C"/>
    <w:rsid w:val="00CE1CA9"/>
    <w:rsid w:val="00CE1E07"/>
    <w:rsid w:val="00CE2567"/>
    <w:rsid w:val="00CE2A65"/>
    <w:rsid w:val="00CE2BAF"/>
    <w:rsid w:val="00CE2FFE"/>
    <w:rsid w:val="00CE3037"/>
    <w:rsid w:val="00CE32AD"/>
    <w:rsid w:val="00CE3361"/>
    <w:rsid w:val="00CE3F49"/>
    <w:rsid w:val="00CE49B0"/>
    <w:rsid w:val="00CE4EA8"/>
    <w:rsid w:val="00CE5261"/>
    <w:rsid w:val="00CE584B"/>
    <w:rsid w:val="00CE5A0A"/>
    <w:rsid w:val="00CE6C5C"/>
    <w:rsid w:val="00CE6D66"/>
    <w:rsid w:val="00CE72F6"/>
    <w:rsid w:val="00CE7FF2"/>
    <w:rsid w:val="00CF0E8B"/>
    <w:rsid w:val="00CF1090"/>
    <w:rsid w:val="00CF12DA"/>
    <w:rsid w:val="00CF1AB9"/>
    <w:rsid w:val="00CF1B03"/>
    <w:rsid w:val="00CF1B1E"/>
    <w:rsid w:val="00CF1E58"/>
    <w:rsid w:val="00CF1F79"/>
    <w:rsid w:val="00CF2166"/>
    <w:rsid w:val="00CF2B1C"/>
    <w:rsid w:val="00CF2B8E"/>
    <w:rsid w:val="00CF39B2"/>
    <w:rsid w:val="00CF3E3D"/>
    <w:rsid w:val="00CF4060"/>
    <w:rsid w:val="00CF52EB"/>
    <w:rsid w:val="00CF585D"/>
    <w:rsid w:val="00CF5CA8"/>
    <w:rsid w:val="00CF69C2"/>
    <w:rsid w:val="00CF6D4F"/>
    <w:rsid w:val="00CF71F4"/>
    <w:rsid w:val="00CF72BD"/>
    <w:rsid w:val="00CF767E"/>
    <w:rsid w:val="00CF78C0"/>
    <w:rsid w:val="00D0054C"/>
    <w:rsid w:val="00D00A15"/>
    <w:rsid w:val="00D00D3D"/>
    <w:rsid w:val="00D0127A"/>
    <w:rsid w:val="00D015A8"/>
    <w:rsid w:val="00D024F9"/>
    <w:rsid w:val="00D027F9"/>
    <w:rsid w:val="00D032AA"/>
    <w:rsid w:val="00D03A3E"/>
    <w:rsid w:val="00D03B1A"/>
    <w:rsid w:val="00D03E97"/>
    <w:rsid w:val="00D040BB"/>
    <w:rsid w:val="00D04D61"/>
    <w:rsid w:val="00D056E9"/>
    <w:rsid w:val="00D05CB6"/>
    <w:rsid w:val="00D06325"/>
    <w:rsid w:val="00D06B60"/>
    <w:rsid w:val="00D07684"/>
    <w:rsid w:val="00D076A6"/>
    <w:rsid w:val="00D07F59"/>
    <w:rsid w:val="00D104B2"/>
    <w:rsid w:val="00D10986"/>
    <w:rsid w:val="00D11BB2"/>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17EFE"/>
    <w:rsid w:val="00D20886"/>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719F"/>
    <w:rsid w:val="00D371C8"/>
    <w:rsid w:val="00D4061B"/>
    <w:rsid w:val="00D431DA"/>
    <w:rsid w:val="00D43450"/>
    <w:rsid w:val="00D435B8"/>
    <w:rsid w:val="00D43764"/>
    <w:rsid w:val="00D43D75"/>
    <w:rsid w:val="00D43F48"/>
    <w:rsid w:val="00D43F90"/>
    <w:rsid w:val="00D44156"/>
    <w:rsid w:val="00D44198"/>
    <w:rsid w:val="00D445B3"/>
    <w:rsid w:val="00D453B5"/>
    <w:rsid w:val="00D45977"/>
    <w:rsid w:val="00D45EAF"/>
    <w:rsid w:val="00D46190"/>
    <w:rsid w:val="00D46DBF"/>
    <w:rsid w:val="00D46F26"/>
    <w:rsid w:val="00D47358"/>
    <w:rsid w:val="00D47591"/>
    <w:rsid w:val="00D50F4A"/>
    <w:rsid w:val="00D51089"/>
    <w:rsid w:val="00D5228C"/>
    <w:rsid w:val="00D52E06"/>
    <w:rsid w:val="00D53650"/>
    <w:rsid w:val="00D53C72"/>
    <w:rsid w:val="00D553C7"/>
    <w:rsid w:val="00D55D05"/>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369"/>
    <w:rsid w:val="00D623AA"/>
    <w:rsid w:val="00D62A24"/>
    <w:rsid w:val="00D62FAC"/>
    <w:rsid w:val="00D635B0"/>
    <w:rsid w:val="00D637A9"/>
    <w:rsid w:val="00D63BE1"/>
    <w:rsid w:val="00D642E2"/>
    <w:rsid w:val="00D65280"/>
    <w:rsid w:val="00D6616F"/>
    <w:rsid w:val="00D6699B"/>
    <w:rsid w:val="00D669D8"/>
    <w:rsid w:val="00D6704D"/>
    <w:rsid w:val="00D7009E"/>
    <w:rsid w:val="00D70C63"/>
    <w:rsid w:val="00D710C5"/>
    <w:rsid w:val="00D71705"/>
    <w:rsid w:val="00D71888"/>
    <w:rsid w:val="00D71B45"/>
    <w:rsid w:val="00D71F0F"/>
    <w:rsid w:val="00D71F4F"/>
    <w:rsid w:val="00D722C1"/>
    <w:rsid w:val="00D72437"/>
    <w:rsid w:val="00D726A5"/>
    <w:rsid w:val="00D727AC"/>
    <w:rsid w:val="00D72AC2"/>
    <w:rsid w:val="00D72CAE"/>
    <w:rsid w:val="00D74660"/>
    <w:rsid w:val="00D74797"/>
    <w:rsid w:val="00D74968"/>
    <w:rsid w:val="00D749D2"/>
    <w:rsid w:val="00D74D03"/>
    <w:rsid w:val="00D74D9B"/>
    <w:rsid w:val="00D750A2"/>
    <w:rsid w:val="00D75650"/>
    <w:rsid w:val="00D756E8"/>
    <w:rsid w:val="00D75D35"/>
    <w:rsid w:val="00D7734D"/>
    <w:rsid w:val="00D8006A"/>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7BDC"/>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971"/>
    <w:rsid w:val="00D96B07"/>
    <w:rsid w:val="00D96BD2"/>
    <w:rsid w:val="00D96FCB"/>
    <w:rsid w:val="00D974EC"/>
    <w:rsid w:val="00D97594"/>
    <w:rsid w:val="00D9781C"/>
    <w:rsid w:val="00D97D73"/>
    <w:rsid w:val="00DA002B"/>
    <w:rsid w:val="00DA0351"/>
    <w:rsid w:val="00DA0417"/>
    <w:rsid w:val="00DA059A"/>
    <w:rsid w:val="00DA0676"/>
    <w:rsid w:val="00DA08F0"/>
    <w:rsid w:val="00DA0F27"/>
    <w:rsid w:val="00DA156A"/>
    <w:rsid w:val="00DA1687"/>
    <w:rsid w:val="00DA1DA8"/>
    <w:rsid w:val="00DA22C1"/>
    <w:rsid w:val="00DA24B0"/>
    <w:rsid w:val="00DA2582"/>
    <w:rsid w:val="00DA2694"/>
    <w:rsid w:val="00DA35BB"/>
    <w:rsid w:val="00DA3CF1"/>
    <w:rsid w:val="00DA4B0E"/>
    <w:rsid w:val="00DA50E4"/>
    <w:rsid w:val="00DA5BEB"/>
    <w:rsid w:val="00DA5F30"/>
    <w:rsid w:val="00DA6BFD"/>
    <w:rsid w:val="00DA7645"/>
    <w:rsid w:val="00DA7E15"/>
    <w:rsid w:val="00DA7FC8"/>
    <w:rsid w:val="00DB02FF"/>
    <w:rsid w:val="00DB0BD0"/>
    <w:rsid w:val="00DB10BD"/>
    <w:rsid w:val="00DB1433"/>
    <w:rsid w:val="00DB197C"/>
    <w:rsid w:val="00DB1AAF"/>
    <w:rsid w:val="00DB26B5"/>
    <w:rsid w:val="00DB2C1A"/>
    <w:rsid w:val="00DB32EE"/>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BE"/>
    <w:rsid w:val="00DB6292"/>
    <w:rsid w:val="00DB67E7"/>
    <w:rsid w:val="00DB68BB"/>
    <w:rsid w:val="00DB6F19"/>
    <w:rsid w:val="00DB70D1"/>
    <w:rsid w:val="00DB7F10"/>
    <w:rsid w:val="00DC08F3"/>
    <w:rsid w:val="00DC1524"/>
    <w:rsid w:val="00DC1889"/>
    <w:rsid w:val="00DC1CA3"/>
    <w:rsid w:val="00DC2A33"/>
    <w:rsid w:val="00DC3214"/>
    <w:rsid w:val="00DC3579"/>
    <w:rsid w:val="00DC3E0F"/>
    <w:rsid w:val="00DC3FDE"/>
    <w:rsid w:val="00DC43AE"/>
    <w:rsid w:val="00DC466F"/>
    <w:rsid w:val="00DC4841"/>
    <w:rsid w:val="00DC51EE"/>
    <w:rsid w:val="00DC5533"/>
    <w:rsid w:val="00DC5770"/>
    <w:rsid w:val="00DC59D7"/>
    <w:rsid w:val="00DC66D2"/>
    <w:rsid w:val="00DC6E13"/>
    <w:rsid w:val="00DC6E1B"/>
    <w:rsid w:val="00DC7604"/>
    <w:rsid w:val="00DC7EBE"/>
    <w:rsid w:val="00DD0AE8"/>
    <w:rsid w:val="00DD0C1F"/>
    <w:rsid w:val="00DD12EF"/>
    <w:rsid w:val="00DD158F"/>
    <w:rsid w:val="00DD16FB"/>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BDE"/>
    <w:rsid w:val="00DE01AB"/>
    <w:rsid w:val="00DE0B85"/>
    <w:rsid w:val="00DE12BD"/>
    <w:rsid w:val="00DE1532"/>
    <w:rsid w:val="00DE179B"/>
    <w:rsid w:val="00DE1D78"/>
    <w:rsid w:val="00DE22BA"/>
    <w:rsid w:val="00DE292D"/>
    <w:rsid w:val="00DE2AA3"/>
    <w:rsid w:val="00DE30D1"/>
    <w:rsid w:val="00DE3B74"/>
    <w:rsid w:val="00DE40F7"/>
    <w:rsid w:val="00DE47DF"/>
    <w:rsid w:val="00DE4D21"/>
    <w:rsid w:val="00DE5EA6"/>
    <w:rsid w:val="00DE5F41"/>
    <w:rsid w:val="00DE61FB"/>
    <w:rsid w:val="00DE63AA"/>
    <w:rsid w:val="00DE6B6A"/>
    <w:rsid w:val="00DE710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5A53"/>
    <w:rsid w:val="00DF6DA6"/>
    <w:rsid w:val="00DF708D"/>
    <w:rsid w:val="00DF7188"/>
    <w:rsid w:val="00DF71F7"/>
    <w:rsid w:val="00DF7E12"/>
    <w:rsid w:val="00DF7EB8"/>
    <w:rsid w:val="00E0031E"/>
    <w:rsid w:val="00E00FD5"/>
    <w:rsid w:val="00E01956"/>
    <w:rsid w:val="00E02047"/>
    <w:rsid w:val="00E023E5"/>
    <w:rsid w:val="00E02837"/>
    <w:rsid w:val="00E03111"/>
    <w:rsid w:val="00E0443C"/>
    <w:rsid w:val="00E04B4F"/>
    <w:rsid w:val="00E06743"/>
    <w:rsid w:val="00E06CEA"/>
    <w:rsid w:val="00E06FD6"/>
    <w:rsid w:val="00E074C1"/>
    <w:rsid w:val="00E07B79"/>
    <w:rsid w:val="00E07CDC"/>
    <w:rsid w:val="00E1006A"/>
    <w:rsid w:val="00E105B9"/>
    <w:rsid w:val="00E1079E"/>
    <w:rsid w:val="00E10F6A"/>
    <w:rsid w:val="00E112FA"/>
    <w:rsid w:val="00E12CED"/>
    <w:rsid w:val="00E13123"/>
    <w:rsid w:val="00E135E1"/>
    <w:rsid w:val="00E13D2C"/>
    <w:rsid w:val="00E13EE3"/>
    <w:rsid w:val="00E148CD"/>
    <w:rsid w:val="00E14D25"/>
    <w:rsid w:val="00E14E22"/>
    <w:rsid w:val="00E14FF5"/>
    <w:rsid w:val="00E15713"/>
    <w:rsid w:val="00E1590A"/>
    <w:rsid w:val="00E165C0"/>
    <w:rsid w:val="00E16682"/>
    <w:rsid w:val="00E1678A"/>
    <w:rsid w:val="00E17549"/>
    <w:rsid w:val="00E17BAE"/>
    <w:rsid w:val="00E17E85"/>
    <w:rsid w:val="00E17E99"/>
    <w:rsid w:val="00E2002A"/>
    <w:rsid w:val="00E202CF"/>
    <w:rsid w:val="00E2055A"/>
    <w:rsid w:val="00E21F2D"/>
    <w:rsid w:val="00E22A26"/>
    <w:rsid w:val="00E22DD9"/>
    <w:rsid w:val="00E2336E"/>
    <w:rsid w:val="00E23655"/>
    <w:rsid w:val="00E23860"/>
    <w:rsid w:val="00E238D8"/>
    <w:rsid w:val="00E23AB9"/>
    <w:rsid w:val="00E23AC4"/>
    <w:rsid w:val="00E23ED2"/>
    <w:rsid w:val="00E2479E"/>
    <w:rsid w:val="00E256F7"/>
    <w:rsid w:val="00E25995"/>
    <w:rsid w:val="00E25D57"/>
    <w:rsid w:val="00E26257"/>
    <w:rsid w:val="00E264AD"/>
    <w:rsid w:val="00E27074"/>
    <w:rsid w:val="00E27E1C"/>
    <w:rsid w:val="00E300F2"/>
    <w:rsid w:val="00E31966"/>
    <w:rsid w:val="00E3203D"/>
    <w:rsid w:val="00E326FE"/>
    <w:rsid w:val="00E32AE4"/>
    <w:rsid w:val="00E32D6A"/>
    <w:rsid w:val="00E33396"/>
    <w:rsid w:val="00E335C5"/>
    <w:rsid w:val="00E33D24"/>
    <w:rsid w:val="00E33E8E"/>
    <w:rsid w:val="00E34706"/>
    <w:rsid w:val="00E34ED4"/>
    <w:rsid w:val="00E35580"/>
    <w:rsid w:val="00E36DD5"/>
    <w:rsid w:val="00E3751A"/>
    <w:rsid w:val="00E377A6"/>
    <w:rsid w:val="00E4005E"/>
    <w:rsid w:val="00E40A1E"/>
    <w:rsid w:val="00E41209"/>
    <w:rsid w:val="00E41CF2"/>
    <w:rsid w:val="00E41D23"/>
    <w:rsid w:val="00E41F25"/>
    <w:rsid w:val="00E4297F"/>
    <w:rsid w:val="00E438F7"/>
    <w:rsid w:val="00E43E29"/>
    <w:rsid w:val="00E43EE5"/>
    <w:rsid w:val="00E4407E"/>
    <w:rsid w:val="00E44ACD"/>
    <w:rsid w:val="00E44CB9"/>
    <w:rsid w:val="00E44DEE"/>
    <w:rsid w:val="00E45343"/>
    <w:rsid w:val="00E45B97"/>
    <w:rsid w:val="00E4600C"/>
    <w:rsid w:val="00E462D2"/>
    <w:rsid w:val="00E46852"/>
    <w:rsid w:val="00E46AB1"/>
    <w:rsid w:val="00E46E62"/>
    <w:rsid w:val="00E4708B"/>
    <w:rsid w:val="00E4774D"/>
    <w:rsid w:val="00E479FF"/>
    <w:rsid w:val="00E50834"/>
    <w:rsid w:val="00E51392"/>
    <w:rsid w:val="00E515B1"/>
    <w:rsid w:val="00E51662"/>
    <w:rsid w:val="00E5269A"/>
    <w:rsid w:val="00E535D1"/>
    <w:rsid w:val="00E536FC"/>
    <w:rsid w:val="00E53AA6"/>
    <w:rsid w:val="00E53C6C"/>
    <w:rsid w:val="00E53CB2"/>
    <w:rsid w:val="00E53D6A"/>
    <w:rsid w:val="00E54898"/>
    <w:rsid w:val="00E55558"/>
    <w:rsid w:val="00E55749"/>
    <w:rsid w:val="00E55BB8"/>
    <w:rsid w:val="00E56344"/>
    <w:rsid w:val="00E57E87"/>
    <w:rsid w:val="00E60DE1"/>
    <w:rsid w:val="00E61076"/>
    <w:rsid w:val="00E61812"/>
    <w:rsid w:val="00E62CF0"/>
    <w:rsid w:val="00E62E15"/>
    <w:rsid w:val="00E62E5D"/>
    <w:rsid w:val="00E6368D"/>
    <w:rsid w:val="00E63FA0"/>
    <w:rsid w:val="00E65073"/>
    <w:rsid w:val="00E65E8C"/>
    <w:rsid w:val="00E66800"/>
    <w:rsid w:val="00E66D78"/>
    <w:rsid w:val="00E673C1"/>
    <w:rsid w:val="00E67C5C"/>
    <w:rsid w:val="00E67E55"/>
    <w:rsid w:val="00E70504"/>
    <w:rsid w:val="00E71198"/>
    <w:rsid w:val="00E7121A"/>
    <w:rsid w:val="00E71E4F"/>
    <w:rsid w:val="00E72486"/>
    <w:rsid w:val="00E724EF"/>
    <w:rsid w:val="00E7264E"/>
    <w:rsid w:val="00E72651"/>
    <w:rsid w:val="00E73957"/>
    <w:rsid w:val="00E73C90"/>
    <w:rsid w:val="00E73D3A"/>
    <w:rsid w:val="00E7412C"/>
    <w:rsid w:val="00E743A1"/>
    <w:rsid w:val="00E745D1"/>
    <w:rsid w:val="00E74BC5"/>
    <w:rsid w:val="00E74F05"/>
    <w:rsid w:val="00E7518B"/>
    <w:rsid w:val="00E7593F"/>
    <w:rsid w:val="00E76497"/>
    <w:rsid w:val="00E765BC"/>
    <w:rsid w:val="00E76C33"/>
    <w:rsid w:val="00E8011B"/>
    <w:rsid w:val="00E801FE"/>
    <w:rsid w:val="00E80768"/>
    <w:rsid w:val="00E80E1E"/>
    <w:rsid w:val="00E82135"/>
    <w:rsid w:val="00E826E9"/>
    <w:rsid w:val="00E82862"/>
    <w:rsid w:val="00E82CA0"/>
    <w:rsid w:val="00E82E17"/>
    <w:rsid w:val="00E84AD4"/>
    <w:rsid w:val="00E8534F"/>
    <w:rsid w:val="00E854EA"/>
    <w:rsid w:val="00E85EC9"/>
    <w:rsid w:val="00E862C9"/>
    <w:rsid w:val="00E8658B"/>
    <w:rsid w:val="00E86BAE"/>
    <w:rsid w:val="00E876A3"/>
    <w:rsid w:val="00E87DC5"/>
    <w:rsid w:val="00E903A5"/>
    <w:rsid w:val="00E90A19"/>
    <w:rsid w:val="00E91460"/>
    <w:rsid w:val="00E915F1"/>
    <w:rsid w:val="00E91C42"/>
    <w:rsid w:val="00E92341"/>
    <w:rsid w:val="00E93635"/>
    <w:rsid w:val="00E93FF2"/>
    <w:rsid w:val="00E94F06"/>
    <w:rsid w:val="00E95243"/>
    <w:rsid w:val="00E956CB"/>
    <w:rsid w:val="00E960B8"/>
    <w:rsid w:val="00E96AEE"/>
    <w:rsid w:val="00E96D1C"/>
    <w:rsid w:val="00E977CB"/>
    <w:rsid w:val="00E977CE"/>
    <w:rsid w:val="00E97990"/>
    <w:rsid w:val="00E97D2F"/>
    <w:rsid w:val="00E97EA7"/>
    <w:rsid w:val="00E97FB1"/>
    <w:rsid w:val="00EA1514"/>
    <w:rsid w:val="00EA1545"/>
    <w:rsid w:val="00EA16E1"/>
    <w:rsid w:val="00EA1767"/>
    <w:rsid w:val="00EA1F8E"/>
    <w:rsid w:val="00EA2360"/>
    <w:rsid w:val="00EA272B"/>
    <w:rsid w:val="00EA2F5D"/>
    <w:rsid w:val="00EA301E"/>
    <w:rsid w:val="00EA320F"/>
    <w:rsid w:val="00EA3BA1"/>
    <w:rsid w:val="00EA449C"/>
    <w:rsid w:val="00EA4614"/>
    <w:rsid w:val="00EA4A78"/>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2B31"/>
    <w:rsid w:val="00EB30E8"/>
    <w:rsid w:val="00EB344E"/>
    <w:rsid w:val="00EB3A38"/>
    <w:rsid w:val="00EB45D7"/>
    <w:rsid w:val="00EB47B3"/>
    <w:rsid w:val="00EB4926"/>
    <w:rsid w:val="00EB4B58"/>
    <w:rsid w:val="00EB4E5F"/>
    <w:rsid w:val="00EB5197"/>
    <w:rsid w:val="00EB5629"/>
    <w:rsid w:val="00EB5734"/>
    <w:rsid w:val="00EB6F4C"/>
    <w:rsid w:val="00EB75EB"/>
    <w:rsid w:val="00EB7605"/>
    <w:rsid w:val="00EB76CB"/>
    <w:rsid w:val="00EC089D"/>
    <w:rsid w:val="00EC0DD3"/>
    <w:rsid w:val="00EC101A"/>
    <w:rsid w:val="00EC123A"/>
    <w:rsid w:val="00EC1394"/>
    <w:rsid w:val="00EC20D7"/>
    <w:rsid w:val="00EC226A"/>
    <w:rsid w:val="00EC229B"/>
    <w:rsid w:val="00EC28DD"/>
    <w:rsid w:val="00EC2EE6"/>
    <w:rsid w:val="00EC3012"/>
    <w:rsid w:val="00EC3272"/>
    <w:rsid w:val="00EC3713"/>
    <w:rsid w:val="00EC37A0"/>
    <w:rsid w:val="00EC3FA5"/>
    <w:rsid w:val="00EC44BC"/>
    <w:rsid w:val="00EC552D"/>
    <w:rsid w:val="00EC5B93"/>
    <w:rsid w:val="00EC6D2B"/>
    <w:rsid w:val="00EC774B"/>
    <w:rsid w:val="00ED13EB"/>
    <w:rsid w:val="00ED1462"/>
    <w:rsid w:val="00ED14A1"/>
    <w:rsid w:val="00ED164A"/>
    <w:rsid w:val="00ED17FA"/>
    <w:rsid w:val="00ED1856"/>
    <w:rsid w:val="00ED24B6"/>
    <w:rsid w:val="00ED25D2"/>
    <w:rsid w:val="00ED3462"/>
    <w:rsid w:val="00ED35C0"/>
    <w:rsid w:val="00ED3F38"/>
    <w:rsid w:val="00ED4124"/>
    <w:rsid w:val="00ED41EA"/>
    <w:rsid w:val="00ED5030"/>
    <w:rsid w:val="00ED547D"/>
    <w:rsid w:val="00ED596C"/>
    <w:rsid w:val="00ED5ACF"/>
    <w:rsid w:val="00ED6D63"/>
    <w:rsid w:val="00ED78B5"/>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441"/>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922"/>
    <w:rsid w:val="00F0102C"/>
    <w:rsid w:val="00F0106B"/>
    <w:rsid w:val="00F0137B"/>
    <w:rsid w:val="00F0139C"/>
    <w:rsid w:val="00F01C4D"/>
    <w:rsid w:val="00F020E1"/>
    <w:rsid w:val="00F0221D"/>
    <w:rsid w:val="00F02DE5"/>
    <w:rsid w:val="00F0324F"/>
    <w:rsid w:val="00F03AA2"/>
    <w:rsid w:val="00F043F9"/>
    <w:rsid w:val="00F04E02"/>
    <w:rsid w:val="00F05558"/>
    <w:rsid w:val="00F0589C"/>
    <w:rsid w:val="00F058BC"/>
    <w:rsid w:val="00F0595E"/>
    <w:rsid w:val="00F05A7B"/>
    <w:rsid w:val="00F06454"/>
    <w:rsid w:val="00F06CB2"/>
    <w:rsid w:val="00F06D40"/>
    <w:rsid w:val="00F06E72"/>
    <w:rsid w:val="00F07C8A"/>
    <w:rsid w:val="00F07D8B"/>
    <w:rsid w:val="00F10292"/>
    <w:rsid w:val="00F104D0"/>
    <w:rsid w:val="00F10840"/>
    <w:rsid w:val="00F116E1"/>
    <w:rsid w:val="00F11E4F"/>
    <w:rsid w:val="00F120F7"/>
    <w:rsid w:val="00F1272B"/>
    <w:rsid w:val="00F13033"/>
    <w:rsid w:val="00F13232"/>
    <w:rsid w:val="00F132E7"/>
    <w:rsid w:val="00F13704"/>
    <w:rsid w:val="00F13717"/>
    <w:rsid w:val="00F13A85"/>
    <w:rsid w:val="00F13C6A"/>
    <w:rsid w:val="00F13C93"/>
    <w:rsid w:val="00F14212"/>
    <w:rsid w:val="00F14A1F"/>
    <w:rsid w:val="00F14D54"/>
    <w:rsid w:val="00F14D95"/>
    <w:rsid w:val="00F157E7"/>
    <w:rsid w:val="00F15D2C"/>
    <w:rsid w:val="00F15F52"/>
    <w:rsid w:val="00F160C5"/>
    <w:rsid w:val="00F16365"/>
    <w:rsid w:val="00F16582"/>
    <w:rsid w:val="00F16B9D"/>
    <w:rsid w:val="00F16CE1"/>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4874"/>
    <w:rsid w:val="00F24980"/>
    <w:rsid w:val="00F24B20"/>
    <w:rsid w:val="00F24D3D"/>
    <w:rsid w:val="00F24EF6"/>
    <w:rsid w:val="00F25C36"/>
    <w:rsid w:val="00F26145"/>
    <w:rsid w:val="00F26345"/>
    <w:rsid w:val="00F2634C"/>
    <w:rsid w:val="00F26D6D"/>
    <w:rsid w:val="00F30616"/>
    <w:rsid w:val="00F311B6"/>
    <w:rsid w:val="00F319F9"/>
    <w:rsid w:val="00F32084"/>
    <w:rsid w:val="00F32AF9"/>
    <w:rsid w:val="00F33B96"/>
    <w:rsid w:val="00F346B1"/>
    <w:rsid w:val="00F3484E"/>
    <w:rsid w:val="00F34E84"/>
    <w:rsid w:val="00F34FB3"/>
    <w:rsid w:val="00F36323"/>
    <w:rsid w:val="00F36F16"/>
    <w:rsid w:val="00F37507"/>
    <w:rsid w:val="00F40042"/>
    <w:rsid w:val="00F406DC"/>
    <w:rsid w:val="00F415F2"/>
    <w:rsid w:val="00F42037"/>
    <w:rsid w:val="00F423F6"/>
    <w:rsid w:val="00F42415"/>
    <w:rsid w:val="00F424D3"/>
    <w:rsid w:val="00F4284C"/>
    <w:rsid w:val="00F43EF3"/>
    <w:rsid w:val="00F443B0"/>
    <w:rsid w:val="00F444E7"/>
    <w:rsid w:val="00F447EA"/>
    <w:rsid w:val="00F44943"/>
    <w:rsid w:val="00F453DF"/>
    <w:rsid w:val="00F456F1"/>
    <w:rsid w:val="00F4737E"/>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EF9"/>
    <w:rsid w:val="00F71032"/>
    <w:rsid w:val="00F713E2"/>
    <w:rsid w:val="00F714C7"/>
    <w:rsid w:val="00F7187B"/>
    <w:rsid w:val="00F718A4"/>
    <w:rsid w:val="00F71CE8"/>
    <w:rsid w:val="00F72698"/>
    <w:rsid w:val="00F728AA"/>
    <w:rsid w:val="00F72AD3"/>
    <w:rsid w:val="00F72C8A"/>
    <w:rsid w:val="00F72CA8"/>
    <w:rsid w:val="00F72D90"/>
    <w:rsid w:val="00F72E9F"/>
    <w:rsid w:val="00F741FA"/>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8033F"/>
    <w:rsid w:val="00F808F0"/>
    <w:rsid w:val="00F80927"/>
    <w:rsid w:val="00F819E1"/>
    <w:rsid w:val="00F822A0"/>
    <w:rsid w:val="00F83A8B"/>
    <w:rsid w:val="00F83B2E"/>
    <w:rsid w:val="00F84099"/>
    <w:rsid w:val="00F840EA"/>
    <w:rsid w:val="00F8412E"/>
    <w:rsid w:val="00F843F7"/>
    <w:rsid w:val="00F846A1"/>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A0A"/>
    <w:rsid w:val="00F94A71"/>
    <w:rsid w:val="00F94CCA"/>
    <w:rsid w:val="00F9535C"/>
    <w:rsid w:val="00F95780"/>
    <w:rsid w:val="00F957DC"/>
    <w:rsid w:val="00F95EFB"/>
    <w:rsid w:val="00F9624E"/>
    <w:rsid w:val="00F96923"/>
    <w:rsid w:val="00F96E26"/>
    <w:rsid w:val="00F970DB"/>
    <w:rsid w:val="00F97124"/>
    <w:rsid w:val="00F973D6"/>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DC6"/>
    <w:rsid w:val="00FA62C1"/>
    <w:rsid w:val="00FA6A0C"/>
    <w:rsid w:val="00FA6B17"/>
    <w:rsid w:val="00FA7860"/>
    <w:rsid w:val="00FB0060"/>
    <w:rsid w:val="00FB012F"/>
    <w:rsid w:val="00FB0A08"/>
    <w:rsid w:val="00FB0AD3"/>
    <w:rsid w:val="00FB0D58"/>
    <w:rsid w:val="00FB16FC"/>
    <w:rsid w:val="00FB185F"/>
    <w:rsid w:val="00FB18DB"/>
    <w:rsid w:val="00FB21EE"/>
    <w:rsid w:val="00FB2506"/>
    <w:rsid w:val="00FB306B"/>
    <w:rsid w:val="00FB3784"/>
    <w:rsid w:val="00FB3BA7"/>
    <w:rsid w:val="00FB50C2"/>
    <w:rsid w:val="00FB529D"/>
    <w:rsid w:val="00FB56C5"/>
    <w:rsid w:val="00FB57EF"/>
    <w:rsid w:val="00FB59E5"/>
    <w:rsid w:val="00FB5FB0"/>
    <w:rsid w:val="00FB6EBB"/>
    <w:rsid w:val="00FB6F0E"/>
    <w:rsid w:val="00FC04D8"/>
    <w:rsid w:val="00FC05C5"/>
    <w:rsid w:val="00FC06BF"/>
    <w:rsid w:val="00FC0AE4"/>
    <w:rsid w:val="00FC0DCB"/>
    <w:rsid w:val="00FC0E21"/>
    <w:rsid w:val="00FC1694"/>
    <w:rsid w:val="00FC1CF2"/>
    <w:rsid w:val="00FC2124"/>
    <w:rsid w:val="00FC2576"/>
    <w:rsid w:val="00FC2A8A"/>
    <w:rsid w:val="00FC2E45"/>
    <w:rsid w:val="00FC351E"/>
    <w:rsid w:val="00FC35DE"/>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01F"/>
    <w:rsid w:val="00FD1280"/>
    <w:rsid w:val="00FD143C"/>
    <w:rsid w:val="00FD1946"/>
    <w:rsid w:val="00FD20B4"/>
    <w:rsid w:val="00FD2965"/>
    <w:rsid w:val="00FD2A6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DC"/>
    <w:rsid w:val="00FD7F20"/>
    <w:rsid w:val="00FE01A6"/>
    <w:rsid w:val="00FE02F8"/>
    <w:rsid w:val="00FE095E"/>
    <w:rsid w:val="00FE0BA6"/>
    <w:rsid w:val="00FE0BAA"/>
    <w:rsid w:val="00FE1445"/>
    <w:rsid w:val="00FE153E"/>
    <w:rsid w:val="00FE18EF"/>
    <w:rsid w:val="00FE1CE2"/>
    <w:rsid w:val="00FE1DFC"/>
    <w:rsid w:val="00FE235B"/>
    <w:rsid w:val="00FE27FE"/>
    <w:rsid w:val="00FE2852"/>
    <w:rsid w:val="00FE2F5F"/>
    <w:rsid w:val="00FE393B"/>
    <w:rsid w:val="00FE44BE"/>
    <w:rsid w:val="00FE4608"/>
    <w:rsid w:val="00FE4826"/>
    <w:rsid w:val="00FE5DD2"/>
    <w:rsid w:val="00FE66DF"/>
    <w:rsid w:val="00FE6845"/>
    <w:rsid w:val="00FE6AD1"/>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0D236D79-182F-47D4-A6A3-146294C5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5E7C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Ttulo2Car">
    <w:name w:val="Título 2 Car"/>
    <w:basedOn w:val="Fuentedeprrafopredeter"/>
    <w:link w:val="Ttulo2"/>
    <w:rsid w:val="005E7CD4"/>
    <w:rPr>
      <w:rFonts w:asciiTheme="majorHAnsi" w:eastAsiaTheme="majorEastAsia" w:hAnsiTheme="majorHAnsi" w:cstheme="majorBidi"/>
      <w:color w:val="365F91" w:themeColor="accent1" w:themeShade="BF"/>
      <w:sz w:val="26"/>
      <w:szCs w:val="26"/>
      <w:lang w:val="es-ES_tradnl" w:eastAsia="es-ES"/>
    </w:rPr>
  </w:style>
  <w:style w:type="character" w:customStyle="1" w:styleId="PiedepginaCar">
    <w:name w:val="Pie de página Car"/>
    <w:basedOn w:val="Fuentedeprrafopredeter"/>
    <w:link w:val="Piedepgina"/>
    <w:uiPriority w:val="99"/>
    <w:rsid w:val="005E7CD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www.inegi.org.mx/app/biblioteca/ficha.html?upc=70282509906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653472222222227E-2"/>
          <c:y val="3.8819444444444441E-2"/>
          <c:w val="0.91894834393438718"/>
          <c:h val="0.82779885753892568"/>
        </c:manualLayout>
      </c:layout>
      <c:barChart>
        <c:barDir val="col"/>
        <c:grouping val="clustered"/>
        <c:varyColors val="0"/>
        <c:ser>
          <c:idx val="0"/>
          <c:order val="0"/>
          <c:tx>
            <c:strRef>
              <c:f>Datos!$C$5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55"/>
              <c:layout>
                <c:manualLayout>
                  <c:x val="-2.9491168207870472E-3"/>
                  <c:y val="2.5541467569659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48-4149-B362-954D6848E773}"/>
                </c:ext>
              </c:extLst>
            </c:dLbl>
            <c:dLbl>
              <c:idx val="56"/>
              <c:layout>
                <c:manualLayout>
                  <c:x val="-1.0793252678319943E-16"/>
                  <c:y val="2.5109652071170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48-4149-B362-954D6848E773}"/>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Datos!$A$126:$B$185</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Datos!$C$126:$C$185</c:f>
              <c:numCache>
                <c:formatCode>_(* #,##0.0_);_(* \(#,##0.0\);_(* "-"??_);_(@_)</c:formatCode>
                <c:ptCount val="57"/>
                <c:pt idx="0">
                  <c:v>4.3773878175080601</c:v>
                </c:pt>
                <c:pt idx="1">
                  <c:v>4.4314246683584599</c:v>
                </c:pt>
                <c:pt idx="2">
                  <c:v>4.2827592842564401</c:v>
                </c:pt>
                <c:pt idx="3">
                  <c:v>4.3473192334660302</c:v>
                </c:pt>
                <c:pt idx="4">
                  <c:v>4.4323510750305299</c:v>
                </c:pt>
                <c:pt idx="5">
                  <c:v>4.4217298751052603</c:v>
                </c:pt>
                <c:pt idx="6">
                  <c:v>4.4831826833653796</c:v>
                </c:pt>
                <c:pt idx="7">
                  <c:v>4.3942987795065296</c:v>
                </c:pt>
                <c:pt idx="8">
                  <c:v>4.1940395034374802</c:v>
                </c:pt>
                <c:pt idx="9">
                  <c:v>4.4349777452565204</c:v>
                </c:pt>
                <c:pt idx="10">
                  <c:v>4.0703954031700196</c:v>
                </c:pt>
                <c:pt idx="11">
                  <c:v>4.3119375179041599</c:v>
                </c:pt>
                <c:pt idx="12">
                  <c:v>4.1401479199858802</c:v>
                </c:pt>
                <c:pt idx="13">
                  <c:v>4.2650011696330399</c:v>
                </c:pt>
                <c:pt idx="14">
                  <c:v>4.1366858367019699</c:v>
                </c:pt>
                <c:pt idx="15">
                  <c:v>3.81389896520826</c:v>
                </c:pt>
                <c:pt idx="16">
                  <c:v>4.0162808459389803</c:v>
                </c:pt>
                <c:pt idx="17">
                  <c:v>3.93952521327286</c:v>
                </c:pt>
                <c:pt idx="18">
                  <c:v>3.8197379725912501</c:v>
                </c:pt>
                <c:pt idx="19">
                  <c:v>3.7818256835156601</c:v>
                </c:pt>
                <c:pt idx="20">
                  <c:v>3.8573980619030701</c:v>
                </c:pt>
                <c:pt idx="21">
                  <c:v>3.5859538023299198</c:v>
                </c:pt>
                <c:pt idx="22">
                  <c:v>3.6063310922602101</c:v>
                </c:pt>
                <c:pt idx="23">
                  <c:v>3.62215896729175</c:v>
                </c:pt>
                <c:pt idx="24">
                  <c:v>3.5275021526875499</c:v>
                </c:pt>
                <c:pt idx="25">
                  <c:v>3.4749057623506201</c:v>
                </c:pt>
                <c:pt idx="26">
                  <c:v>3.5194714890745402</c:v>
                </c:pt>
                <c:pt idx="27">
                  <c:v>3.4658982736405402</c:v>
                </c:pt>
                <c:pt idx="28">
                  <c:v>3.56095344373482</c:v>
                </c:pt>
                <c:pt idx="29">
                  <c:v>3.2662704276719898</c:v>
                </c:pt>
                <c:pt idx="30">
                  <c:v>3.2634004025918801</c:v>
                </c:pt>
                <c:pt idx="31">
                  <c:v>3.3455824731166</c:v>
                </c:pt>
                <c:pt idx="32">
                  <c:v>3.3502069201019098</c:v>
                </c:pt>
                <c:pt idx="33">
                  <c:v>3.4418922694093101</c:v>
                </c:pt>
                <c:pt idx="34">
                  <c:v>3.4928388571133202</c:v>
                </c:pt>
                <c:pt idx="35">
                  <c:v>3.3280443445969699</c:v>
                </c:pt>
                <c:pt idx="36">
                  <c:v>3.3256956835335898</c:v>
                </c:pt>
                <c:pt idx="37">
                  <c:v>3.3215853470572401</c:v>
                </c:pt>
                <c:pt idx="38">
                  <c:v>3.2334652236953798</c:v>
                </c:pt>
                <c:pt idx="39">
                  <c:v>3.3857423450922299</c:v>
                </c:pt>
                <c:pt idx="40">
                  <c:v>3.23635767857093</c:v>
                </c:pt>
                <c:pt idx="41">
                  <c:v>3.3774729612893899</c:v>
                </c:pt>
                <c:pt idx="42">
                  <c:v>3.3417353075590199</c:v>
                </c:pt>
                <c:pt idx="43">
                  <c:v>3.30382789480934</c:v>
                </c:pt>
                <c:pt idx="44">
                  <c:v>3.3523097620577</c:v>
                </c:pt>
                <c:pt idx="45">
                  <c:v>3.1923105196067301</c:v>
                </c:pt>
                <c:pt idx="46">
                  <c:v>3.3213573530910301</c:v>
                </c:pt>
                <c:pt idx="47">
                  <c:v>3.5479438768614102</c:v>
                </c:pt>
                <c:pt idx="48">
                  <c:v>3.4919565785775299</c:v>
                </c:pt>
                <c:pt idx="49">
                  <c:v>3.4343365475219301</c:v>
                </c:pt>
                <c:pt idx="50">
                  <c:v>3.5642206164968702</c:v>
                </c:pt>
                <c:pt idx="51">
                  <c:v>3.4732210028049901</c:v>
                </c:pt>
                <c:pt idx="52">
                  <c:v>3.5469825423694301</c:v>
                </c:pt>
                <c:pt idx="53">
                  <c:v>3.5508238097047502</c:v>
                </c:pt>
                <c:pt idx="54">
                  <c:v>3.57121493669076</c:v>
                </c:pt>
                <c:pt idx="55">
                  <c:v>3.56692950801206</c:v>
                </c:pt>
                <c:pt idx="56">
                  <c:v>3.5382254293911299</c:v>
                </c:pt>
              </c:numCache>
            </c:numRef>
          </c:val>
          <c:extLst>
            <c:ext xmlns:c16="http://schemas.microsoft.com/office/drawing/2014/chart" uri="{C3380CC4-5D6E-409C-BE32-E72D297353CC}">
              <c16:uniqueId val="{00000002-DD48-4149-B362-954D6848E773}"/>
            </c:ext>
          </c:extLst>
        </c:ser>
        <c:dLbls>
          <c:showLegendKey val="0"/>
          <c:showVal val="0"/>
          <c:showCatName val="0"/>
          <c:showSerName val="0"/>
          <c:showPercent val="0"/>
          <c:showBubbleSize val="0"/>
        </c:dLbls>
        <c:gapWidth val="40"/>
        <c:axId val="292421072"/>
        <c:axId val="292421856"/>
      </c:barChart>
      <c:lineChart>
        <c:grouping val="standard"/>
        <c:varyColors val="0"/>
        <c:ser>
          <c:idx val="1"/>
          <c:order val="1"/>
          <c:tx>
            <c:strRef>
              <c:f>Datos!$D$5</c:f>
              <c:strCache>
                <c:ptCount val="1"/>
                <c:pt idx="0">
                  <c:v>Tendencia-Ciclo</c:v>
                </c:pt>
              </c:strCache>
            </c:strRef>
          </c:tx>
          <c:spPr>
            <a:ln w="12700">
              <a:solidFill>
                <a:schemeClr val="bg2">
                  <a:lumMod val="10000"/>
                </a:schemeClr>
              </a:solidFill>
            </a:ln>
          </c:spPr>
          <c:marker>
            <c:symbol val="none"/>
          </c:marker>
          <c:cat>
            <c:strRef>
              <c:f>Datos!$B$126:$B$185</c:f>
              <c:strCache>
                <c:ptCount val="57"/>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strCache>
            </c:strRef>
          </c:cat>
          <c:val>
            <c:numRef>
              <c:f>Datos!$D$126:$D$185</c:f>
              <c:numCache>
                <c:formatCode>_(* #,##0.0_);_(* \(#,##0.0\);_(* "-"??_);_(@_)</c:formatCode>
                <c:ptCount val="57"/>
                <c:pt idx="0">
                  <c:v>4.4258098571058602</c:v>
                </c:pt>
                <c:pt idx="1">
                  <c:v>4.3795212212558896</c:v>
                </c:pt>
                <c:pt idx="2">
                  <c:v>4.3655083020258303</c:v>
                </c:pt>
                <c:pt idx="3">
                  <c:v>4.3740770155526203</c:v>
                </c:pt>
                <c:pt idx="4">
                  <c:v>4.3935555993054303</c:v>
                </c:pt>
                <c:pt idx="5">
                  <c:v>4.4065863954003799</c:v>
                </c:pt>
                <c:pt idx="6">
                  <c:v>4.40370602979152</c:v>
                </c:pt>
                <c:pt idx="7">
                  <c:v>4.3821824032208196</c:v>
                </c:pt>
                <c:pt idx="8">
                  <c:v>4.3478202307409202</c:v>
                </c:pt>
                <c:pt idx="9">
                  <c:v>4.3120832709235097</c:v>
                </c:pt>
                <c:pt idx="10">
                  <c:v>4.2813997099746404</c:v>
                </c:pt>
                <c:pt idx="11">
                  <c:v>4.2516188404961603</c:v>
                </c:pt>
                <c:pt idx="12">
                  <c:v>4.2169416862678197</c:v>
                </c:pt>
                <c:pt idx="13">
                  <c:v>4.17195478372971</c:v>
                </c:pt>
                <c:pt idx="14">
                  <c:v>4.1114567773975299</c:v>
                </c:pt>
                <c:pt idx="15">
                  <c:v>4.0463871862062604</c:v>
                </c:pt>
                <c:pt idx="16">
                  <c:v>3.9835523596709801</c:v>
                </c:pt>
                <c:pt idx="17">
                  <c:v>3.9188239185959501</c:v>
                </c:pt>
                <c:pt idx="18">
                  <c:v>3.8575956524222201</c:v>
                </c:pt>
                <c:pt idx="19">
                  <c:v>3.7981742583842402</c:v>
                </c:pt>
                <c:pt idx="20">
                  <c:v>3.7396481519768301</c:v>
                </c:pt>
                <c:pt idx="21">
                  <c:v>3.67931643593844</c:v>
                </c:pt>
                <c:pt idx="22">
                  <c:v>3.6239122617289601</c:v>
                </c:pt>
                <c:pt idx="23">
                  <c:v>3.58098067066621</c:v>
                </c:pt>
                <c:pt idx="24">
                  <c:v>3.5463914876607201</c:v>
                </c:pt>
                <c:pt idx="25">
                  <c:v>3.5129546344440201</c:v>
                </c:pt>
                <c:pt idx="26">
                  <c:v>3.4749273600642501</c:v>
                </c:pt>
                <c:pt idx="27">
                  <c:v>3.42781449747307</c:v>
                </c:pt>
                <c:pt idx="28">
                  <c:v>3.3761558154473601</c:v>
                </c:pt>
                <c:pt idx="29">
                  <c:v>3.3403512457870499</c:v>
                </c:pt>
                <c:pt idx="30">
                  <c:v>3.32853235554265</c:v>
                </c:pt>
                <c:pt idx="31">
                  <c:v>3.3394572244988399</c:v>
                </c:pt>
                <c:pt idx="32">
                  <c:v>3.3661699602963999</c:v>
                </c:pt>
                <c:pt idx="33">
                  <c:v>3.3893402008288098</c:v>
                </c:pt>
                <c:pt idx="34">
                  <c:v>3.3951684189630398</c:v>
                </c:pt>
                <c:pt idx="35">
                  <c:v>3.3777644809646601</c:v>
                </c:pt>
                <c:pt idx="36">
                  <c:v>3.34558750125619</c:v>
                </c:pt>
                <c:pt idx="37">
                  <c:v>3.31637763264199</c:v>
                </c:pt>
                <c:pt idx="38">
                  <c:v>3.3000892581283301</c:v>
                </c:pt>
                <c:pt idx="39">
                  <c:v>3.2990541227974801</c:v>
                </c:pt>
                <c:pt idx="40">
                  <c:v>3.3096610559549902</c:v>
                </c:pt>
                <c:pt idx="41">
                  <c:v>3.3199853694669899</c:v>
                </c:pt>
                <c:pt idx="42">
                  <c:v>3.324163289071</c:v>
                </c:pt>
                <c:pt idx="43">
                  <c:v>3.32839569497113</c:v>
                </c:pt>
                <c:pt idx="44">
                  <c:v>3.3351172795875601</c:v>
                </c:pt>
                <c:pt idx="45">
                  <c:v>3.35107236942972</c:v>
                </c:pt>
                <c:pt idx="46">
                  <c:v>3.3782579455225599</c:v>
                </c:pt>
                <c:pt idx="47">
                  <c:v>3.4118432701013099</c:v>
                </c:pt>
                <c:pt idx="48">
                  <c:v>3.44853321454032</c:v>
                </c:pt>
                <c:pt idx="49">
                  <c:v>3.4802370431024201</c:v>
                </c:pt>
                <c:pt idx="50">
                  <c:v>3.50591323034197</c:v>
                </c:pt>
                <c:pt idx="51">
                  <c:v>3.5260024610754401</c:v>
                </c:pt>
                <c:pt idx="52">
                  <c:v>3.5390148979939098</c:v>
                </c:pt>
                <c:pt idx="53">
                  <c:v>3.5462573885393498</c:v>
                </c:pt>
                <c:pt idx="54">
                  <c:v>3.5508195894527699</c:v>
                </c:pt>
                <c:pt idx="55">
                  <c:v>3.5541135056869</c:v>
                </c:pt>
                <c:pt idx="56">
                  <c:v>3.5594111331008702</c:v>
                </c:pt>
              </c:numCache>
            </c:numRef>
          </c:val>
          <c:smooth val="0"/>
          <c:extLst>
            <c:ext xmlns:c16="http://schemas.microsoft.com/office/drawing/2014/chart" uri="{C3380CC4-5D6E-409C-BE32-E72D297353CC}">
              <c16:uniqueId val="{00000003-DD48-4149-B362-954D6848E773}"/>
            </c:ext>
          </c:extLst>
        </c:ser>
        <c:dLbls>
          <c:showLegendKey val="0"/>
          <c:showVal val="0"/>
          <c:showCatName val="0"/>
          <c:showSerName val="0"/>
          <c:showPercent val="0"/>
          <c:showBubbleSize val="0"/>
        </c:dLbls>
        <c:marker val="1"/>
        <c:smooth val="0"/>
        <c:axId val="292421072"/>
        <c:axId val="292421856"/>
      </c:lineChart>
      <c:catAx>
        <c:axId val="2924210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292421856"/>
        <c:crosses val="autoZero"/>
        <c:auto val="1"/>
        <c:lblAlgn val="ctr"/>
        <c:lblOffset val="0"/>
        <c:tickLblSkip val="1"/>
        <c:tickMarkSkip val="12"/>
        <c:noMultiLvlLbl val="1"/>
      </c:catAx>
      <c:valAx>
        <c:axId val="292421856"/>
        <c:scaling>
          <c:orientation val="minMax"/>
          <c:max val="6"/>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92421072"/>
        <c:crosses val="autoZero"/>
        <c:crossBetween val="between"/>
        <c:majorUnit val="1"/>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653472222222227E-2"/>
          <c:y val="3.8819444444444441E-2"/>
          <c:w val="0.91894834393438718"/>
          <c:h val="0.82779885753892568"/>
        </c:manualLayout>
      </c:layout>
      <c:barChart>
        <c:barDir val="col"/>
        <c:grouping val="clustered"/>
        <c:varyColors val="0"/>
        <c:ser>
          <c:idx val="0"/>
          <c:order val="0"/>
          <c:tx>
            <c:strRef>
              <c:f>Datos!$C$5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55"/>
              <c:layout>
                <c:manualLayout>
                  <c:x val="-2.9491168207870472E-3"/>
                  <c:y val="2.5541467569659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16-484C-A4A3-4717B2268E69}"/>
                </c:ext>
              </c:extLst>
            </c:dLbl>
            <c:dLbl>
              <c:idx val="56"/>
              <c:layout>
                <c:manualLayout>
                  <c:x val="-1.0793252678319943E-16"/>
                  <c:y val="2.5109652071170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8F-4F98-8648-1DD84E060873}"/>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Datos!$A$126:$B$185</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Datos!$C$126:$C$185</c:f>
              <c:numCache>
                <c:formatCode>_(* #,##0.0_);_(* \(#,##0.0\);_(* "-"??_);_(@_)</c:formatCode>
                <c:ptCount val="57"/>
                <c:pt idx="0">
                  <c:v>4.3773878175080601</c:v>
                </c:pt>
                <c:pt idx="1">
                  <c:v>4.4314246683584599</c:v>
                </c:pt>
                <c:pt idx="2">
                  <c:v>4.2827592842564401</c:v>
                </c:pt>
                <c:pt idx="3">
                  <c:v>4.3473192334660302</c:v>
                </c:pt>
                <c:pt idx="4">
                  <c:v>4.4323510750305299</c:v>
                </c:pt>
                <c:pt idx="5">
                  <c:v>4.4217298751052603</c:v>
                </c:pt>
                <c:pt idx="6">
                  <c:v>4.4831826833653796</c:v>
                </c:pt>
                <c:pt idx="7">
                  <c:v>4.3942987795065296</c:v>
                </c:pt>
                <c:pt idx="8">
                  <c:v>4.1940395034374802</c:v>
                </c:pt>
                <c:pt idx="9">
                  <c:v>4.4349777452565204</c:v>
                </c:pt>
                <c:pt idx="10">
                  <c:v>4.0703954031700196</c:v>
                </c:pt>
                <c:pt idx="11">
                  <c:v>4.3119375179041599</c:v>
                </c:pt>
                <c:pt idx="12">
                  <c:v>4.1401479199858802</c:v>
                </c:pt>
                <c:pt idx="13">
                  <c:v>4.2650011696330399</c:v>
                </c:pt>
                <c:pt idx="14">
                  <c:v>4.1366858367019699</c:v>
                </c:pt>
                <c:pt idx="15">
                  <c:v>3.81389896520826</c:v>
                </c:pt>
                <c:pt idx="16">
                  <c:v>4.0162808459389803</c:v>
                </c:pt>
                <c:pt idx="17">
                  <c:v>3.93952521327286</c:v>
                </c:pt>
                <c:pt idx="18">
                  <c:v>3.8197379725912501</c:v>
                </c:pt>
                <c:pt idx="19">
                  <c:v>3.7818256835156601</c:v>
                </c:pt>
                <c:pt idx="20">
                  <c:v>3.8573980619030701</c:v>
                </c:pt>
                <c:pt idx="21">
                  <c:v>3.5859538023299198</c:v>
                </c:pt>
                <c:pt idx="22">
                  <c:v>3.6063310922602101</c:v>
                </c:pt>
                <c:pt idx="23">
                  <c:v>3.62215896729175</c:v>
                </c:pt>
                <c:pt idx="24">
                  <c:v>3.5275021526875499</c:v>
                </c:pt>
                <c:pt idx="25">
                  <c:v>3.4749057623506201</c:v>
                </c:pt>
                <c:pt idx="26">
                  <c:v>3.5194714890745402</c:v>
                </c:pt>
                <c:pt idx="27">
                  <c:v>3.4658982736405402</c:v>
                </c:pt>
                <c:pt idx="28">
                  <c:v>3.56095344373482</c:v>
                </c:pt>
                <c:pt idx="29">
                  <c:v>3.2662704276719898</c:v>
                </c:pt>
                <c:pt idx="30">
                  <c:v>3.2634004025918801</c:v>
                </c:pt>
                <c:pt idx="31">
                  <c:v>3.3455824731166</c:v>
                </c:pt>
                <c:pt idx="32">
                  <c:v>3.3502069201019098</c:v>
                </c:pt>
                <c:pt idx="33">
                  <c:v>3.4418922694093101</c:v>
                </c:pt>
                <c:pt idx="34">
                  <c:v>3.4928388571133202</c:v>
                </c:pt>
                <c:pt idx="35">
                  <c:v>3.3280443445969699</c:v>
                </c:pt>
                <c:pt idx="36">
                  <c:v>3.3256956835335898</c:v>
                </c:pt>
                <c:pt idx="37">
                  <c:v>3.3215853470572401</c:v>
                </c:pt>
                <c:pt idx="38">
                  <c:v>3.2334652236953798</c:v>
                </c:pt>
                <c:pt idx="39">
                  <c:v>3.3857423450922299</c:v>
                </c:pt>
                <c:pt idx="40">
                  <c:v>3.23635767857093</c:v>
                </c:pt>
                <c:pt idx="41">
                  <c:v>3.3774729612893899</c:v>
                </c:pt>
                <c:pt idx="42">
                  <c:v>3.3417353075590199</c:v>
                </c:pt>
                <c:pt idx="43">
                  <c:v>3.30382789480934</c:v>
                </c:pt>
                <c:pt idx="44">
                  <c:v>3.3523097620577</c:v>
                </c:pt>
                <c:pt idx="45">
                  <c:v>3.1923105196067301</c:v>
                </c:pt>
                <c:pt idx="46">
                  <c:v>3.3213573530910301</c:v>
                </c:pt>
                <c:pt idx="47">
                  <c:v>3.5479438768614102</c:v>
                </c:pt>
                <c:pt idx="48">
                  <c:v>3.4919565785775299</c:v>
                </c:pt>
                <c:pt idx="49">
                  <c:v>3.4343365475219301</c:v>
                </c:pt>
                <c:pt idx="50">
                  <c:v>3.5642206164968702</c:v>
                </c:pt>
                <c:pt idx="51">
                  <c:v>3.4732210028049901</c:v>
                </c:pt>
                <c:pt idx="52">
                  <c:v>3.5469825423694301</c:v>
                </c:pt>
                <c:pt idx="53">
                  <c:v>3.5508238097047502</c:v>
                </c:pt>
                <c:pt idx="54">
                  <c:v>3.57121493669076</c:v>
                </c:pt>
                <c:pt idx="55">
                  <c:v>3.56692950801206</c:v>
                </c:pt>
                <c:pt idx="56">
                  <c:v>3.5382254293911299</c:v>
                </c:pt>
              </c:numCache>
            </c:numRef>
          </c:val>
          <c:extLst>
            <c:ext xmlns:c16="http://schemas.microsoft.com/office/drawing/2014/chart" uri="{C3380CC4-5D6E-409C-BE32-E72D297353CC}">
              <c16:uniqueId val="{00000003-9AB8-47BF-A87F-CB0B7CD67CDB}"/>
            </c:ext>
          </c:extLst>
        </c:ser>
        <c:dLbls>
          <c:showLegendKey val="0"/>
          <c:showVal val="0"/>
          <c:showCatName val="0"/>
          <c:showSerName val="0"/>
          <c:showPercent val="0"/>
          <c:showBubbleSize val="0"/>
        </c:dLbls>
        <c:gapWidth val="40"/>
        <c:axId val="292421072"/>
        <c:axId val="292421856"/>
      </c:barChart>
      <c:lineChart>
        <c:grouping val="standard"/>
        <c:varyColors val="0"/>
        <c:ser>
          <c:idx val="1"/>
          <c:order val="1"/>
          <c:tx>
            <c:strRef>
              <c:f>Datos!$D$5</c:f>
              <c:strCache>
                <c:ptCount val="1"/>
                <c:pt idx="0">
                  <c:v>Tendencia-Ciclo</c:v>
                </c:pt>
              </c:strCache>
            </c:strRef>
          </c:tx>
          <c:spPr>
            <a:ln w="12700">
              <a:solidFill>
                <a:schemeClr val="bg2">
                  <a:lumMod val="10000"/>
                </a:schemeClr>
              </a:solidFill>
            </a:ln>
          </c:spPr>
          <c:marker>
            <c:symbol val="none"/>
          </c:marker>
          <c:cat>
            <c:strRef>
              <c:f>Datos!$B$126:$B$185</c:f>
              <c:strCache>
                <c:ptCount val="57"/>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strCache>
            </c:strRef>
          </c:cat>
          <c:val>
            <c:numRef>
              <c:f>Datos!$D$126:$D$185</c:f>
              <c:numCache>
                <c:formatCode>_(* #,##0.0_);_(* \(#,##0.0\);_(* "-"??_);_(@_)</c:formatCode>
                <c:ptCount val="57"/>
                <c:pt idx="0">
                  <c:v>4.4258098571058602</c:v>
                </c:pt>
                <c:pt idx="1">
                  <c:v>4.3795212212558896</c:v>
                </c:pt>
                <c:pt idx="2">
                  <c:v>4.3655083020258303</c:v>
                </c:pt>
                <c:pt idx="3">
                  <c:v>4.3740770155526203</c:v>
                </c:pt>
                <c:pt idx="4">
                  <c:v>4.3935555993054303</c:v>
                </c:pt>
                <c:pt idx="5">
                  <c:v>4.4065863954003799</c:v>
                </c:pt>
                <c:pt idx="6">
                  <c:v>4.40370602979152</c:v>
                </c:pt>
                <c:pt idx="7">
                  <c:v>4.3821824032208196</c:v>
                </c:pt>
                <c:pt idx="8">
                  <c:v>4.3478202307409202</c:v>
                </c:pt>
                <c:pt idx="9">
                  <c:v>4.3120832709235097</c:v>
                </c:pt>
                <c:pt idx="10">
                  <c:v>4.2813997099746404</c:v>
                </c:pt>
                <c:pt idx="11">
                  <c:v>4.2516188404961603</c:v>
                </c:pt>
                <c:pt idx="12">
                  <c:v>4.2169416862678197</c:v>
                </c:pt>
                <c:pt idx="13">
                  <c:v>4.17195478372971</c:v>
                </c:pt>
                <c:pt idx="14">
                  <c:v>4.1114567773975299</c:v>
                </c:pt>
                <c:pt idx="15">
                  <c:v>4.0463871862062604</c:v>
                </c:pt>
                <c:pt idx="16">
                  <c:v>3.9835523596709801</c:v>
                </c:pt>
                <c:pt idx="17">
                  <c:v>3.9188239185959501</c:v>
                </c:pt>
                <c:pt idx="18">
                  <c:v>3.8575956524222201</c:v>
                </c:pt>
                <c:pt idx="19">
                  <c:v>3.7981742583842402</c:v>
                </c:pt>
                <c:pt idx="20">
                  <c:v>3.7396481519768301</c:v>
                </c:pt>
                <c:pt idx="21">
                  <c:v>3.67931643593844</c:v>
                </c:pt>
                <c:pt idx="22">
                  <c:v>3.6239122617289601</c:v>
                </c:pt>
                <c:pt idx="23">
                  <c:v>3.58098067066621</c:v>
                </c:pt>
                <c:pt idx="24">
                  <c:v>3.5463914876607201</c:v>
                </c:pt>
                <c:pt idx="25">
                  <c:v>3.5129546344440201</c:v>
                </c:pt>
                <c:pt idx="26">
                  <c:v>3.4749273600642501</c:v>
                </c:pt>
                <c:pt idx="27">
                  <c:v>3.42781449747307</c:v>
                </c:pt>
                <c:pt idx="28">
                  <c:v>3.3761558154473601</c:v>
                </c:pt>
                <c:pt idx="29">
                  <c:v>3.3403512457870499</c:v>
                </c:pt>
                <c:pt idx="30">
                  <c:v>3.32853235554265</c:v>
                </c:pt>
                <c:pt idx="31">
                  <c:v>3.3394572244988399</c:v>
                </c:pt>
                <c:pt idx="32">
                  <c:v>3.3661699602963999</c:v>
                </c:pt>
                <c:pt idx="33">
                  <c:v>3.3893402008288098</c:v>
                </c:pt>
                <c:pt idx="34">
                  <c:v>3.3951684189630398</c:v>
                </c:pt>
                <c:pt idx="35">
                  <c:v>3.3777644809646601</c:v>
                </c:pt>
                <c:pt idx="36">
                  <c:v>3.34558750125619</c:v>
                </c:pt>
                <c:pt idx="37">
                  <c:v>3.31637763264199</c:v>
                </c:pt>
                <c:pt idx="38">
                  <c:v>3.3000892581283301</c:v>
                </c:pt>
                <c:pt idx="39">
                  <c:v>3.2990541227974801</c:v>
                </c:pt>
                <c:pt idx="40">
                  <c:v>3.3096610559549902</c:v>
                </c:pt>
                <c:pt idx="41">
                  <c:v>3.3199853694669899</c:v>
                </c:pt>
                <c:pt idx="42">
                  <c:v>3.324163289071</c:v>
                </c:pt>
                <c:pt idx="43">
                  <c:v>3.32839569497113</c:v>
                </c:pt>
                <c:pt idx="44">
                  <c:v>3.3351172795875601</c:v>
                </c:pt>
                <c:pt idx="45">
                  <c:v>3.35107236942972</c:v>
                </c:pt>
                <c:pt idx="46">
                  <c:v>3.3782579455225599</c:v>
                </c:pt>
                <c:pt idx="47">
                  <c:v>3.4118432701013099</c:v>
                </c:pt>
                <c:pt idx="48">
                  <c:v>3.44853321454032</c:v>
                </c:pt>
                <c:pt idx="49">
                  <c:v>3.4802370431024201</c:v>
                </c:pt>
                <c:pt idx="50">
                  <c:v>3.50591323034197</c:v>
                </c:pt>
                <c:pt idx="51">
                  <c:v>3.5260024610754401</c:v>
                </c:pt>
                <c:pt idx="52">
                  <c:v>3.5390148979939098</c:v>
                </c:pt>
                <c:pt idx="53">
                  <c:v>3.5462573885393498</c:v>
                </c:pt>
                <c:pt idx="54">
                  <c:v>3.5508195894527699</c:v>
                </c:pt>
                <c:pt idx="55">
                  <c:v>3.5541135056869</c:v>
                </c:pt>
                <c:pt idx="56">
                  <c:v>3.5594111331008702</c:v>
                </c:pt>
              </c:numCache>
            </c:numRef>
          </c:val>
          <c:smooth val="0"/>
          <c:extLst>
            <c:ext xmlns:c16="http://schemas.microsoft.com/office/drawing/2014/chart" uri="{C3380CC4-5D6E-409C-BE32-E72D297353CC}">
              <c16:uniqueId val="{00000004-9AB8-47BF-A87F-CB0B7CD67CDB}"/>
            </c:ext>
          </c:extLst>
        </c:ser>
        <c:dLbls>
          <c:showLegendKey val="0"/>
          <c:showVal val="0"/>
          <c:showCatName val="0"/>
          <c:showSerName val="0"/>
          <c:showPercent val="0"/>
          <c:showBubbleSize val="0"/>
        </c:dLbls>
        <c:marker val="1"/>
        <c:smooth val="0"/>
        <c:axId val="292421072"/>
        <c:axId val="292421856"/>
      </c:lineChart>
      <c:catAx>
        <c:axId val="2924210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292421856"/>
        <c:crosses val="autoZero"/>
        <c:auto val="1"/>
        <c:lblAlgn val="ctr"/>
        <c:lblOffset val="0"/>
        <c:tickLblSkip val="1"/>
        <c:tickMarkSkip val="12"/>
        <c:noMultiLvlLbl val="1"/>
      </c:catAx>
      <c:valAx>
        <c:axId val="292421856"/>
        <c:scaling>
          <c:orientation val="minMax"/>
          <c:max val="6"/>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92421072"/>
        <c:crosses val="autoZero"/>
        <c:crossBetween val="between"/>
        <c:majorUnit val="1"/>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134052156631807E-2"/>
          <c:y val="3.3690476190476194E-2"/>
          <c:w val="0.91990763888888893"/>
          <c:h val="0.83146349206349202"/>
        </c:manualLayout>
      </c:layout>
      <c:barChart>
        <c:barDir val="col"/>
        <c:grouping val="clustered"/>
        <c:varyColors val="0"/>
        <c:ser>
          <c:idx val="0"/>
          <c:order val="0"/>
          <c:tx>
            <c:strRef>
              <c:f>Datos!$E$5</c:f>
              <c:strCache>
                <c:ptCount val="1"/>
                <c:pt idx="0">
                  <c:v>Serie Desestacionalizada</c:v>
                </c:pt>
              </c:strCache>
            </c:strRef>
          </c:tx>
          <c:spPr>
            <a:gradFill>
              <a:gsLst>
                <a:gs pos="5000">
                  <a:srgbClr val="77933C"/>
                </a:gs>
                <a:gs pos="50000">
                  <a:srgbClr val="C3D69B"/>
                </a:gs>
                <a:gs pos="95000">
                  <a:srgbClr val="77933C"/>
                </a:gs>
              </a:gsLst>
              <a:lin ang="0" scaled="0"/>
            </a:gradFill>
            <a:ln w="3175">
              <a:solidFill>
                <a:srgbClr val="4F6228"/>
              </a:solidFill>
            </a:ln>
          </c:spPr>
          <c:invertIfNegative val="0"/>
          <c:dLbls>
            <c:dLbl>
              <c:idx val="55"/>
              <c:layout>
                <c:manualLayout>
                  <c:x val="0"/>
                  <c:y val="5.08034546349151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47-4F91-BF5A-A9C77303CEEA}"/>
                </c:ext>
              </c:extLst>
            </c:dLbl>
            <c:dLbl>
              <c:idx val="56"/>
              <c:layout>
                <c:manualLayout>
                  <c:x val="0"/>
                  <c:y val="1.52410363904745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94-4517-AB56-705014FEA955}"/>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Datos!$A$126:$B$185</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Datos!$E$126:$E$185</c:f>
              <c:numCache>
                <c:formatCode>_(* #,##0.0_);_(* \(#,##0.0\);_(* "-"??_);_(@_)</c:formatCode>
                <c:ptCount val="57"/>
                <c:pt idx="0">
                  <c:v>8.1945045194463404</c:v>
                </c:pt>
                <c:pt idx="1">
                  <c:v>8.3185976019118897</c:v>
                </c:pt>
                <c:pt idx="2">
                  <c:v>7.9729026422451303</c:v>
                </c:pt>
                <c:pt idx="3">
                  <c:v>8.4291697691108105</c:v>
                </c:pt>
                <c:pt idx="4">
                  <c:v>7.45960847795451</c:v>
                </c:pt>
                <c:pt idx="5">
                  <c:v>8.5635105482486598</c:v>
                </c:pt>
                <c:pt idx="6">
                  <c:v>8.2573980672823808</c:v>
                </c:pt>
                <c:pt idx="7">
                  <c:v>8.2476734823748608</c:v>
                </c:pt>
                <c:pt idx="8">
                  <c:v>8.66533711834205</c:v>
                </c:pt>
                <c:pt idx="9">
                  <c:v>8.1970989036817503</c:v>
                </c:pt>
                <c:pt idx="10">
                  <c:v>9.5305121647145192</c:v>
                </c:pt>
                <c:pt idx="11">
                  <c:v>8.3335185948004504</c:v>
                </c:pt>
                <c:pt idx="12">
                  <c:v>8.3343838443307092</c:v>
                </c:pt>
                <c:pt idx="13">
                  <c:v>8.0465979031512003</c:v>
                </c:pt>
                <c:pt idx="14">
                  <c:v>7.7865992791077501</c:v>
                </c:pt>
                <c:pt idx="15">
                  <c:v>7.0401684516724501</c:v>
                </c:pt>
                <c:pt idx="16">
                  <c:v>8.2926038107497693</c:v>
                </c:pt>
                <c:pt idx="17">
                  <c:v>7.7756731740582303</c:v>
                </c:pt>
                <c:pt idx="18">
                  <c:v>7.7970589751398203</c:v>
                </c:pt>
                <c:pt idx="19">
                  <c:v>8.1016106956137506</c:v>
                </c:pt>
                <c:pt idx="20">
                  <c:v>6.9501614480397302</c:v>
                </c:pt>
                <c:pt idx="21">
                  <c:v>7.6738822301074796</c:v>
                </c:pt>
                <c:pt idx="22">
                  <c:v>7.2782720502031202</c:v>
                </c:pt>
                <c:pt idx="23">
                  <c:v>6.5741469064949296</c:v>
                </c:pt>
                <c:pt idx="24">
                  <c:v>7.3465032265987196</c:v>
                </c:pt>
                <c:pt idx="25">
                  <c:v>7.43973382136768</c:v>
                </c:pt>
                <c:pt idx="26">
                  <c:v>6.9221631652861797</c:v>
                </c:pt>
                <c:pt idx="27">
                  <c:v>7.1840125094372604</c:v>
                </c:pt>
                <c:pt idx="28">
                  <c:v>6.7757181701159599</c:v>
                </c:pt>
                <c:pt idx="29">
                  <c:v>7.17415167118995</c:v>
                </c:pt>
                <c:pt idx="30">
                  <c:v>6.2992337061991703</c:v>
                </c:pt>
                <c:pt idx="31">
                  <c:v>6.6732680237838604</c:v>
                </c:pt>
                <c:pt idx="32">
                  <c:v>7.7059315400001402</c:v>
                </c:pt>
                <c:pt idx="33">
                  <c:v>7.0275926658960204</c:v>
                </c:pt>
                <c:pt idx="34">
                  <c:v>6.8796699053858301</c:v>
                </c:pt>
                <c:pt idx="35">
                  <c:v>6.9289504625670402</c:v>
                </c:pt>
                <c:pt idx="36">
                  <c:v>6.9247361843639004</c:v>
                </c:pt>
                <c:pt idx="37">
                  <c:v>6.7755555841859696</c:v>
                </c:pt>
                <c:pt idx="38">
                  <c:v>7.2753302131716104</c:v>
                </c:pt>
                <c:pt idx="39">
                  <c:v>6.8135401764190604</c:v>
                </c:pt>
                <c:pt idx="40">
                  <c:v>7.0016500865456397</c:v>
                </c:pt>
                <c:pt idx="41">
                  <c:v>6.8001766007780402</c:v>
                </c:pt>
                <c:pt idx="42">
                  <c:v>7.0100721905235899</c:v>
                </c:pt>
                <c:pt idx="43">
                  <c:v>7.2908092114673098</c:v>
                </c:pt>
                <c:pt idx="44">
                  <c:v>6.65459362067336</c:v>
                </c:pt>
                <c:pt idx="45">
                  <c:v>6.6584245931981698</c:v>
                </c:pt>
                <c:pt idx="46">
                  <c:v>7.0949366632746296</c:v>
                </c:pt>
                <c:pt idx="47">
                  <c:v>7.2029714576273998</c:v>
                </c:pt>
                <c:pt idx="48">
                  <c:v>6.7985921420125903</c:v>
                </c:pt>
                <c:pt idx="49">
                  <c:v>6.7897630552223402</c:v>
                </c:pt>
                <c:pt idx="50">
                  <c:v>7.2207853783710698</c:v>
                </c:pt>
                <c:pt idx="51">
                  <c:v>7.4245553038678196</c:v>
                </c:pt>
                <c:pt idx="52">
                  <c:v>7.5465128132368804</c:v>
                </c:pt>
                <c:pt idx="53">
                  <c:v>7.5817170367803</c:v>
                </c:pt>
                <c:pt idx="54">
                  <c:v>7.6392184937581602</c:v>
                </c:pt>
                <c:pt idx="55">
                  <c:v>7.3287713660691898</c:v>
                </c:pt>
                <c:pt idx="56">
                  <c:v>7.8323949407793103</c:v>
                </c:pt>
              </c:numCache>
            </c:numRef>
          </c:val>
          <c:extLst>
            <c:ext xmlns:c16="http://schemas.microsoft.com/office/drawing/2014/chart" uri="{C3380CC4-5D6E-409C-BE32-E72D297353CC}">
              <c16:uniqueId val="{00000003-4DE2-405F-8488-44DE65474F4D}"/>
            </c:ext>
          </c:extLst>
        </c:ser>
        <c:dLbls>
          <c:showLegendKey val="0"/>
          <c:showVal val="0"/>
          <c:showCatName val="0"/>
          <c:showSerName val="0"/>
          <c:showPercent val="0"/>
          <c:showBubbleSize val="0"/>
        </c:dLbls>
        <c:gapWidth val="40"/>
        <c:axId val="292420680"/>
        <c:axId val="514553520"/>
      </c:barChart>
      <c:lineChart>
        <c:grouping val="standard"/>
        <c:varyColors val="0"/>
        <c:ser>
          <c:idx val="1"/>
          <c:order val="1"/>
          <c:tx>
            <c:strRef>
              <c:f>Datos!$F$5</c:f>
              <c:strCache>
                <c:ptCount val="1"/>
                <c:pt idx="0">
                  <c:v>Tendencia-Ciclo</c:v>
                </c:pt>
              </c:strCache>
            </c:strRef>
          </c:tx>
          <c:spPr>
            <a:ln w="12700">
              <a:solidFill>
                <a:schemeClr val="bg2">
                  <a:lumMod val="10000"/>
                </a:schemeClr>
              </a:solidFill>
            </a:ln>
          </c:spPr>
          <c:marker>
            <c:symbol val="none"/>
          </c:marker>
          <c:cat>
            <c:strRef>
              <c:f>Datos!$B$126:$B$185</c:f>
              <c:strCache>
                <c:ptCount val="57"/>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strCache>
            </c:strRef>
          </c:cat>
          <c:val>
            <c:numRef>
              <c:f>Datos!$F$126:$F$185</c:f>
              <c:numCache>
                <c:formatCode>_(* #,##0.0_);_(* \(#,##0.0\);_(* "-"??_);_(@_)</c:formatCode>
                <c:ptCount val="57"/>
                <c:pt idx="0">
                  <c:v>8.2058845434448795</c:v>
                </c:pt>
                <c:pt idx="1">
                  <c:v>8.2277517134084999</c:v>
                </c:pt>
                <c:pt idx="2">
                  <c:v>8.2388395263059504</c:v>
                </c:pt>
                <c:pt idx="3">
                  <c:v>8.26463720041572</c:v>
                </c:pt>
                <c:pt idx="4">
                  <c:v>8.2947923474633694</c:v>
                </c:pt>
                <c:pt idx="5">
                  <c:v>8.3313972193356403</c:v>
                </c:pt>
                <c:pt idx="6">
                  <c:v>8.3678303198955799</c:v>
                </c:pt>
                <c:pt idx="7">
                  <c:v>8.39439286063749</c:v>
                </c:pt>
                <c:pt idx="8">
                  <c:v>8.4131986045917397</c:v>
                </c:pt>
                <c:pt idx="9">
                  <c:v>8.4119397808272591</c:v>
                </c:pt>
                <c:pt idx="10">
                  <c:v>8.3760624887465003</c:v>
                </c:pt>
                <c:pt idx="11">
                  <c:v>8.3012006792565192</c:v>
                </c:pt>
                <c:pt idx="12">
                  <c:v>8.2043994952595494</c:v>
                </c:pt>
                <c:pt idx="13">
                  <c:v>8.0915659904165498</c:v>
                </c:pt>
                <c:pt idx="14">
                  <c:v>8.0029861940485194</c:v>
                </c:pt>
                <c:pt idx="15">
                  <c:v>7.9467266565186803</c:v>
                </c:pt>
                <c:pt idx="16">
                  <c:v>7.9178129826478303</c:v>
                </c:pt>
                <c:pt idx="17">
                  <c:v>7.9072977891214604</c:v>
                </c:pt>
                <c:pt idx="18">
                  <c:v>7.8713850717484704</c:v>
                </c:pt>
                <c:pt idx="19">
                  <c:v>7.7846660485906103</c:v>
                </c:pt>
                <c:pt idx="20">
                  <c:v>7.6614308577668897</c:v>
                </c:pt>
                <c:pt idx="21">
                  <c:v>7.5276009167288001</c:v>
                </c:pt>
                <c:pt idx="22">
                  <c:v>7.4140572503117603</c:v>
                </c:pt>
                <c:pt idx="23">
                  <c:v>7.3179595129573602</c:v>
                </c:pt>
                <c:pt idx="24">
                  <c:v>7.24141823705805</c:v>
                </c:pt>
                <c:pt idx="25">
                  <c:v>7.1887187236219896</c:v>
                </c:pt>
                <c:pt idx="26">
                  <c:v>7.1358306973736596</c:v>
                </c:pt>
                <c:pt idx="27">
                  <c:v>7.06099844032825</c:v>
                </c:pt>
                <c:pt idx="28">
                  <c:v>6.98007492449418</c:v>
                </c:pt>
                <c:pt idx="29">
                  <c:v>6.9052770120873097</c:v>
                </c:pt>
                <c:pt idx="30">
                  <c:v>6.8606239451017901</c:v>
                </c:pt>
                <c:pt idx="31">
                  <c:v>6.8531612079510298</c:v>
                </c:pt>
                <c:pt idx="32">
                  <c:v>6.8574075117903899</c:v>
                </c:pt>
                <c:pt idx="33">
                  <c:v>6.8722679250093801</c:v>
                </c:pt>
                <c:pt idx="34">
                  <c:v>6.8989420830780404</c:v>
                </c:pt>
                <c:pt idx="35">
                  <c:v>6.9274591005585702</c:v>
                </c:pt>
                <c:pt idx="36">
                  <c:v>6.9496723306481103</c:v>
                </c:pt>
                <c:pt idx="37">
                  <c:v>6.948386013256</c:v>
                </c:pt>
                <c:pt idx="38">
                  <c:v>6.95113300485521</c:v>
                </c:pt>
                <c:pt idx="39">
                  <c:v>6.9668705942524802</c:v>
                </c:pt>
                <c:pt idx="40">
                  <c:v>6.9731310803806998</c:v>
                </c:pt>
                <c:pt idx="41">
                  <c:v>6.9557919949832803</c:v>
                </c:pt>
                <c:pt idx="42">
                  <c:v>6.93327060117005</c:v>
                </c:pt>
                <c:pt idx="43">
                  <c:v>6.9203468859703703</c:v>
                </c:pt>
                <c:pt idx="44">
                  <c:v>6.9139712094403798</c:v>
                </c:pt>
                <c:pt idx="45">
                  <c:v>6.9073055927349003</c:v>
                </c:pt>
                <c:pt idx="46">
                  <c:v>6.8980524950737898</c:v>
                </c:pt>
                <c:pt idx="47">
                  <c:v>6.9135311223512099</c:v>
                </c:pt>
                <c:pt idx="48">
                  <c:v>6.9663933211026796</c:v>
                </c:pt>
                <c:pt idx="49">
                  <c:v>7.0688341221605802</c:v>
                </c:pt>
                <c:pt idx="50">
                  <c:v>7.1921151378303403</c:v>
                </c:pt>
                <c:pt idx="51">
                  <c:v>7.3180969382893801</c:v>
                </c:pt>
                <c:pt idx="52">
                  <c:v>7.4426672852447604</c:v>
                </c:pt>
                <c:pt idx="53">
                  <c:v>7.5454507141028797</c:v>
                </c:pt>
                <c:pt idx="54">
                  <c:v>7.6019408745514401</c:v>
                </c:pt>
                <c:pt idx="55">
                  <c:v>7.6163725127487396</c:v>
                </c:pt>
                <c:pt idx="56">
                  <c:v>7.6253965460005499</c:v>
                </c:pt>
              </c:numCache>
            </c:numRef>
          </c:val>
          <c:smooth val="0"/>
          <c:extLst>
            <c:ext xmlns:c16="http://schemas.microsoft.com/office/drawing/2014/chart" uri="{C3380CC4-5D6E-409C-BE32-E72D297353CC}">
              <c16:uniqueId val="{00000004-4DE2-405F-8488-44DE65474F4D}"/>
            </c:ext>
          </c:extLst>
        </c:ser>
        <c:dLbls>
          <c:showLegendKey val="0"/>
          <c:showVal val="0"/>
          <c:showCatName val="0"/>
          <c:showSerName val="0"/>
          <c:showPercent val="0"/>
          <c:showBubbleSize val="0"/>
        </c:dLbls>
        <c:marker val="1"/>
        <c:smooth val="0"/>
        <c:axId val="292420680"/>
        <c:axId val="514553520"/>
      </c:lineChart>
      <c:catAx>
        <c:axId val="29242068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14553520"/>
        <c:crosses val="autoZero"/>
        <c:auto val="1"/>
        <c:lblAlgn val="ctr"/>
        <c:lblOffset val="0"/>
        <c:tickLblSkip val="1"/>
        <c:tickMarkSkip val="12"/>
        <c:noMultiLvlLbl val="1"/>
      </c:catAx>
      <c:valAx>
        <c:axId val="514553520"/>
        <c:scaling>
          <c:orientation val="minMax"/>
          <c:max val="12"/>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92420680"/>
        <c:crosses val="autoZero"/>
        <c:crossBetween val="between"/>
        <c:majorUnit val="2"/>
        <c:minorUnit val="0.4"/>
      </c:valAx>
      <c:spPr>
        <a:noFill/>
        <a:ln w="6350">
          <a:solidFill>
            <a:schemeClr val="bg1">
              <a:lumMod val="6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075925925925928E-2"/>
          <c:y val="3.8788888888888887E-2"/>
          <c:w val="0.91021712962962964"/>
          <c:h val="0.82269007936507932"/>
        </c:manualLayout>
      </c:layout>
      <c:barChart>
        <c:barDir val="col"/>
        <c:grouping val="clustered"/>
        <c:varyColors val="0"/>
        <c:ser>
          <c:idx val="0"/>
          <c:order val="0"/>
          <c:tx>
            <c:strRef>
              <c:f>Datos!$G$5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55"/>
              <c:layout>
                <c:manualLayout>
                  <c:x val="-1.0761402784879983E-16"/>
                  <c:y val="2.4753980518032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73-44A9-ACA9-E7B70CD78BDA}"/>
                </c:ext>
              </c:extLst>
            </c:dLbl>
            <c:dLbl>
              <c:idx val="56"/>
              <c:layout>
                <c:manualLayout>
                  <c:x val="0"/>
                  <c:y val="1.4852388310819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4E-480D-9191-10FD7DD6CC22}"/>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Datos!$A$126:$B$185</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Datos!$G$126:$G$185</c:f>
              <c:numCache>
                <c:formatCode>_(* #,##0.0_);_(* \(#,##0.0\);_(* "-"??_);_(@_)</c:formatCode>
                <c:ptCount val="57"/>
                <c:pt idx="0">
                  <c:v>57.251055898682097</c:v>
                </c:pt>
                <c:pt idx="1">
                  <c:v>57.7765523812417</c:v>
                </c:pt>
                <c:pt idx="2">
                  <c:v>58.231389437852798</c:v>
                </c:pt>
                <c:pt idx="3">
                  <c:v>57.9482911206563</c:v>
                </c:pt>
                <c:pt idx="4">
                  <c:v>57.842006045650301</c:v>
                </c:pt>
                <c:pt idx="5">
                  <c:v>58.319593172516001</c:v>
                </c:pt>
                <c:pt idx="6">
                  <c:v>57.797561090701102</c:v>
                </c:pt>
                <c:pt idx="7">
                  <c:v>57.594547646532497</c:v>
                </c:pt>
                <c:pt idx="8">
                  <c:v>57.787415221245404</c:v>
                </c:pt>
                <c:pt idx="9">
                  <c:v>57.950947505746399</c:v>
                </c:pt>
                <c:pt idx="10">
                  <c:v>58.217272529357899</c:v>
                </c:pt>
                <c:pt idx="11">
                  <c:v>57.830208123605303</c:v>
                </c:pt>
                <c:pt idx="12">
                  <c:v>57.877530485724598</c:v>
                </c:pt>
                <c:pt idx="13">
                  <c:v>57.528533609434703</c:v>
                </c:pt>
                <c:pt idx="14">
                  <c:v>56.894964096439999</c:v>
                </c:pt>
                <c:pt idx="15">
                  <c:v>57.573625992659998</c:v>
                </c:pt>
                <c:pt idx="16">
                  <c:v>57.571120285427703</c:v>
                </c:pt>
                <c:pt idx="17">
                  <c:v>56.987846558830903</c:v>
                </c:pt>
                <c:pt idx="18">
                  <c:v>57.129969635581602</c:v>
                </c:pt>
                <c:pt idx="19">
                  <c:v>57.880392230933502</c:v>
                </c:pt>
                <c:pt idx="20">
                  <c:v>56.745150781127897</c:v>
                </c:pt>
                <c:pt idx="21">
                  <c:v>57.396368750073002</c:v>
                </c:pt>
                <c:pt idx="22">
                  <c:v>56.975426590852599</c:v>
                </c:pt>
                <c:pt idx="23">
                  <c:v>56.647374082367399</c:v>
                </c:pt>
                <c:pt idx="24">
                  <c:v>57.296469825054501</c:v>
                </c:pt>
                <c:pt idx="25">
                  <c:v>57.233265081849297</c:v>
                </c:pt>
                <c:pt idx="26">
                  <c:v>56.799478698035003</c:v>
                </c:pt>
                <c:pt idx="27">
                  <c:v>56.451706273778903</c:v>
                </c:pt>
                <c:pt idx="28">
                  <c:v>56.724220035808003</c:v>
                </c:pt>
                <c:pt idx="29">
                  <c:v>56.662298026305798</c:v>
                </c:pt>
                <c:pt idx="30">
                  <c:v>57.239481952561199</c:v>
                </c:pt>
                <c:pt idx="31">
                  <c:v>57.124325198413899</c:v>
                </c:pt>
                <c:pt idx="32">
                  <c:v>57.076801679176299</c:v>
                </c:pt>
                <c:pt idx="33">
                  <c:v>56.933681410659098</c:v>
                </c:pt>
                <c:pt idx="34">
                  <c:v>56.7906942649538</c:v>
                </c:pt>
                <c:pt idx="35">
                  <c:v>56.741745242077897</c:v>
                </c:pt>
                <c:pt idx="36">
                  <c:v>56.805279905876901</c:v>
                </c:pt>
                <c:pt idx="37">
                  <c:v>56.565668984166003</c:v>
                </c:pt>
                <c:pt idx="38">
                  <c:v>56.804241874812902</c:v>
                </c:pt>
                <c:pt idx="39">
                  <c:v>56.893277589816798</c:v>
                </c:pt>
                <c:pt idx="40">
                  <c:v>56.973594858101698</c:v>
                </c:pt>
                <c:pt idx="41">
                  <c:v>56.787603112044202</c:v>
                </c:pt>
                <c:pt idx="42">
                  <c:v>56.594012519409603</c:v>
                </c:pt>
                <c:pt idx="43">
                  <c:v>56.689083713846202</c:v>
                </c:pt>
                <c:pt idx="44">
                  <c:v>56.620329988968599</c:v>
                </c:pt>
                <c:pt idx="45">
                  <c:v>55.4910519490141</c:v>
                </c:pt>
                <c:pt idx="46">
                  <c:v>57.1161944123116</c:v>
                </c:pt>
                <c:pt idx="47">
                  <c:v>56.803760328009602</c:v>
                </c:pt>
                <c:pt idx="48">
                  <c:v>56.322157295239002</c:v>
                </c:pt>
                <c:pt idx="49">
                  <c:v>57.710949615588397</c:v>
                </c:pt>
                <c:pt idx="50">
                  <c:v>56.950710891497202</c:v>
                </c:pt>
                <c:pt idx="51">
                  <c:v>56.645962752714901</c:v>
                </c:pt>
                <c:pt idx="52">
                  <c:v>56.3456214013625</c:v>
                </c:pt>
                <c:pt idx="53">
                  <c:v>56.726170864833797</c:v>
                </c:pt>
                <c:pt idx="54">
                  <c:v>55.856784594731501</c:v>
                </c:pt>
                <c:pt idx="55">
                  <c:v>56.359823543335899</c:v>
                </c:pt>
                <c:pt idx="56">
                  <c:v>56.722408727289299</c:v>
                </c:pt>
              </c:numCache>
            </c:numRef>
          </c:val>
          <c:extLst>
            <c:ext xmlns:c16="http://schemas.microsoft.com/office/drawing/2014/chart" uri="{C3380CC4-5D6E-409C-BE32-E72D297353CC}">
              <c16:uniqueId val="{00000003-D9B9-47AD-BDAF-800295C4BED4}"/>
            </c:ext>
          </c:extLst>
        </c:ser>
        <c:dLbls>
          <c:showLegendKey val="0"/>
          <c:showVal val="0"/>
          <c:showCatName val="0"/>
          <c:showSerName val="0"/>
          <c:showPercent val="0"/>
          <c:showBubbleSize val="0"/>
        </c:dLbls>
        <c:gapWidth val="40"/>
        <c:axId val="514553912"/>
        <c:axId val="514556264"/>
      </c:barChart>
      <c:lineChart>
        <c:grouping val="standard"/>
        <c:varyColors val="0"/>
        <c:ser>
          <c:idx val="1"/>
          <c:order val="1"/>
          <c:tx>
            <c:strRef>
              <c:f>Datos!$H$5</c:f>
              <c:strCache>
                <c:ptCount val="1"/>
                <c:pt idx="0">
                  <c:v>Tendencia-Ciclo</c:v>
                </c:pt>
              </c:strCache>
            </c:strRef>
          </c:tx>
          <c:spPr>
            <a:ln w="12700">
              <a:solidFill>
                <a:schemeClr val="bg2">
                  <a:lumMod val="10000"/>
                </a:schemeClr>
              </a:solidFill>
            </a:ln>
          </c:spPr>
          <c:marker>
            <c:symbol val="none"/>
          </c:marker>
          <c:cat>
            <c:strRef>
              <c:f>Datos!$B$126:$B$185</c:f>
              <c:strCache>
                <c:ptCount val="57"/>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strCache>
            </c:strRef>
          </c:cat>
          <c:val>
            <c:numRef>
              <c:f>Datos!$H$126:$H$185</c:f>
              <c:numCache>
                <c:formatCode>_(* #,##0.0_);_(* \(#,##0.0\);_(* "-"??_);_(@_)</c:formatCode>
                <c:ptCount val="57"/>
                <c:pt idx="0">
                  <c:v>57.681364482104598</c:v>
                </c:pt>
                <c:pt idx="1">
                  <c:v>57.7414588057147</c:v>
                </c:pt>
                <c:pt idx="2">
                  <c:v>57.803911310753797</c:v>
                </c:pt>
                <c:pt idx="3">
                  <c:v>57.862435340194999</c:v>
                </c:pt>
                <c:pt idx="4">
                  <c:v>57.912474126515299</c:v>
                </c:pt>
                <c:pt idx="5">
                  <c:v>57.948052165643503</c:v>
                </c:pt>
                <c:pt idx="6">
                  <c:v>57.964361740873997</c:v>
                </c:pt>
                <c:pt idx="7">
                  <c:v>57.960441681031</c:v>
                </c:pt>
                <c:pt idx="8">
                  <c:v>57.935813616093</c:v>
                </c:pt>
                <c:pt idx="9">
                  <c:v>57.893205584593701</c:v>
                </c:pt>
                <c:pt idx="10">
                  <c:v>57.836431655792701</c:v>
                </c:pt>
                <c:pt idx="11">
                  <c:v>57.7685440799115</c:v>
                </c:pt>
                <c:pt idx="12">
                  <c:v>57.692474002387499</c:v>
                </c:pt>
                <c:pt idx="13">
                  <c:v>57.610147620515903</c:v>
                </c:pt>
                <c:pt idx="14">
                  <c:v>57.519993575812201</c:v>
                </c:pt>
                <c:pt idx="15">
                  <c:v>57.426541849895997</c:v>
                </c:pt>
                <c:pt idx="16">
                  <c:v>57.3388501417028</c:v>
                </c:pt>
                <c:pt idx="17">
                  <c:v>57.262031043708198</c:v>
                </c:pt>
                <c:pt idx="18">
                  <c:v>57.198638787609802</c:v>
                </c:pt>
                <c:pt idx="19">
                  <c:v>57.147887799373002</c:v>
                </c:pt>
                <c:pt idx="20">
                  <c:v>57.104562420780702</c:v>
                </c:pt>
                <c:pt idx="21">
                  <c:v>57.062687795189802</c:v>
                </c:pt>
                <c:pt idx="22">
                  <c:v>57.019731478123802</c:v>
                </c:pt>
                <c:pt idx="23">
                  <c:v>56.977442117296498</c:v>
                </c:pt>
                <c:pt idx="24">
                  <c:v>56.940817838626103</c:v>
                </c:pt>
                <c:pt idx="25">
                  <c:v>56.913150163517301</c:v>
                </c:pt>
                <c:pt idx="26">
                  <c:v>56.897904266921699</c:v>
                </c:pt>
                <c:pt idx="27">
                  <c:v>56.893470199154599</c:v>
                </c:pt>
                <c:pt idx="28">
                  <c:v>56.894273655935201</c:v>
                </c:pt>
                <c:pt idx="29">
                  <c:v>56.897197856882897</c:v>
                </c:pt>
                <c:pt idx="30">
                  <c:v>56.900518406028198</c:v>
                </c:pt>
                <c:pt idx="31">
                  <c:v>56.901513446258299</c:v>
                </c:pt>
                <c:pt idx="32">
                  <c:v>56.898658653744803</c:v>
                </c:pt>
                <c:pt idx="33">
                  <c:v>56.892114738643798</c:v>
                </c:pt>
                <c:pt idx="34">
                  <c:v>56.879486192589802</c:v>
                </c:pt>
                <c:pt idx="35">
                  <c:v>56.860984700046103</c:v>
                </c:pt>
                <c:pt idx="36">
                  <c:v>56.836443503003899</c:v>
                </c:pt>
                <c:pt idx="37">
                  <c:v>56.807904186136199</c:v>
                </c:pt>
                <c:pt idx="38">
                  <c:v>56.781415787098801</c:v>
                </c:pt>
                <c:pt idx="39">
                  <c:v>56.761457963261499</c:v>
                </c:pt>
                <c:pt idx="40">
                  <c:v>56.749867645584303</c:v>
                </c:pt>
                <c:pt idx="41">
                  <c:v>56.746046858576797</c:v>
                </c:pt>
                <c:pt idx="42">
                  <c:v>56.746204326978599</c:v>
                </c:pt>
                <c:pt idx="43">
                  <c:v>56.7470960412926</c:v>
                </c:pt>
                <c:pt idx="44">
                  <c:v>56.748131740622398</c:v>
                </c:pt>
                <c:pt idx="45">
                  <c:v>56.746648434805003</c:v>
                </c:pt>
                <c:pt idx="46">
                  <c:v>56.743736916257703</c:v>
                </c:pt>
                <c:pt idx="47">
                  <c:v>56.738169574266898</c:v>
                </c:pt>
                <c:pt idx="48">
                  <c:v>56.726171113044103</c:v>
                </c:pt>
                <c:pt idx="49">
                  <c:v>56.705988503817203</c:v>
                </c:pt>
                <c:pt idx="50">
                  <c:v>56.676001569941498</c:v>
                </c:pt>
                <c:pt idx="51">
                  <c:v>56.6355374653563</c:v>
                </c:pt>
                <c:pt idx="52">
                  <c:v>56.586492612989503</c:v>
                </c:pt>
                <c:pt idx="53">
                  <c:v>56.532999686933998</c:v>
                </c:pt>
                <c:pt idx="54">
                  <c:v>56.480705020810397</c:v>
                </c:pt>
                <c:pt idx="55">
                  <c:v>56.434372177519599</c:v>
                </c:pt>
                <c:pt idx="56">
                  <c:v>56.396366128158</c:v>
                </c:pt>
              </c:numCache>
            </c:numRef>
          </c:val>
          <c:smooth val="0"/>
          <c:extLst>
            <c:ext xmlns:c16="http://schemas.microsoft.com/office/drawing/2014/chart" uri="{C3380CC4-5D6E-409C-BE32-E72D297353CC}">
              <c16:uniqueId val="{00000004-D9B9-47AD-BDAF-800295C4BED4}"/>
            </c:ext>
          </c:extLst>
        </c:ser>
        <c:dLbls>
          <c:showLegendKey val="0"/>
          <c:showVal val="0"/>
          <c:showCatName val="0"/>
          <c:showSerName val="0"/>
          <c:showPercent val="0"/>
          <c:showBubbleSize val="0"/>
        </c:dLbls>
        <c:marker val="1"/>
        <c:smooth val="0"/>
        <c:axId val="514553912"/>
        <c:axId val="514556264"/>
      </c:lineChart>
      <c:catAx>
        <c:axId val="5145539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14556264"/>
        <c:crosses val="autoZero"/>
        <c:auto val="1"/>
        <c:lblAlgn val="ctr"/>
        <c:lblOffset val="0"/>
        <c:tickLblSkip val="1"/>
        <c:tickMarkSkip val="12"/>
        <c:noMultiLvlLbl val="1"/>
      </c:catAx>
      <c:valAx>
        <c:axId val="514556264"/>
        <c:scaling>
          <c:orientation val="minMax"/>
          <c:max val="62"/>
          <c:min val="5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14553912"/>
        <c:crosses val="autoZero"/>
        <c:crossBetween val="between"/>
        <c:majorUnit val="2"/>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720578450442922E-2"/>
          <c:y val="3.3749389330706453E-2"/>
          <c:w val="0.91316041666666659"/>
          <c:h val="0.82782976190476187"/>
        </c:manualLayout>
      </c:layout>
      <c:barChart>
        <c:barDir val="col"/>
        <c:grouping val="clustered"/>
        <c:varyColors val="0"/>
        <c:ser>
          <c:idx val="0"/>
          <c:order val="0"/>
          <c:tx>
            <c:strRef>
              <c:f>Datos!$I$5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55"/>
              <c:layout>
                <c:manualLayout>
                  <c:x val="-2.9232813580046002E-3"/>
                  <c:y val="1.53337752358322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2A-4224-8352-7457AF16673E}"/>
                </c:ext>
              </c:extLst>
            </c:dLbl>
            <c:dLbl>
              <c:idx val="56"/>
              <c:layout>
                <c:manualLayout>
                  <c:x val="-2.9396628138548481E-3"/>
                  <c:y val="2.05457490736429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2A-40D6-AC9D-B038048908DA}"/>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Datos!$A$126:$B$185</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Datos!$I$126:$I$185</c:f>
              <c:numCache>
                <c:formatCode>_(* #,##0.0_);_(* \(#,##0.0\);_(* "-"??_);_(@_)</c:formatCode>
                <c:ptCount val="57"/>
                <c:pt idx="0">
                  <c:v>26.671708005900701</c:v>
                </c:pt>
                <c:pt idx="1">
                  <c:v>27.1886204198236</c:v>
                </c:pt>
                <c:pt idx="2">
                  <c:v>27.5439824803032</c:v>
                </c:pt>
                <c:pt idx="3">
                  <c:v>27.091737265373698</c:v>
                </c:pt>
                <c:pt idx="4">
                  <c:v>27.301407758281499</c:v>
                </c:pt>
                <c:pt idx="5">
                  <c:v>27.4086230015178</c:v>
                </c:pt>
                <c:pt idx="6">
                  <c:v>27.578295222245899</c:v>
                </c:pt>
                <c:pt idx="7">
                  <c:v>27.503902107642698</c:v>
                </c:pt>
                <c:pt idx="8">
                  <c:v>27.348299307510601</c:v>
                </c:pt>
                <c:pt idx="9">
                  <c:v>27.7595714182908</c:v>
                </c:pt>
                <c:pt idx="10">
                  <c:v>27.760721630226602</c:v>
                </c:pt>
                <c:pt idx="11">
                  <c:v>27.753508606972801</c:v>
                </c:pt>
                <c:pt idx="12">
                  <c:v>27.328078011010401</c:v>
                </c:pt>
                <c:pt idx="13">
                  <c:v>27.082781942074998</c:v>
                </c:pt>
                <c:pt idx="14">
                  <c:v>26.552897817504501</c:v>
                </c:pt>
                <c:pt idx="15">
                  <c:v>26.812538204195999</c:v>
                </c:pt>
                <c:pt idx="16">
                  <c:v>27.228475748706799</c:v>
                </c:pt>
                <c:pt idx="17">
                  <c:v>26.892476868384598</c:v>
                </c:pt>
                <c:pt idx="18">
                  <c:v>27.022834392582599</c:v>
                </c:pt>
                <c:pt idx="19">
                  <c:v>28.0473520885337</c:v>
                </c:pt>
                <c:pt idx="20">
                  <c:v>26.491539670192299</c:v>
                </c:pt>
                <c:pt idx="21">
                  <c:v>27.451518148184601</c:v>
                </c:pt>
                <c:pt idx="22">
                  <c:v>27.217262683221598</c:v>
                </c:pt>
                <c:pt idx="23">
                  <c:v>26.703355507607899</c:v>
                </c:pt>
                <c:pt idx="24">
                  <c:v>26.942508131398899</c:v>
                </c:pt>
                <c:pt idx="25">
                  <c:v>27.236363862125899</c:v>
                </c:pt>
                <c:pt idx="26">
                  <c:v>27.125308618877501</c:v>
                </c:pt>
                <c:pt idx="27">
                  <c:v>26.097210631768501</c:v>
                </c:pt>
                <c:pt idx="28">
                  <c:v>27.2139125161995</c:v>
                </c:pt>
                <c:pt idx="29">
                  <c:v>26.964415356172999</c:v>
                </c:pt>
                <c:pt idx="30">
                  <c:v>26.442010631093801</c:v>
                </c:pt>
                <c:pt idx="31">
                  <c:v>26.6548140657274</c:v>
                </c:pt>
                <c:pt idx="32">
                  <c:v>26.794631132093901</c:v>
                </c:pt>
                <c:pt idx="33">
                  <c:v>26.7938148443295</c:v>
                </c:pt>
                <c:pt idx="34">
                  <c:v>26.8985175142702</c:v>
                </c:pt>
                <c:pt idx="35">
                  <c:v>26.6848326751347</c:v>
                </c:pt>
                <c:pt idx="36">
                  <c:v>27.6287965017491</c:v>
                </c:pt>
                <c:pt idx="37">
                  <c:v>27.002829669904202</c:v>
                </c:pt>
                <c:pt idx="38">
                  <c:v>27.078861794450599</c:v>
                </c:pt>
                <c:pt idx="39">
                  <c:v>27.422475239375601</c:v>
                </c:pt>
                <c:pt idx="40">
                  <c:v>27.0889252785399</c:v>
                </c:pt>
                <c:pt idx="41">
                  <c:v>27.330329278537899</c:v>
                </c:pt>
                <c:pt idx="42">
                  <c:v>27.668582930516202</c:v>
                </c:pt>
                <c:pt idx="43">
                  <c:v>27.5632177382784</c:v>
                </c:pt>
                <c:pt idx="44">
                  <c:v>27.434547118090698</c:v>
                </c:pt>
                <c:pt idx="45">
                  <c:v>27.125951623653201</c:v>
                </c:pt>
                <c:pt idx="46">
                  <c:v>27.477847837050099</c:v>
                </c:pt>
                <c:pt idx="47">
                  <c:v>27.539023600624301</c:v>
                </c:pt>
                <c:pt idx="48">
                  <c:v>27.4825626283227</c:v>
                </c:pt>
                <c:pt idx="49">
                  <c:v>27.723244097241999</c:v>
                </c:pt>
                <c:pt idx="50">
                  <c:v>27.6622986243528</c:v>
                </c:pt>
                <c:pt idx="51">
                  <c:v>28.286995466508401</c:v>
                </c:pt>
                <c:pt idx="52">
                  <c:v>27.395039555639499</c:v>
                </c:pt>
                <c:pt idx="53">
                  <c:v>27.453737004659899</c:v>
                </c:pt>
                <c:pt idx="54">
                  <c:v>27.550671741143699</c:v>
                </c:pt>
                <c:pt idx="55">
                  <c:v>27.591255521051401</c:v>
                </c:pt>
                <c:pt idx="56">
                  <c:v>27.630243099742302</c:v>
                </c:pt>
              </c:numCache>
            </c:numRef>
          </c:val>
          <c:extLst>
            <c:ext xmlns:c16="http://schemas.microsoft.com/office/drawing/2014/chart" uri="{C3380CC4-5D6E-409C-BE32-E72D297353CC}">
              <c16:uniqueId val="{00000003-FC3B-46D6-868F-03A7B7795EFC}"/>
            </c:ext>
          </c:extLst>
        </c:ser>
        <c:dLbls>
          <c:showLegendKey val="0"/>
          <c:showVal val="0"/>
          <c:showCatName val="0"/>
          <c:showSerName val="0"/>
          <c:showPercent val="0"/>
          <c:showBubbleSize val="0"/>
        </c:dLbls>
        <c:gapWidth val="40"/>
        <c:axId val="514554304"/>
        <c:axId val="514556656"/>
      </c:barChart>
      <c:lineChart>
        <c:grouping val="standard"/>
        <c:varyColors val="0"/>
        <c:ser>
          <c:idx val="1"/>
          <c:order val="1"/>
          <c:tx>
            <c:strRef>
              <c:f>Datos!$J$5</c:f>
              <c:strCache>
                <c:ptCount val="1"/>
                <c:pt idx="0">
                  <c:v>Tendencia-Ciclo</c:v>
                </c:pt>
              </c:strCache>
            </c:strRef>
          </c:tx>
          <c:spPr>
            <a:ln w="12700">
              <a:solidFill>
                <a:schemeClr val="bg2">
                  <a:lumMod val="10000"/>
                </a:schemeClr>
              </a:solidFill>
            </a:ln>
          </c:spPr>
          <c:marker>
            <c:symbol val="none"/>
          </c:marker>
          <c:cat>
            <c:strRef>
              <c:f>Datos!$B$126:$B$185</c:f>
              <c:strCache>
                <c:ptCount val="57"/>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strCache>
            </c:strRef>
          </c:cat>
          <c:val>
            <c:numRef>
              <c:f>Datos!$J$126:$J$185</c:f>
              <c:numCache>
                <c:formatCode>_(* #,##0.0_);_(* \(#,##0.0\);_(* "-"??_);_(@_)</c:formatCode>
                <c:ptCount val="57"/>
                <c:pt idx="0">
                  <c:v>27.1238537454099</c:v>
                </c:pt>
                <c:pt idx="1">
                  <c:v>27.1577982382858</c:v>
                </c:pt>
                <c:pt idx="2">
                  <c:v>27.219799025548301</c:v>
                </c:pt>
                <c:pt idx="3">
                  <c:v>27.293830815063199</c:v>
                </c:pt>
                <c:pt idx="4">
                  <c:v>27.3507758842144</c:v>
                </c:pt>
                <c:pt idx="5">
                  <c:v>27.397424747853201</c:v>
                </c:pt>
                <c:pt idx="6">
                  <c:v>27.455473461854499</c:v>
                </c:pt>
                <c:pt idx="7">
                  <c:v>27.531719876397499</c:v>
                </c:pt>
                <c:pt idx="8">
                  <c:v>27.619869867078201</c:v>
                </c:pt>
                <c:pt idx="9">
                  <c:v>27.6688238436715</c:v>
                </c:pt>
                <c:pt idx="10">
                  <c:v>27.628601359728901</c:v>
                </c:pt>
                <c:pt idx="11">
                  <c:v>27.507788602537101</c:v>
                </c:pt>
                <c:pt idx="12">
                  <c:v>27.3284255539157</c:v>
                </c:pt>
                <c:pt idx="13">
                  <c:v>27.132163447892101</c:v>
                </c:pt>
                <c:pt idx="14">
                  <c:v>26.972535218948501</c:v>
                </c:pt>
                <c:pt idx="15">
                  <c:v>26.891213795796499</c:v>
                </c:pt>
                <c:pt idx="16">
                  <c:v>26.904958162381099</c:v>
                </c:pt>
                <c:pt idx="17">
                  <c:v>26.9941428048405</c:v>
                </c:pt>
                <c:pt idx="18">
                  <c:v>27.106395828470401</c:v>
                </c:pt>
                <c:pt idx="19">
                  <c:v>27.181389753839198</c:v>
                </c:pt>
                <c:pt idx="20">
                  <c:v>27.1997240077451</c:v>
                </c:pt>
                <c:pt idx="21">
                  <c:v>27.174868095559901</c:v>
                </c:pt>
                <c:pt idx="22">
                  <c:v>27.129560516120002</c:v>
                </c:pt>
                <c:pt idx="23">
                  <c:v>27.0823724337749</c:v>
                </c:pt>
                <c:pt idx="24">
                  <c:v>27.059598408198301</c:v>
                </c:pt>
                <c:pt idx="25">
                  <c:v>27.068717993984599</c:v>
                </c:pt>
                <c:pt idx="26">
                  <c:v>27.0786863415399</c:v>
                </c:pt>
                <c:pt idx="27">
                  <c:v>27.055833982583501</c:v>
                </c:pt>
                <c:pt idx="28">
                  <c:v>26.9835262116057</c:v>
                </c:pt>
                <c:pt idx="29">
                  <c:v>26.877123275236499</c:v>
                </c:pt>
                <c:pt idx="30">
                  <c:v>26.774154779423998</c:v>
                </c:pt>
                <c:pt idx="31">
                  <c:v>26.7156191318876</c:v>
                </c:pt>
                <c:pt idx="32">
                  <c:v>26.7084667397949</c:v>
                </c:pt>
                <c:pt idx="33">
                  <c:v>26.738204344631601</c:v>
                </c:pt>
                <c:pt idx="34">
                  <c:v>26.8025959231224</c:v>
                </c:pt>
                <c:pt idx="35">
                  <c:v>26.8833811258121</c:v>
                </c:pt>
                <c:pt idx="36">
                  <c:v>26.955236495341101</c:v>
                </c:pt>
                <c:pt idx="37">
                  <c:v>27.027121632749701</c:v>
                </c:pt>
                <c:pt idx="38">
                  <c:v>27.117830246494599</c:v>
                </c:pt>
                <c:pt idx="39">
                  <c:v>27.226100404341</c:v>
                </c:pt>
                <c:pt idx="40">
                  <c:v>27.327902776842301</c:v>
                </c:pt>
                <c:pt idx="41">
                  <c:v>27.4013681162346</c:v>
                </c:pt>
                <c:pt idx="42">
                  <c:v>27.439583013042402</c:v>
                </c:pt>
                <c:pt idx="43">
                  <c:v>27.446307879948499</c:v>
                </c:pt>
                <c:pt idx="44">
                  <c:v>27.431634568602799</c:v>
                </c:pt>
                <c:pt idx="45">
                  <c:v>27.422991838920598</c:v>
                </c:pt>
                <c:pt idx="46">
                  <c:v>27.4414912637321</c:v>
                </c:pt>
                <c:pt idx="47">
                  <c:v>27.487408531400501</c:v>
                </c:pt>
                <c:pt idx="48">
                  <c:v>27.549677313537199</c:v>
                </c:pt>
                <c:pt idx="49">
                  <c:v>27.5934618542701</c:v>
                </c:pt>
                <c:pt idx="50">
                  <c:v>27.595250550968998</c:v>
                </c:pt>
                <c:pt idx="51">
                  <c:v>27.566900145439</c:v>
                </c:pt>
                <c:pt idx="52">
                  <c:v>27.537962217733</c:v>
                </c:pt>
                <c:pt idx="53">
                  <c:v>27.5203456964705</c:v>
                </c:pt>
                <c:pt idx="54">
                  <c:v>27.514341211565299</c:v>
                </c:pt>
                <c:pt idx="55">
                  <c:v>27.529737279510801</c:v>
                </c:pt>
                <c:pt idx="56">
                  <c:v>27.558987715444399</c:v>
                </c:pt>
              </c:numCache>
            </c:numRef>
          </c:val>
          <c:smooth val="0"/>
          <c:extLst>
            <c:ext xmlns:c16="http://schemas.microsoft.com/office/drawing/2014/chart" uri="{C3380CC4-5D6E-409C-BE32-E72D297353CC}">
              <c16:uniqueId val="{00000004-FC3B-46D6-868F-03A7B7795EFC}"/>
            </c:ext>
          </c:extLst>
        </c:ser>
        <c:dLbls>
          <c:showLegendKey val="0"/>
          <c:showVal val="0"/>
          <c:showCatName val="0"/>
          <c:showSerName val="0"/>
          <c:showPercent val="0"/>
          <c:showBubbleSize val="0"/>
        </c:dLbls>
        <c:marker val="1"/>
        <c:smooth val="0"/>
        <c:axId val="514554304"/>
        <c:axId val="514556656"/>
      </c:lineChart>
      <c:catAx>
        <c:axId val="5145543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14556656"/>
        <c:crosses val="autoZero"/>
        <c:auto val="1"/>
        <c:lblAlgn val="ctr"/>
        <c:lblOffset val="0"/>
        <c:tickLblSkip val="1"/>
        <c:tickMarkSkip val="12"/>
        <c:noMultiLvlLbl val="1"/>
      </c:catAx>
      <c:valAx>
        <c:axId val="514556656"/>
        <c:scaling>
          <c:orientation val="minMax"/>
          <c:max val="32"/>
          <c:min val="2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14554304"/>
        <c:crosses val="autoZero"/>
        <c:crossBetween val="between"/>
        <c:majorUnit val="2"/>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60"/>
      <c:rAngAx val="0"/>
      <c:perspective val="50"/>
    </c:view3D>
    <c:floor>
      <c:thickness val="0"/>
    </c:floor>
    <c:sideWall>
      <c:thickness val="0"/>
    </c:sideWall>
    <c:backWall>
      <c:thickness val="0"/>
    </c:backWall>
    <c:plotArea>
      <c:layout>
        <c:manualLayout>
          <c:layoutTarget val="inner"/>
          <c:xMode val="edge"/>
          <c:yMode val="edge"/>
          <c:x val="6.2536319612590804E-2"/>
          <c:y val="8.621587850826605E-2"/>
          <c:w val="0.87926624327399205"/>
          <c:h val="0.83942577030812326"/>
        </c:manualLayout>
      </c:layout>
      <c:pie3DChart>
        <c:varyColors val="1"/>
        <c:ser>
          <c:idx val="0"/>
          <c:order val="0"/>
          <c:tx>
            <c:strRef>
              <c:f>'Datos Gráficas 5'!$B$6</c:f>
              <c:strCache>
                <c:ptCount val="1"/>
                <c:pt idx="0">
                  <c:v>Nacional</c:v>
                </c:pt>
              </c:strCache>
            </c:strRef>
          </c:tx>
          <c:explosion val="25"/>
          <c:dPt>
            <c:idx val="0"/>
            <c:bubble3D val="0"/>
            <c:explosion val="7"/>
            <c:spPr>
              <a:solidFill>
                <a:srgbClr val="3399FF"/>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1-5011-4CAC-851E-EC1EA0849B95}"/>
              </c:ext>
            </c:extLst>
          </c:dPt>
          <c:dPt>
            <c:idx val="1"/>
            <c:bubble3D val="0"/>
            <c:explosion val="7"/>
            <c:spPr>
              <a:solidFill>
                <a:srgbClr val="FFFF00"/>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3-5011-4CAC-851E-EC1EA0849B95}"/>
              </c:ext>
            </c:extLst>
          </c:dPt>
          <c:dPt>
            <c:idx val="2"/>
            <c:bubble3D val="0"/>
            <c:explosion val="7"/>
            <c:spPr>
              <a:solidFill>
                <a:srgbClr val="604A7B"/>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5-5011-4CAC-851E-EC1EA0849B95}"/>
              </c:ext>
            </c:extLst>
          </c:dPt>
          <c:dPt>
            <c:idx val="3"/>
            <c:bubble3D val="0"/>
            <c:explosion val="7"/>
            <c:spPr>
              <a:solidFill>
                <a:srgbClr val="00CC00"/>
              </a:solidFill>
              <a:ln w="12700">
                <a:solidFill>
                  <a:srgbClr val="000000"/>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7-5011-4CAC-851E-EC1EA0849B95}"/>
              </c:ext>
            </c:extLst>
          </c:dPt>
          <c:dLbls>
            <c:dLbl>
              <c:idx val="0"/>
              <c:layout>
                <c:manualLayout>
                  <c:x val="4.2866839731687334E-3"/>
                  <c:y val="-0.1674911947852101"/>
                </c:manualLayout>
              </c:layout>
              <c:tx>
                <c:rich>
                  <a:bodyPr/>
                  <a:lstStyle/>
                  <a:p>
                    <a:fld id="{3FA02B4F-99B0-4A38-A0E8-E0A900F2AE28}" type="CATEGORYNAME">
                      <a:rPr lang="en-US"/>
                      <a:pPr/>
                      <a:t>[NOMBRE DE CATEGORÍA]</a:t>
                    </a:fld>
                    <a:r>
                      <a:rPr lang="en-US" baseline="0"/>
                      <a:t>
</a:t>
                    </a:r>
                    <a:fld id="{DEB5753A-17A8-43C3-9AFC-1A33B4BD74E3}"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{DEB5753A-17A8-43C3-9AFC-1A33B4BD74E3}</c15:txfldGUID>
                      <c15:f>'[ENOE_Gráficas Originales.xlsx]PO posición (Nal)'!$G$4</c15:f>
                      <c15:dlblFieldTableCache>
                        <c:ptCount val="1"/>
                        <c:pt idx="0">
                          <c:v>68.2%</c:v>
                        </c:pt>
                      </c15:dlblFieldTableCache>
                    </c15:dlblFTEntry>
                  </c15:dlblFieldTable>
                  <c15:showDataLabelsRange val="0"/>
                </c:ext>
                <c:ext xmlns:c16="http://schemas.microsoft.com/office/drawing/2014/chart" uri="{C3380CC4-5D6E-409C-BE32-E72D297353CC}">
                  <c16:uniqueId val="{00000001-5011-4CAC-851E-EC1EA0849B95}"/>
                </c:ext>
              </c:extLst>
            </c:dLbl>
            <c:dLbl>
              <c:idx val="1"/>
              <c:layout>
                <c:manualLayout>
                  <c:x val="-3.6581920903954804E-3"/>
                  <c:y val="-0.2025120146097654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11-4CAC-851E-EC1EA0849B95}"/>
                </c:ext>
              </c:extLst>
            </c:dLbl>
            <c:dLbl>
              <c:idx val="2"/>
              <c:layout>
                <c:manualLayout>
                  <c:x val="2.3027979553403282E-2"/>
                  <c:y val="-2.403787004998077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011-4CAC-851E-EC1EA0849B95}"/>
                </c:ext>
              </c:extLst>
            </c:dLbl>
            <c:dLbl>
              <c:idx val="3"/>
              <c:layout>
                <c:manualLayout>
                  <c:x val="7.0825089171545869E-2"/>
                  <c:y val="9.7969585862834729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011-4CAC-851E-EC1EA0849B95}"/>
                </c:ext>
              </c:extLst>
            </c:dLbl>
            <c:numFmt formatCode="0.0%" sourceLinked="0"/>
            <c:spPr>
              <a:noFill/>
              <a:ln>
                <a:noFill/>
              </a:ln>
              <a:effectLst/>
            </c:spPr>
            <c:dLblPos val="outEnd"/>
            <c:showLegendKey val="0"/>
            <c:showVal val="0"/>
            <c:showCatName val="1"/>
            <c:showSerName val="0"/>
            <c:showPercent val="1"/>
            <c:showBubbleSize val="0"/>
            <c:showLeaderLines val="1"/>
            <c:leaderLines>
              <c:spPr>
                <a:ln w="6350"/>
              </c:spPr>
            </c:leaderLines>
            <c:extLst>
              <c:ext xmlns:c15="http://schemas.microsoft.com/office/drawing/2012/chart" uri="{CE6537A1-D6FC-4f65-9D91-7224C49458BB}"/>
            </c:extLst>
          </c:dLbls>
          <c:cat>
            <c:strRef>
              <c:f>'Datos Gráficas 5'!$B$7:$B$10</c:f>
              <c:strCache>
                <c:ptCount val="4"/>
                <c:pt idx="0">
                  <c:v>Trabajadores subordinados y remunerados</c:v>
                </c:pt>
                <c:pt idx="1">
                  <c:v>Trabajadores por cuenta propia</c:v>
                </c:pt>
                <c:pt idx="2">
                  <c:v>Empleadores</c:v>
                </c:pt>
                <c:pt idx="3">
                  <c:v>Trabajadores no remunerados</c:v>
                </c:pt>
              </c:strCache>
            </c:strRef>
          </c:cat>
          <c:val>
            <c:numRef>
              <c:f>'Datos Gráficas 5'!$C$7:$C$10</c:f>
              <c:numCache>
                <c:formatCode>0.0_)</c:formatCode>
                <c:ptCount val="4"/>
                <c:pt idx="0">
                  <c:v>68.179489160000003</c:v>
                </c:pt>
                <c:pt idx="1">
                  <c:v>22.202631579999998</c:v>
                </c:pt>
                <c:pt idx="2">
                  <c:v>4.9603752999999999</c:v>
                </c:pt>
                <c:pt idx="3">
                  <c:v>4.6575039599999997</c:v>
                </c:pt>
              </c:numCache>
            </c:numRef>
          </c:val>
          <c:extLst>
            <c:ext xmlns:c16="http://schemas.microsoft.com/office/drawing/2014/chart" uri="{C3380CC4-5D6E-409C-BE32-E72D297353CC}">
              <c16:uniqueId val="{00000008-5011-4CAC-851E-EC1EA0849B95}"/>
            </c:ext>
          </c:extLst>
        </c:ser>
        <c:dLbls>
          <c:showLegendKey val="0"/>
          <c:showVal val="0"/>
          <c:showCatName val="0"/>
          <c:showSerName val="0"/>
          <c:showPercent val="0"/>
          <c:showBubbleSize val="0"/>
          <c:showLeaderLines val="1"/>
        </c:dLbls>
      </c:pie3DChart>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40"/>
      <c:rAngAx val="0"/>
      <c:perspective val="50"/>
    </c:view3D>
    <c:floor>
      <c:thickness val="0"/>
    </c:floor>
    <c:sideWall>
      <c:thickness val="0"/>
    </c:sideWall>
    <c:backWall>
      <c:thickness val="0"/>
    </c:backWall>
    <c:plotArea>
      <c:layout>
        <c:manualLayout>
          <c:layoutTarget val="inner"/>
          <c:xMode val="edge"/>
          <c:yMode val="edge"/>
          <c:x val="6.2499979034394651E-2"/>
          <c:y val="8.6063341951727698E-2"/>
          <c:w val="0.87073983092664953"/>
          <c:h val="0.83376425305238666"/>
        </c:manualLayout>
      </c:layout>
      <c:pie3DChart>
        <c:varyColors val="1"/>
        <c:ser>
          <c:idx val="0"/>
          <c:order val="0"/>
          <c:tx>
            <c:strRef>
              <c:f>'Datos Gráficas 5'!$B$15</c:f>
              <c:strCache>
                <c:ptCount val="1"/>
                <c:pt idx="0">
                  <c:v>Urbano</c:v>
                </c:pt>
              </c:strCache>
            </c:strRef>
          </c:tx>
          <c:explosion val="25"/>
          <c:dPt>
            <c:idx val="0"/>
            <c:bubble3D val="0"/>
            <c:explosion val="7"/>
            <c:spPr>
              <a:solidFill>
                <a:srgbClr val="3399FF"/>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1-9A20-4271-BE9E-1744AB715DFD}"/>
              </c:ext>
            </c:extLst>
          </c:dPt>
          <c:dPt>
            <c:idx val="1"/>
            <c:bubble3D val="0"/>
            <c:explosion val="7"/>
            <c:spPr>
              <a:solidFill>
                <a:srgbClr val="FFFF00"/>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3-9A20-4271-BE9E-1744AB715DFD}"/>
              </c:ext>
            </c:extLst>
          </c:dPt>
          <c:dPt>
            <c:idx val="2"/>
            <c:bubble3D val="0"/>
            <c:explosion val="7"/>
            <c:spPr>
              <a:solidFill>
                <a:srgbClr val="604A7B"/>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5-9A20-4271-BE9E-1744AB715DFD}"/>
              </c:ext>
            </c:extLst>
          </c:dPt>
          <c:dPt>
            <c:idx val="3"/>
            <c:bubble3D val="0"/>
            <c:explosion val="7"/>
            <c:spPr>
              <a:solidFill>
                <a:srgbClr val="00CC00"/>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7-9A20-4271-BE9E-1744AB715DFD}"/>
              </c:ext>
            </c:extLst>
          </c:dPt>
          <c:dLbls>
            <c:dLbl>
              <c:idx val="0"/>
              <c:layout>
                <c:manualLayout>
                  <c:x val="4.1776027205075224E-3"/>
                  <c:y val="-0.17787114845938376"/>
                </c:manualLayout>
              </c:layout>
              <c:tx>
                <c:rich>
                  <a:bodyPr/>
                  <a:lstStyle/>
                  <a:p>
                    <a:fld id="{759940D6-D78C-407C-BDAD-C4A239766800}" type="CATEGORYNAME">
                      <a:rPr lang="en-US"/>
                      <a:pPr/>
                      <a:t>[NOMBRE DE CATEGORÍA]</a:t>
                    </a:fld>
                    <a:r>
                      <a:rPr lang="en-US" baseline="0"/>
                      <a:t>
</a:t>
                    </a:r>
                    <a:fld id="{861EB3C0-D752-4B09-8A93-98F63BCA4508}"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{861EB3C0-D752-4B09-8A93-98F63BCA4508}</c15:txfldGUID>
                      <c15:f>'PO posición (Urb)'!$G$4</c15:f>
                      <c15:dlblFieldTableCache>
                        <c:ptCount val="1"/>
                        <c:pt idx="0">
                          <c:v>74.0%</c:v>
                        </c:pt>
                      </c15:dlblFieldTableCache>
                    </c15:dlblFTEntry>
                  </c15:dlblFieldTable>
                  <c15:showDataLabelsRange val="0"/>
                </c:ext>
                <c:ext xmlns:c16="http://schemas.microsoft.com/office/drawing/2014/chart" uri="{C3380CC4-5D6E-409C-BE32-E72D297353CC}">
                  <c16:uniqueId val="{00000001-9A20-4271-BE9E-1744AB715DFD}"/>
                </c:ext>
              </c:extLst>
            </c:dLbl>
            <c:dLbl>
              <c:idx val="1"/>
              <c:layout>
                <c:manualLayout>
                  <c:x val="-8.3552054410150449E-3"/>
                  <c:y val="-0.1363678804855275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A20-4271-BE9E-1744AB715DFD}"/>
                </c:ext>
              </c:extLst>
            </c:dLbl>
            <c:dLbl>
              <c:idx val="2"/>
              <c:layout>
                <c:manualLayout>
                  <c:x val="-1.5659849586620233E-16"/>
                  <c:y val="5.266387927720107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A20-4271-BE9E-1744AB715DFD}"/>
                </c:ext>
              </c:extLst>
            </c:dLbl>
            <c:dLbl>
              <c:idx val="3"/>
              <c:layout>
                <c:manualLayout>
                  <c:x val="-0.22652374226526778"/>
                  <c:y val="0.1117796039984620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A20-4271-BE9E-1744AB715DFD}"/>
                </c:ext>
              </c:extLst>
            </c:dLbl>
            <c:numFmt formatCode="0.0%" sourceLinked="0"/>
            <c:spPr>
              <a:noFill/>
              <a:ln>
                <a:noFill/>
              </a:ln>
              <a:effectLst/>
            </c:spPr>
            <c:dLblPos val="outEnd"/>
            <c:showLegendKey val="0"/>
            <c:showVal val="0"/>
            <c:showCatName val="1"/>
            <c:showSerName val="0"/>
            <c:showPercent val="1"/>
            <c:showBubbleSize val="0"/>
            <c:showLeaderLines val="1"/>
            <c:leaderLines>
              <c:spPr>
                <a:ln w="6350"/>
              </c:spPr>
            </c:leaderLines>
            <c:extLst>
              <c:ext xmlns:c15="http://schemas.microsoft.com/office/drawing/2012/chart" uri="{CE6537A1-D6FC-4f65-9D91-7224C49458BB}"/>
            </c:extLst>
          </c:dLbls>
          <c:cat>
            <c:strRef>
              <c:f>'Datos Gráficas 5'!$B$16:$B$19</c:f>
              <c:strCache>
                <c:ptCount val="4"/>
                <c:pt idx="0">
                  <c:v>Trabajadores subordinados y remunerados</c:v>
                </c:pt>
                <c:pt idx="1">
                  <c:v>Trabajadores por cuenta propia</c:v>
                </c:pt>
                <c:pt idx="2">
                  <c:v>Empleadores</c:v>
                </c:pt>
                <c:pt idx="3">
                  <c:v>Trabajadores no remunerados</c:v>
                </c:pt>
              </c:strCache>
            </c:strRef>
          </c:cat>
          <c:val>
            <c:numRef>
              <c:f>'Datos Gráficas 5'!$C$16:$C$19</c:f>
              <c:numCache>
                <c:formatCode>0.0_)</c:formatCode>
                <c:ptCount val="4"/>
                <c:pt idx="0">
                  <c:v>74.008915419999994</c:v>
                </c:pt>
                <c:pt idx="1">
                  <c:v>18.65213056</c:v>
                </c:pt>
                <c:pt idx="2">
                  <c:v>4.9674398200000001</c:v>
                </c:pt>
                <c:pt idx="3">
                  <c:v>2.3715142</c:v>
                </c:pt>
              </c:numCache>
            </c:numRef>
          </c:val>
          <c:extLst>
            <c:ext xmlns:c16="http://schemas.microsoft.com/office/drawing/2014/chart" uri="{C3380CC4-5D6E-409C-BE32-E72D297353CC}">
              <c16:uniqueId val="{00000008-9A20-4271-BE9E-1744AB715DFD}"/>
            </c:ext>
          </c:extLst>
        </c:ser>
        <c:dLbls>
          <c:showLegendKey val="0"/>
          <c:showVal val="0"/>
          <c:showCatName val="0"/>
          <c:showSerName val="0"/>
          <c:showPercent val="0"/>
          <c:showBubbleSize val="0"/>
          <c:showLeaderLines val="1"/>
        </c:dLbls>
      </c:pie3DChart>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34027777777792E-2"/>
          <c:y val="3.3749206349206348E-2"/>
          <c:w val="0.92187175925925902"/>
          <c:h val="0.87002261904761902"/>
        </c:manualLayout>
      </c:layout>
      <c:barChart>
        <c:barDir val="col"/>
        <c:grouping val="clustered"/>
        <c:varyColors val="0"/>
        <c:ser>
          <c:idx val="0"/>
          <c:order val="0"/>
          <c:tx>
            <c:strRef>
              <c:f>'Datos Gráfica 6'!$D$5</c:f>
              <c:strCache>
                <c:ptCount val="1"/>
                <c:pt idx="0">
                  <c:v>Total</c:v>
                </c:pt>
              </c:strCache>
            </c:strRef>
          </c:tx>
          <c:spPr>
            <a:gradFill>
              <a:gsLst>
                <a:gs pos="5000">
                  <a:srgbClr val="77933C"/>
                </a:gs>
                <a:gs pos="50000">
                  <a:srgbClr val="C3D69B"/>
                </a:gs>
                <a:gs pos="95000">
                  <a:srgbClr val="77933C"/>
                </a:gs>
              </a:gsLst>
              <a:lin ang="0" scaled="0"/>
            </a:gradFill>
            <a:ln w="3175">
              <a:solidFill>
                <a:srgbClr val="77933C">
                  <a:alpha val="99000"/>
                </a:srgbClr>
              </a:solidFill>
            </a:ln>
          </c:spPr>
          <c:invertIfNegative val="0"/>
          <c:dPt>
            <c:idx val="0"/>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00-35CE-47C7-97FE-9C4B33FA1B43}"/>
              </c:ext>
            </c:extLst>
          </c:dPt>
          <c:dPt>
            <c:idx val="1"/>
            <c:invertIfNegative val="0"/>
            <c:bubble3D val="0"/>
            <c:extLst>
              <c:ext xmlns:c16="http://schemas.microsoft.com/office/drawing/2014/chart" uri="{C3380CC4-5D6E-409C-BE32-E72D297353CC}">
                <c16:uniqueId val="{00000001-35CE-47C7-97FE-9C4B33FA1B43}"/>
              </c:ext>
            </c:extLst>
          </c:dPt>
          <c:dPt>
            <c:idx val="2"/>
            <c:invertIfNegative val="0"/>
            <c:bubble3D val="0"/>
            <c:extLst>
              <c:ext xmlns:c16="http://schemas.microsoft.com/office/drawing/2014/chart" uri="{C3380CC4-5D6E-409C-BE32-E72D297353CC}">
                <c16:uniqueId val="{00000002-35CE-47C7-97FE-9C4B33FA1B43}"/>
              </c:ext>
            </c:extLst>
          </c:dPt>
          <c:dPt>
            <c:idx val="3"/>
            <c:invertIfNegative val="0"/>
            <c:bubble3D val="0"/>
            <c:extLst>
              <c:ext xmlns:c16="http://schemas.microsoft.com/office/drawing/2014/chart" uri="{C3380CC4-5D6E-409C-BE32-E72D297353CC}">
                <c16:uniqueId val="{00000003-35CE-47C7-97FE-9C4B33FA1B43}"/>
              </c:ext>
            </c:extLst>
          </c:dPt>
          <c:dPt>
            <c:idx val="4"/>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05-35CE-47C7-97FE-9C4B33FA1B43}"/>
              </c:ext>
            </c:extLst>
          </c:dPt>
          <c:dPt>
            <c:idx val="5"/>
            <c:invertIfNegative val="0"/>
            <c:bubble3D val="0"/>
            <c:extLst>
              <c:ext xmlns:c16="http://schemas.microsoft.com/office/drawing/2014/chart" uri="{C3380CC4-5D6E-409C-BE32-E72D297353CC}">
                <c16:uniqueId val="{00000007-35CE-47C7-97FE-9C4B33FA1B43}"/>
              </c:ext>
            </c:extLst>
          </c:dPt>
          <c:dPt>
            <c:idx val="6"/>
            <c:invertIfNegative val="0"/>
            <c:bubble3D val="0"/>
            <c:extLst>
              <c:ext xmlns:c16="http://schemas.microsoft.com/office/drawing/2014/chart" uri="{C3380CC4-5D6E-409C-BE32-E72D297353CC}">
                <c16:uniqueId val="{00000009-35CE-47C7-97FE-9C4B33FA1B43}"/>
              </c:ext>
            </c:extLst>
          </c:dPt>
          <c:dPt>
            <c:idx val="7"/>
            <c:invertIfNegative val="0"/>
            <c:bubble3D val="0"/>
            <c:extLst>
              <c:ext xmlns:c16="http://schemas.microsoft.com/office/drawing/2014/chart" uri="{C3380CC4-5D6E-409C-BE32-E72D297353CC}">
                <c16:uniqueId val="{0000000B-35CE-47C7-97FE-9C4B33FA1B43}"/>
              </c:ext>
            </c:extLst>
          </c:dPt>
          <c:dPt>
            <c:idx val="8"/>
            <c:invertIfNegative val="0"/>
            <c:bubble3D val="0"/>
            <c:spPr>
              <a:gradFill>
                <a:gsLst>
                  <a:gs pos="5000">
                    <a:srgbClr val="00205D"/>
                  </a:gs>
                  <a:gs pos="51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0D-35CE-47C7-97FE-9C4B33FA1B43}"/>
              </c:ext>
            </c:extLst>
          </c:dPt>
          <c:dPt>
            <c:idx val="9"/>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0F-35CE-47C7-97FE-9C4B33FA1B43}"/>
              </c:ext>
            </c:extLst>
          </c:dPt>
          <c:dPt>
            <c:idx val="10"/>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11-35CE-47C7-97FE-9C4B33FA1B43}"/>
              </c:ext>
            </c:extLst>
          </c:dPt>
          <c:dPt>
            <c:idx val="11"/>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13-35CE-47C7-97FE-9C4B33FA1B43}"/>
              </c:ext>
            </c:extLst>
          </c:dPt>
          <c:dPt>
            <c:idx val="12"/>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14-35CE-47C7-97FE-9C4B33FA1B43}"/>
              </c:ext>
            </c:extLst>
          </c:dPt>
          <c:dPt>
            <c:idx val="13"/>
            <c:invertIfNegative val="0"/>
            <c:bubble3D val="0"/>
            <c:extLst>
              <c:ext xmlns:c16="http://schemas.microsoft.com/office/drawing/2014/chart" uri="{C3380CC4-5D6E-409C-BE32-E72D297353CC}">
                <c16:uniqueId val="{00000015-35CE-47C7-97FE-9C4B33FA1B43}"/>
              </c:ext>
            </c:extLst>
          </c:dPt>
          <c:dPt>
            <c:idx val="14"/>
            <c:invertIfNegative val="0"/>
            <c:bubble3D val="0"/>
            <c:extLst>
              <c:ext xmlns:c16="http://schemas.microsoft.com/office/drawing/2014/chart" uri="{C3380CC4-5D6E-409C-BE32-E72D297353CC}">
                <c16:uniqueId val="{00000016-35CE-47C7-97FE-9C4B33FA1B43}"/>
              </c:ext>
            </c:extLst>
          </c:dPt>
          <c:dPt>
            <c:idx val="15"/>
            <c:invertIfNegative val="0"/>
            <c:bubble3D val="0"/>
            <c:extLst>
              <c:ext xmlns:c16="http://schemas.microsoft.com/office/drawing/2014/chart" uri="{C3380CC4-5D6E-409C-BE32-E72D297353CC}">
                <c16:uniqueId val="{00000017-35CE-47C7-97FE-9C4B33FA1B43}"/>
              </c:ext>
            </c:extLst>
          </c:dPt>
          <c:dPt>
            <c:idx val="16"/>
            <c:invertIfNegative val="0"/>
            <c:bubble3D val="0"/>
            <c:extLst>
              <c:ext xmlns:c16="http://schemas.microsoft.com/office/drawing/2014/chart" uri="{C3380CC4-5D6E-409C-BE32-E72D297353CC}">
                <c16:uniqueId val="{00000018-35CE-47C7-97FE-9C4B33FA1B43}"/>
              </c:ext>
            </c:extLst>
          </c:dPt>
          <c:dPt>
            <c:idx val="17"/>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1A-35CE-47C7-97FE-9C4B33FA1B43}"/>
              </c:ext>
            </c:extLst>
          </c:dPt>
          <c:dPt>
            <c:idx val="18"/>
            <c:invertIfNegative val="0"/>
            <c:bubble3D val="0"/>
            <c:extLst>
              <c:ext xmlns:c16="http://schemas.microsoft.com/office/drawing/2014/chart" uri="{C3380CC4-5D6E-409C-BE32-E72D297353CC}">
                <c16:uniqueId val="{0000001C-35CE-47C7-97FE-9C4B33FA1B43}"/>
              </c:ext>
            </c:extLst>
          </c:dPt>
          <c:dPt>
            <c:idx val="19"/>
            <c:invertIfNegative val="0"/>
            <c:bubble3D val="0"/>
            <c:extLst>
              <c:ext xmlns:c16="http://schemas.microsoft.com/office/drawing/2014/chart" uri="{C3380CC4-5D6E-409C-BE32-E72D297353CC}">
                <c16:uniqueId val="{0000001E-35CE-47C7-97FE-9C4B33FA1B43}"/>
              </c:ext>
            </c:extLst>
          </c:dPt>
          <c:dPt>
            <c:idx val="20"/>
            <c:invertIfNegative val="0"/>
            <c:bubble3D val="0"/>
            <c:spPr>
              <a:gradFill>
                <a:gsLst>
                  <a:gs pos="5000">
                    <a:srgbClr val="00205D"/>
                  </a:gs>
                  <a:gs pos="51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20-35CE-47C7-97FE-9C4B33FA1B43}"/>
              </c:ext>
            </c:extLst>
          </c:dPt>
          <c:dPt>
            <c:idx val="21"/>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22-35CE-47C7-97FE-9C4B33FA1B43}"/>
              </c:ext>
            </c:extLst>
          </c:dPt>
          <c:dPt>
            <c:idx val="22"/>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24-35CE-47C7-97FE-9C4B33FA1B43}"/>
              </c:ext>
            </c:extLst>
          </c:dPt>
          <c:dPt>
            <c:idx val="23"/>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26-35CE-47C7-97FE-9C4B33FA1B43}"/>
              </c:ext>
            </c:extLst>
          </c:dPt>
          <c:dPt>
            <c:idx val="24"/>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27-35CE-47C7-97FE-9C4B33FA1B43}"/>
              </c:ext>
            </c:extLst>
          </c:dPt>
          <c:dPt>
            <c:idx val="25"/>
            <c:invertIfNegative val="0"/>
            <c:bubble3D val="0"/>
            <c:extLst>
              <c:ext xmlns:c16="http://schemas.microsoft.com/office/drawing/2014/chart" uri="{C3380CC4-5D6E-409C-BE32-E72D297353CC}">
                <c16:uniqueId val="{00000028-35CE-47C7-97FE-9C4B33FA1B43}"/>
              </c:ext>
            </c:extLst>
          </c:dPt>
          <c:dPt>
            <c:idx val="26"/>
            <c:invertIfNegative val="0"/>
            <c:bubble3D val="0"/>
            <c:extLst>
              <c:ext xmlns:c16="http://schemas.microsoft.com/office/drawing/2014/chart" uri="{C3380CC4-5D6E-409C-BE32-E72D297353CC}">
                <c16:uniqueId val="{00000029-35CE-47C7-97FE-9C4B33FA1B43}"/>
              </c:ext>
            </c:extLst>
          </c:dPt>
          <c:dPt>
            <c:idx val="27"/>
            <c:invertIfNegative val="0"/>
            <c:bubble3D val="0"/>
            <c:extLst>
              <c:ext xmlns:c16="http://schemas.microsoft.com/office/drawing/2014/chart" uri="{C3380CC4-5D6E-409C-BE32-E72D297353CC}">
                <c16:uniqueId val="{0000002A-35CE-47C7-97FE-9C4B33FA1B43}"/>
              </c:ext>
            </c:extLst>
          </c:dPt>
          <c:dPt>
            <c:idx val="28"/>
            <c:invertIfNegative val="0"/>
            <c:bubble3D val="0"/>
            <c:extLst>
              <c:ext xmlns:c16="http://schemas.microsoft.com/office/drawing/2014/chart" uri="{C3380CC4-5D6E-409C-BE32-E72D297353CC}">
                <c16:uniqueId val="{0000002B-35CE-47C7-97FE-9C4B33FA1B43}"/>
              </c:ext>
            </c:extLst>
          </c:dPt>
          <c:dPt>
            <c:idx val="29"/>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2D-35CE-47C7-97FE-9C4B33FA1B43}"/>
              </c:ext>
            </c:extLst>
          </c:dPt>
          <c:dPt>
            <c:idx val="30"/>
            <c:invertIfNegative val="0"/>
            <c:bubble3D val="0"/>
            <c:extLst>
              <c:ext xmlns:c16="http://schemas.microsoft.com/office/drawing/2014/chart" uri="{C3380CC4-5D6E-409C-BE32-E72D297353CC}">
                <c16:uniqueId val="{0000002F-35CE-47C7-97FE-9C4B33FA1B43}"/>
              </c:ext>
            </c:extLst>
          </c:dPt>
          <c:dPt>
            <c:idx val="31"/>
            <c:invertIfNegative val="0"/>
            <c:bubble3D val="0"/>
            <c:extLst>
              <c:ext xmlns:c16="http://schemas.microsoft.com/office/drawing/2014/chart" uri="{C3380CC4-5D6E-409C-BE32-E72D297353CC}">
                <c16:uniqueId val="{00000031-35CE-47C7-97FE-9C4B33FA1B43}"/>
              </c:ext>
            </c:extLst>
          </c:dPt>
          <c:dPt>
            <c:idx val="32"/>
            <c:invertIfNegative val="0"/>
            <c:bubble3D val="0"/>
            <c:spPr>
              <a:gradFill>
                <a:gsLst>
                  <a:gs pos="5000">
                    <a:srgbClr val="00205D"/>
                  </a:gs>
                  <a:gs pos="51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33-35CE-47C7-97FE-9C4B33FA1B43}"/>
              </c:ext>
            </c:extLst>
          </c:dPt>
          <c:dPt>
            <c:idx val="33"/>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35-35CE-47C7-97FE-9C4B33FA1B43}"/>
              </c:ext>
            </c:extLst>
          </c:dPt>
          <c:dPt>
            <c:idx val="34"/>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37-35CE-47C7-97FE-9C4B33FA1B43}"/>
              </c:ext>
            </c:extLst>
          </c:dPt>
          <c:dPt>
            <c:idx val="35"/>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39-35CE-47C7-97FE-9C4B33FA1B43}"/>
              </c:ext>
            </c:extLst>
          </c:dPt>
          <c:dPt>
            <c:idx val="36"/>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3A-35CE-47C7-97FE-9C4B33FA1B43}"/>
              </c:ext>
            </c:extLst>
          </c:dPt>
          <c:dPt>
            <c:idx val="37"/>
            <c:invertIfNegative val="0"/>
            <c:bubble3D val="0"/>
            <c:extLst>
              <c:ext xmlns:c16="http://schemas.microsoft.com/office/drawing/2014/chart" uri="{C3380CC4-5D6E-409C-BE32-E72D297353CC}">
                <c16:uniqueId val="{0000003B-35CE-47C7-97FE-9C4B33FA1B43}"/>
              </c:ext>
            </c:extLst>
          </c:dPt>
          <c:dPt>
            <c:idx val="38"/>
            <c:invertIfNegative val="0"/>
            <c:bubble3D val="0"/>
            <c:extLst>
              <c:ext xmlns:c16="http://schemas.microsoft.com/office/drawing/2014/chart" uri="{C3380CC4-5D6E-409C-BE32-E72D297353CC}">
                <c16:uniqueId val="{0000003C-35CE-47C7-97FE-9C4B33FA1B43}"/>
              </c:ext>
            </c:extLst>
          </c:dPt>
          <c:dPt>
            <c:idx val="39"/>
            <c:invertIfNegative val="0"/>
            <c:bubble3D val="0"/>
            <c:extLst>
              <c:ext xmlns:c16="http://schemas.microsoft.com/office/drawing/2014/chart" uri="{C3380CC4-5D6E-409C-BE32-E72D297353CC}">
                <c16:uniqueId val="{0000003D-35CE-47C7-97FE-9C4B33FA1B43}"/>
              </c:ext>
            </c:extLst>
          </c:dPt>
          <c:dPt>
            <c:idx val="40"/>
            <c:invertIfNegative val="0"/>
            <c:bubble3D val="0"/>
            <c:extLst>
              <c:ext xmlns:c16="http://schemas.microsoft.com/office/drawing/2014/chart" uri="{C3380CC4-5D6E-409C-BE32-E72D297353CC}">
                <c16:uniqueId val="{0000003E-35CE-47C7-97FE-9C4B33FA1B43}"/>
              </c:ext>
            </c:extLst>
          </c:dPt>
          <c:dPt>
            <c:idx val="41"/>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40-35CE-47C7-97FE-9C4B33FA1B43}"/>
              </c:ext>
            </c:extLst>
          </c:dPt>
          <c:dPt>
            <c:idx val="42"/>
            <c:invertIfNegative val="0"/>
            <c:bubble3D val="0"/>
            <c:extLst>
              <c:ext xmlns:c16="http://schemas.microsoft.com/office/drawing/2014/chart" uri="{C3380CC4-5D6E-409C-BE32-E72D297353CC}">
                <c16:uniqueId val="{00000042-35CE-47C7-97FE-9C4B33FA1B43}"/>
              </c:ext>
            </c:extLst>
          </c:dPt>
          <c:dPt>
            <c:idx val="43"/>
            <c:invertIfNegative val="0"/>
            <c:bubble3D val="0"/>
            <c:extLst>
              <c:ext xmlns:c16="http://schemas.microsoft.com/office/drawing/2014/chart" uri="{C3380CC4-5D6E-409C-BE32-E72D297353CC}">
                <c16:uniqueId val="{00000044-35CE-47C7-97FE-9C4B33FA1B43}"/>
              </c:ext>
            </c:extLst>
          </c:dPt>
          <c:dPt>
            <c:idx val="44"/>
            <c:invertIfNegative val="0"/>
            <c:bubble3D val="0"/>
            <c:spPr>
              <a:gradFill>
                <a:gsLst>
                  <a:gs pos="5000">
                    <a:srgbClr val="00205D"/>
                  </a:gs>
                  <a:gs pos="51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46-35CE-47C7-97FE-9C4B33FA1B43}"/>
              </c:ext>
            </c:extLst>
          </c:dPt>
          <c:dPt>
            <c:idx val="45"/>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48-35CE-47C7-97FE-9C4B33FA1B43}"/>
              </c:ext>
            </c:extLst>
          </c:dPt>
          <c:dPt>
            <c:idx val="46"/>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4A-35CE-47C7-97FE-9C4B33FA1B43}"/>
              </c:ext>
            </c:extLst>
          </c:dPt>
          <c:dPt>
            <c:idx val="47"/>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4C-35CE-47C7-97FE-9C4B33FA1B43}"/>
              </c:ext>
            </c:extLst>
          </c:dPt>
          <c:dPt>
            <c:idx val="48"/>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4D-35CE-47C7-97FE-9C4B33FA1B43}"/>
              </c:ext>
            </c:extLst>
          </c:dPt>
          <c:dPt>
            <c:idx val="49"/>
            <c:invertIfNegative val="0"/>
            <c:bubble3D val="0"/>
            <c:extLst>
              <c:ext xmlns:c16="http://schemas.microsoft.com/office/drawing/2014/chart" uri="{C3380CC4-5D6E-409C-BE32-E72D297353CC}">
                <c16:uniqueId val="{0000004E-35CE-47C7-97FE-9C4B33FA1B43}"/>
              </c:ext>
            </c:extLst>
          </c:dPt>
          <c:dPt>
            <c:idx val="50"/>
            <c:invertIfNegative val="0"/>
            <c:bubble3D val="0"/>
            <c:extLst>
              <c:ext xmlns:c16="http://schemas.microsoft.com/office/drawing/2014/chart" uri="{C3380CC4-5D6E-409C-BE32-E72D297353CC}">
                <c16:uniqueId val="{0000004F-35CE-47C7-97FE-9C4B33FA1B43}"/>
              </c:ext>
            </c:extLst>
          </c:dPt>
          <c:dPt>
            <c:idx val="51"/>
            <c:invertIfNegative val="0"/>
            <c:bubble3D val="0"/>
            <c:extLst>
              <c:ext xmlns:c16="http://schemas.microsoft.com/office/drawing/2014/chart" uri="{C3380CC4-5D6E-409C-BE32-E72D297353CC}">
                <c16:uniqueId val="{00000050-35CE-47C7-97FE-9C4B33FA1B43}"/>
              </c:ext>
            </c:extLst>
          </c:dPt>
          <c:dPt>
            <c:idx val="52"/>
            <c:invertIfNegative val="0"/>
            <c:bubble3D val="0"/>
            <c:extLst>
              <c:ext xmlns:c16="http://schemas.microsoft.com/office/drawing/2014/chart" uri="{C3380CC4-5D6E-409C-BE32-E72D297353CC}">
                <c16:uniqueId val="{00000051-35CE-47C7-97FE-9C4B33FA1B43}"/>
              </c:ext>
            </c:extLst>
          </c:dPt>
          <c:dPt>
            <c:idx val="53"/>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53-35CE-47C7-97FE-9C4B33FA1B43}"/>
              </c:ext>
            </c:extLst>
          </c:dPt>
          <c:dPt>
            <c:idx val="54"/>
            <c:invertIfNegative val="0"/>
            <c:bubble3D val="0"/>
            <c:extLst>
              <c:ext xmlns:c16="http://schemas.microsoft.com/office/drawing/2014/chart" uri="{C3380CC4-5D6E-409C-BE32-E72D297353CC}">
                <c16:uniqueId val="{00000055-35CE-47C7-97FE-9C4B33FA1B43}"/>
              </c:ext>
            </c:extLst>
          </c:dPt>
          <c:dPt>
            <c:idx val="55"/>
            <c:invertIfNegative val="0"/>
            <c:bubble3D val="0"/>
            <c:extLst>
              <c:ext xmlns:c16="http://schemas.microsoft.com/office/drawing/2014/chart" uri="{C3380CC4-5D6E-409C-BE32-E72D297353CC}">
                <c16:uniqueId val="{00000057-35CE-47C7-97FE-9C4B33FA1B43}"/>
              </c:ext>
            </c:extLst>
          </c:dPt>
          <c:dPt>
            <c:idx val="56"/>
            <c:invertIfNegative val="0"/>
            <c:bubble3D val="0"/>
            <c:spPr>
              <a:gradFill>
                <a:gsLst>
                  <a:gs pos="5000">
                    <a:srgbClr val="00205D"/>
                  </a:gs>
                  <a:gs pos="51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59-35CE-47C7-97FE-9C4B33FA1B43}"/>
              </c:ext>
            </c:extLst>
          </c:dPt>
          <c:dPt>
            <c:idx val="57"/>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5B-35CE-47C7-97FE-9C4B33FA1B43}"/>
              </c:ext>
            </c:extLst>
          </c:dPt>
          <c:dPt>
            <c:idx val="58"/>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5D-35CE-47C7-97FE-9C4B33FA1B43}"/>
              </c:ext>
            </c:extLst>
          </c:dPt>
          <c:dPt>
            <c:idx val="59"/>
            <c:invertIfNegative val="0"/>
            <c:bubble3D val="0"/>
            <c:spPr>
              <a:gradFill>
                <a:gsLst>
                  <a:gs pos="5000">
                    <a:srgbClr val="00205D"/>
                  </a:gs>
                  <a:gs pos="50000">
                    <a:srgbClr val="3399FF"/>
                  </a:gs>
                  <a:gs pos="97000">
                    <a:srgbClr val="00205D"/>
                  </a:gs>
                </a:gsLst>
                <a:lin ang="0" scaled="0"/>
              </a:gradFill>
              <a:ln w="3175">
                <a:solidFill>
                  <a:srgbClr val="00205D">
                    <a:alpha val="99000"/>
                  </a:srgbClr>
                </a:solidFill>
              </a:ln>
            </c:spPr>
            <c:extLst>
              <c:ext xmlns:c16="http://schemas.microsoft.com/office/drawing/2014/chart" uri="{C3380CC4-5D6E-409C-BE32-E72D297353CC}">
                <c16:uniqueId val="{0000005F-35CE-47C7-97FE-9C4B33FA1B43}"/>
              </c:ext>
            </c:extLst>
          </c:dPt>
          <c:dPt>
            <c:idx val="60"/>
            <c:invertIfNegative val="0"/>
            <c:bubble3D val="0"/>
            <c:extLst>
              <c:ext xmlns:c16="http://schemas.microsoft.com/office/drawing/2014/chart" uri="{C3380CC4-5D6E-409C-BE32-E72D297353CC}">
                <c16:uniqueId val="{00000060-35CE-47C7-97FE-9C4B33FA1B43}"/>
              </c:ext>
            </c:extLst>
          </c:dPt>
          <c:dLbls>
            <c:dLbl>
              <c:idx val="8"/>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5CE-47C7-97FE-9C4B33FA1B43}"/>
                </c:ext>
              </c:extLst>
            </c:dLbl>
            <c:dLbl>
              <c:idx val="12"/>
              <c:spPr>
                <a:noFill/>
                <a:ln>
                  <a:noFill/>
                </a:ln>
                <a:effectLst/>
              </c:spPr>
              <c:txPr>
                <a:bodyPr wrap="square" lIns="38100" tIns="19050" rIns="38100" bIns="19050" anchor="ctr">
                  <a:spAutoFit/>
                </a:bodyPr>
                <a:lstStyle/>
                <a:p>
                  <a:pPr>
                    <a:defRPr/>
                  </a:pPr>
                  <a:endParaRPr lang="es-MX"/>
                </a:p>
              </c:txPr>
              <c:showLegendKey val="0"/>
              <c:showVal val="0"/>
              <c:showCatName val="0"/>
              <c:showSerName val="0"/>
              <c:showPercent val="0"/>
              <c:showBubbleSize val="0"/>
              <c:extLst>
                <c:ext xmlns:c16="http://schemas.microsoft.com/office/drawing/2014/chart" uri="{C3380CC4-5D6E-409C-BE32-E72D297353CC}">
                  <c16:uniqueId val="{00000014-35CE-47C7-97FE-9C4B33FA1B43}"/>
                </c:ext>
              </c:extLst>
            </c:dLbl>
            <c:dLbl>
              <c:idx val="2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5CE-47C7-97FE-9C4B33FA1B43}"/>
                </c:ext>
              </c:extLst>
            </c:dLbl>
            <c:dLbl>
              <c:idx val="24"/>
              <c:spPr>
                <a:noFill/>
                <a:ln>
                  <a:noFill/>
                </a:ln>
                <a:effectLst/>
              </c:spPr>
              <c:txPr>
                <a:bodyPr wrap="square" lIns="38100" tIns="19050" rIns="38100" bIns="19050" anchor="ctr">
                  <a:spAutoFit/>
                </a:bodyPr>
                <a:lstStyle/>
                <a:p>
                  <a:pPr>
                    <a:defRPr/>
                  </a:pPr>
                  <a:endParaRPr lang="es-MX"/>
                </a:p>
              </c:txPr>
              <c:showLegendKey val="0"/>
              <c:showVal val="0"/>
              <c:showCatName val="0"/>
              <c:showSerName val="0"/>
              <c:showPercent val="0"/>
              <c:showBubbleSize val="0"/>
              <c:extLst>
                <c:ext xmlns:c16="http://schemas.microsoft.com/office/drawing/2014/chart" uri="{C3380CC4-5D6E-409C-BE32-E72D297353CC}">
                  <c16:uniqueId val="{00000027-35CE-47C7-97FE-9C4B33FA1B43}"/>
                </c:ext>
              </c:extLst>
            </c:dLbl>
            <c:dLbl>
              <c:idx val="3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35CE-47C7-97FE-9C4B33FA1B43}"/>
                </c:ext>
              </c:extLst>
            </c:dLbl>
            <c:dLbl>
              <c:idx val="36"/>
              <c:spPr>
                <a:noFill/>
                <a:ln>
                  <a:noFill/>
                </a:ln>
                <a:effectLst/>
              </c:spPr>
              <c:txPr>
                <a:bodyPr wrap="square" lIns="38100" tIns="19050" rIns="38100" bIns="19050" anchor="ctr">
                  <a:spAutoFit/>
                </a:bodyPr>
                <a:lstStyle/>
                <a:p>
                  <a:pPr>
                    <a:defRPr/>
                  </a:pPr>
                  <a:endParaRPr lang="es-MX"/>
                </a:p>
              </c:txPr>
              <c:showLegendKey val="0"/>
              <c:showVal val="0"/>
              <c:showCatName val="0"/>
              <c:showSerName val="0"/>
              <c:showPercent val="0"/>
              <c:showBubbleSize val="0"/>
              <c:extLst>
                <c:ext xmlns:c16="http://schemas.microsoft.com/office/drawing/2014/chart" uri="{C3380CC4-5D6E-409C-BE32-E72D297353CC}">
                  <c16:uniqueId val="{0000003A-35CE-47C7-97FE-9C4B33FA1B43}"/>
                </c:ext>
              </c:extLst>
            </c:dLbl>
            <c:dLbl>
              <c:idx val="4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6-35CE-47C7-97FE-9C4B33FA1B43}"/>
                </c:ext>
              </c:extLst>
            </c:dLbl>
            <c:dLbl>
              <c:idx val="48"/>
              <c:spPr>
                <a:noFill/>
                <a:ln>
                  <a:noFill/>
                </a:ln>
                <a:effectLst/>
              </c:spPr>
              <c:txPr>
                <a:bodyPr wrap="square" lIns="38100" tIns="19050" rIns="38100" bIns="19050" anchor="ctr">
                  <a:spAutoFit/>
                </a:bodyPr>
                <a:lstStyle/>
                <a:p>
                  <a:pPr>
                    <a:defRPr/>
                  </a:pPr>
                  <a:endParaRPr lang="es-MX"/>
                </a:p>
              </c:txPr>
              <c:showLegendKey val="0"/>
              <c:showVal val="0"/>
              <c:showCatName val="0"/>
              <c:showSerName val="0"/>
              <c:showPercent val="0"/>
              <c:showBubbleSize val="0"/>
              <c:extLst>
                <c:ext xmlns:c16="http://schemas.microsoft.com/office/drawing/2014/chart" uri="{C3380CC4-5D6E-409C-BE32-E72D297353CC}">
                  <c16:uniqueId val="{0000004D-35CE-47C7-97FE-9C4B33FA1B43}"/>
                </c:ext>
              </c:extLst>
            </c:dLbl>
            <c:dLbl>
              <c:idx val="56"/>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9-35CE-47C7-97FE-9C4B33FA1B43}"/>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 Gráfica 6'!$B$67:$C$126</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 Gráfica 6'!$D$67:$D$126</c:f>
              <c:numCache>
                <c:formatCode>0.0</c:formatCode>
                <c:ptCount val="57"/>
                <c:pt idx="0">
                  <c:v>4.5131255299999999</c:v>
                </c:pt>
                <c:pt idx="1">
                  <c:v>4.3251715700000002</c:v>
                </c:pt>
                <c:pt idx="2">
                  <c:v>3.86297662</c:v>
                </c:pt>
                <c:pt idx="3">
                  <c:v>4.3137311299999999</c:v>
                </c:pt>
                <c:pt idx="4">
                  <c:v>4.4461317363489021</c:v>
                </c:pt>
                <c:pt idx="5">
                  <c:v>4.4052392200000003</c:v>
                </c:pt>
                <c:pt idx="6">
                  <c:v>4.7173610000000004</c:v>
                </c:pt>
                <c:pt idx="7">
                  <c:v>4.6804847617152774</c:v>
                </c:pt>
                <c:pt idx="8">
                  <c:v>4.4976304901293593</c:v>
                </c:pt>
                <c:pt idx="9">
                  <c:v>4.5512296609280085</c:v>
                </c:pt>
                <c:pt idx="10">
                  <c:v>3.95955845129108</c:v>
                </c:pt>
                <c:pt idx="11">
                  <c:v>3.962674740553533</c:v>
                </c:pt>
                <c:pt idx="12">
                  <c:v>4.2363686999999999</c:v>
                </c:pt>
                <c:pt idx="13">
                  <c:v>4.1459113601575854</c:v>
                </c:pt>
                <c:pt idx="14">
                  <c:v>3.7377235538032023</c:v>
                </c:pt>
                <c:pt idx="15">
                  <c:v>3.7989576630074651</c:v>
                </c:pt>
                <c:pt idx="16">
                  <c:v>4.0338130973137583</c:v>
                </c:pt>
                <c:pt idx="17">
                  <c:v>3.9303389636248789</c:v>
                </c:pt>
                <c:pt idx="18">
                  <c:v>4.0070871762359062</c:v>
                </c:pt>
                <c:pt idx="19">
                  <c:v>4.0038331998676702</c:v>
                </c:pt>
                <c:pt idx="20">
                  <c:v>4.13839194</c:v>
                </c:pt>
                <c:pt idx="21">
                  <c:v>3.6709301292220755</c:v>
                </c:pt>
                <c:pt idx="22">
                  <c:v>3.5148679345989322</c:v>
                </c:pt>
                <c:pt idx="23">
                  <c:v>3.3710286012601682</c:v>
                </c:pt>
                <c:pt idx="24">
                  <c:v>3.5924882002708074</c:v>
                </c:pt>
                <c:pt idx="25">
                  <c:v>3.3712941038408517</c:v>
                </c:pt>
                <c:pt idx="26">
                  <c:v>3.1887216</c:v>
                </c:pt>
                <c:pt idx="27">
                  <c:v>3.4647051919124086</c:v>
                </c:pt>
                <c:pt idx="28">
                  <c:v>3.5622675699999999</c:v>
                </c:pt>
                <c:pt idx="29">
                  <c:v>3.2667071000000001</c:v>
                </c:pt>
                <c:pt idx="30">
                  <c:v>3.4103412799999999</c:v>
                </c:pt>
                <c:pt idx="31">
                  <c:v>3.5256475799999998</c:v>
                </c:pt>
                <c:pt idx="32">
                  <c:v>3.5975317499999999</c:v>
                </c:pt>
                <c:pt idx="33">
                  <c:v>3.5017706400000002</c:v>
                </c:pt>
                <c:pt idx="34">
                  <c:v>3.41921411</c:v>
                </c:pt>
                <c:pt idx="35">
                  <c:v>3.1278612200000002</c:v>
                </c:pt>
                <c:pt idx="36">
                  <c:v>3.3891915799999999</c:v>
                </c:pt>
                <c:pt idx="37">
                  <c:v>3.2050571799999998</c:v>
                </c:pt>
                <c:pt idx="38">
                  <c:v>2.9396290899999999</c:v>
                </c:pt>
                <c:pt idx="39">
                  <c:v>3.398701</c:v>
                </c:pt>
                <c:pt idx="40">
                  <c:v>3.2218480700000001</c:v>
                </c:pt>
                <c:pt idx="41">
                  <c:v>3.3852759400000001</c:v>
                </c:pt>
                <c:pt idx="42">
                  <c:v>3.4776388800000002</c:v>
                </c:pt>
                <c:pt idx="43">
                  <c:v>3.46852407</c:v>
                </c:pt>
                <c:pt idx="44">
                  <c:v>3.60037254</c:v>
                </c:pt>
                <c:pt idx="45">
                  <c:v>3.2383940400000002</c:v>
                </c:pt>
                <c:pt idx="46">
                  <c:v>3.2634655299999999</c:v>
                </c:pt>
                <c:pt idx="47">
                  <c:v>3.3544946200000001</c:v>
                </c:pt>
                <c:pt idx="48">
                  <c:v>3.56775405</c:v>
                </c:pt>
                <c:pt idx="49">
                  <c:v>3.29943176</c:v>
                </c:pt>
                <c:pt idx="50">
                  <c:v>3.2454432600000001</c:v>
                </c:pt>
                <c:pt idx="51">
                  <c:v>3.49959409</c:v>
                </c:pt>
                <c:pt idx="52">
                  <c:v>3.5121351700000001</c:v>
                </c:pt>
                <c:pt idx="53">
                  <c:v>3.5658851600000001</c:v>
                </c:pt>
                <c:pt idx="54">
                  <c:v>3.7132607399999999</c:v>
                </c:pt>
                <c:pt idx="55">
                  <c:v>3.73528496</c:v>
                </c:pt>
                <c:pt idx="56">
                  <c:v>3.8002043200000002</c:v>
                </c:pt>
              </c:numCache>
            </c:numRef>
          </c:val>
          <c:extLst>
            <c:ext xmlns:c16="http://schemas.microsoft.com/office/drawing/2014/chart" uri="{C3380CC4-5D6E-409C-BE32-E72D297353CC}">
              <c16:uniqueId val="{00000061-35CE-47C7-97FE-9C4B33FA1B43}"/>
            </c:ext>
          </c:extLst>
        </c:ser>
        <c:dLbls>
          <c:showLegendKey val="0"/>
          <c:showVal val="0"/>
          <c:showCatName val="0"/>
          <c:showSerName val="0"/>
          <c:showPercent val="0"/>
          <c:showBubbleSize val="0"/>
        </c:dLbls>
        <c:gapWidth val="40"/>
        <c:axId val="476354104"/>
        <c:axId val="476352928"/>
      </c:barChart>
      <c:catAx>
        <c:axId val="4763541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476352928"/>
        <c:crosses val="autoZero"/>
        <c:auto val="1"/>
        <c:lblAlgn val="ctr"/>
        <c:lblOffset val="0"/>
        <c:tickLblSkip val="1"/>
        <c:tickMarkSkip val="12"/>
        <c:noMultiLvlLbl val="1"/>
      </c:catAx>
      <c:valAx>
        <c:axId val="476352928"/>
        <c:scaling>
          <c:orientation val="minMax"/>
          <c:max val="6.5"/>
          <c:min val="0"/>
        </c:scaling>
        <c:delete val="0"/>
        <c:axPos val="l"/>
        <c:majorGridlines>
          <c:spPr>
            <a:ln>
              <a:noFill/>
            </a:ln>
          </c:spPr>
        </c:majorGridlines>
        <c:numFmt formatCode="0.0" sourceLinked="0"/>
        <c:majorTickMark val="out"/>
        <c:minorTickMark val="none"/>
        <c:tickLblPos val="nextTo"/>
        <c:spPr>
          <a:noFill/>
          <a:ln w="6350">
            <a:solidFill>
              <a:srgbClr val="00205D"/>
            </a:solidFill>
          </a:ln>
        </c:spPr>
        <c:crossAx val="476354104"/>
        <c:crosses val="autoZero"/>
        <c:crossBetween val="between"/>
        <c:majorUnit val="1"/>
        <c:minorUnit val="0.2"/>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D6AF7-66BE-48ED-9F8A-A39EFC1C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14</Pages>
  <Words>3919</Words>
  <Characters>21559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creator>INEGI</dc:creator>
  <cp:keywords>PEA Ocupación Desocupación Subocupación</cp:keywords>
  <cp:lastModifiedBy>SALA DE PRENSA</cp:lastModifiedBy>
  <cp:revision>44</cp:revision>
  <cp:lastPrinted>2019-10-17T18:31:00Z</cp:lastPrinted>
  <dcterms:created xsi:type="dcterms:W3CDTF">2019-10-16T21:04:00Z</dcterms:created>
  <dcterms:modified xsi:type="dcterms:W3CDTF">2019-10-21T22:06:00Z</dcterms:modified>
  <cp:category>Encuesta Nacional de Ocupación y Empleo</cp:category>
  <cp:version>1</cp:version>
</cp:coreProperties>
</file>