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B1" w:rsidRDefault="001666B1" w:rsidP="001666B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6C709928" wp14:editId="36B090D0">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1666B1" w:rsidRPr="00265B8C" w:rsidRDefault="001666B1" w:rsidP="001666B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709928"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1666B1" w:rsidRPr="00265B8C" w:rsidRDefault="001666B1" w:rsidP="001666B1">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1666B1" w:rsidRDefault="001666B1" w:rsidP="001666B1">
      <w:pPr>
        <w:spacing w:before="240"/>
        <w:contextualSpacing/>
        <w:jc w:val="center"/>
        <w:outlineLvl w:val="0"/>
        <w:rPr>
          <w:b/>
          <w:sz w:val="28"/>
          <w:szCs w:val="28"/>
        </w:rPr>
      </w:pPr>
    </w:p>
    <w:p w:rsidR="001666B1" w:rsidRDefault="001666B1" w:rsidP="001666B1">
      <w:pPr>
        <w:pStyle w:val="Subttulo"/>
        <w:contextualSpacing/>
        <w:rPr>
          <w:sz w:val="28"/>
        </w:rPr>
      </w:pPr>
    </w:p>
    <w:p w:rsidR="001666B1" w:rsidRPr="005B0949" w:rsidRDefault="001666B1" w:rsidP="001666B1">
      <w:pPr>
        <w:pStyle w:val="Subttulo"/>
        <w:contextualSpacing/>
        <w:rPr>
          <w:sz w:val="28"/>
        </w:rPr>
      </w:pPr>
      <w:r w:rsidRPr="005B0949">
        <w:rPr>
          <w:sz w:val="28"/>
        </w:rPr>
        <w:t>INDICADOR DE PEDIDOS MANUFACTUREROS</w:t>
      </w:r>
    </w:p>
    <w:p w:rsidR="001666B1" w:rsidRPr="005B0949" w:rsidRDefault="001666B1" w:rsidP="001666B1">
      <w:pPr>
        <w:contextualSpacing/>
        <w:jc w:val="center"/>
        <w:rPr>
          <w:b/>
          <w:bCs/>
          <w:kern w:val="28"/>
          <w:sz w:val="26"/>
          <w:szCs w:val="26"/>
        </w:rPr>
      </w:pPr>
      <w:r w:rsidRPr="005B0949">
        <w:rPr>
          <w:b/>
          <w:bCs/>
          <w:kern w:val="28"/>
          <w:sz w:val="26"/>
          <w:szCs w:val="26"/>
        </w:rPr>
        <w:t xml:space="preserve">CIFRAS DURANTE </w:t>
      </w:r>
      <w:r>
        <w:rPr>
          <w:b/>
          <w:bCs/>
          <w:kern w:val="28"/>
          <w:sz w:val="26"/>
          <w:szCs w:val="26"/>
        </w:rPr>
        <w:t xml:space="preserve">AGOSTO </w:t>
      </w:r>
      <w:r w:rsidRPr="005B0949">
        <w:rPr>
          <w:b/>
          <w:bCs/>
          <w:kern w:val="28"/>
          <w:sz w:val="26"/>
          <w:szCs w:val="26"/>
        </w:rPr>
        <w:t>DE 2019</w:t>
      </w:r>
    </w:p>
    <w:p w:rsidR="001666B1" w:rsidRPr="00BA4D14" w:rsidRDefault="001666B1" w:rsidP="001666B1">
      <w:pPr>
        <w:spacing w:before="240"/>
        <w:ind w:left="-426" w:right="-567"/>
      </w:pPr>
      <w:r w:rsidRPr="00BA4D14">
        <w:t xml:space="preserve">El Instituto Nacional de Estadística y Geografía (INEGI) y el Banco de México dan a conocer el Indicador de Pedidos Manufactureros (IPM) de agosto de 2019. El IPM incorpora variables similares a las del PMI que elabora el </w:t>
      </w:r>
      <w:proofErr w:type="spellStart"/>
      <w:r w:rsidRPr="00BA4D14">
        <w:t>Institute</w:t>
      </w:r>
      <w:proofErr w:type="spellEnd"/>
      <w:r w:rsidRPr="00BA4D14">
        <w:t xml:space="preserve"> </w:t>
      </w:r>
      <w:proofErr w:type="spellStart"/>
      <w:r w:rsidRPr="00BA4D14">
        <w:t>for</w:t>
      </w:r>
      <w:proofErr w:type="spellEnd"/>
      <w:r w:rsidRPr="00BA4D14">
        <w:t xml:space="preserve"> </w:t>
      </w:r>
      <w:proofErr w:type="spellStart"/>
      <w:r w:rsidRPr="00BA4D14">
        <w:t>Supply</w:t>
      </w:r>
      <w:proofErr w:type="spellEnd"/>
      <w:r w:rsidRPr="00BA4D14">
        <w:t xml:space="preserve"> Management (ISM) en Estados Unidos.</w:t>
      </w:r>
    </w:p>
    <w:p w:rsidR="001666B1" w:rsidRPr="00BA4D14" w:rsidRDefault="001666B1" w:rsidP="001666B1">
      <w:pPr>
        <w:spacing w:before="120"/>
        <w:ind w:left="-426" w:right="-567"/>
      </w:pPr>
      <w:r w:rsidRPr="00BA4D14">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rsidR="001666B1" w:rsidRPr="00BA4D14" w:rsidRDefault="001666B1" w:rsidP="001666B1">
      <w:pPr>
        <w:spacing w:before="120"/>
        <w:ind w:left="-426" w:right="-567"/>
      </w:pPr>
      <w:r w:rsidRPr="00BA4D14">
        <w:t>En agosto de este año, el IPM registró un incremento mensual de 0.19 puntos con cifras desestacionalizadas, al reportar un nivel de 50.7 puntos. Con este resultado, dicho indicador acumula 120 meses consecutivos situándose sobre el umbral de 50 puntos. A su interior, se observaron alzas mensuales en términos desestacionalizados en los componentes relativos a la producción esperada y al personal ocupado, en tanto que mostraron descensos los correspondientes a los pedidos esperados, a la oportunidad en la entrega de insumos por parte de los proveedores y a los inventarios de insumos.</w:t>
      </w:r>
    </w:p>
    <w:p w:rsidR="001666B1" w:rsidRPr="005B0949" w:rsidRDefault="001666B1" w:rsidP="001666B1">
      <w:pPr>
        <w:widowControl w:val="0"/>
        <w:spacing w:before="360"/>
        <w:jc w:val="center"/>
        <w:outlineLvl w:val="0"/>
        <w:rPr>
          <w:b/>
          <w:bCs/>
          <w:smallCaps/>
          <w:kern w:val="32"/>
        </w:rPr>
      </w:pPr>
      <w:r w:rsidRPr="005B0949">
        <w:rPr>
          <w:b/>
          <w:bCs/>
          <w:smallCaps/>
          <w:kern w:val="32"/>
        </w:rPr>
        <w:t>Indicador de Pedidos Manufactureros a</w:t>
      </w:r>
      <w:r>
        <w:rPr>
          <w:b/>
          <w:bCs/>
          <w:smallCaps/>
          <w:kern w:val="32"/>
        </w:rPr>
        <w:t xml:space="preserve">l mes de agosto </w:t>
      </w:r>
      <w:r w:rsidRPr="005B0949">
        <w:rPr>
          <w:b/>
          <w:bCs/>
          <w:smallCaps/>
          <w:kern w:val="32"/>
        </w:rPr>
        <w:t>de 2019</w:t>
      </w:r>
    </w:p>
    <w:p w:rsidR="001666B1" w:rsidRPr="005B0949" w:rsidRDefault="001666B1" w:rsidP="001666B1">
      <w:pPr>
        <w:widowControl w:val="0"/>
        <w:jc w:val="center"/>
        <w:outlineLvl w:val="0"/>
        <w:rPr>
          <w:b/>
          <w:bCs/>
          <w:smallCaps/>
          <w:kern w:val="32"/>
        </w:rPr>
      </w:pPr>
      <w:r w:rsidRPr="005B0949">
        <w:rPr>
          <w:b/>
          <w:bCs/>
          <w:smallCaps/>
          <w:kern w:val="32"/>
        </w:rPr>
        <w:t>Series desestacionalizada y de tendencia-ciclo</w:t>
      </w:r>
    </w:p>
    <w:p w:rsidR="001666B1" w:rsidRPr="005B0949" w:rsidRDefault="001666B1" w:rsidP="001666B1">
      <w:pPr>
        <w:widowControl w:val="0"/>
        <w:spacing w:after="10"/>
        <w:jc w:val="center"/>
        <w:outlineLvl w:val="0"/>
        <w:rPr>
          <w:b/>
          <w:bCs/>
          <w:smallCaps/>
          <w:kern w:val="32"/>
        </w:rPr>
      </w:pPr>
      <w:r>
        <w:rPr>
          <w:noProof/>
          <w:lang w:val="es-MX" w:eastAsia="es-MX"/>
        </w:rPr>
        <w:drawing>
          <wp:inline distT="0" distB="0" distL="0" distR="0" wp14:anchorId="2EB04A04" wp14:editId="3C1435BF">
            <wp:extent cx="4333447" cy="2499829"/>
            <wp:effectExtent l="0" t="0" r="10160" b="1524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66B1" w:rsidRPr="005B0949" w:rsidRDefault="001666B1" w:rsidP="001666B1">
      <w:pPr>
        <w:widowControl w:val="0"/>
        <w:ind w:left="1418"/>
        <w:jc w:val="left"/>
        <w:outlineLvl w:val="0"/>
        <w:rPr>
          <w:b/>
          <w:bCs/>
          <w:smallCaps/>
          <w:kern w:val="32"/>
          <w:sz w:val="14"/>
          <w:szCs w:val="16"/>
        </w:rPr>
      </w:pPr>
      <w:r w:rsidRPr="005B0949">
        <w:rPr>
          <w:sz w:val="14"/>
          <w:szCs w:val="16"/>
        </w:rPr>
        <w:t>Fuente: INEGI y Banco de México.</w:t>
      </w:r>
    </w:p>
    <w:p w:rsidR="001666B1" w:rsidRDefault="001666B1" w:rsidP="001666B1">
      <w:pPr>
        <w:widowControl w:val="0"/>
        <w:spacing w:before="360"/>
        <w:jc w:val="center"/>
        <w:outlineLvl w:val="0"/>
        <w:rPr>
          <w:b/>
          <w:bCs/>
          <w:smallCaps/>
          <w:kern w:val="32"/>
        </w:rPr>
      </w:pPr>
    </w:p>
    <w:p w:rsidR="001666B1" w:rsidRDefault="001666B1" w:rsidP="001666B1">
      <w:pPr>
        <w:widowControl w:val="0"/>
        <w:spacing w:before="360"/>
        <w:jc w:val="center"/>
        <w:outlineLvl w:val="0"/>
        <w:rPr>
          <w:b/>
          <w:bCs/>
          <w:smallCaps/>
          <w:kern w:val="32"/>
        </w:rPr>
      </w:pPr>
    </w:p>
    <w:p w:rsidR="001666B1" w:rsidRDefault="001666B1" w:rsidP="001666B1">
      <w:pPr>
        <w:widowControl w:val="0"/>
        <w:spacing w:before="360"/>
        <w:jc w:val="center"/>
        <w:outlineLvl w:val="0"/>
        <w:rPr>
          <w:b/>
          <w:bCs/>
          <w:smallCaps/>
          <w:kern w:val="32"/>
        </w:rPr>
      </w:pPr>
    </w:p>
    <w:p w:rsidR="001666B1" w:rsidRPr="008E6408" w:rsidRDefault="001666B1" w:rsidP="00AF58BA">
      <w:pPr>
        <w:spacing w:before="240"/>
        <w:ind w:left="-567" w:right="-567"/>
      </w:pPr>
      <w:r w:rsidRPr="008E6408">
        <w:t>En el octavo mes de 2019, el IPM se ubicó en 50.7 puntos con datos originales, lo que significó una disminución anual de (-)1.2 puntos. En el mes en cuestión, los cinco rubros que conforman el IPM presentaron reducciones anuales.</w:t>
      </w:r>
    </w:p>
    <w:p w:rsidR="001666B1" w:rsidRPr="005B0949" w:rsidRDefault="001666B1" w:rsidP="001666B1">
      <w:pPr>
        <w:keepNext/>
        <w:keepLines/>
        <w:spacing w:before="600" w:line="280" w:lineRule="exact"/>
        <w:jc w:val="center"/>
        <w:outlineLvl w:val="0"/>
        <w:rPr>
          <w:b/>
          <w:smallCaps/>
        </w:rPr>
      </w:pPr>
      <w:r w:rsidRPr="005B0949">
        <w:rPr>
          <w:b/>
          <w:smallCaps/>
        </w:rPr>
        <w:t>Indicador de Pedidos Manufactureros por grupos de subsectores de actividad</w:t>
      </w:r>
    </w:p>
    <w:p w:rsidR="001666B1" w:rsidRPr="005B0949" w:rsidRDefault="001666B1" w:rsidP="001666B1">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1666B1" w:rsidRPr="005B0949" w:rsidTr="00E0287A">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rsidR="001666B1" w:rsidRPr="005B0949" w:rsidRDefault="001666B1" w:rsidP="009F20BE">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1666B1" w:rsidRPr="005B0949" w:rsidRDefault="001666B1" w:rsidP="009F20BE">
            <w:pPr>
              <w:keepNext/>
              <w:keepLines/>
              <w:spacing w:before="40" w:after="40" w:line="240" w:lineRule="exact"/>
              <w:jc w:val="center"/>
              <w:rPr>
                <w:sz w:val="18"/>
                <w:szCs w:val="18"/>
              </w:rPr>
            </w:pPr>
            <w:r>
              <w:rPr>
                <w:sz w:val="18"/>
                <w:szCs w:val="18"/>
              </w:rPr>
              <w:t>Agosto</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rsidR="001666B1" w:rsidRPr="005B0949" w:rsidRDefault="001666B1" w:rsidP="009F20B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1666B1" w:rsidRPr="005B0949" w:rsidTr="00E0287A">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rsidR="001666B1" w:rsidRPr="005B0949" w:rsidRDefault="001666B1" w:rsidP="009F20BE">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1666B1" w:rsidRPr="005B0949" w:rsidRDefault="001666B1" w:rsidP="009F20BE">
            <w:pPr>
              <w:keepNext/>
              <w:keepLines/>
              <w:spacing w:line="240" w:lineRule="exact"/>
              <w:jc w:val="center"/>
              <w:rPr>
                <w:sz w:val="18"/>
                <w:szCs w:val="18"/>
              </w:rPr>
            </w:pPr>
            <w:r w:rsidRPr="005B0949">
              <w:rPr>
                <w:sz w:val="18"/>
                <w:szCs w:val="18"/>
              </w:rPr>
              <w:t>2018</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1666B1" w:rsidRPr="005B0949" w:rsidRDefault="001666B1" w:rsidP="009F20BE">
            <w:pPr>
              <w:keepNext/>
              <w:keepLines/>
              <w:spacing w:line="240" w:lineRule="exact"/>
              <w:jc w:val="center"/>
              <w:rPr>
                <w:sz w:val="18"/>
                <w:szCs w:val="18"/>
              </w:rPr>
            </w:pPr>
            <w:r w:rsidRPr="005B0949">
              <w:rPr>
                <w:sz w:val="18"/>
                <w:szCs w:val="18"/>
              </w:rPr>
              <w:t>2019</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rsidR="001666B1" w:rsidRPr="005B0949" w:rsidRDefault="001666B1" w:rsidP="009F20BE">
            <w:pPr>
              <w:keepNext/>
              <w:keepLines/>
              <w:spacing w:line="240" w:lineRule="atLeast"/>
              <w:ind w:left="-64" w:right="-45"/>
              <w:jc w:val="center"/>
              <w:rPr>
                <w:sz w:val="18"/>
                <w:szCs w:val="18"/>
              </w:rPr>
            </w:pPr>
          </w:p>
        </w:tc>
      </w:tr>
      <w:tr w:rsidR="001666B1" w:rsidRPr="005B0949" w:rsidTr="00E0287A">
        <w:trPr>
          <w:cantSplit/>
          <w:trHeight w:val="20"/>
          <w:jc w:val="center"/>
        </w:trPr>
        <w:tc>
          <w:tcPr>
            <w:tcW w:w="3416" w:type="pct"/>
            <w:tcBorders>
              <w:top w:val="single" w:sz="6" w:space="0" w:color="404040"/>
              <w:left w:val="single" w:sz="6" w:space="0" w:color="404040"/>
              <w:right w:val="single" w:sz="6" w:space="0" w:color="404040"/>
            </w:tcBorders>
            <w:vAlign w:val="center"/>
          </w:tcPr>
          <w:p w:rsidR="001666B1" w:rsidRPr="005B0949" w:rsidRDefault="001666B1" w:rsidP="009F20BE">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rsidR="001666B1" w:rsidRPr="00223FAF" w:rsidRDefault="001666B1" w:rsidP="009F20BE">
            <w:pPr>
              <w:tabs>
                <w:tab w:val="decimal" w:pos="431"/>
              </w:tabs>
              <w:jc w:val="left"/>
              <w:rPr>
                <w:b/>
                <w:bCs/>
                <w:color w:val="000000"/>
                <w:sz w:val="18"/>
                <w:szCs w:val="18"/>
                <w:lang w:val="es-MX" w:eastAsia="es-MX"/>
              </w:rPr>
            </w:pPr>
            <w:r w:rsidRPr="00223FAF">
              <w:rPr>
                <w:b/>
                <w:bCs/>
                <w:color w:val="000000"/>
                <w:sz w:val="18"/>
                <w:szCs w:val="18"/>
              </w:rPr>
              <w:t>51.9</w:t>
            </w:r>
          </w:p>
        </w:tc>
        <w:tc>
          <w:tcPr>
            <w:tcW w:w="489" w:type="pct"/>
            <w:tcBorders>
              <w:top w:val="single" w:sz="6" w:space="0" w:color="404040"/>
              <w:right w:val="single" w:sz="6" w:space="0" w:color="404040"/>
            </w:tcBorders>
            <w:vAlign w:val="center"/>
          </w:tcPr>
          <w:p w:rsidR="001666B1" w:rsidRPr="00223FAF" w:rsidRDefault="001666B1" w:rsidP="009F20BE">
            <w:pPr>
              <w:tabs>
                <w:tab w:val="decimal" w:pos="431"/>
              </w:tabs>
              <w:jc w:val="left"/>
              <w:rPr>
                <w:b/>
                <w:bCs/>
                <w:color w:val="000000"/>
                <w:sz w:val="18"/>
                <w:szCs w:val="18"/>
              </w:rPr>
            </w:pPr>
            <w:r w:rsidRPr="00223FAF">
              <w:rPr>
                <w:b/>
                <w:bCs/>
                <w:color w:val="000000"/>
                <w:sz w:val="18"/>
                <w:szCs w:val="18"/>
              </w:rPr>
              <w:t>50.7</w:t>
            </w:r>
          </w:p>
        </w:tc>
        <w:tc>
          <w:tcPr>
            <w:tcW w:w="605" w:type="pct"/>
            <w:tcBorders>
              <w:top w:val="single" w:sz="6" w:space="0" w:color="404040"/>
              <w:right w:val="single" w:sz="6" w:space="0" w:color="404040"/>
            </w:tcBorders>
            <w:vAlign w:val="center"/>
          </w:tcPr>
          <w:p w:rsidR="001666B1" w:rsidRPr="00223FAF" w:rsidRDefault="001666B1" w:rsidP="009F20BE">
            <w:pPr>
              <w:tabs>
                <w:tab w:val="left" w:pos="258"/>
                <w:tab w:val="decimal" w:pos="608"/>
              </w:tabs>
              <w:jc w:val="left"/>
              <w:rPr>
                <w:b/>
                <w:bCs/>
                <w:color w:val="000000"/>
                <w:sz w:val="18"/>
                <w:szCs w:val="18"/>
              </w:rPr>
            </w:pPr>
            <w:r w:rsidRPr="00223FAF">
              <w:rPr>
                <w:b/>
                <w:bCs/>
                <w:color w:val="000000"/>
                <w:sz w:val="18"/>
                <w:szCs w:val="18"/>
              </w:rPr>
              <w:tab/>
              <w:t>(-)</w:t>
            </w:r>
            <w:r w:rsidRPr="00223FAF">
              <w:rPr>
                <w:b/>
                <w:bCs/>
                <w:color w:val="000000"/>
                <w:sz w:val="18"/>
                <w:szCs w:val="18"/>
              </w:rPr>
              <w:tab/>
              <w:t>1.2</w:t>
            </w:r>
          </w:p>
        </w:tc>
      </w:tr>
      <w:tr w:rsidR="001666B1" w:rsidRPr="005B0949" w:rsidTr="00E0287A">
        <w:trPr>
          <w:cantSplit/>
          <w:trHeight w:val="20"/>
          <w:jc w:val="center"/>
        </w:trPr>
        <w:tc>
          <w:tcPr>
            <w:tcW w:w="3416" w:type="pct"/>
            <w:tcBorders>
              <w:left w:val="single" w:sz="6" w:space="0" w:color="404040"/>
              <w:right w:val="single" w:sz="6" w:space="0" w:color="404040"/>
            </w:tcBorders>
            <w:vAlign w:val="bottom"/>
          </w:tcPr>
          <w:p w:rsidR="001666B1" w:rsidRPr="005B0949" w:rsidRDefault="001666B1" w:rsidP="009F20BE">
            <w:pPr>
              <w:widowControl w:val="0"/>
              <w:spacing w:before="20" w:after="20"/>
              <w:ind w:left="130"/>
              <w:rPr>
                <w:sz w:val="18"/>
                <w:szCs w:val="18"/>
              </w:rPr>
            </w:pPr>
            <w:r w:rsidRPr="005B0949">
              <w:rPr>
                <w:sz w:val="18"/>
                <w:szCs w:val="18"/>
              </w:rPr>
              <w:t>Alimentos, bebidas y tabaco</w:t>
            </w:r>
          </w:p>
        </w:tc>
        <w:tc>
          <w:tcPr>
            <w:tcW w:w="489" w:type="pct"/>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52.9</w:t>
            </w:r>
          </w:p>
        </w:tc>
        <w:tc>
          <w:tcPr>
            <w:tcW w:w="489" w:type="pct"/>
            <w:tcBorders>
              <w:right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50.4</w:t>
            </w:r>
          </w:p>
        </w:tc>
        <w:tc>
          <w:tcPr>
            <w:tcW w:w="605" w:type="pct"/>
            <w:tcBorders>
              <w:right w:val="single" w:sz="6" w:space="0" w:color="404040"/>
            </w:tcBorders>
            <w:vAlign w:val="center"/>
          </w:tcPr>
          <w:p w:rsidR="001666B1" w:rsidRPr="00223FAF" w:rsidRDefault="001666B1" w:rsidP="009F20BE">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2.5</w:t>
            </w:r>
          </w:p>
        </w:tc>
      </w:tr>
      <w:tr w:rsidR="001666B1" w:rsidRPr="005B0949" w:rsidTr="00E0287A">
        <w:trPr>
          <w:cantSplit/>
          <w:trHeight w:val="20"/>
          <w:jc w:val="center"/>
        </w:trPr>
        <w:tc>
          <w:tcPr>
            <w:tcW w:w="3416" w:type="pct"/>
            <w:tcBorders>
              <w:left w:val="single" w:sz="6" w:space="0" w:color="404040"/>
              <w:right w:val="single" w:sz="6" w:space="0" w:color="404040"/>
            </w:tcBorders>
            <w:vAlign w:val="bottom"/>
          </w:tcPr>
          <w:p w:rsidR="001666B1" w:rsidRPr="005B0949" w:rsidRDefault="001666B1" w:rsidP="009F20BE">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50.3</w:t>
            </w:r>
          </w:p>
        </w:tc>
        <w:tc>
          <w:tcPr>
            <w:tcW w:w="489" w:type="pct"/>
            <w:tcBorders>
              <w:right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50.0</w:t>
            </w:r>
          </w:p>
        </w:tc>
        <w:tc>
          <w:tcPr>
            <w:tcW w:w="605" w:type="pct"/>
            <w:tcBorders>
              <w:right w:val="single" w:sz="6" w:space="0" w:color="404040"/>
            </w:tcBorders>
            <w:vAlign w:val="center"/>
          </w:tcPr>
          <w:p w:rsidR="001666B1" w:rsidRPr="00223FAF" w:rsidRDefault="001666B1" w:rsidP="009F20BE">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0.3</w:t>
            </w:r>
          </w:p>
        </w:tc>
      </w:tr>
      <w:tr w:rsidR="001666B1" w:rsidRPr="005B0949" w:rsidTr="00E0287A">
        <w:trPr>
          <w:cantSplit/>
          <w:trHeight w:val="20"/>
          <w:jc w:val="center"/>
        </w:trPr>
        <w:tc>
          <w:tcPr>
            <w:tcW w:w="3416" w:type="pct"/>
            <w:tcBorders>
              <w:left w:val="single" w:sz="6" w:space="0" w:color="404040"/>
              <w:right w:val="single" w:sz="6" w:space="0" w:color="404040"/>
            </w:tcBorders>
            <w:vAlign w:val="bottom"/>
          </w:tcPr>
          <w:p w:rsidR="001666B1" w:rsidRPr="005B0949" w:rsidRDefault="001666B1" w:rsidP="009F20BE">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51.1</w:t>
            </w:r>
          </w:p>
        </w:tc>
        <w:tc>
          <w:tcPr>
            <w:tcW w:w="489" w:type="pct"/>
            <w:tcBorders>
              <w:right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50.0</w:t>
            </w:r>
          </w:p>
        </w:tc>
        <w:tc>
          <w:tcPr>
            <w:tcW w:w="605" w:type="pct"/>
            <w:tcBorders>
              <w:right w:val="single" w:sz="6" w:space="0" w:color="404040"/>
            </w:tcBorders>
            <w:vAlign w:val="center"/>
          </w:tcPr>
          <w:p w:rsidR="001666B1" w:rsidRPr="00223FAF" w:rsidRDefault="001666B1" w:rsidP="009F20BE">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1.1</w:t>
            </w:r>
          </w:p>
        </w:tc>
      </w:tr>
      <w:tr w:rsidR="001666B1" w:rsidRPr="005B0949" w:rsidTr="00E0287A">
        <w:trPr>
          <w:cantSplit/>
          <w:trHeight w:val="20"/>
          <w:jc w:val="center"/>
        </w:trPr>
        <w:tc>
          <w:tcPr>
            <w:tcW w:w="3416" w:type="pct"/>
            <w:tcBorders>
              <w:left w:val="single" w:sz="6" w:space="0" w:color="404040"/>
              <w:right w:val="single" w:sz="6" w:space="0" w:color="404040"/>
            </w:tcBorders>
            <w:vAlign w:val="bottom"/>
          </w:tcPr>
          <w:p w:rsidR="001666B1" w:rsidRPr="005B0949" w:rsidRDefault="001666B1" w:rsidP="009F20BE">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53.8</w:t>
            </w:r>
          </w:p>
        </w:tc>
        <w:tc>
          <w:tcPr>
            <w:tcW w:w="489" w:type="pct"/>
            <w:tcBorders>
              <w:right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49.5</w:t>
            </w:r>
          </w:p>
        </w:tc>
        <w:tc>
          <w:tcPr>
            <w:tcW w:w="605" w:type="pct"/>
            <w:tcBorders>
              <w:right w:val="single" w:sz="6" w:space="0" w:color="404040"/>
            </w:tcBorders>
            <w:vAlign w:val="center"/>
          </w:tcPr>
          <w:p w:rsidR="001666B1" w:rsidRPr="00223FAF" w:rsidRDefault="001666B1" w:rsidP="009F20BE">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4.4</w:t>
            </w:r>
          </w:p>
        </w:tc>
      </w:tr>
      <w:tr w:rsidR="001666B1" w:rsidRPr="005B0949" w:rsidTr="00E0287A">
        <w:trPr>
          <w:cantSplit/>
          <w:trHeight w:val="20"/>
          <w:jc w:val="center"/>
        </w:trPr>
        <w:tc>
          <w:tcPr>
            <w:tcW w:w="3416" w:type="pct"/>
            <w:tcBorders>
              <w:left w:val="single" w:sz="6" w:space="0" w:color="404040"/>
              <w:right w:val="single" w:sz="6" w:space="0" w:color="404040"/>
            </w:tcBorders>
            <w:vAlign w:val="bottom"/>
          </w:tcPr>
          <w:p w:rsidR="001666B1" w:rsidRPr="005B0949" w:rsidRDefault="001666B1" w:rsidP="009F20BE">
            <w:pPr>
              <w:widowControl w:val="0"/>
              <w:spacing w:before="20" w:after="20"/>
              <w:ind w:left="133"/>
              <w:rPr>
                <w:sz w:val="18"/>
                <w:szCs w:val="18"/>
              </w:rPr>
            </w:pPr>
            <w:r w:rsidRPr="005B0949">
              <w:rPr>
                <w:sz w:val="18"/>
                <w:szCs w:val="18"/>
              </w:rPr>
              <w:t>Equipo de transporte</w:t>
            </w:r>
          </w:p>
        </w:tc>
        <w:tc>
          <w:tcPr>
            <w:tcW w:w="489" w:type="pct"/>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53.5</w:t>
            </w:r>
          </w:p>
        </w:tc>
        <w:tc>
          <w:tcPr>
            <w:tcW w:w="489" w:type="pct"/>
            <w:tcBorders>
              <w:right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52.1</w:t>
            </w:r>
          </w:p>
        </w:tc>
        <w:tc>
          <w:tcPr>
            <w:tcW w:w="605" w:type="pct"/>
            <w:tcBorders>
              <w:right w:val="single" w:sz="6" w:space="0" w:color="404040"/>
            </w:tcBorders>
            <w:vAlign w:val="center"/>
          </w:tcPr>
          <w:p w:rsidR="001666B1" w:rsidRPr="00223FAF" w:rsidRDefault="001666B1" w:rsidP="009F20BE">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1.5</w:t>
            </w:r>
          </w:p>
        </w:tc>
      </w:tr>
      <w:tr w:rsidR="001666B1" w:rsidRPr="005B0949" w:rsidTr="00E0287A">
        <w:trPr>
          <w:cantSplit/>
          <w:trHeight w:val="20"/>
          <w:jc w:val="center"/>
        </w:trPr>
        <w:tc>
          <w:tcPr>
            <w:tcW w:w="3416" w:type="pct"/>
            <w:tcBorders>
              <w:left w:val="single" w:sz="6" w:space="0" w:color="404040"/>
              <w:right w:val="single" w:sz="6" w:space="0" w:color="404040"/>
            </w:tcBorders>
            <w:vAlign w:val="bottom"/>
          </w:tcPr>
          <w:p w:rsidR="001666B1" w:rsidRPr="005B0949" w:rsidRDefault="001666B1" w:rsidP="009F20BE">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50.0</w:t>
            </w:r>
          </w:p>
        </w:tc>
        <w:tc>
          <w:tcPr>
            <w:tcW w:w="489" w:type="pct"/>
            <w:tcBorders>
              <w:right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50.5</w:t>
            </w:r>
          </w:p>
        </w:tc>
        <w:tc>
          <w:tcPr>
            <w:tcW w:w="605" w:type="pct"/>
            <w:tcBorders>
              <w:right w:val="single" w:sz="6" w:space="0" w:color="404040"/>
            </w:tcBorders>
            <w:vAlign w:val="center"/>
          </w:tcPr>
          <w:p w:rsidR="001666B1" w:rsidRPr="00223FAF" w:rsidRDefault="001666B1" w:rsidP="009F20BE">
            <w:pPr>
              <w:tabs>
                <w:tab w:val="decimal" w:pos="608"/>
              </w:tabs>
              <w:jc w:val="left"/>
              <w:rPr>
                <w:color w:val="000000"/>
                <w:sz w:val="18"/>
                <w:szCs w:val="18"/>
              </w:rPr>
            </w:pPr>
            <w:r w:rsidRPr="00223FAF">
              <w:rPr>
                <w:color w:val="000000"/>
                <w:sz w:val="18"/>
                <w:szCs w:val="18"/>
              </w:rPr>
              <w:t>0.5</w:t>
            </w:r>
          </w:p>
        </w:tc>
      </w:tr>
      <w:tr w:rsidR="001666B1" w:rsidRPr="005B0949" w:rsidTr="00E0287A">
        <w:trPr>
          <w:cantSplit/>
          <w:trHeight w:val="20"/>
          <w:jc w:val="center"/>
        </w:trPr>
        <w:tc>
          <w:tcPr>
            <w:tcW w:w="3416" w:type="pct"/>
            <w:tcBorders>
              <w:left w:val="single" w:sz="6" w:space="0" w:color="404040"/>
              <w:bottom w:val="single" w:sz="6" w:space="0" w:color="404040"/>
              <w:right w:val="single" w:sz="6" w:space="0" w:color="404040"/>
            </w:tcBorders>
            <w:vAlign w:val="bottom"/>
          </w:tcPr>
          <w:p w:rsidR="001666B1" w:rsidRPr="005B0949" w:rsidRDefault="001666B1" w:rsidP="009F20BE">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52.6</w:t>
            </w:r>
          </w:p>
        </w:tc>
        <w:tc>
          <w:tcPr>
            <w:tcW w:w="489" w:type="pct"/>
            <w:tcBorders>
              <w:bottom w:val="single" w:sz="6" w:space="0" w:color="404040"/>
              <w:right w:val="single" w:sz="6" w:space="0" w:color="404040"/>
            </w:tcBorders>
            <w:vAlign w:val="center"/>
          </w:tcPr>
          <w:p w:rsidR="001666B1" w:rsidRPr="00223FAF" w:rsidRDefault="001666B1" w:rsidP="009F20BE">
            <w:pPr>
              <w:tabs>
                <w:tab w:val="decimal" w:pos="431"/>
              </w:tabs>
              <w:jc w:val="left"/>
              <w:rPr>
                <w:color w:val="000000"/>
                <w:sz w:val="18"/>
                <w:szCs w:val="18"/>
              </w:rPr>
            </w:pPr>
            <w:r w:rsidRPr="00223FAF">
              <w:rPr>
                <w:color w:val="000000"/>
                <w:sz w:val="18"/>
                <w:szCs w:val="18"/>
              </w:rPr>
              <w:t>52.8</w:t>
            </w:r>
          </w:p>
        </w:tc>
        <w:tc>
          <w:tcPr>
            <w:tcW w:w="605" w:type="pct"/>
            <w:tcBorders>
              <w:bottom w:val="single" w:sz="6" w:space="0" w:color="404040"/>
              <w:right w:val="single" w:sz="6" w:space="0" w:color="404040"/>
            </w:tcBorders>
            <w:vAlign w:val="center"/>
          </w:tcPr>
          <w:p w:rsidR="001666B1" w:rsidRPr="00223FAF" w:rsidRDefault="001666B1" w:rsidP="009F20BE">
            <w:pPr>
              <w:tabs>
                <w:tab w:val="decimal" w:pos="608"/>
              </w:tabs>
              <w:jc w:val="left"/>
              <w:rPr>
                <w:color w:val="000000"/>
                <w:sz w:val="18"/>
                <w:szCs w:val="18"/>
              </w:rPr>
            </w:pPr>
            <w:r w:rsidRPr="00223FAF">
              <w:rPr>
                <w:color w:val="000000"/>
                <w:sz w:val="18"/>
                <w:szCs w:val="18"/>
              </w:rPr>
              <w:t>0.2</w:t>
            </w:r>
          </w:p>
        </w:tc>
      </w:tr>
    </w:tbl>
    <w:p w:rsidR="001666B1" w:rsidRPr="005B0949" w:rsidRDefault="001666B1" w:rsidP="00E0287A">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1666B1" w:rsidRPr="005B0949" w:rsidRDefault="001666B1" w:rsidP="00E0287A">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1666B1" w:rsidRPr="005B0949" w:rsidRDefault="001666B1" w:rsidP="00E0287A">
      <w:pPr>
        <w:widowControl w:val="0"/>
        <w:tabs>
          <w:tab w:val="left" w:pos="567"/>
        </w:tabs>
        <w:outlineLvl w:val="0"/>
        <w:rPr>
          <w:sz w:val="14"/>
          <w:szCs w:val="14"/>
        </w:rPr>
      </w:pPr>
      <w:r w:rsidRPr="005B0949">
        <w:rPr>
          <w:sz w:val="14"/>
          <w:szCs w:val="14"/>
        </w:rPr>
        <w:t>p/</w:t>
      </w:r>
      <w:r w:rsidRPr="005B0949">
        <w:rPr>
          <w:sz w:val="14"/>
          <w:szCs w:val="14"/>
        </w:rPr>
        <w:tab/>
        <w:t>Dato preliminar.</w:t>
      </w:r>
    </w:p>
    <w:p w:rsidR="001666B1" w:rsidRPr="005B0949" w:rsidRDefault="001666B1" w:rsidP="00E0287A">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rsidR="001666B1" w:rsidRDefault="001666B1" w:rsidP="001666B1">
      <w:pPr>
        <w:tabs>
          <w:tab w:val="left" w:pos="567"/>
        </w:tabs>
        <w:spacing w:before="240"/>
        <w:ind w:left="-142" w:right="-425"/>
        <w:rPr>
          <w:b/>
          <w:sz w:val="22"/>
          <w:szCs w:val="22"/>
        </w:rPr>
      </w:pPr>
    </w:p>
    <w:p w:rsidR="001666B1" w:rsidRPr="008E6408" w:rsidRDefault="001666B1" w:rsidP="003F1964">
      <w:pPr>
        <w:spacing w:before="240"/>
        <w:ind w:left="-567" w:right="-567"/>
      </w:pPr>
      <w:r w:rsidRPr="008E6408">
        <w:t>Por grupos de subsectores de actividad económica, en agosto del año en curso cinco de los siete agregados que integran el IPM tuvieron retrocesos anuales con cifras sin ajuste estacional, mientras que los dos restantes aumentaron.</w:t>
      </w:r>
    </w:p>
    <w:p w:rsidR="001666B1" w:rsidRPr="008E6408" w:rsidRDefault="001666B1" w:rsidP="001666B1">
      <w:pPr>
        <w:spacing w:before="360"/>
        <w:ind w:left="-142" w:right="-425"/>
        <w:jc w:val="center"/>
        <w:rPr>
          <w:color w:val="000000"/>
        </w:rPr>
      </w:pPr>
    </w:p>
    <w:p w:rsidR="001666B1" w:rsidRDefault="001666B1" w:rsidP="001666B1">
      <w:pPr>
        <w:spacing w:before="360"/>
        <w:ind w:left="-142" w:right="-425"/>
        <w:jc w:val="center"/>
        <w:rPr>
          <w:b/>
          <w:color w:val="000000"/>
        </w:rPr>
      </w:pPr>
      <w:r>
        <w:rPr>
          <w:b/>
          <w:color w:val="000000"/>
        </w:rPr>
        <w:t>S</w:t>
      </w:r>
      <w:r w:rsidRPr="003B1ACA">
        <w:rPr>
          <w:b/>
          <w:color w:val="000000"/>
        </w:rPr>
        <w:t>e anexa Nota Técnica</w:t>
      </w:r>
    </w:p>
    <w:p w:rsidR="001666B1" w:rsidRDefault="001666B1" w:rsidP="001666B1">
      <w:pPr>
        <w:pStyle w:val="NormalWeb"/>
        <w:spacing w:before="0" w:beforeAutospacing="0" w:after="0" w:afterAutospacing="0"/>
        <w:ind w:left="-426" w:right="-518"/>
        <w:contextualSpacing/>
        <w:jc w:val="center"/>
        <w:rPr>
          <w:rFonts w:ascii="Arial" w:hAnsi="Arial" w:cs="Arial"/>
          <w:sz w:val="18"/>
          <w:szCs w:val="18"/>
        </w:rPr>
      </w:pPr>
    </w:p>
    <w:p w:rsidR="001666B1" w:rsidRDefault="001666B1" w:rsidP="001666B1">
      <w:pPr>
        <w:pStyle w:val="NormalWeb"/>
        <w:spacing w:before="0" w:beforeAutospacing="0" w:after="0" w:afterAutospacing="0"/>
        <w:ind w:left="-426" w:right="-518"/>
        <w:contextualSpacing/>
        <w:jc w:val="center"/>
        <w:rPr>
          <w:rFonts w:ascii="Arial" w:hAnsi="Arial" w:cs="Arial"/>
          <w:sz w:val="18"/>
          <w:szCs w:val="18"/>
        </w:rPr>
      </w:pPr>
    </w:p>
    <w:p w:rsidR="001666B1" w:rsidRDefault="001666B1" w:rsidP="001666B1">
      <w:pPr>
        <w:pStyle w:val="NormalWeb"/>
        <w:spacing w:before="0" w:beforeAutospacing="0" w:after="0" w:afterAutospacing="0"/>
        <w:ind w:left="-426" w:right="-518"/>
        <w:contextualSpacing/>
        <w:jc w:val="center"/>
        <w:rPr>
          <w:rFonts w:ascii="Arial" w:hAnsi="Arial" w:cs="Arial"/>
          <w:sz w:val="20"/>
          <w:szCs w:val="20"/>
        </w:rPr>
      </w:pPr>
    </w:p>
    <w:p w:rsidR="001666B1" w:rsidRDefault="001666B1" w:rsidP="001666B1">
      <w:pPr>
        <w:pStyle w:val="NormalWeb"/>
        <w:spacing w:before="0" w:beforeAutospacing="0" w:after="0" w:afterAutospacing="0"/>
        <w:ind w:left="-426" w:right="-518"/>
        <w:contextualSpacing/>
        <w:jc w:val="center"/>
        <w:rPr>
          <w:rFonts w:ascii="Arial" w:hAnsi="Arial" w:cs="Arial"/>
          <w:sz w:val="20"/>
          <w:szCs w:val="20"/>
        </w:rPr>
      </w:pPr>
    </w:p>
    <w:p w:rsidR="001666B1" w:rsidRDefault="001666B1" w:rsidP="001666B1">
      <w:pPr>
        <w:pStyle w:val="NormalWeb"/>
        <w:spacing w:before="0" w:beforeAutospacing="0" w:after="0" w:afterAutospacing="0"/>
        <w:ind w:left="-426" w:right="-518"/>
        <w:contextualSpacing/>
        <w:jc w:val="center"/>
        <w:rPr>
          <w:rFonts w:ascii="Arial" w:hAnsi="Arial" w:cs="Arial"/>
          <w:sz w:val="20"/>
          <w:szCs w:val="20"/>
        </w:rPr>
      </w:pPr>
    </w:p>
    <w:p w:rsidR="001666B1" w:rsidRDefault="001666B1" w:rsidP="001666B1">
      <w:pPr>
        <w:pStyle w:val="NormalWeb"/>
        <w:spacing w:before="0" w:beforeAutospacing="0" w:after="0" w:afterAutospacing="0"/>
        <w:ind w:left="-426" w:right="-518"/>
        <w:contextualSpacing/>
        <w:jc w:val="center"/>
        <w:rPr>
          <w:rFonts w:ascii="Arial" w:hAnsi="Arial" w:cs="Arial"/>
          <w:sz w:val="20"/>
          <w:szCs w:val="20"/>
        </w:rPr>
      </w:pPr>
    </w:p>
    <w:p w:rsidR="001666B1" w:rsidRPr="007077DF" w:rsidRDefault="001666B1" w:rsidP="001666B1">
      <w:pPr>
        <w:pStyle w:val="NormalWeb"/>
        <w:spacing w:before="0" w:beforeAutospacing="0" w:after="0" w:afterAutospacing="0"/>
        <w:ind w:left="-426" w:right="-518"/>
        <w:contextualSpacing/>
        <w:jc w:val="center"/>
        <w:rPr>
          <w:rFonts w:ascii="Arial" w:hAnsi="Arial" w:cs="Arial"/>
          <w:sz w:val="20"/>
          <w:szCs w:val="20"/>
        </w:rPr>
      </w:pPr>
    </w:p>
    <w:p w:rsidR="001666B1" w:rsidRPr="005216FC" w:rsidRDefault="001666B1" w:rsidP="001666B1">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Para consultas de medios y periodistas, contactar a: </w:t>
      </w:r>
      <w:hyperlink r:id="rId9" w:history="1">
        <w:r w:rsidRPr="005216FC">
          <w:rPr>
            <w:rStyle w:val="Hipervnculo"/>
            <w:rFonts w:ascii="Arial" w:hAnsi="Arial" w:cs="Arial"/>
            <w:sz w:val="22"/>
            <w:szCs w:val="22"/>
          </w:rPr>
          <w:t>comunicacionsocial@inegi.org.mx</w:t>
        </w:r>
      </w:hyperlink>
      <w:r w:rsidRPr="005216FC">
        <w:rPr>
          <w:rFonts w:ascii="Arial" w:hAnsi="Arial" w:cs="Arial"/>
          <w:sz w:val="22"/>
          <w:szCs w:val="22"/>
        </w:rPr>
        <w:t xml:space="preserve"> </w:t>
      </w:r>
    </w:p>
    <w:p w:rsidR="001666B1" w:rsidRPr="005216FC" w:rsidRDefault="001666B1" w:rsidP="001666B1">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o llamar al teléfono (55) 52-78-10-00, </w:t>
      </w:r>
      <w:proofErr w:type="spellStart"/>
      <w:r w:rsidRPr="005216FC">
        <w:rPr>
          <w:rFonts w:ascii="Arial" w:hAnsi="Arial" w:cs="Arial"/>
          <w:sz w:val="22"/>
          <w:szCs w:val="22"/>
        </w:rPr>
        <w:t>exts</w:t>
      </w:r>
      <w:proofErr w:type="spellEnd"/>
      <w:r w:rsidRPr="005216FC">
        <w:rPr>
          <w:rFonts w:ascii="Arial" w:hAnsi="Arial" w:cs="Arial"/>
          <w:sz w:val="22"/>
          <w:szCs w:val="22"/>
        </w:rPr>
        <w:t>. 1134, 1260 y 1241.</w:t>
      </w:r>
    </w:p>
    <w:p w:rsidR="001666B1" w:rsidRPr="005216FC" w:rsidRDefault="001666B1" w:rsidP="001666B1">
      <w:pPr>
        <w:ind w:left="-426" w:right="-518"/>
        <w:contextualSpacing/>
        <w:jc w:val="center"/>
        <w:rPr>
          <w:sz w:val="22"/>
          <w:szCs w:val="22"/>
        </w:rPr>
      </w:pPr>
    </w:p>
    <w:p w:rsidR="001666B1" w:rsidRPr="005216FC" w:rsidRDefault="001666B1" w:rsidP="001666B1">
      <w:pPr>
        <w:ind w:left="-426" w:right="-518"/>
        <w:contextualSpacing/>
        <w:jc w:val="center"/>
        <w:rPr>
          <w:sz w:val="22"/>
          <w:szCs w:val="22"/>
        </w:rPr>
      </w:pPr>
      <w:r w:rsidRPr="005216FC">
        <w:rPr>
          <w:sz w:val="22"/>
          <w:szCs w:val="22"/>
        </w:rPr>
        <w:t>Dirección de Atención a Medios / Dirección General Adjunta de Comunicación</w:t>
      </w:r>
    </w:p>
    <w:p w:rsidR="001666B1" w:rsidRPr="005216FC" w:rsidRDefault="001666B1" w:rsidP="001666B1">
      <w:pPr>
        <w:ind w:left="-426" w:right="-518"/>
        <w:contextualSpacing/>
        <w:jc w:val="center"/>
        <w:rPr>
          <w:sz w:val="22"/>
          <w:szCs w:val="22"/>
        </w:rPr>
      </w:pPr>
    </w:p>
    <w:p w:rsidR="001666B1" w:rsidRPr="008F0992" w:rsidRDefault="001666B1" w:rsidP="001666B1">
      <w:pPr>
        <w:ind w:left="-425" w:right="-516"/>
        <w:contextualSpacing/>
        <w:jc w:val="center"/>
        <w:rPr>
          <w:noProof/>
          <w:lang w:eastAsia="es-MX"/>
        </w:rPr>
      </w:pPr>
      <w:r w:rsidRPr="00FF1218">
        <w:rPr>
          <w:noProof/>
          <w:lang w:val="es-MX" w:eastAsia="es-MX"/>
        </w:rPr>
        <w:drawing>
          <wp:inline distT="0" distB="0" distL="0" distR="0" wp14:anchorId="6E5EC65D" wp14:editId="44ECBFCB">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98698B3" wp14:editId="4B9CEF95">
            <wp:extent cx="365760" cy="365760"/>
            <wp:effectExtent l="0" t="0" r="0" b="0"/>
            <wp:docPr id="11" name="Imagen 1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E9FF7D3" wp14:editId="39F34B8B">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5A5F0EF" wp14:editId="0A18C7B6">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3B23E25" wp14:editId="18071804">
            <wp:extent cx="2286000" cy="274320"/>
            <wp:effectExtent l="0" t="0" r="0" b="0"/>
            <wp:docPr id="13" name="Imagen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1666B1" w:rsidRDefault="001666B1" w:rsidP="001666B1">
      <w:pPr>
        <w:pStyle w:val="NormalWeb"/>
        <w:spacing w:before="0" w:beforeAutospacing="0" w:after="0" w:afterAutospacing="0"/>
        <w:ind w:left="-426" w:right="-518"/>
        <w:contextualSpacing/>
        <w:jc w:val="center"/>
        <w:rPr>
          <w:rFonts w:ascii="Arial" w:hAnsi="Arial" w:cs="Arial"/>
          <w:sz w:val="18"/>
          <w:szCs w:val="18"/>
        </w:rPr>
      </w:pPr>
    </w:p>
    <w:p w:rsidR="001666B1" w:rsidRPr="00854414" w:rsidRDefault="001666B1" w:rsidP="001666B1">
      <w:pPr>
        <w:sectPr w:rsidR="001666B1"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rsidR="001666B1" w:rsidRDefault="001666B1" w:rsidP="001666B1">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rsidR="001666B1" w:rsidRPr="001666B1" w:rsidRDefault="001666B1" w:rsidP="001666B1">
      <w:pPr>
        <w:pStyle w:val="Subttulo"/>
        <w:rPr>
          <w:sz w:val="20"/>
          <w:szCs w:val="20"/>
        </w:rPr>
      </w:pPr>
    </w:p>
    <w:p w:rsidR="0007670F" w:rsidRPr="005B0949" w:rsidRDefault="0007670F" w:rsidP="001666B1">
      <w:pPr>
        <w:pStyle w:val="Subttulo"/>
        <w:rPr>
          <w:sz w:val="28"/>
        </w:rPr>
      </w:pPr>
      <w:r w:rsidRPr="005B0949">
        <w:rPr>
          <w:sz w:val="28"/>
        </w:rPr>
        <w:t>INDICADOR DE PEDIDOS MANUFACTUREROS</w:t>
      </w:r>
    </w:p>
    <w:p w:rsidR="0007670F" w:rsidRPr="005B0949" w:rsidRDefault="0007670F" w:rsidP="001666B1">
      <w:pPr>
        <w:contextualSpacing/>
        <w:jc w:val="center"/>
        <w:rPr>
          <w:b/>
          <w:bCs/>
          <w:kern w:val="28"/>
          <w:sz w:val="26"/>
          <w:szCs w:val="26"/>
        </w:rPr>
      </w:pPr>
      <w:r w:rsidRPr="005B0949">
        <w:rPr>
          <w:b/>
          <w:bCs/>
          <w:kern w:val="28"/>
          <w:sz w:val="26"/>
          <w:szCs w:val="26"/>
        </w:rPr>
        <w:t xml:space="preserve">CIFRAS DURANTE </w:t>
      </w:r>
      <w:r w:rsidR="00223FAF">
        <w:rPr>
          <w:b/>
          <w:bCs/>
          <w:kern w:val="28"/>
          <w:sz w:val="26"/>
          <w:szCs w:val="26"/>
        </w:rPr>
        <w:t xml:space="preserve">AGOSTO </w:t>
      </w:r>
      <w:r w:rsidRPr="005B0949">
        <w:rPr>
          <w:b/>
          <w:bCs/>
          <w:kern w:val="28"/>
          <w:sz w:val="26"/>
          <w:szCs w:val="26"/>
        </w:rPr>
        <w:t>DE 201</w:t>
      </w:r>
      <w:r w:rsidR="002326EF" w:rsidRPr="005B0949">
        <w:rPr>
          <w:b/>
          <w:bCs/>
          <w:kern w:val="28"/>
          <w:sz w:val="26"/>
          <w:szCs w:val="26"/>
        </w:rPr>
        <w:t>9</w:t>
      </w:r>
    </w:p>
    <w:p w:rsidR="000A7D02" w:rsidRPr="005B0949" w:rsidRDefault="000D5050" w:rsidP="006A12EC">
      <w:pPr>
        <w:pStyle w:val="p0"/>
        <w:keepLines w:val="0"/>
        <w:spacing w:before="280"/>
        <w:rPr>
          <w:rFonts w:ascii="Arial" w:hAnsi="Arial"/>
          <w:snapToGrid/>
          <w:color w:val="auto"/>
          <w:spacing w:val="3"/>
          <w:lang w:val="es-MX"/>
        </w:rPr>
      </w:pPr>
      <w:r w:rsidRPr="000D5050">
        <w:rPr>
          <w:rFonts w:ascii="Arial" w:hAnsi="Arial"/>
          <w:snapToGrid/>
          <w:color w:val="auto"/>
          <w:spacing w:val="3"/>
          <w:lang w:val="es-MX"/>
        </w:rPr>
        <w:t>El Instituto Nacional de Estadística y Geografía (INEGI) y el Banco de México informan los resultados del Indicador de Pedidos Manufactureros (IPM) de agosto de 2019. El indicador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rsidR="0007670F" w:rsidRPr="005B0949" w:rsidRDefault="0007670F" w:rsidP="00767636">
      <w:pPr>
        <w:spacing w:before="480"/>
        <w:rPr>
          <w:b/>
        </w:rPr>
      </w:pPr>
      <w:r w:rsidRPr="005B0949">
        <w:rPr>
          <w:b/>
        </w:rPr>
        <w:t>Indicador de Pedidos Manufactureros por componentes</w:t>
      </w:r>
    </w:p>
    <w:p w:rsidR="001C61B8" w:rsidRPr="005B0949" w:rsidRDefault="000D5050" w:rsidP="001C61B8">
      <w:pPr>
        <w:spacing w:before="480"/>
        <w:rPr>
          <w:spacing w:val="3"/>
          <w:lang w:val="es-MX"/>
        </w:rPr>
      </w:pPr>
      <w:r w:rsidRPr="000D5050">
        <w:rPr>
          <w:spacing w:val="3"/>
          <w:lang w:val="es-MX"/>
        </w:rPr>
        <w:t xml:space="preserve">En agosto de </w:t>
      </w:r>
      <w:r w:rsidR="00367BD9">
        <w:rPr>
          <w:spacing w:val="3"/>
          <w:lang w:val="es-MX"/>
        </w:rPr>
        <w:t>este año</w:t>
      </w:r>
      <w:r w:rsidRPr="000D5050">
        <w:rPr>
          <w:spacing w:val="3"/>
          <w:lang w:val="es-MX"/>
        </w:rPr>
        <w:t>, el IPM se situó en 50.7 puntos con datos ajustados por estacionalidad, lo que implicó un avance mensual de 0.19 puntos. Con este resultado, dicho indicador ha permanecido durante 120 meses por encima del umbral de 50 puntos.</w:t>
      </w:r>
    </w:p>
    <w:p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23FAF">
        <w:rPr>
          <w:b/>
          <w:bCs/>
          <w:smallCaps/>
          <w:kern w:val="32"/>
        </w:rPr>
        <w:t xml:space="preserve">l mes de agosto </w:t>
      </w:r>
      <w:r w:rsidR="00EE7AE5" w:rsidRPr="005B0949">
        <w:rPr>
          <w:b/>
          <w:bCs/>
          <w:smallCaps/>
          <w:kern w:val="32"/>
        </w:rPr>
        <w:t xml:space="preserve">de </w:t>
      </w:r>
      <w:r w:rsidR="002326EF" w:rsidRPr="005B0949">
        <w:rPr>
          <w:b/>
          <w:bCs/>
          <w:smallCaps/>
          <w:kern w:val="32"/>
        </w:rPr>
        <w:t>2019</w:t>
      </w:r>
    </w:p>
    <w:p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rsidR="0007670F" w:rsidRPr="005B0949" w:rsidRDefault="00D12473" w:rsidP="0026101A">
      <w:pPr>
        <w:widowControl w:val="0"/>
        <w:spacing w:after="10"/>
        <w:jc w:val="center"/>
        <w:outlineLvl w:val="0"/>
        <w:rPr>
          <w:b/>
          <w:bCs/>
          <w:smallCaps/>
          <w:kern w:val="32"/>
        </w:rPr>
      </w:pPr>
      <w:r>
        <w:rPr>
          <w:noProof/>
          <w:lang w:val="es-MX" w:eastAsia="es-MX"/>
        </w:rPr>
        <w:drawing>
          <wp:inline distT="0" distB="0" distL="0" distR="0" wp14:anchorId="29A09ECD" wp14:editId="1701CABF">
            <wp:extent cx="4333447" cy="2499829"/>
            <wp:effectExtent l="0" t="0" r="10160" b="1524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rsidR="001C61B8" w:rsidRPr="000D5050" w:rsidRDefault="000D5050" w:rsidP="006A12EC">
      <w:pPr>
        <w:keepNext/>
        <w:keepLines/>
        <w:widowControl w:val="0"/>
        <w:tabs>
          <w:tab w:val="left" w:pos="708"/>
          <w:tab w:val="center" w:pos="3348"/>
        </w:tabs>
        <w:spacing w:before="360"/>
        <w:rPr>
          <w:spacing w:val="4"/>
          <w:szCs w:val="20"/>
          <w:lang w:val="es-ES"/>
        </w:rPr>
      </w:pPr>
      <w:r w:rsidRPr="000D5050">
        <w:rPr>
          <w:spacing w:val="4"/>
        </w:rPr>
        <w:lastRenderedPageBreak/>
        <w:t xml:space="preserve">Con cifras desestacionalizadas, en el mes que se reporta el componente del IPM relativo al </w:t>
      </w:r>
      <w:r w:rsidRPr="000D5050">
        <w:rPr>
          <w:b/>
          <w:spacing w:val="4"/>
        </w:rPr>
        <w:t>volumen esperado de pedidos</w:t>
      </w:r>
      <w:r w:rsidRPr="000D5050">
        <w:rPr>
          <w:spacing w:val="4"/>
        </w:rPr>
        <w:t xml:space="preserve"> mostró una caída mensual de </w:t>
      </w:r>
      <w:r w:rsidR="006A12EC">
        <w:rPr>
          <w:spacing w:val="4"/>
        </w:rPr>
        <w:t>(-)</w:t>
      </w:r>
      <w:r w:rsidRPr="000D5050">
        <w:rPr>
          <w:spacing w:val="4"/>
        </w:rPr>
        <w:t xml:space="preserve">0.14 puntos, el del </w:t>
      </w:r>
      <w:r w:rsidRPr="000D5050">
        <w:rPr>
          <w:b/>
          <w:spacing w:val="4"/>
        </w:rPr>
        <w:t>volumen esperado de la producción</w:t>
      </w:r>
      <w:r w:rsidRPr="000D5050">
        <w:rPr>
          <w:spacing w:val="4"/>
        </w:rPr>
        <w:t xml:space="preserve"> aumentó 1.80 puntos, el del </w:t>
      </w:r>
      <w:r w:rsidRPr="000D5050">
        <w:rPr>
          <w:b/>
          <w:spacing w:val="4"/>
        </w:rPr>
        <w:t>nivel esperado del personal ocupado</w:t>
      </w:r>
      <w:r w:rsidRPr="000D5050">
        <w:rPr>
          <w:spacing w:val="4"/>
        </w:rPr>
        <w:t xml:space="preserve"> </w:t>
      </w:r>
      <w:r w:rsidR="00D7732F">
        <w:rPr>
          <w:spacing w:val="4"/>
        </w:rPr>
        <w:t xml:space="preserve">creció </w:t>
      </w:r>
      <w:r w:rsidRPr="000D5050">
        <w:rPr>
          <w:spacing w:val="4"/>
        </w:rPr>
        <w:t xml:space="preserve">0.19 puntos, el de la </w:t>
      </w:r>
      <w:r w:rsidRPr="000D5050">
        <w:rPr>
          <w:b/>
          <w:spacing w:val="4"/>
        </w:rPr>
        <w:t>oportunidad en la entrega de insumos por parte de los proveedores</w:t>
      </w:r>
      <w:r w:rsidRPr="000D5050">
        <w:rPr>
          <w:spacing w:val="4"/>
        </w:rPr>
        <w:t xml:space="preserve"> </w:t>
      </w:r>
      <w:r w:rsidR="006A12EC">
        <w:rPr>
          <w:spacing w:val="4"/>
        </w:rPr>
        <w:t>disminuyó (-)</w:t>
      </w:r>
      <w:r w:rsidRPr="000D5050">
        <w:rPr>
          <w:spacing w:val="4"/>
        </w:rPr>
        <w:t xml:space="preserve">0.16 puntos y el de </w:t>
      </w:r>
      <w:r w:rsidRPr="000D5050">
        <w:rPr>
          <w:b/>
          <w:spacing w:val="4"/>
        </w:rPr>
        <w:t>inventarios de insumos</w:t>
      </w:r>
      <w:r w:rsidRPr="000D5050">
        <w:rPr>
          <w:spacing w:val="4"/>
        </w:rPr>
        <w:t xml:space="preserve"> descendió </w:t>
      </w:r>
      <w:r w:rsidR="006A12EC">
        <w:rPr>
          <w:spacing w:val="4"/>
        </w:rPr>
        <w:t>(-)</w:t>
      </w:r>
      <w:r w:rsidRPr="000D5050">
        <w:rPr>
          <w:spacing w:val="4"/>
        </w:rPr>
        <w:t>0.34 puntos.</w:t>
      </w:r>
    </w:p>
    <w:p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1036"/>
        <w:gridCol w:w="969"/>
        <w:gridCol w:w="911"/>
        <w:gridCol w:w="462"/>
        <w:gridCol w:w="1204"/>
      </w:tblGrid>
      <w:tr w:rsidR="005B0949" w:rsidRPr="005B0949" w:rsidTr="0093135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103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B2B2D" w:rsidRPr="005B0949" w:rsidRDefault="002B0F1B" w:rsidP="00931353">
            <w:pPr>
              <w:keepNext/>
              <w:keepLines/>
              <w:spacing w:line="240" w:lineRule="atLeast"/>
              <w:ind w:right="-54"/>
              <w:jc w:val="center"/>
              <w:rPr>
                <w:sz w:val="18"/>
                <w:szCs w:val="18"/>
              </w:rPr>
            </w:pPr>
            <w:r w:rsidRPr="005B0949">
              <w:rPr>
                <w:sz w:val="18"/>
                <w:szCs w:val="18"/>
              </w:rPr>
              <w:t>Ju</w:t>
            </w:r>
            <w:r w:rsidR="00223FAF">
              <w:rPr>
                <w:sz w:val="18"/>
                <w:szCs w:val="18"/>
              </w:rPr>
              <w:t>l</w:t>
            </w:r>
            <w:r w:rsidRPr="005B0949">
              <w:rPr>
                <w:sz w:val="18"/>
                <w:szCs w:val="18"/>
              </w:rPr>
              <w:t>io</w:t>
            </w:r>
            <w:r w:rsidR="00FB2B2D" w:rsidRPr="005B0949">
              <w:rPr>
                <w:sz w:val="18"/>
                <w:szCs w:val="18"/>
              </w:rPr>
              <w:br/>
              <w:t xml:space="preserve">de </w:t>
            </w:r>
            <w:r w:rsidR="002326EF" w:rsidRPr="005B0949">
              <w:rPr>
                <w:sz w:val="18"/>
                <w:szCs w:val="18"/>
              </w:rPr>
              <w:t>201</w:t>
            </w:r>
            <w:r w:rsidR="008E4B16" w:rsidRPr="005B0949">
              <w:rPr>
                <w:sz w:val="18"/>
                <w:szCs w:val="18"/>
              </w:rPr>
              <w:t>9</w:t>
            </w:r>
          </w:p>
        </w:tc>
        <w:tc>
          <w:tcPr>
            <w:tcW w:w="969" w:type="dxa"/>
            <w:tcBorders>
              <w:top w:val="single" w:sz="6" w:space="0" w:color="404040"/>
              <w:left w:val="single" w:sz="6" w:space="0" w:color="404040"/>
              <w:right w:val="single" w:sz="6" w:space="0" w:color="404040"/>
            </w:tcBorders>
            <w:shd w:val="clear" w:color="auto" w:fill="CCCCFF"/>
            <w:vAlign w:val="center"/>
          </w:tcPr>
          <w:p w:rsidR="00FB2B2D" w:rsidRPr="005B0949" w:rsidRDefault="00223FAF" w:rsidP="00225D4B">
            <w:pPr>
              <w:keepNext/>
              <w:keepLines/>
              <w:spacing w:line="240" w:lineRule="atLeast"/>
              <w:ind w:left="-70" w:right="-57"/>
              <w:jc w:val="center"/>
              <w:rPr>
                <w:sz w:val="18"/>
                <w:szCs w:val="18"/>
              </w:rPr>
            </w:pPr>
            <w:r>
              <w:rPr>
                <w:sz w:val="18"/>
                <w:szCs w:val="18"/>
              </w:rPr>
              <w:t>Agosto</w:t>
            </w:r>
            <w:r w:rsidR="00FB2B2D" w:rsidRPr="005B0949">
              <w:rPr>
                <w:sz w:val="18"/>
                <w:szCs w:val="18"/>
              </w:rPr>
              <w:br/>
              <w:t xml:space="preserve">de </w:t>
            </w:r>
            <w:r w:rsidR="002326EF" w:rsidRPr="005B0949">
              <w:rPr>
                <w:sz w:val="18"/>
                <w:szCs w:val="18"/>
              </w:rPr>
              <w:t>2019</w:t>
            </w:r>
          </w:p>
        </w:tc>
        <w:tc>
          <w:tcPr>
            <w:tcW w:w="911"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right w:val="single" w:sz="6" w:space="0" w:color="404040"/>
            </w:tcBorders>
            <w:shd w:val="clear" w:color="auto" w:fill="CCCCFF"/>
          </w:tcPr>
          <w:p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D12473" w:rsidRPr="005B0949" w:rsidTr="006A0E65">
        <w:trPr>
          <w:cantSplit/>
          <w:trHeight w:val="20"/>
          <w:jc w:val="center"/>
        </w:trPr>
        <w:tc>
          <w:tcPr>
            <w:tcW w:w="5129" w:type="dxa"/>
            <w:tcBorders>
              <w:top w:val="single" w:sz="6" w:space="0" w:color="404040"/>
              <w:left w:val="single" w:sz="6" w:space="0" w:color="404040"/>
              <w:right w:val="single" w:sz="6" w:space="0" w:color="404040"/>
            </w:tcBorders>
            <w:vAlign w:val="center"/>
          </w:tcPr>
          <w:p w:rsidR="00D12473" w:rsidRPr="005B0949" w:rsidRDefault="00D12473" w:rsidP="00D12473">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1036" w:type="dxa"/>
            <w:tcBorders>
              <w:top w:val="single" w:sz="6" w:space="0" w:color="404040"/>
              <w:right w:val="single" w:sz="6" w:space="0" w:color="404040"/>
            </w:tcBorders>
            <w:vAlign w:val="bottom"/>
          </w:tcPr>
          <w:p w:rsidR="00D12473" w:rsidRPr="00D12473" w:rsidRDefault="00D12473" w:rsidP="00D12473">
            <w:pPr>
              <w:tabs>
                <w:tab w:val="decimal" w:pos="490"/>
              </w:tabs>
              <w:jc w:val="left"/>
              <w:rPr>
                <w:b/>
                <w:bCs/>
                <w:color w:val="000000"/>
                <w:sz w:val="18"/>
                <w:szCs w:val="18"/>
                <w:lang w:val="es-MX" w:eastAsia="es-MX"/>
              </w:rPr>
            </w:pPr>
            <w:r w:rsidRPr="00D12473">
              <w:rPr>
                <w:b/>
                <w:bCs/>
                <w:color w:val="000000"/>
                <w:sz w:val="18"/>
                <w:szCs w:val="18"/>
              </w:rPr>
              <w:t>50.5</w:t>
            </w:r>
          </w:p>
        </w:tc>
        <w:tc>
          <w:tcPr>
            <w:tcW w:w="969" w:type="dxa"/>
            <w:tcBorders>
              <w:top w:val="single" w:sz="6" w:space="0" w:color="404040"/>
              <w:left w:val="single" w:sz="6" w:space="0" w:color="404040"/>
              <w:right w:val="single" w:sz="6" w:space="0" w:color="404040"/>
            </w:tcBorders>
            <w:vAlign w:val="bottom"/>
          </w:tcPr>
          <w:p w:rsidR="00D12473" w:rsidRPr="00D12473" w:rsidRDefault="00D12473" w:rsidP="00D12473">
            <w:pPr>
              <w:tabs>
                <w:tab w:val="decimal" w:pos="490"/>
              </w:tabs>
              <w:jc w:val="left"/>
              <w:rPr>
                <w:b/>
                <w:bCs/>
                <w:color w:val="000000"/>
                <w:sz w:val="18"/>
                <w:szCs w:val="18"/>
              </w:rPr>
            </w:pPr>
            <w:r w:rsidRPr="00D12473">
              <w:rPr>
                <w:b/>
                <w:bCs/>
                <w:color w:val="000000"/>
                <w:sz w:val="18"/>
                <w:szCs w:val="18"/>
              </w:rPr>
              <w:t>50.7</w:t>
            </w:r>
          </w:p>
        </w:tc>
        <w:tc>
          <w:tcPr>
            <w:tcW w:w="911" w:type="dxa"/>
            <w:tcBorders>
              <w:top w:val="single" w:sz="6" w:space="0" w:color="404040"/>
              <w:right w:val="single" w:sz="6" w:space="0" w:color="404040"/>
            </w:tcBorders>
            <w:vAlign w:val="bottom"/>
          </w:tcPr>
          <w:p w:rsidR="00D12473" w:rsidRPr="00D12473" w:rsidRDefault="00D12473" w:rsidP="00D12473">
            <w:pPr>
              <w:tabs>
                <w:tab w:val="decimal" w:pos="403"/>
              </w:tabs>
              <w:jc w:val="left"/>
              <w:rPr>
                <w:b/>
                <w:bCs/>
                <w:color w:val="000000"/>
                <w:sz w:val="18"/>
                <w:szCs w:val="18"/>
              </w:rPr>
            </w:pPr>
            <w:r w:rsidRPr="00D12473">
              <w:rPr>
                <w:b/>
                <w:bCs/>
                <w:color w:val="000000"/>
                <w:sz w:val="18"/>
                <w:szCs w:val="18"/>
              </w:rPr>
              <w:t>0.19</w:t>
            </w:r>
          </w:p>
        </w:tc>
        <w:tc>
          <w:tcPr>
            <w:tcW w:w="462" w:type="dxa"/>
            <w:tcBorders>
              <w:top w:val="single" w:sz="6" w:space="0" w:color="404040"/>
            </w:tcBorders>
            <w:vAlign w:val="bottom"/>
          </w:tcPr>
          <w:p w:rsidR="00D12473" w:rsidRPr="00D12473" w:rsidRDefault="00D12473" w:rsidP="00D12473">
            <w:pPr>
              <w:jc w:val="right"/>
              <w:rPr>
                <w:b/>
                <w:bCs/>
                <w:color w:val="000000"/>
                <w:sz w:val="18"/>
                <w:szCs w:val="18"/>
              </w:rPr>
            </w:pPr>
            <w:r w:rsidRPr="00D12473">
              <w:rPr>
                <w:b/>
                <w:bCs/>
                <w:color w:val="000000"/>
                <w:sz w:val="18"/>
                <w:szCs w:val="18"/>
              </w:rPr>
              <w:t>120</w:t>
            </w:r>
          </w:p>
        </w:tc>
        <w:tc>
          <w:tcPr>
            <w:tcW w:w="1204" w:type="dxa"/>
            <w:tcBorders>
              <w:top w:val="single" w:sz="6" w:space="0" w:color="404040"/>
              <w:right w:val="single" w:sz="6" w:space="0" w:color="404040"/>
            </w:tcBorders>
            <w:vAlign w:val="bottom"/>
          </w:tcPr>
          <w:p w:rsidR="00D12473" w:rsidRPr="00D12473" w:rsidRDefault="00D12473" w:rsidP="00D12473">
            <w:pPr>
              <w:jc w:val="left"/>
              <w:rPr>
                <w:b/>
                <w:bCs/>
                <w:color w:val="000000"/>
                <w:sz w:val="18"/>
                <w:szCs w:val="18"/>
              </w:rPr>
            </w:pPr>
            <w:r w:rsidRPr="00D12473">
              <w:rPr>
                <w:b/>
                <w:bCs/>
                <w:color w:val="000000"/>
                <w:sz w:val="18"/>
                <w:szCs w:val="18"/>
              </w:rPr>
              <w:t>Por arriba</w:t>
            </w:r>
          </w:p>
        </w:tc>
      </w:tr>
      <w:tr w:rsidR="00D12473" w:rsidRPr="005B0949" w:rsidTr="006A0E65">
        <w:trPr>
          <w:cantSplit/>
          <w:trHeight w:val="20"/>
          <w:jc w:val="center"/>
        </w:trPr>
        <w:tc>
          <w:tcPr>
            <w:tcW w:w="5129" w:type="dxa"/>
            <w:tcBorders>
              <w:left w:val="single" w:sz="6" w:space="0" w:color="404040"/>
              <w:right w:val="single" w:sz="6" w:space="0" w:color="404040"/>
            </w:tcBorders>
            <w:vAlign w:val="center"/>
          </w:tcPr>
          <w:p w:rsidR="00D12473" w:rsidRPr="005B0949" w:rsidRDefault="00D12473" w:rsidP="00D12473">
            <w:pPr>
              <w:keepNext/>
              <w:keepLines/>
              <w:numPr>
                <w:ilvl w:val="0"/>
                <w:numId w:val="29"/>
              </w:numPr>
              <w:spacing w:before="20" w:after="20"/>
              <w:ind w:left="325" w:hanging="309"/>
              <w:jc w:val="left"/>
              <w:rPr>
                <w:sz w:val="18"/>
                <w:szCs w:val="18"/>
              </w:rPr>
            </w:pPr>
            <w:r w:rsidRPr="005B0949">
              <w:rPr>
                <w:sz w:val="18"/>
                <w:szCs w:val="18"/>
              </w:rPr>
              <w:t>Pedidos</w:t>
            </w:r>
          </w:p>
        </w:tc>
        <w:tc>
          <w:tcPr>
            <w:tcW w:w="1036" w:type="dxa"/>
            <w:tcBorders>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51.7</w:t>
            </w:r>
          </w:p>
        </w:tc>
        <w:tc>
          <w:tcPr>
            <w:tcW w:w="969" w:type="dxa"/>
            <w:tcBorders>
              <w:left w:val="single" w:sz="6" w:space="0" w:color="404040"/>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51.6</w:t>
            </w:r>
          </w:p>
        </w:tc>
        <w:tc>
          <w:tcPr>
            <w:tcW w:w="911" w:type="dxa"/>
            <w:tcBorders>
              <w:right w:val="single" w:sz="6" w:space="0" w:color="404040"/>
            </w:tcBorders>
            <w:vAlign w:val="bottom"/>
          </w:tcPr>
          <w:p w:rsidR="00D12473" w:rsidRPr="00D12473" w:rsidRDefault="00D12473" w:rsidP="00D12473">
            <w:pPr>
              <w:tabs>
                <w:tab w:val="left" w:pos="53"/>
                <w:tab w:val="decimal" w:pos="403"/>
              </w:tabs>
              <w:jc w:val="left"/>
              <w:rPr>
                <w:color w:val="000000"/>
                <w:sz w:val="18"/>
                <w:szCs w:val="18"/>
              </w:rPr>
            </w:pPr>
            <w:r>
              <w:rPr>
                <w:color w:val="000000"/>
                <w:sz w:val="18"/>
                <w:szCs w:val="18"/>
              </w:rPr>
              <w:tab/>
              <w:t>(-)</w:t>
            </w:r>
            <w:r>
              <w:rPr>
                <w:color w:val="000000"/>
                <w:sz w:val="18"/>
                <w:szCs w:val="18"/>
              </w:rPr>
              <w:tab/>
            </w:r>
            <w:r w:rsidRPr="00D12473">
              <w:rPr>
                <w:color w:val="000000"/>
                <w:sz w:val="18"/>
                <w:szCs w:val="18"/>
              </w:rPr>
              <w:t>0.14</w:t>
            </w:r>
          </w:p>
        </w:tc>
        <w:tc>
          <w:tcPr>
            <w:tcW w:w="462" w:type="dxa"/>
            <w:vAlign w:val="bottom"/>
          </w:tcPr>
          <w:p w:rsidR="00D12473" w:rsidRPr="00D12473" w:rsidRDefault="00D12473" w:rsidP="00D12473">
            <w:pPr>
              <w:jc w:val="right"/>
              <w:rPr>
                <w:color w:val="000000"/>
                <w:sz w:val="18"/>
                <w:szCs w:val="18"/>
              </w:rPr>
            </w:pPr>
            <w:r w:rsidRPr="00D12473">
              <w:rPr>
                <w:color w:val="000000"/>
                <w:sz w:val="18"/>
                <w:szCs w:val="18"/>
              </w:rPr>
              <w:t>122</w:t>
            </w:r>
          </w:p>
        </w:tc>
        <w:tc>
          <w:tcPr>
            <w:tcW w:w="1204" w:type="dxa"/>
            <w:tcBorders>
              <w:right w:val="single" w:sz="6" w:space="0" w:color="404040"/>
            </w:tcBorders>
            <w:vAlign w:val="bottom"/>
          </w:tcPr>
          <w:p w:rsidR="00D12473" w:rsidRPr="00D12473" w:rsidRDefault="00D12473" w:rsidP="00D12473">
            <w:pPr>
              <w:jc w:val="left"/>
              <w:rPr>
                <w:color w:val="000000"/>
                <w:sz w:val="18"/>
                <w:szCs w:val="18"/>
              </w:rPr>
            </w:pPr>
            <w:r w:rsidRPr="00D12473">
              <w:rPr>
                <w:color w:val="000000"/>
                <w:sz w:val="18"/>
                <w:szCs w:val="18"/>
              </w:rPr>
              <w:t>Por arriba</w:t>
            </w:r>
          </w:p>
        </w:tc>
      </w:tr>
      <w:tr w:rsidR="00D12473" w:rsidRPr="005B0949" w:rsidTr="006A0E65">
        <w:trPr>
          <w:cantSplit/>
          <w:trHeight w:val="20"/>
          <w:jc w:val="center"/>
        </w:trPr>
        <w:tc>
          <w:tcPr>
            <w:tcW w:w="5129" w:type="dxa"/>
            <w:tcBorders>
              <w:left w:val="single" w:sz="6" w:space="0" w:color="404040"/>
              <w:right w:val="single" w:sz="6" w:space="0" w:color="404040"/>
            </w:tcBorders>
            <w:vAlign w:val="center"/>
          </w:tcPr>
          <w:p w:rsidR="00D12473" w:rsidRPr="005B0949" w:rsidRDefault="00D12473" w:rsidP="00D12473">
            <w:pPr>
              <w:keepNext/>
              <w:keepLines/>
              <w:numPr>
                <w:ilvl w:val="0"/>
                <w:numId w:val="29"/>
              </w:numPr>
              <w:spacing w:before="20" w:after="20"/>
              <w:ind w:left="325" w:hanging="309"/>
              <w:jc w:val="left"/>
              <w:rPr>
                <w:sz w:val="18"/>
                <w:szCs w:val="18"/>
              </w:rPr>
            </w:pPr>
            <w:r w:rsidRPr="005B0949">
              <w:rPr>
                <w:sz w:val="18"/>
                <w:szCs w:val="18"/>
              </w:rPr>
              <w:t>Producción</w:t>
            </w:r>
          </w:p>
        </w:tc>
        <w:tc>
          <w:tcPr>
            <w:tcW w:w="1036" w:type="dxa"/>
            <w:tcBorders>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49.9</w:t>
            </w:r>
          </w:p>
        </w:tc>
        <w:tc>
          <w:tcPr>
            <w:tcW w:w="969" w:type="dxa"/>
            <w:tcBorders>
              <w:left w:val="single" w:sz="6" w:space="0" w:color="404040"/>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51.7</w:t>
            </w:r>
          </w:p>
        </w:tc>
        <w:tc>
          <w:tcPr>
            <w:tcW w:w="911" w:type="dxa"/>
            <w:tcBorders>
              <w:right w:val="single" w:sz="6" w:space="0" w:color="404040"/>
            </w:tcBorders>
            <w:vAlign w:val="bottom"/>
          </w:tcPr>
          <w:p w:rsidR="00D12473" w:rsidRPr="00D12473" w:rsidRDefault="00D12473" w:rsidP="00D12473">
            <w:pPr>
              <w:tabs>
                <w:tab w:val="decimal" w:pos="403"/>
              </w:tabs>
              <w:jc w:val="left"/>
              <w:rPr>
                <w:color w:val="000000"/>
                <w:sz w:val="18"/>
                <w:szCs w:val="18"/>
              </w:rPr>
            </w:pPr>
            <w:r w:rsidRPr="00D12473">
              <w:rPr>
                <w:color w:val="000000"/>
                <w:sz w:val="18"/>
                <w:szCs w:val="18"/>
              </w:rPr>
              <w:t>1.80</w:t>
            </w:r>
          </w:p>
        </w:tc>
        <w:tc>
          <w:tcPr>
            <w:tcW w:w="462" w:type="dxa"/>
            <w:vAlign w:val="bottom"/>
          </w:tcPr>
          <w:p w:rsidR="00D12473" w:rsidRPr="00D12473" w:rsidRDefault="00D12473" w:rsidP="00D12473">
            <w:pPr>
              <w:jc w:val="right"/>
              <w:rPr>
                <w:color w:val="000000"/>
                <w:sz w:val="18"/>
                <w:szCs w:val="18"/>
              </w:rPr>
            </w:pPr>
            <w:r w:rsidRPr="00D12473">
              <w:rPr>
                <w:color w:val="000000"/>
                <w:sz w:val="18"/>
                <w:szCs w:val="18"/>
              </w:rPr>
              <w:t>1</w:t>
            </w:r>
          </w:p>
        </w:tc>
        <w:tc>
          <w:tcPr>
            <w:tcW w:w="1204" w:type="dxa"/>
            <w:tcBorders>
              <w:right w:val="single" w:sz="6" w:space="0" w:color="404040"/>
            </w:tcBorders>
            <w:vAlign w:val="bottom"/>
          </w:tcPr>
          <w:p w:rsidR="00D12473" w:rsidRPr="00D12473" w:rsidRDefault="00D12473" w:rsidP="00D12473">
            <w:pPr>
              <w:jc w:val="left"/>
              <w:rPr>
                <w:color w:val="000000"/>
                <w:sz w:val="18"/>
                <w:szCs w:val="18"/>
              </w:rPr>
            </w:pPr>
            <w:r w:rsidRPr="00D12473">
              <w:rPr>
                <w:color w:val="000000"/>
                <w:sz w:val="18"/>
                <w:szCs w:val="18"/>
              </w:rPr>
              <w:t>Por arriba</w:t>
            </w:r>
          </w:p>
        </w:tc>
      </w:tr>
      <w:tr w:rsidR="00D12473" w:rsidRPr="005B0949" w:rsidTr="006A0E65">
        <w:trPr>
          <w:cantSplit/>
          <w:trHeight w:val="20"/>
          <w:jc w:val="center"/>
        </w:trPr>
        <w:tc>
          <w:tcPr>
            <w:tcW w:w="5129" w:type="dxa"/>
            <w:tcBorders>
              <w:left w:val="single" w:sz="6" w:space="0" w:color="404040"/>
              <w:right w:val="single" w:sz="6" w:space="0" w:color="404040"/>
            </w:tcBorders>
            <w:vAlign w:val="center"/>
          </w:tcPr>
          <w:p w:rsidR="00D12473" w:rsidRPr="005B0949" w:rsidRDefault="00D12473" w:rsidP="00D12473">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1036" w:type="dxa"/>
            <w:tcBorders>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50.0</w:t>
            </w:r>
          </w:p>
        </w:tc>
        <w:tc>
          <w:tcPr>
            <w:tcW w:w="969" w:type="dxa"/>
            <w:tcBorders>
              <w:left w:val="single" w:sz="6" w:space="0" w:color="404040"/>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50.2</w:t>
            </w:r>
          </w:p>
        </w:tc>
        <w:tc>
          <w:tcPr>
            <w:tcW w:w="911" w:type="dxa"/>
            <w:tcBorders>
              <w:right w:val="single" w:sz="6" w:space="0" w:color="404040"/>
            </w:tcBorders>
            <w:vAlign w:val="bottom"/>
          </w:tcPr>
          <w:p w:rsidR="00D12473" w:rsidRPr="00D12473" w:rsidRDefault="00D12473" w:rsidP="00D12473">
            <w:pPr>
              <w:tabs>
                <w:tab w:val="decimal" w:pos="403"/>
              </w:tabs>
              <w:jc w:val="left"/>
              <w:rPr>
                <w:color w:val="000000"/>
                <w:sz w:val="18"/>
                <w:szCs w:val="18"/>
              </w:rPr>
            </w:pPr>
            <w:r w:rsidRPr="00D12473">
              <w:rPr>
                <w:color w:val="000000"/>
                <w:sz w:val="18"/>
                <w:szCs w:val="18"/>
              </w:rPr>
              <w:t>0.19</w:t>
            </w:r>
          </w:p>
        </w:tc>
        <w:tc>
          <w:tcPr>
            <w:tcW w:w="462" w:type="dxa"/>
            <w:vAlign w:val="bottom"/>
          </w:tcPr>
          <w:p w:rsidR="00D12473" w:rsidRPr="00D12473" w:rsidRDefault="00D12473" w:rsidP="00D12473">
            <w:pPr>
              <w:jc w:val="right"/>
              <w:rPr>
                <w:color w:val="000000"/>
                <w:sz w:val="18"/>
                <w:szCs w:val="18"/>
              </w:rPr>
            </w:pPr>
            <w:r w:rsidRPr="00D12473">
              <w:rPr>
                <w:color w:val="000000"/>
                <w:sz w:val="18"/>
                <w:szCs w:val="18"/>
              </w:rPr>
              <w:t>1</w:t>
            </w:r>
          </w:p>
        </w:tc>
        <w:tc>
          <w:tcPr>
            <w:tcW w:w="1204" w:type="dxa"/>
            <w:tcBorders>
              <w:right w:val="single" w:sz="6" w:space="0" w:color="404040"/>
            </w:tcBorders>
            <w:vAlign w:val="bottom"/>
          </w:tcPr>
          <w:p w:rsidR="00D12473" w:rsidRPr="00D12473" w:rsidRDefault="00D12473" w:rsidP="00D12473">
            <w:pPr>
              <w:jc w:val="left"/>
              <w:rPr>
                <w:color w:val="000000"/>
                <w:sz w:val="18"/>
                <w:szCs w:val="18"/>
              </w:rPr>
            </w:pPr>
            <w:r w:rsidRPr="00D12473">
              <w:rPr>
                <w:color w:val="000000"/>
                <w:sz w:val="18"/>
                <w:szCs w:val="18"/>
              </w:rPr>
              <w:t>Por arriba</w:t>
            </w:r>
          </w:p>
        </w:tc>
      </w:tr>
      <w:tr w:rsidR="00D12473" w:rsidRPr="005B0949" w:rsidTr="006A0E65">
        <w:trPr>
          <w:cantSplit/>
          <w:trHeight w:val="20"/>
          <w:jc w:val="center"/>
        </w:trPr>
        <w:tc>
          <w:tcPr>
            <w:tcW w:w="5129" w:type="dxa"/>
            <w:tcBorders>
              <w:left w:val="single" w:sz="6" w:space="0" w:color="404040"/>
              <w:right w:val="single" w:sz="6" w:space="0" w:color="404040"/>
            </w:tcBorders>
            <w:vAlign w:val="center"/>
          </w:tcPr>
          <w:p w:rsidR="00D12473" w:rsidRPr="005B0949" w:rsidRDefault="00D12473" w:rsidP="00D12473">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1036" w:type="dxa"/>
            <w:tcBorders>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47.9</w:t>
            </w:r>
          </w:p>
        </w:tc>
        <w:tc>
          <w:tcPr>
            <w:tcW w:w="969" w:type="dxa"/>
            <w:tcBorders>
              <w:left w:val="single" w:sz="6" w:space="0" w:color="404040"/>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47.8</w:t>
            </w:r>
          </w:p>
        </w:tc>
        <w:tc>
          <w:tcPr>
            <w:tcW w:w="911" w:type="dxa"/>
            <w:tcBorders>
              <w:right w:val="single" w:sz="6" w:space="0" w:color="404040"/>
            </w:tcBorders>
            <w:vAlign w:val="bottom"/>
          </w:tcPr>
          <w:p w:rsidR="00D12473" w:rsidRPr="00D12473" w:rsidRDefault="00D12473" w:rsidP="00D12473">
            <w:pPr>
              <w:tabs>
                <w:tab w:val="left" w:pos="53"/>
                <w:tab w:val="decimal" w:pos="403"/>
              </w:tabs>
              <w:jc w:val="left"/>
              <w:rPr>
                <w:color w:val="000000"/>
                <w:sz w:val="18"/>
                <w:szCs w:val="18"/>
              </w:rPr>
            </w:pPr>
            <w:r>
              <w:rPr>
                <w:color w:val="000000"/>
                <w:sz w:val="18"/>
                <w:szCs w:val="18"/>
              </w:rPr>
              <w:tab/>
              <w:t>(-)</w:t>
            </w:r>
            <w:r>
              <w:rPr>
                <w:color w:val="000000"/>
                <w:sz w:val="18"/>
                <w:szCs w:val="18"/>
              </w:rPr>
              <w:tab/>
            </w:r>
            <w:r w:rsidRPr="00D12473">
              <w:rPr>
                <w:color w:val="000000"/>
                <w:sz w:val="18"/>
                <w:szCs w:val="18"/>
              </w:rPr>
              <w:t>0.16</w:t>
            </w:r>
          </w:p>
        </w:tc>
        <w:tc>
          <w:tcPr>
            <w:tcW w:w="462" w:type="dxa"/>
            <w:vAlign w:val="bottom"/>
          </w:tcPr>
          <w:p w:rsidR="00D12473" w:rsidRPr="00D12473" w:rsidRDefault="00D12473" w:rsidP="00D12473">
            <w:pPr>
              <w:jc w:val="right"/>
              <w:rPr>
                <w:color w:val="000000"/>
                <w:sz w:val="18"/>
                <w:szCs w:val="18"/>
              </w:rPr>
            </w:pPr>
            <w:r w:rsidRPr="00D12473">
              <w:rPr>
                <w:color w:val="000000"/>
                <w:sz w:val="18"/>
                <w:szCs w:val="18"/>
              </w:rPr>
              <w:t>81</w:t>
            </w:r>
          </w:p>
        </w:tc>
        <w:tc>
          <w:tcPr>
            <w:tcW w:w="1204" w:type="dxa"/>
            <w:tcBorders>
              <w:right w:val="single" w:sz="6" w:space="0" w:color="404040"/>
            </w:tcBorders>
            <w:vAlign w:val="bottom"/>
          </w:tcPr>
          <w:p w:rsidR="00D12473" w:rsidRPr="00D12473" w:rsidRDefault="00D12473" w:rsidP="00D12473">
            <w:pPr>
              <w:jc w:val="left"/>
              <w:rPr>
                <w:color w:val="000000"/>
                <w:sz w:val="18"/>
                <w:szCs w:val="18"/>
              </w:rPr>
            </w:pPr>
            <w:r w:rsidRPr="00D12473">
              <w:rPr>
                <w:color w:val="000000"/>
                <w:sz w:val="18"/>
                <w:szCs w:val="18"/>
              </w:rPr>
              <w:t>Por debajo</w:t>
            </w:r>
          </w:p>
        </w:tc>
      </w:tr>
      <w:tr w:rsidR="00D12473" w:rsidRPr="005B0949" w:rsidTr="006A0E65">
        <w:trPr>
          <w:cantSplit/>
          <w:trHeight w:val="20"/>
          <w:jc w:val="center"/>
        </w:trPr>
        <w:tc>
          <w:tcPr>
            <w:tcW w:w="5129" w:type="dxa"/>
            <w:tcBorders>
              <w:left w:val="single" w:sz="6" w:space="0" w:color="404040"/>
              <w:bottom w:val="single" w:sz="6" w:space="0" w:color="404040"/>
              <w:right w:val="single" w:sz="6" w:space="0" w:color="404040"/>
            </w:tcBorders>
            <w:vAlign w:val="center"/>
          </w:tcPr>
          <w:p w:rsidR="00D12473" w:rsidRPr="005B0949" w:rsidRDefault="00D12473" w:rsidP="00D12473">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1036" w:type="dxa"/>
            <w:tcBorders>
              <w:bottom w:val="single" w:sz="6" w:space="0" w:color="404040"/>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52.0</w:t>
            </w:r>
          </w:p>
        </w:tc>
        <w:tc>
          <w:tcPr>
            <w:tcW w:w="969" w:type="dxa"/>
            <w:tcBorders>
              <w:left w:val="single" w:sz="6" w:space="0" w:color="404040"/>
              <w:bottom w:val="single" w:sz="6" w:space="0" w:color="404040"/>
              <w:right w:val="single" w:sz="6" w:space="0" w:color="404040"/>
            </w:tcBorders>
            <w:vAlign w:val="bottom"/>
          </w:tcPr>
          <w:p w:rsidR="00D12473" w:rsidRPr="00D12473" w:rsidRDefault="00D12473" w:rsidP="00D12473">
            <w:pPr>
              <w:tabs>
                <w:tab w:val="decimal" w:pos="490"/>
              </w:tabs>
              <w:jc w:val="left"/>
              <w:rPr>
                <w:color w:val="000000"/>
                <w:sz w:val="18"/>
                <w:szCs w:val="18"/>
              </w:rPr>
            </w:pPr>
            <w:r w:rsidRPr="00D12473">
              <w:rPr>
                <w:color w:val="000000"/>
                <w:sz w:val="18"/>
                <w:szCs w:val="18"/>
              </w:rPr>
              <w:t>51.7</w:t>
            </w:r>
          </w:p>
        </w:tc>
        <w:tc>
          <w:tcPr>
            <w:tcW w:w="911" w:type="dxa"/>
            <w:tcBorders>
              <w:bottom w:val="single" w:sz="6" w:space="0" w:color="404040"/>
              <w:right w:val="single" w:sz="6" w:space="0" w:color="404040"/>
            </w:tcBorders>
            <w:vAlign w:val="bottom"/>
          </w:tcPr>
          <w:p w:rsidR="00D12473" w:rsidRPr="00D12473" w:rsidRDefault="00D12473" w:rsidP="00D12473">
            <w:pPr>
              <w:tabs>
                <w:tab w:val="left" w:pos="53"/>
                <w:tab w:val="decimal" w:pos="403"/>
              </w:tabs>
              <w:jc w:val="left"/>
              <w:rPr>
                <w:color w:val="000000"/>
                <w:sz w:val="18"/>
                <w:szCs w:val="18"/>
              </w:rPr>
            </w:pPr>
            <w:r>
              <w:rPr>
                <w:color w:val="000000"/>
                <w:sz w:val="18"/>
                <w:szCs w:val="18"/>
              </w:rPr>
              <w:tab/>
              <w:t>(-)</w:t>
            </w:r>
            <w:r>
              <w:rPr>
                <w:color w:val="000000"/>
                <w:sz w:val="18"/>
                <w:szCs w:val="18"/>
              </w:rPr>
              <w:tab/>
            </w:r>
            <w:r w:rsidRPr="00D12473">
              <w:rPr>
                <w:color w:val="000000"/>
                <w:sz w:val="18"/>
                <w:szCs w:val="18"/>
              </w:rPr>
              <w:t>0.34</w:t>
            </w:r>
          </w:p>
        </w:tc>
        <w:tc>
          <w:tcPr>
            <w:tcW w:w="462" w:type="dxa"/>
            <w:tcBorders>
              <w:bottom w:val="single" w:sz="6" w:space="0" w:color="404040"/>
            </w:tcBorders>
            <w:vAlign w:val="bottom"/>
          </w:tcPr>
          <w:p w:rsidR="00D12473" w:rsidRPr="00D12473" w:rsidRDefault="00D12473" w:rsidP="00D12473">
            <w:pPr>
              <w:jc w:val="right"/>
              <w:rPr>
                <w:color w:val="000000"/>
                <w:sz w:val="18"/>
                <w:szCs w:val="18"/>
              </w:rPr>
            </w:pPr>
            <w:r w:rsidRPr="00D12473">
              <w:rPr>
                <w:color w:val="000000"/>
                <w:sz w:val="18"/>
                <w:szCs w:val="18"/>
              </w:rPr>
              <w:t>3</w:t>
            </w:r>
          </w:p>
        </w:tc>
        <w:tc>
          <w:tcPr>
            <w:tcW w:w="1204" w:type="dxa"/>
            <w:tcBorders>
              <w:bottom w:val="single" w:sz="6" w:space="0" w:color="404040"/>
              <w:right w:val="single" w:sz="6" w:space="0" w:color="404040"/>
            </w:tcBorders>
            <w:vAlign w:val="bottom"/>
          </w:tcPr>
          <w:p w:rsidR="00D12473" w:rsidRPr="00D12473" w:rsidRDefault="00D12473" w:rsidP="00D12473">
            <w:pPr>
              <w:jc w:val="left"/>
              <w:rPr>
                <w:color w:val="000000"/>
                <w:sz w:val="18"/>
                <w:szCs w:val="18"/>
              </w:rPr>
            </w:pPr>
            <w:r w:rsidRPr="00D12473">
              <w:rPr>
                <w:color w:val="000000"/>
                <w:sz w:val="18"/>
                <w:szCs w:val="18"/>
              </w:rPr>
              <w:t>Por arriba</w:t>
            </w:r>
          </w:p>
        </w:tc>
      </w:tr>
    </w:tbl>
    <w:p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rsidR="00A47127" w:rsidRPr="005B0949" w:rsidRDefault="000D5050" w:rsidP="001D725E">
      <w:pPr>
        <w:keepLines/>
        <w:widowControl w:val="0"/>
        <w:spacing w:before="720"/>
        <w:rPr>
          <w:spacing w:val="4"/>
        </w:rPr>
      </w:pPr>
      <w:r w:rsidRPr="000D5050">
        <w:rPr>
          <w:spacing w:val="4"/>
        </w:rPr>
        <w:t>Las siguientes gráficas presentan la evolución en los últimos años de las series desestacionalizadas y de tendencia-ciclo de los componentes que integran el Indicador de Pedidos Manufactureros.</w:t>
      </w:r>
    </w:p>
    <w:p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23FAF">
        <w:rPr>
          <w:b/>
          <w:smallCaps/>
        </w:rPr>
        <w:t>l mes de agosto</w:t>
      </w:r>
      <w:r w:rsidR="0075737C" w:rsidRPr="005B0949">
        <w:rPr>
          <w:b/>
          <w:smallCaps/>
        </w:rPr>
        <w:t xml:space="preserve"> </w:t>
      </w:r>
      <w:r w:rsidR="00EE7AE5" w:rsidRPr="005B0949">
        <w:rPr>
          <w:b/>
          <w:smallCaps/>
        </w:rPr>
        <w:t xml:space="preserve">de </w:t>
      </w:r>
      <w:r w:rsidR="002326EF" w:rsidRPr="005B0949">
        <w:rPr>
          <w:b/>
          <w:smallCaps/>
        </w:rPr>
        <w:t>2019</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rsidTr="00FC7E1A">
        <w:trPr>
          <w:jc w:val="center"/>
        </w:trPr>
        <w:tc>
          <w:tcPr>
            <w:tcW w:w="508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Producción</w:t>
            </w:r>
          </w:p>
        </w:tc>
      </w:tr>
      <w:tr w:rsidR="005B0949" w:rsidRPr="005B0949" w:rsidTr="00D12473">
        <w:tblPrEx>
          <w:tblCellMar>
            <w:left w:w="70" w:type="dxa"/>
            <w:right w:w="70" w:type="dxa"/>
          </w:tblCellMar>
        </w:tblPrEx>
        <w:trPr>
          <w:trHeight w:val="3062"/>
          <w:jc w:val="center"/>
        </w:trPr>
        <w:tc>
          <w:tcPr>
            <w:tcW w:w="5080" w:type="dxa"/>
            <w:tcBorders>
              <w:top w:val="nil"/>
              <w:bottom w:val="nil"/>
            </w:tcBorders>
          </w:tcPr>
          <w:p w:rsidR="0007670F" w:rsidRPr="005B0949" w:rsidRDefault="00D12473" w:rsidP="00152422">
            <w:pPr>
              <w:keepNext/>
              <w:keepLines/>
              <w:ind w:left="-75"/>
              <w:jc w:val="center"/>
            </w:pPr>
            <w:r>
              <w:rPr>
                <w:noProof/>
                <w:lang w:val="es-MX" w:eastAsia="es-MX"/>
              </w:rPr>
              <w:drawing>
                <wp:inline distT="0" distB="0" distL="0" distR="0" wp14:anchorId="4EC722DD" wp14:editId="0ACBDE82">
                  <wp:extent cx="3132000" cy="2052000"/>
                  <wp:effectExtent l="0" t="0" r="0" b="571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D12473" w:rsidP="00152422">
            <w:pPr>
              <w:keepNext/>
              <w:keepLines/>
              <w:ind w:left="-70"/>
              <w:jc w:val="center"/>
            </w:pPr>
            <w:r>
              <w:rPr>
                <w:noProof/>
                <w:lang w:val="es-MX" w:eastAsia="es-MX"/>
              </w:rPr>
              <w:drawing>
                <wp:inline distT="0" distB="0" distL="0" distR="0" wp14:anchorId="00FEC47A" wp14:editId="2A8FA998">
                  <wp:extent cx="3132000" cy="2052000"/>
                  <wp:effectExtent l="0" t="0" r="0" b="571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rsidTr="00FC7E1A">
        <w:trPr>
          <w:jc w:val="center"/>
        </w:trPr>
        <w:tc>
          <w:tcPr>
            <w:tcW w:w="5080" w:type="dxa"/>
            <w:tcBorders>
              <w:top w:val="nil"/>
              <w:bottom w:val="nil"/>
            </w:tcBorders>
            <w:shd w:val="clear" w:color="auto" w:fill="DBE5F1"/>
            <w:vAlign w:val="center"/>
          </w:tcPr>
          <w:p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rsidTr="00D12473">
        <w:tblPrEx>
          <w:tblCellMar>
            <w:left w:w="70" w:type="dxa"/>
            <w:right w:w="70" w:type="dxa"/>
          </w:tblCellMar>
        </w:tblPrEx>
        <w:trPr>
          <w:trHeight w:val="3062"/>
          <w:jc w:val="center"/>
        </w:trPr>
        <w:tc>
          <w:tcPr>
            <w:tcW w:w="5080" w:type="dxa"/>
            <w:tcBorders>
              <w:top w:val="nil"/>
              <w:bottom w:val="nil"/>
            </w:tcBorders>
          </w:tcPr>
          <w:p w:rsidR="0007670F" w:rsidRPr="005B0949" w:rsidRDefault="00D12473" w:rsidP="00152422">
            <w:pPr>
              <w:keepNext/>
              <w:keepLines/>
              <w:jc w:val="center"/>
              <w:rPr>
                <w:noProof/>
                <w:lang w:eastAsia="es-MX"/>
              </w:rPr>
            </w:pPr>
            <w:r>
              <w:rPr>
                <w:noProof/>
                <w:lang w:val="es-MX" w:eastAsia="es-MX"/>
              </w:rPr>
              <w:drawing>
                <wp:inline distT="0" distB="0" distL="0" distR="0" wp14:anchorId="65F677E6" wp14:editId="3B6298E8">
                  <wp:extent cx="3131590" cy="2052000"/>
                  <wp:effectExtent l="0" t="0" r="0" b="5715"/>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D12473" w:rsidP="00152422">
            <w:pPr>
              <w:keepNext/>
              <w:keepLines/>
              <w:jc w:val="center"/>
            </w:pPr>
            <w:r>
              <w:rPr>
                <w:noProof/>
                <w:lang w:val="es-MX" w:eastAsia="es-MX"/>
              </w:rPr>
              <w:drawing>
                <wp:inline distT="0" distB="0" distL="0" distR="0" wp14:anchorId="41E2819A" wp14:editId="01E17705">
                  <wp:extent cx="3132000" cy="2052000"/>
                  <wp:effectExtent l="0" t="0" r="0" b="5715"/>
                  <wp:docPr id="8" name="Gráfico 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rsidTr="00FC7E1A">
        <w:trPr>
          <w:jc w:val="center"/>
        </w:trPr>
        <w:tc>
          <w:tcPr>
            <w:tcW w:w="10319" w:type="dxa"/>
            <w:gridSpan w:val="3"/>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rsidTr="00D12473">
        <w:tblPrEx>
          <w:tblCellMar>
            <w:left w:w="70" w:type="dxa"/>
            <w:right w:w="70" w:type="dxa"/>
          </w:tblCellMar>
        </w:tblPrEx>
        <w:trPr>
          <w:trHeight w:val="3062"/>
          <w:jc w:val="center"/>
        </w:trPr>
        <w:tc>
          <w:tcPr>
            <w:tcW w:w="10319" w:type="dxa"/>
            <w:gridSpan w:val="3"/>
            <w:tcBorders>
              <w:top w:val="nil"/>
              <w:bottom w:val="single" w:sz="4" w:space="0" w:color="auto"/>
            </w:tcBorders>
          </w:tcPr>
          <w:p w:rsidR="0007670F" w:rsidRPr="005B0949" w:rsidRDefault="00D12473" w:rsidP="00152422">
            <w:pPr>
              <w:keepNext/>
              <w:keepLines/>
              <w:jc w:val="center"/>
            </w:pPr>
            <w:r>
              <w:rPr>
                <w:noProof/>
                <w:lang w:val="es-MX" w:eastAsia="es-MX"/>
              </w:rPr>
              <w:drawing>
                <wp:inline distT="0" distB="0" distL="0" distR="0" wp14:anchorId="526E905E" wp14:editId="76A5351F">
                  <wp:extent cx="3132000" cy="2052000"/>
                  <wp:effectExtent l="0" t="0" r="0" b="5715"/>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rsidTr="00FC7E1A">
        <w:trPr>
          <w:jc w:val="center"/>
        </w:trPr>
        <w:tc>
          <w:tcPr>
            <w:tcW w:w="10319" w:type="dxa"/>
            <w:gridSpan w:val="3"/>
            <w:tcBorders>
              <w:top w:val="single" w:sz="4" w:space="0" w:color="auto"/>
              <w:left w:val="nil"/>
              <w:bottom w:val="nil"/>
              <w:right w:val="nil"/>
            </w:tcBorders>
          </w:tcPr>
          <w:p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rsidR="00A47127" w:rsidRPr="005B0949" w:rsidRDefault="000D5050" w:rsidP="005B0949">
      <w:pPr>
        <w:pStyle w:val="p0"/>
        <w:spacing w:before="300" w:after="300"/>
        <w:rPr>
          <w:rFonts w:ascii="Arial" w:hAnsi="Arial"/>
          <w:snapToGrid/>
          <w:color w:val="auto"/>
          <w:spacing w:val="4"/>
        </w:rPr>
      </w:pPr>
      <w:r w:rsidRPr="000D5050">
        <w:rPr>
          <w:rFonts w:ascii="Arial" w:hAnsi="Arial"/>
          <w:snapToGrid/>
          <w:color w:val="auto"/>
          <w:spacing w:val="4"/>
        </w:rPr>
        <w:lastRenderedPageBreak/>
        <w:t xml:space="preserve">En el mes de referencia, el IPM presentó una disminución anual de </w:t>
      </w:r>
      <w:r w:rsidR="006A12EC">
        <w:rPr>
          <w:rFonts w:ascii="Arial" w:hAnsi="Arial"/>
          <w:snapToGrid/>
          <w:color w:val="auto"/>
          <w:spacing w:val="4"/>
        </w:rPr>
        <w:t>(-)</w:t>
      </w:r>
      <w:r w:rsidRPr="000D5050">
        <w:rPr>
          <w:rFonts w:ascii="Arial" w:hAnsi="Arial"/>
          <w:snapToGrid/>
          <w:color w:val="auto"/>
          <w:spacing w:val="4"/>
        </w:rPr>
        <w:t>1.2 puntos con datos originales, al registrar un nivel de 50.7 puntos.</w:t>
      </w:r>
    </w:p>
    <w:p w:rsidR="0007670F" w:rsidRPr="005B0949" w:rsidRDefault="0007670F" w:rsidP="004249B6">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F94B7C" w:rsidRPr="005B0949">
        <w:rPr>
          <w:b/>
          <w:smallCaps/>
        </w:rPr>
        <w:t>a</w:t>
      </w:r>
      <w:r w:rsidR="00223FAF">
        <w:rPr>
          <w:b/>
          <w:smallCaps/>
        </w:rPr>
        <w:t>l mes de agosto</w:t>
      </w:r>
      <w:r w:rsidR="0075737C" w:rsidRPr="005B0949">
        <w:rPr>
          <w:b/>
          <w:smallCaps/>
        </w:rPr>
        <w:t xml:space="preserve"> </w:t>
      </w:r>
      <w:r w:rsidR="00EE7AE5" w:rsidRPr="005B0949">
        <w:rPr>
          <w:b/>
          <w:smallCaps/>
        </w:rPr>
        <w:t xml:space="preserve">de </w:t>
      </w:r>
      <w:r w:rsidR="002326EF" w:rsidRPr="005B0949">
        <w:rPr>
          <w:b/>
          <w:smallCaps/>
        </w:rPr>
        <w:t>2019</w:t>
      </w:r>
    </w:p>
    <w:p w:rsidR="0007670F" w:rsidRPr="005B0949" w:rsidRDefault="0007670F" w:rsidP="004249B6">
      <w:pPr>
        <w:keepNext/>
        <w:keepLines/>
        <w:widowControl w:val="0"/>
        <w:jc w:val="center"/>
        <w:rPr>
          <w:b/>
          <w:smallCaps/>
        </w:rPr>
      </w:pPr>
      <w:r w:rsidRPr="005B0949">
        <w:rPr>
          <w:b/>
          <w:smallCaps/>
        </w:rPr>
        <w:t>Serie original</w:t>
      </w:r>
    </w:p>
    <w:p w:rsidR="0007670F" w:rsidRPr="005B0949" w:rsidRDefault="00D12473" w:rsidP="001B5CA7">
      <w:pPr>
        <w:widowControl w:val="0"/>
        <w:spacing w:after="20"/>
        <w:jc w:val="center"/>
        <w:rPr>
          <w:b/>
          <w:smallCaps/>
          <w:sz w:val="20"/>
          <w:szCs w:val="20"/>
        </w:rPr>
      </w:pPr>
      <w:r>
        <w:rPr>
          <w:noProof/>
          <w:lang w:val="es-MX" w:eastAsia="es-MX"/>
        </w:rPr>
        <w:drawing>
          <wp:inline distT="0" distB="0" distL="0" distR="0" wp14:anchorId="08DD8A3C" wp14:editId="23F28309">
            <wp:extent cx="4320000" cy="2520000"/>
            <wp:effectExtent l="0" t="0" r="4445" b="1397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rsidR="004E4C79" w:rsidRPr="005B0949" w:rsidRDefault="000D5050" w:rsidP="006A12EC">
      <w:pPr>
        <w:pStyle w:val="p0"/>
        <w:keepLines w:val="0"/>
        <w:spacing w:before="300"/>
        <w:rPr>
          <w:rFonts w:ascii="Arial" w:hAnsi="Arial"/>
          <w:snapToGrid/>
          <w:color w:val="auto"/>
          <w:spacing w:val="4"/>
        </w:rPr>
      </w:pPr>
      <w:r w:rsidRPr="000D5050">
        <w:rPr>
          <w:rFonts w:ascii="Arial" w:hAnsi="Arial"/>
          <w:snapToGrid/>
          <w:color w:val="auto"/>
          <w:spacing w:val="4"/>
        </w:rPr>
        <w:t xml:space="preserve">Con cifras sin ajuste estacional, en el octavo mes del año en curso los cinco subíndices que integran el IPM </w:t>
      </w:r>
      <w:r w:rsidR="00D7732F">
        <w:rPr>
          <w:rFonts w:ascii="Arial" w:hAnsi="Arial"/>
          <w:snapToGrid/>
          <w:color w:val="auto"/>
          <w:spacing w:val="4"/>
        </w:rPr>
        <w:t xml:space="preserve">observaron </w:t>
      </w:r>
      <w:r w:rsidRPr="000D5050">
        <w:rPr>
          <w:rFonts w:ascii="Arial" w:hAnsi="Arial"/>
          <w:snapToGrid/>
          <w:color w:val="auto"/>
          <w:spacing w:val="4"/>
        </w:rPr>
        <w:t>reducciones anuales.</w:t>
      </w:r>
    </w:p>
    <w:p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23FAF" w:rsidP="001B5CA7">
            <w:pPr>
              <w:widowControl w:val="0"/>
              <w:spacing w:before="40" w:after="40" w:line="240" w:lineRule="atLeast"/>
              <w:jc w:val="center"/>
              <w:rPr>
                <w:sz w:val="18"/>
                <w:szCs w:val="18"/>
              </w:rPr>
            </w:pPr>
            <w:r>
              <w:rPr>
                <w:sz w:val="18"/>
                <w:szCs w:val="18"/>
              </w:rPr>
              <w:t>Agosto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right="-54"/>
              <w:jc w:val="center"/>
              <w:rPr>
                <w:sz w:val="18"/>
                <w:szCs w:val="18"/>
              </w:rPr>
            </w:pPr>
            <w:r w:rsidRPr="005B0949">
              <w:rPr>
                <w:sz w:val="18"/>
                <w:szCs w:val="18"/>
              </w:rPr>
              <w:t>2018</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left="-70" w:right="-57"/>
              <w:jc w:val="center"/>
              <w:rPr>
                <w:sz w:val="18"/>
                <w:szCs w:val="18"/>
              </w:rPr>
            </w:pPr>
            <w:r w:rsidRPr="005B0949">
              <w:rPr>
                <w:sz w:val="18"/>
                <w:szCs w:val="18"/>
              </w:rPr>
              <w:t>2019</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line="240" w:lineRule="atLeast"/>
              <w:ind w:left="-64" w:right="-45"/>
              <w:jc w:val="center"/>
              <w:rPr>
                <w:sz w:val="18"/>
                <w:szCs w:val="18"/>
              </w:rPr>
            </w:pPr>
          </w:p>
        </w:tc>
      </w:tr>
      <w:tr w:rsidR="00223FAF" w:rsidRPr="005B0949" w:rsidTr="00EE4ACE">
        <w:trPr>
          <w:cantSplit/>
          <w:trHeight w:val="20"/>
          <w:jc w:val="center"/>
        </w:trPr>
        <w:tc>
          <w:tcPr>
            <w:tcW w:w="5092" w:type="dxa"/>
            <w:tcBorders>
              <w:top w:val="single" w:sz="6" w:space="0" w:color="404040"/>
              <w:left w:val="single" w:sz="6" w:space="0" w:color="404040"/>
              <w:right w:val="single" w:sz="6" w:space="0" w:color="404040"/>
            </w:tcBorders>
            <w:vAlign w:val="center"/>
          </w:tcPr>
          <w:p w:rsidR="00223FAF" w:rsidRPr="005B0949" w:rsidRDefault="00223FAF" w:rsidP="00223FAF">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bottom"/>
          </w:tcPr>
          <w:p w:rsidR="00223FAF" w:rsidRPr="00223FAF" w:rsidRDefault="00223FAF" w:rsidP="00223FAF">
            <w:pPr>
              <w:tabs>
                <w:tab w:val="decimal" w:pos="608"/>
              </w:tabs>
              <w:jc w:val="left"/>
              <w:rPr>
                <w:b/>
                <w:sz w:val="18"/>
                <w:szCs w:val="18"/>
              </w:rPr>
            </w:pPr>
            <w:r w:rsidRPr="00223FAF">
              <w:rPr>
                <w:b/>
                <w:sz w:val="18"/>
                <w:szCs w:val="18"/>
              </w:rPr>
              <w:t>51.9</w:t>
            </w:r>
          </w:p>
        </w:tc>
        <w:tc>
          <w:tcPr>
            <w:tcW w:w="1225" w:type="dxa"/>
            <w:tcBorders>
              <w:top w:val="single" w:sz="6" w:space="0" w:color="404040"/>
              <w:right w:val="single" w:sz="6" w:space="0" w:color="404040"/>
            </w:tcBorders>
            <w:vAlign w:val="bottom"/>
          </w:tcPr>
          <w:p w:rsidR="00223FAF" w:rsidRPr="00223FAF" w:rsidRDefault="00223FAF" w:rsidP="00223FAF">
            <w:pPr>
              <w:tabs>
                <w:tab w:val="decimal" w:pos="550"/>
              </w:tabs>
              <w:jc w:val="left"/>
              <w:rPr>
                <w:b/>
                <w:sz w:val="18"/>
                <w:szCs w:val="18"/>
              </w:rPr>
            </w:pPr>
            <w:r w:rsidRPr="00223FAF">
              <w:rPr>
                <w:b/>
                <w:sz w:val="18"/>
                <w:szCs w:val="18"/>
              </w:rPr>
              <w:t>50.7</w:t>
            </w:r>
          </w:p>
        </w:tc>
        <w:tc>
          <w:tcPr>
            <w:tcW w:w="1225" w:type="dxa"/>
            <w:tcBorders>
              <w:top w:val="single" w:sz="6" w:space="0" w:color="404040"/>
              <w:right w:val="single" w:sz="6" w:space="0" w:color="404040"/>
            </w:tcBorders>
            <w:vAlign w:val="bottom"/>
          </w:tcPr>
          <w:p w:rsidR="00223FAF" w:rsidRPr="00223FAF" w:rsidRDefault="00223FAF" w:rsidP="00223FAF">
            <w:pPr>
              <w:tabs>
                <w:tab w:val="left" w:pos="253"/>
                <w:tab w:val="decimal" w:pos="580"/>
              </w:tabs>
              <w:jc w:val="left"/>
              <w:rPr>
                <w:b/>
                <w:sz w:val="18"/>
                <w:szCs w:val="18"/>
              </w:rPr>
            </w:pPr>
            <w:r w:rsidRPr="00223FAF">
              <w:rPr>
                <w:b/>
                <w:sz w:val="18"/>
                <w:szCs w:val="18"/>
              </w:rPr>
              <w:tab/>
              <w:t>(-)</w:t>
            </w:r>
            <w:r w:rsidRPr="00223FAF">
              <w:rPr>
                <w:b/>
                <w:sz w:val="18"/>
                <w:szCs w:val="18"/>
              </w:rPr>
              <w:tab/>
              <w:t>1.2</w:t>
            </w:r>
          </w:p>
        </w:tc>
      </w:tr>
      <w:tr w:rsidR="00223FAF" w:rsidRPr="005B0949" w:rsidTr="00EE4ACE">
        <w:trPr>
          <w:cantSplit/>
          <w:trHeight w:val="20"/>
          <w:jc w:val="center"/>
        </w:trPr>
        <w:tc>
          <w:tcPr>
            <w:tcW w:w="5092" w:type="dxa"/>
            <w:tcBorders>
              <w:left w:val="single" w:sz="6" w:space="0" w:color="404040"/>
              <w:right w:val="single" w:sz="6" w:space="0" w:color="404040"/>
            </w:tcBorders>
            <w:vAlign w:val="center"/>
          </w:tcPr>
          <w:p w:rsidR="00223FAF" w:rsidRPr="005B0949" w:rsidRDefault="00223FAF" w:rsidP="00223FAF">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bottom"/>
          </w:tcPr>
          <w:p w:rsidR="00223FAF" w:rsidRPr="00223FAF" w:rsidRDefault="00223FAF" w:rsidP="00223FAF">
            <w:pPr>
              <w:tabs>
                <w:tab w:val="decimal" w:pos="608"/>
              </w:tabs>
              <w:jc w:val="left"/>
              <w:rPr>
                <w:sz w:val="18"/>
                <w:szCs w:val="18"/>
              </w:rPr>
            </w:pPr>
            <w:r w:rsidRPr="00223FAF">
              <w:rPr>
                <w:sz w:val="18"/>
                <w:szCs w:val="18"/>
              </w:rPr>
              <w:t>53.5</w:t>
            </w:r>
          </w:p>
        </w:tc>
        <w:tc>
          <w:tcPr>
            <w:tcW w:w="1225" w:type="dxa"/>
            <w:tcBorders>
              <w:right w:val="single" w:sz="6" w:space="0" w:color="404040"/>
            </w:tcBorders>
            <w:vAlign w:val="bottom"/>
          </w:tcPr>
          <w:p w:rsidR="00223FAF" w:rsidRPr="00223FAF" w:rsidRDefault="00223FAF" w:rsidP="00223FAF">
            <w:pPr>
              <w:tabs>
                <w:tab w:val="decimal" w:pos="550"/>
              </w:tabs>
              <w:jc w:val="left"/>
              <w:rPr>
                <w:sz w:val="18"/>
                <w:szCs w:val="18"/>
              </w:rPr>
            </w:pPr>
            <w:r w:rsidRPr="00223FAF">
              <w:rPr>
                <w:sz w:val="18"/>
                <w:szCs w:val="18"/>
              </w:rPr>
              <w:t>51.7</w:t>
            </w:r>
          </w:p>
        </w:tc>
        <w:tc>
          <w:tcPr>
            <w:tcW w:w="1225" w:type="dxa"/>
            <w:tcBorders>
              <w:right w:val="single" w:sz="6" w:space="0" w:color="404040"/>
            </w:tcBorders>
            <w:vAlign w:val="bottom"/>
          </w:tcPr>
          <w:p w:rsidR="00223FAF" w:rsidRPr="00223FAF" w:rsidRDefault="00223FAF" w:rsidP="00223FAF">
            <w:pPr>
              <w:tabs>
                <w:tab w:val="left" w:pos="253"/>
                <w:tab w:val="decimal" w:pos="580"/>
              </w:tabs>
              <w:jc w:val="left"/>
              <w:rPr>
                <w:sz w:val="18"/>
                <w:szCs w:val="18"/>
              </w:rPr>
            </w:pPr>
            <w:r>
              <w:rPr>
                <w:sz w:val="18"/>
                <w:szCs w:val="18"/>
              </w:rPr>
              <w:tab/>
              <w:t>(-)</w:t>
            </w:r>
            <w:r>
              <w:rPr>
                <w:sz w:val="18"/>
                <w:szCs w:val="18"/>
              </w:rPr>
              <w:tab/>
            </w:r>
            <w:r w:rsidRPr="00223FAF">
              <w:rPr>
                <w:sz w:val="18"/>
                <w:szCs w:val="18"/>
              </w:rPr>
              <w:t>1.9</w:t>
            </w:r>
          </w:p>
        </w:tc>
      </w:tr>
      <w:tr w:rsidR="00223FAF" w:rsidRPr="005B0949" w:rsidTr="00EE4ACE">
        <w:trPr>
          <w:cantSplit/>
          <w:trHeight w:val="20"/>
          <w:jc w:val="center"/>
        </w:trPr>
        <w:tc>
          <w:tcPr>
            <w:tcW w:w="5092" w:type="dxa"/>
            <w:tcBorders>
              <w:left w:val="single" w:sz="6" w:space="0" w:color="404040"/>
              <w:right w:val="single" w:sz="6" w:space="0" w:color="404040"/>
            </w:tcBorders>
            <w:vAlign w:val="center"/>
          </w:tcPr>
          <w:p w:rsidR="00223FAF" w:rsidRPr="005B0949" w:rsidRDefault="00223FAF" w:rsidP="00223FAF">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bottom"/>
          </w:tcPr>
          <w:p w:rsidR="00223FAF" w:rsidRPr="00223FAF" w:rsidRDefault="00223FAF" w:rsidP="00223FAF">
            <w:pPr>
              <w:tabs>
                <w:tab w:val="decimal" w:pos="608"/>
              </w:tabs>
              <w:jc w:val="left"/>
              <w:rPr>
                <w:sz w:val="18"/>
                <w:szCs w:val="18"/>
              </w:rPr>
            </w:pPr>
            <w:r w:rsidRPr="00223FAF">
              <w:rPr>
                <w:sz w:val="18"/>
                <w:szCs w:val="18"/>
              </w:rPr>
              <w:t>52.9</w:t>
            </w:r>
          </w:p>
        </w:tc>
        <w:tc>
          <w:tcPr>
            <w:tcW w:w="1225" w:type="dxa"/>
            <w:tcBorders>
              <w:right w:val="single" w:sz="6" w:space="0" w:color="404040"/>
            </w:tcBorders>
            <w:vAlign w:val="bottom"/>
          </w:tcPr>
          <w:p w:rsidR="00223FAF" w:rsidRPr="00223FAF" w:rsidRDefault="00223FAF" w:rsidP="00223FAF">
            <w:pPr>
              <w:tabs>
                <w:tab w:val="decimal" w:pos="550"/>
              </w:tabs>
              <w:jc w:val="left"/>
              <w:rPr>
                <w:sz w:val="18"/>
                <w:szCs w:val="18"/>
              </w:rPr>
            </w:pPr>
            <w:r w:rsidRPr="00223FAF">
              <w:rPr>
                <w:sz w:val="18"/>
                <w:szCs w:val="18"/>
              </w:rPr>
              <w:t>52.0</w:t>
            </w:r>
          </w:p>
        </w:tc>
        <w:tc>
          <w:tcPr>
            <w:tcW w:w="1225" w:type="dxa"/>
            <w:tcBorders>
              <w:right w:val="single" w:sz="6" w:space="0" w:color="404040"/>
            </w:tcBorders>
            <w:vAlign w:val="bottom"/>
          </w:tcPr>
          <w:p w:rsidR="00223FAF" w:rsidRPr="00223FAF" w:rsidRDefault="00223FAF" w:rsidP="00223FAF">
            <w:pPr>
              <w:tabs>
                <w:tab w:val="left" w:pos="253"/>
                <w:tab w:val="decimal" w:pos="580"/>
              </w:tabs>
              <w:jc w:val="left"/>
              <w:rPr>
                <w:sz w:val="18"/>
                <w:szCs w:val="18"/>
              </w:rPr>
            </w:pPr>
            <w:r>
              <w:rPr>
                <w:sz w:val="18"/>
                <w:szCs w:val="18"/>
              </w:rPr>
              <w:tab/>
              <w:t>(-)</w:t>
            </w:r>
            <w:r>
              <w:rPr>
                <w:sz w:val="18"/>
                <w:szCs w:val="18"/>
              </w:rPr>
              <w:tab/>
            </w:r>
            <w:r w:rsidRPr="00223FAF">
              <w:rPr>
                <w:sz w:val="18"/>
                <w:szCs w:val="18"/>
              </w:rPr>
              <w:t>0.9</w:t>
            </w:r>
          </w:p>
        </w:tc>
      </w:tr>
      <w:tr w:rsidR="00223FAF" w:rsidRPr="005B0949" w:rsidTr="00EE4ACE">
        <w:trPr>
          <w:cantSplit/>
          <w:trHeight w:val="20"/>
          <w:jc w:val="center"/>
        </w:trPr>
        <w:tc>
          <w:tcPr>
            <w:tcW w:w="5092" w:type="dxa"/>
            <w:tcBorders>
              <w:left w:val="single" w:sz="6" w:space="0" w:color="404040"/>
              <w:right w:val="single" w:sz="6" w:space="0" w:color="404040"/>
            </w:tcBorders>
            <w:vAlign w:val="center"/>
          </w:tcPr>
          <w:p w:rsidR="00223FAF" w:rsidRPr="005B0949" w:rsidRDefault="00223FAF" w:rsidP="00223FAF">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bottom"/>
          </w:tcPr>
          <w:p w:rsidR="00223FAF" w:rsidRPr="00223FAF" w:rsidRDefault="00223FAF" w:rsidP="00223FAF">
            <w:pPr>
              <w:tabs>
                <w:tab w:val="decimal" w:pos="608"/>
              </w:tabs>
              <w:jc w:val="left"/>
              <w:rPr>
                <w:sz w:val="18"/>
                <w:szCs w:val="18"/>
              </w:rPr>
            </w:pPr>
            <w:r w:rsidRPr="00223FAF">
              <w:rPr>
                <w:sz w:val="18"/>
                <w:szCs w:val="18"/>
              </w:rPr>
              <w:t>51.1</w:t>
            </w:r>
          </w:p>
        </w:tc>
        <w:tc>
          <w:tcPr>
            <w:tcW w:w="1225" w:type="dxa"/>
            <w:tcBorders>
              <w:right w:val="single" w:sz="6" w:space="0" w:color="404040"/>
            </w:tcBorders>
            <w:vAlign w:val="bottom"/>
          </w:tcPr>
          <w:p w:rsidR="00223FAF" w:rsidRPr="00223FAF" w:rsidRDefault="00223FAF" w:rsidP="00223FAF">
            <w:pPr>
              <w:tabs>
                <w:tab w:val="decimal" w:pos="550"/>
              </w:tabs>
              <w:jc w:val="left"/>
              <w:rPr>
                <w:sz w:val="18"/>
                <w:szCs w:val="18"/>
              </w:rPr>
            </w:pPr>
            <w:r w:rsidRPr="00223FAF">
              <w:rPr>
                <w:sz w:val="18"/>
                <w:szCs w:val="18"/>
              </w:rPr>
              <w:t>50.4</w:t>
            </w:r>
          </w:p>
        </w:tc>
        <w:tc>
          <w:tcPr>
            <w:tcW w:w="1225" w:type="dxa"/>
            <w:tcBorders>
              <w:right w:val="single" w:sz="6" w:space="0" w:color="404040"/>
            </w:tcBorders>
            <w:vAlign w:val="bottom"/>
          </w:tcPr>
          <w:p w:rsidR="00223FAF" w:rsidRPr="00223FAF" w:rsidRDefault="00223FAF" w:rsidP="00223FAF">
            <w:pPr>
              <w:tabs>
                <w:tab w:val="left" w:pos="253"/>
                <w:tab w:val="decimal" w:pos="580"/>
              </w:tabs>
              <w:jc w:val="left"/>
              <w:rPr>
                <w:sz w:val="18"/>
                <w:szCs w:val="18"/>
              </w:rPr>
            </w:pPr>
            <w:r>
              <w:rPr>
                <w:sz w:val="18"/>
                <w:szCs w:val="18"/>
              </w:rPr>
              <w:tab/>
              <w:t>(-)</w:t>
            </w:r>
            <w:r>
              <w:rPr>
                <w:sz w:val="18"/>
                <w:szCs w:val="18"/>
              </w:rPr>
              <w:tab/>
            </w:r>
            <w:r w:rsidRPr="00223FAF">
              <w:rPr>
                <w:sz w:val="18"/>
                <w:szCs w:val="18"/>
              </w:rPr>
              <w:t>0.8</w:t>
            </w:r>
          </w:p>
        </w:tc>
      </w:tr>
      <w:tr w:rsidR="00223FAF" w:rsidRPr="005B0949" w:rsidTr="00EE4ACE">
        <w:trPr>
          <w:cantSplit/>
          <w:trHeight w:val="20"/>
          <w:jc w:val="center"/>
        </w:trPr>
        <w:tc>
          <w:tcPr>
            <w:tcW w:w="5092" w:type="dxa"/>
            <w:tcBorders>
              <w:left w:val="single" w:sz="6" w:space="0" w:color="404040"/>
              <w:right w:val="single" w:sz="6" w:space="0" w:color="404040"/>
            </w:tcBorders>
            <w:vAlign w:val="center"/>
          </w:tcPr>
          <w:p w:rsidR="00223FAF" w:rsidRPr="005B0949" w:rsidRDefault="00223FAF" w:rsidP="00223FAF">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bottom"/>
          </w:tcPr>
          <w:p w:rsidR="00223FAF" w:rsidRPr="00223FAF" w:rsidRDefault="00223FAF" w:rsidP="00223FAF">
            <w:pPr>
              <w:tabs>
                <w:tab w:val="decimal" w:pos="608"/>
              </w:tabs>
              <w:jc w:val="left"/>
              <w:rPr>
                <w:sz w:val="18"/>
                <w:szCs w:val="18"/>
              </w:rPr>
            </w:pPr>
            <w:r w:rsidRPr="00223FAF">
              <w:rPr>
                <w:sz w:val="18"/>
                <w:szCs w:val="18"/>
              </w:rPr>
              <w:t>47.5</w:t>
            </w:r>
          </w:p>
        </w:tc>
        <w:tc>
          <w:tcPr>
            <w:tcW w:w="1225" w:type="dxa"/>
            <w:tcBorders>
              <w:right w:val="single" w:sz="6" w:space="0" w:color="404040"/>
            </w:tcBorders>
            <w:vAlign w:val="bottom"/>
          </w:tcPr>
          <w:p w:rsidR="00223FAF" w:rsidRPr="00223FAF" w:rsidRDefault="00223FAF" w:rsidP="00223FAF">
            <w:pPr>
              <w:tabs>
                <w:tab w:val="decimal" w:pos="550"/>
              </w:tabs>
              <w:jc w:val="left"/>
              <w:rPr>
                <w:sz w:val="18"/>
                <w:szCs w:val="18"/>
              </w:rPr>
            </w:pPr>
            <w:r w:rsidRPr="00223FAF">
              <w:rPr>
                <w:sz w:val="18"/>
                <w:szCs w:val="18"/>
              </w:rPr>
              <w:t>47.2</w:t>
            </w:r>
          </w:p>
        </w:tc>
        <w:tc>
          <w:tcPr>
            <w:tcW w:w="1225" w:type="dxa"/>
            <w:tcBorders>
              <w:right w:val="single" w:sz="6" w:space="0" w:color="404040"/>
            </w:tcBorders>
            <w:vAlign w:val="bottom"/>
          </w:tcPr>
          <w:p w:rsidR="00223FAF" w:rsidRPr="00223FAF" w:rsidRDefault="00223FAF" w:rsidP="00223FAF">
            <w:pPr>
              <w:tabs>
                <w:tab w:val="left" w:pos="253"/>
                <w:tab w:val="decimal" w:pos="580"/>
              </w:tabs>
              <w:jc w:val="left"/>
              <w:rPr>
                <w:sz w:val="18"/>
                <w:szCs w:val="18"/>
              </w:rPr>
            </w:pPr>
            <w:r>
              <w:rPr>
                <w:sz w:val="18"/>
                <w:szCs w:val="18"/>
              </w:rPr>
              <w:tab/>
              <w:t>(-)</w:t>
            </w:r>
            <w:r>
              <w:rPr>
                <w:sz w:val="18"/>
                <w:szCs w:val="18"/>
              </w:rPr>
              <w:tab/>
            </w:r>
            <w:r w:rsidRPr="00223FAF">
              <w:rPr>
                <w:sz w:val="18"/>
                <w:szCs w:val="18"/>
              </w:rPr>
              <w:t>0.3</w:t>
            </w:r>
          </w:p>
        </w:tc>
      </w:tr>
      <w:tr w:rsidR="00223FAF" w:rsidRPr="005B0949" w:rsidTr="00EE4ACE">
        <w:trPr>
          <w:cantSplit/>
          <w:trHeight w:val="20"/>
          <w:jc w:val="center"/>
        </w:trPr>
        <w:tc>
          <w:tcPr>
            <w:tcW w:w="5092" w:type="dxa"/>
            <w:tcBorders>
              <w:left w:val="single" w:sz="6" w:space="0" w:color="404040"/>
              <w:bottom w:val="single" w:sz="6" w:space="0" w:color="404040"/>
              <w:right w:val="single" w:sz="6" w:space="0" w:color="404040"/>
            </w:tcBorders>
            <w:vAlign w:val="center"/>
          </w:tcPr>
          <w:p w:rsidR="00223FAF" w:rsidRPr="005B0949" w:rsidRDefault="00223FAF" w:rsidP="00223FAF">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bottom"/>
          </w:tcPr>
          <w:p w:rsidR="00223FAF" w:rsidRPr="00223FAF" w:rsidRDefault="00223FAF" w:rsidP="00223FAF">
            <w:pPr>
              <w:tabs>
                <w:tab w:val="decimal" w:pos="608"/>
              </w:tabs>
              <w:jc w:val="left"/>
              <w:rPr>
                <w:sz w:val="18"/>
                <w:szCs w:val="18"/>
              </w:rPr>
            </w:pPr>
            <w:r w:rsidRPr="00223FAF">
              <w:rPr>
                <w:sz w:val="18"/>
                <w:szCs w:val="18"/>
              </w:rPr>
              <w:t>52.9</w:t>
            </w:r>
          </w:p>
        </w:tc>
        <w:tc>
          <w:tcPr>
            <w:tcW w:w="1225" w:type="dxa"/>
            <w:tcBorders>
              <w:bottom w:val="single" w:sz="6" w:space="0" w:color="404040"/>
              <w:right w:val="single" w:sz="6" w:space="0" w:color="404040"/>
            </w:tcBorders>
            <w:vAlign w:val="bottom"/>
          </w:tcPr>
          <w:p w:rsidR="00223FAF" w:rsidRPr="00223FAF" w:rsidRDefault="00223FAF" w:rsidP="00223FAF">
            <w:pPr>
              <w:tabs>
                <w:tab w:val="decimal" w:pos="550"/>
              </w:tabs>
              <w:jc w:val="left"/>
              <w:rPr>
                <w:sz w:val="18"/>
                <w:szCs w:val="18"/>
              </w:rPr>
            </w:pPr>
            <w:r w:rsidRPr="00223FAF">
              <w:rPr>
                <w:sz w:val="18"/>
                <w:szCs w:val="18"/>
              </w:rPr>
              <w:t>50.9</w:t>
            </w:r>
          </w:p>
        </w:tc>
        <w:tc>
          <w:tcPr>
            <w:tcW w:w="1225" w:type="dxa"/>
            <w:tcBorders>
              <w:bottom w:val="single" w:sz="6" w:space="0" w:color="404040"/>
              <w:right w:val="single" w:sz="6" w:space="0" w:color="404040"/>
            </w:tcBorders>
            <w:vAlign w:val="bottom"/>
          </w:tcPr>
          <w:p w:rsidR="00223FAF" w:rsidRPr="00223FAF" w:rsidRDefault="00223FAF" w:rsidP="00223FAF">
            <w:pPr>
              <w:tabs>
                <w:tab w:val="left" w:pos="253"/>
                <w:tab w:val="decimal" w:pos="580"/>
              </w:tabs>
              <w:jc w:val="left"/>
              <w:rPr>
                <w:sz w:val="18"/>
                <w:szCs w:val="18"/>
              </w:rPr>
            </w:pPr>
            <w:r>
              <w:rPr>
                <w:sz w:val="18"/>
                <w:szCs w:val="18"/>
              </w:rPr>
              <w:tab/>
              <w:t>(-)</w:t>
            </w:r>
            <w:r>
              <w:rPr>
                <w:sz w:val="18"/>
                <w:szCs w:val="18"/>
              </w:rPr>
              <w:tab/>
            </w:r>
            <w:r w:rsidRPr="00223FAF">
              <w:rPr>
                <w:sz w:val="18"/>
                <w:szCs w:val="18"/>
              </w:rPr>
              <w:t>1.9</w:t>
            </w:r>
          </w:p>
        </w:tc>
      </w:tr>
    </w:tbl>
    <w:p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rsidR="00DC335D" w:rsidRPr="005B0949" w:rsidRDefault="000D5050" w:rsidP="000D5050">
      <w:pPr>
        <w:pStyle w:val="p0"/>
        <w:spacing w:before="480"/>
        <w:rPr>
          <w:rFonts w:ascii="Arial" w:hAnsi="Arial"/>
          <w:snapToGrid/>
          <w:color w:val="auto"/>
          <w:spacing w:val="4"/>
        </w:rPr>
      </w:pPr>
      <w:r w:rsidRPr="000D5050">
        <w:rPr>
          <w:rFonts w:ascii="Arial" w:hAnsi="Arial"/>
          <w:snapToGrid/>
          <w:color w:val="auto"/>
          <w:spacing w:val="4"/>
        </w:rPr>
        <w:t xml:space="preserve">Por grupos de subsectores de actividad económica del IPM, en agosto de 2019 con datos originales el rubro de Alimentos, bebidas y tabaco mostró un retroceso de </w:t>
      </w:r>
      <w:r>
        <w:rPr>
          <w:rFonts w:ascii="Arial" w:hAnsi="Arial"/>
          <w:snapToGrid/>
          <w:color w:val="auto"/>
          <w:spacing w:val="4"/>
        </w:rPr>
        <w:br/>
      </w:r>
      <w:r w:rsidR="006A12EC">
        <w:rPr>
          <w:rFonts w:ascii="Arial" w:hAnsi="Arial"/>
          <w:snapToGrid/>
          <w:color w:val="auto"/>
          <w:spacing w:val="4"/>
        </w:rPr>
        <w:t>(-)</w:t>
      </w:r>
      <w:r w:rsidRPr="000D5050">
        <w:rPr>
          <w:rFonts w:ascii="Arial" w:hAnsi="Arial"/>
          <w:snapToGrid/>
          <w:color w:val="auto"/>
          <w:spacing w:val="4"/>
        </w:rPr>
        <w:t xml:space="preserve">2.5 puntos con relación al mismo periodo del año previo; el de Derivados del petróleo y del carbón, industria química, del plástico y del hule cayó </w:t>
      </w:r>
      <w:r w:rsidR="006A12EC">
        <w:rPr>
          <w:rFonts w:ascii="Arial" w:hAnsi="Arial"/>
          <w:snapToGrid/>
          <w:color w:val="auto"/>
          <w:spacing w:val="4"/>
        </w:rPr>
        <w:t>(-)</w:t>
      </w:r>
      <w:r w:rsidRPr="000D5050">
        <w:rPr>
          <w:rFonts w:ascii="Arial" w:hAnsi="Arial"/>
          <w:snapToGrid/>
          <w:color w:val="auto"/>
          <w:spacing w:val="4"/>
        </w:rPr>
        <w:t xml:space="preserve">0.3 puntos; el de Minerales no metálicos y metálicas básicas descendió </w:t>
      </w:r>
      <w:r w:rsidR="006A12EC">
        <w:rPr>
          <w:rFonts w:ascii="Arial" w:hAnsi="Arial"/>
          <w:snapToGrid/>
          <w:color w:val="auto"/>
          <w:spacing w:val="4"/>
        </w:rPr>
        <w:t>(-)</w:t>
      </w:r>
      <w:r w:rsidRPr="000D5050">
        <w:rPr>
          <w:rFonts w:ascii="Arial" w:hAnsi="Arial"/>
          <w:snapToGrid/>
          <w:color w:val="auto"/>
          <w:spacing w:val="4"/>
        </w:rPr>
        <w:t xml:space="preserve">1.1 puntos; el de Equipo de computación, accesorios electrónicos y aparatos eléctricos se </w:t>
      </w:r>
      <w:r w:rsidR="006A12EC">
        <w:rPr>
          <w:rFonts w:ascii="Arial" w:hAnsi="Arial"/>
          <w:snapToGrid/>
          <w:color w:val="auto"/>
          <w:spacing w:val="4"/>
        </w:rPr>
        <w:t>redujo (-)</w:t>
      </w:r>
      <w:r w:rsidRPr="000D5050">
        <w:rPr>
          <w:rFonts w:ascii="Arial" w:hAnsi="Arial"/>
          <w:snapToGrid/>
          <w:color w:val="auto"/>
          <w:spacing w:val="4"/>
        </w:rPr>
        <w:t xml:space="preserve">4.4 puntos; el de Equipo de transporte disminuyó </w:t>
      </w:r>
      <w:r w:rsidR="006A12EC">
        <w:rPr>
          <w:rFonts w:ascii="Arial" w:hAnsi="Arial"/>
          <w:snapToGrid/>
          <w:color w:val="auto"/>
          <w:spacing w:val="4"/>
        </w:rPr>
        <w:t>(-)</w:t>
      </w:r>
      <w:r w:rsidRPr="000D5050">
        <w:rPr>
          <w:rFonts w:ascii="Arial" w:hAnsi="Arial"/>
          <w:snapToGrid/>
          <w:color w:val="auto"/>
          <w:spacing w:val="4"/>
        </w:rPr>
        <w:t>1.5 puntos; el de Productos metálicos, maquinaria, equipo y muebles creció 0.5 puntos</w:t>
      </w:r>
      <w:r w:rsidR="00D7732F">
        <w:rPr>
          <w:rFonts w:ascii="Arial" w:hAnsi="Arial"/>
          <w:snapToGrid/>
          <w:color w:val="auto"/>
          <w:spacing w:val="4"/>
        </w:rPr>
        <w:t>,</w:t>
      </w:r>
      <w:r w:rsidRPr="000D5050">
        <w:rPr>
          <w:rFonts w:ascii="Arial" w:hAnsi="Arial"/>
          <w:snapToGrid/>
          <w:color w:val="auto"/>
          <w:spacing w:val="4"/>
        </w:rPr>
        <w:t xml:space="preserve"> y el de Textiles, prendas de vestir, cuero y piel, madera, papel y otras se incrementó 0.2 puntos.</w:t>
      </w:r>
    </w:p>
    <w:p w:rsidR="0007670F" w:rsidRPr="005B0949" w:rsidRDefault="0007670F" w:rsidP="0007670F">
      <w:pPr>
        <w:keepNext/>
        <w:keepLines/>
        <w:spacing w:before="360" w:line="280" w:lineRule="exact"/>
        <w:jc w:val="center"/>
        <w:outlineLvl w:val="0"/>
        <w:rPr>
          <w:b/>
          <w:smallCaps/>
        </w:rPr>
      </w:pPr>
      <w:r w:rsidRPr="005B0949">
        <w:rPr>
          <w:b/>
          <w:smallCaps/>
        </w:rPr>
        <w:t>Indicador de Pedidos Manufactureros por grupos de subsectores de actividad</w:t>
      </w:r>
    </w:p>
    <w:p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164039" w:rsidRPr="005B0949" w:rsidRDefault="00223FAF" w:rsidP="00216B9E">
            <w:pPr>
              <w:keepNext/>
              <w:keepLines/>
              <w:spacing w:before="40" w:after="40" w:line="240" w:lineRule="exact"/>
              <w:jc w:val="center"/>
              <w:rPr>
                <w:sz w:val="18"/>
                <w:szCs w:val="18"/>
              </w:rPr>
            </w:pPr>
            <w:r>
              <w:rPr>
                <w:sz w:val="18"/>
                <w:szCs w:val="18"/>
              </w:rPr>
              <w:t>Agosto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2018</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2019</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line="240" w:lineRule="atLeast"/>
              <w:ind w:left="-64" w:right="-45"/>
              <w:jc w:val="center"/>
              <w:rPr>
                <w:sz w:val="18"/>
                <w:szCs w:val="18"/>
              </w:rPr>
            </w:pPr>
          </w:p>
        </w:tc>
      </w:tr>
      <w:tr w:rsidR="00223FAF" w:rsidRPr="005B0949" w:rsidTr="00223FAF">
        <w:trPr>
          <w:cantSplit/>
          <w:trHeight w:val="20"/>
          <w:jc w:val="center"/>
        </w:trPr>
        <w:tc>
          <w:tcPr>
            <w:tcW w:w="3364" w:type="pct"/>
            <w:tcBorders>
              <w:top w:val="single" w:sz="6" w:space="0" w:color="404040"/>
              <w:left w:val="single" w:sz="6" w:space="0" w:color="404040"/>
              <w:right w:val="single" w:sz="6" w:space="0" w:color="404040"/>
            </w:tcBorders>
            <w:vAlign w:val="center"/>
          </w:tcPr>
          <w:p w:rsidR="00223FAF" w:rsidRPr="005B0949" w:rsidRDefault="00223FAF" w:rsidP="00223FAF">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rsidR="00223FAF" w:rsidRPr="00223FAF" w:rsidRDefault="00223FAF" w:rsidP="00223FAF">
            <w:pPr>
              <w:tabs>
                <w:tab w:val="decimal" w:pos="431"/>
              </w:tabs>
              <w:jc w:val="left"/>
              <w:rPr>
                <w:b/>
                <w:bCs/>
                <w:color w:val="000000"/>
                <w:sz w:val="18"/>
                <w:szCs w:val="18"/>
                <w:lang w:val="es-MX" w:eastAsia="es-MX"/>
              </w:rPr>
            </w:pPr>
            <w:r w:rsidRPr="00223FAF">
              <w:rPr>
                <w:b/>
                <w:bCs/>
                <w:color w:val="000000"/>
                <w:sz w:val="18"/>
                <w:szCs w:val="18"/>
              </w:rPr>
              <w:t>51.9</w:t>
            </w:r>
          </w:p>
        </w:tc>
        <w:tc>
          <w:tcPr>
            <w:tcW w:w="505" w:type="pct"/>
            <w:tcBorders>
              <w:top w:val="single" w:sz="6" w:space="0" w:color="404040"/>
              <w:right w:val="single" w:sz="6" w:space="0" w:color="404040"/>
            </w:tcBorders>
            <w:vAlign w:val="center"/>
          </w:tcPr>
          <w:p w:rsidR="00223FAF" w:rsidRPr="00223FAF" w:rsidRDefault="00223FAF" w:rsidP="00223FAF">
            <w:pPr>
              <w:tabs>
                <w:tab w:val="decimal" w:pos="431"/>
              </w:tabs>
              <w:jc w:val="left"/>
              <w:rPr>
                <w:b/>
                <w:bCs/>
                <w:color w:val="000000"/>
                <w:sz w:val="18"/>
                <w:szCs w:val="18"/>
              </w:rPr>
            </w:pPr>
            <w:r w:rsidRPr="00223FAF">
              <w:rPr>
                <w:b/>
                <w:bCs/>
                <w:color w:val="000000"/>
                <w:sz w:val="18"/>
                <w:szCs w:val="18"/>
              </w:rPr>
              <w:t>50.7</w:t>
            </w:r>
          </w:p>
        </w:tc>
        <w:tc>
          <w:tcPr>
            <w:tcW w:w="625" w:type="pct"/>
            <w:tcBorders>
              <w:top w:val="single" w:sz="6" w:space="0" w:color="404040"/>
              <w:right w:val="single" w:sz="6" w:space="0" w:color="404040"/>
            </w:tcBorders>
            <w:vAlign w:val="center"/>
          </w:tcPr>
          <w:p w:rsidR="00223FAF" w:rsidRPr="00223FAF" w:rsidRDefault="00223FAF" w:rsidP="00223FAF">
            <w:pPr>
              <w:tabs>
                <w:tab w:val="left" w:pos="258"/>
                <w:tab w:val="decimal" w:pos="608"/>
              </w:tabs>
              <w:jc w:val="left"/>
              <w:rPr>
                <w:b/>
                <w:bCs/>
                <w:color w:val="000000"/>
                <w:sz w:val="18"/>
                <w:szCs w:val="18"/>
              </w:rPr>
            </w:pPr>
            <w:r w:rsidRPr="00223FAF">
              <w:rPr>
                <w:b/>
                <w:bCs/>
                <w:color w:val="000000"/>
                <w:sz w:val="18"/>
                <w:szCs w:val="18"/>
              </w:rPr>
              <w:tab/>
              <w:t>(-)</w:t>
            </w:r>
            <w:r w:rsidRPr="00223FAF">
              <w:rPr>
                <w:b/>
                <w:bCs/>
                <w:color w:val="000000"/>
                <w:sz w:val="18"/>
                <w:szCs w:val="18"/>
              </w:rPr>
              <w:tab/>
              <w:t>1.2</w:t>
            </w:r>
          </w:p>
        </w:tc>
      </w:tr>
      <w:tr w:rsidR="00223FAF" w:rsidRPr="005B0949" w:rsidTr="00223FAF">
        <w:trPr>
          <w:cantSplit/>
          <w:trHeight w:val="20"/>
          <w:jc w:val="center"/>
        </w:trPr>
        <w:tc>
          <w:tcPr>
            <w:tcW w:w="3364" w:type="pct"/>
            <w:tcBorders>
              <w:left w:val="single" w:sz="6" w:space="0" w:color="404040"/>
              <w:right w:val="single" w:sz="6" w:space="0" w:color="404040"/>
            </w:tcBorders>
            <w:vAlign w:val="bottom"/>
          </w:tcPr>
          <w:p w:rsidR="00223FAF" w:rsidRPr="005B0949" w:rsidRDefault="00223FAF" w:rsidP="00223FAF">
            <w:pPr>
              <w:widowControl w:val="0"/>
              <w:spacing w:before="20" w:after="20"/>
              <w:ind w:left="130"/>
              <w:rPr>
                <w:sz w:val="18"/>
                <w:szCs w:val="18"/>
              </w:rPr>
            </w:pPr>
            <w:r w:rsidRPr="005B0949">
              <w:rPr>
                <w:sz w:val="18"/>
                <w:szCs w:val="18"/>
              </w:rPr>
              <w:t>Alimentos, bebidas y tabaco</w:t>
            </w:r>
          </w:p>
        </w:tc>
        <w:tc>
          <w:tcPr>
            <w:tcW w:w="505" w:type="pct"/>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52.9</w:t>
            </w:r>
          </w:p>
        </w:tc>
        <w:tc>
          <w:tcPr>
            <w:tcW w:w="505" w:type="pct"/>
            <w:tcBorders>
              <w:right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50.4</w:t>
            </w:r>
          </w:p>
        </w:tc>
        <w:tc>
          <w:tcPr>
            <w:tcW w:w="625" w:type="pct"/>
            <w:tcBorders>
              <w:right w:val="single" w:sz="6" w:space="0" w:color="404040"/>
            </w:tcBorders>
            <w:vAlign w:val="center"/>
          </w:tcPr>
          <w:p w:rsidR="00223FAF" w:rsidRPr="00223FAF" w:rsidRDefault="00223FAF" w:rsidP="00223FAF">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2.5</w:t>
            </w:r>
          </w:p>
        </w:tc>
      </w:tr>
      <w:tr w:rsidR="00223FAF" w:rsidRPr="005B0949" w:rsidTr="00223FAF">
        <w:trPr>
          <w:cantSplit/>
          <w:trHeight w:val="20"/>
          <w:jc w:val="center"/>
        </w:trPr>
        <w:tc>
          <w:tcPr>
            <w:tcW w:w="3364" w:type="pct"/>
            <w:tcBorders>
              <w:left w:val="single" w:sz="6" w:space="0" w:color="404040"/>
              <w:right w:val="single" w:sz="6" w:space="0" w:color="404040"/>
            </w:tcBorders>
            <w:vAlign w:val="bottom"/>
          </w:tcPr>
          <w:p w:rsidR="00223FAF" w:rsidRPr="005B0949" w:rsidRDefault="00223FAF" w:rsidP="00223FAF">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50.3</w:t>
            </w:r>
          </w:p>
        </w:tc>
        <w:tc>
          <w:tcPr>
            <w:tcW w:w="505" w:type="pct"/>
            <w:tcBorders>
              <w:right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50.0</w:t>
            </w:r>
          </w:p>
        </w:tc>
        <w:tc>
          <w:tcPr>
            <w:tcW w:w="625" w:type="pct"/>
            <w:tcBorders>
              <w:right w:val="single" w:sz="6" w:space="0" w:color="404040"/>
            </w:tcBorders>
            <w:vAlign w:val="center"/>
          </w:tcPr>
          <w:p w:rsidR="00223FAF" w:rsidRPr="00223FAF" w:rsidRDefault="00223FAF" w:rsidP="00223FAF">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0.3</w:t>
            </w:r>
          </w:p>
        </w:tc>
      </w:tr>
      <w:tr w:rsidR="00223FAF" w:rsidRPr="005B0949" w:rsidTr="00223FAF">
        <w:trPr>
          <w:cantSplit/>
          <w:trHeight w:val="20"/>
          <w:jc w:val="center"/>
        </w:trPr>
        <w:tc>
          <w:tcPr>
            <w:tcW w:w="3364" w:type="pct"/>
            <w:tcBorders>
              <w:left w:val="single" w:sz="6" w:space="0" w:color="404040"/>
              <w:right w:val="single" w:sz="6" w:space="0" w:color="404040"/>
            </w:tcBorders>
            <w:vAlign w:val="bottom"/>
          </w:tcPr>
          <w:p w:rsidR="00223FAF" w:rsidRPr="005B0949" w:rsidRDefault="00223FAF" w:rsidP="00223FAF">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51.1</w:t>
            </w:r>
          </w:p>
        </w:tc>
        <w:tc>
          <w:tcPr>
            <w:tcW w:w="505" w:type="pct"/>
            <w:tcBorders>
              <w:right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50.0</w:t>
            </w:r>
          </w:p>
        </w:tc>
        <w:tc>
          <w:tcPr>
            <w:tcW w:w="625" w:type="pct"/>
            <w:tcBorders>
              <w:right w:val="single" w:sz="6" w:space="0" w:color="404040"/>
            </w:tcBorders>
            <w:vAlign w:val="center"/>
          </w:tcPr>
          <w:p w:rsidR="00223FAF" w:rsidRPr="00223FAF" w:rsidRDefault="00223FAF" w:rsidP="00223FAF">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1.1</w:t>
            </w:r>
          </w:p>
        </w:tc>
      </w:tr>
      <w:tr w:rsidR="00223FAF" w:rsidRPr="005B0949" w:rsidTr="00223FAF">
        <w:trPr>
          <w:cantSplit/>
          <w:trHeight w:val="20"/>
          <w:jc w:val="center"/>
        </w:trPr>
        <w:tc>
          <w:tcPr>
            <w:tcW w:w="3364" w:type="pct"/>
            <w:tcBorders>
              <w:left w:val="single" w:sz="6" w:space="0" w:color="404040"/>
              <w:right w:val="single" w:sz="6" w:space="0" w:color="404040"/>
            </w:tcBorders>
            <w:vAlign w:val="bottom"/>
          </w:tcPr>
          <w:p w:rsidR="00223FAF" w:rsidRPr="005B0949" w:rsidRDefault="00223FAF" w:rsidP="00223FAF">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53.8</w:t>
            </w:r>
          </w:p>
        </w:tc>
        <w:tc>
          <w:tcPr>
            <w:tcW w:w="505" w:type="pct"/>
            <w:tcBorders>
              <w:right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49.5</w:t>
            </w:r>
          </w:p>
        </w:tc>
        <w:tc>
          <w:tcPr>
            <w:tcW w:w="625" w:type="pct"/>
            <w:tcBorders>
              <w:right w:val="single" w:sz="6" w:space="0" w:color="404040"/>
            </w:tcBorders>
            <w:vAlign w:val="center"/>
          </w:tcPr>
          <w:p w:rsidR="00223FAF" w:rsidRPr="00223FAF" w:rsidRDefault="00223FAF" w:rsidP="00223FAF">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4.4</w:t>
            </w:r>
          </w:p>
        </w:tc>
      </w:tr>
      <w:tr w:rsidR="00223FAF" w:rsidRPr="005B0949" w:rsidTr="00223FAF">
        <w:trPr>
          <w:cantSplit/>
          <w:trHeight w:val="20"/>
          <w:jc w:val="center"/>
        </w:trPr>
        <w:tc>
          <w:tcPr>
            <w:tcW w:w="3364" w:type="pct"/>
            <w:tcBorders>
              <w:left w:val="single" w:sz="6" w:space="0" w:color="404040"/>
              <w:right w:val="single" w:sz="6" w:space="0" w:color="404040"/>
            </w:tcBorders>
            <w:vAlign w:val="bottom"/>
          </w:tcPr>
          <w:p w:rsidR="00223FAF" w:rsidRPr="005B0949" w:rsidRDefault="00223FAF" w:rsidP="00223FAF">
            <w:pPr>
              <w:widowControl w:val="0"/>
              <w:spacing w:before="20" w:after="20"/>
              <w:ind w:left="133"/>
              <w:rPr>
                <w:sz w:val="18"/>
                <w:szCs w:val="18"/>
              </w:rPr>
            </w:pPr>
            <w:r w:rsidRPr="005B0949">
              <w:rPr>
                <w:sz w:val="18"/>
                <w:szCs w:val="18"/>
              </w:rPr>
              <w:t>Equipo de transporte</w:t>
            </w:r>
          </w:p>
        </w:tc>
        <w:tc>
          <w:tcPr>
            <w:tcW w:w="505" w:type="pct"/>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53.5</w:t>
            </w:r>
          </w:p>
        </w:tc>
        <w:tc>
          <w:tcPr>
            <w:tcW w:w="505" w:type="pct"/>
            <w:tcBorders>
              <w:right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52.1</w:t>
            </w:r>
          </w:p>
        </w:tc>
        <w:tc>
          <w:tcPr>
            <w:tcW w:w="625" w:type="pct"/>
            <w:tcBorders>
              <w:right w:val="single" w:sz="6" w:space="0" w:color="404040"/>
            </w:tcBorders>
            <w:vAlign w:val="center"/>
          </w:tcPr>
          <w:p w:rsidR="00223FAF" w:rsidRPr="00223FAF" w:rsidRDefault="00223FAF" w:rsidP="00223FAF">
            <w:pPr>
              <w:tabs>
                <w:tab w:val="left" w:pos="258"/>
                <w:tab w:val="decimal" w:pos="608"/>
              </w:tabs>
              <w:jc w:val="left"/>
              <w:rPr>
                <w:color w:val="000000"/>
                <w:sz w:val="18"/>
                <w:szCs w:val="18"/>
              </w:rPr>
            </w:pPr>
            <w:r w:rsidRPr="00223FAF">
              <w:rPr>
                <w:color w:val="000000"/>
                <w:sz w:val="18"/>
                <w:szCs w:val="18"/>
              </w:rPr>
              <w:tab/>
              <w:t>(-)</w:t>
            </w:r>
            <w:r w:rsidRPr="00223FAF">
              <w:rPr>
                <w:color w:val="000000"/>
                <w:sz w:val="18"/>
                <w:szCs w:val="18"/>
              </w:rPr>
              <w:tab/>
              <w:t>1.5</w:t>
            </w:r>
          </w:p>
        </w:tc>
      </w:tr>
      <w:tr w:rsidR="00223FAF" w:rsidRPr="005B0949" w:rsidTr="00223FAF">
        <w:trPr>
          <w:cantSplit/>
          <w:trHeight w:val="20"/>
          <w:jc w:val="center"/>
        </w:trPr>
        <w:tc>
          <w:tcPr>
            <w:tcW w:w="3364" w:type="pct"/>
            <w:tcBorders>
              <w:left w:val="single" w:sz="6" w:space="0" w:color="404040"/>
              <w:right w:val="single" w:sz="6" w:space="0" w:color="404040"/>
            </w:tcBorders>
            <w:vAlign w:val="bottom"/>
          </w:tcPr>
          <w:p w:rsidR="00223FAF" w:rsidRPr="005B0949" w:rsidRDefault="00223FAF" w:rsidP="00223FAF">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50.0</w:t>
            </w:r>
          </w:p>
        </w:tc>
        <w:tc>
          <w:tcPr>
            <w:tcW w:w="505" w:type="pct"/>
            <w:tcBorders>
              <w:right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50.5</w:t>
            </w:r>
          </w:p>
        </w:tc>
        <w:tc>
          <w:tcPr>
            <w:tcW w:w="625" w:type="pct"/>
            <w:tcBorders>
              <w:right w:val="single" w:sz="6" w:space="0" w:color="404040"/>
            </w:tcBorders>
            <w:vAlign w:val="center"/>
          </w:tcPr>
          <w:p w:rsidR="00223FAF" w:rsidRPr="00223FAF" w:rsidRDefault="00223FAF" w:rsidP="00223FAF">
            <w:pPr>
              <w:tabs>
                <w:tab w:val="decimal" w:pos="608"/>
              </w:tabs>
              <w:jc w:val="left"/>
              <w:rPr>
                <w:color w:val="000000"/>
                <w:sz w:val="18"/>
                <w:szCs w:val="18"/>
              </w:rPr>
            </w:pPr>
            <w:r w:rsidRPr="00223FAF">
              <w:rPr>
                <w:color w:val="000000"/>
                <w:sz w:val="18"/>
                <w:szCs w:val="18"/>
              </w:rPr>
              <w:t>0.5</w:t>
            </w:r>
          </w:p>
        </w:tc>
      </w:tr>
      <w:tr w:rsidR="00223FAF" w:rsidRPr="005B0949" w:rsidTr="00223FAF">
        <w:trPr>
          <w:cantSplit/>
          <w:trHeight w:val="20"/>
          <w:jc w:val="center"/>
        </w:trPr>
        <w:tc>
          <w:tcPr>
            <w:tcW w:w="3364" w:type="pct"/>
            <w:tcBorders>
              <w:left w:val="single" w:sz="6" w:space="0" w:color="404040"/>
              <w:bottom w:val="single" w:sz="6" w:space="0" w:color="404040"/>
              <w:right w:val="single" w:sz="6" w:space="0" w:color="404040"/>
            </w:tcBorders>
            <w:vAlign w:val="bottom"/>
          </w:tcPr>
          <w:p w:rsidR="00223FAF" w:rsidRPr="005B0949" w:rsidRDefault="00223FAF" w:rsidP="00223FAF">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52.6</w:t>
            </w:r>
          </w:p>
        </w:tc>
        <w:tc>
          <w:tcPr>
            <w:tcW w:w="505" w:type="pct"/>
            <w:tcBorders>
              <w:bottom w:val="single" w:sz="6" w:space="0" w:color="404040"/>
              <w:right w:val="single" w:sz="6" w:space="0" w:color="404040"/>
            </w:tcBorders>
            <w:vAlign w:val="center"/>
          </w:tcPr>
          <w:p w:rsidR="00223FAF" w:rsidRPr="00223FAF" w:rsidRDefault="00223FAF" w:rsidP="00223FAF">
            <w:pPr>
              <w:tabs>
                <w:tab w:val="decimal" w:pos="431"/>
              </w:tabs>
              <w:jc w:val="left"/>
              <w:rPr>
                <w:color w:val="000000"/>
                <w:sz w:val="18"/>
                <w:szCs w:val="18"/>
              </w:rPr>
            </w:pPr>
            <w:r w:rsidRPr="00223FAF">
              <w:rPr>
                <w:color w:val="000000"/>
                <w:sz w:val="18"/>
                <w:szCs w:val="18"/>
              </w:rPr>
              <w:t>52.8</w:t>
            </w:r>
          </w:p>
        </w:tc>
        <w:tc>
          <w:tcPr>
            <w:tcW w:w="625" w:type="pct"/>
            <w:tcBorders>
              <w:bottom w:val="single" w:sz="6" w:space="0" w:color="404040"/>
              <w:right w:val="single" w:sz="6" w:space="0" w:color="404040"/>
            </w:tcBorders>
            <w:vAlign w:val="center"/>
          </w:tcPr>
          <w:p w:rsidR="00223FAF" w:rsidRPr="00223FAF" w:rsidRDefault="00223FAF" w:rsidP="00223FAF">
            <w:pPr>
              <w:tabs>
                <w:tab w:val="decimal" w:pos="608"/>
              </w:tabs>
              <w:jc w:val="left"/>
              <w:rPr>
                <w:color w:val="000000"/>
                <w:sz w:val="18"/>
                <w:szCs w:val="18"/>
              </w:rPr>
            </w:pPr>
            <w:r w:rsidRPr="00223FAF">
              <w:rPr>
                <w:color w:val="000000"/>
                <w:sz w:val="18"/>
                <w:szCs w:val="18"/>
              </w:rPr>
              <w:t>0.2</w:t>
            </w:r>
          </w:p>
        </w:tc>
      </w:tr>
    </w:tbl>
    <w:p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tabs>
          <w:tab w:val="left" w:pos="9432"/>
        </w:tabs>
        <w:spacing w:before="480"/>
        <w:rPr>
          <w:b/>
          <w:i/>
        </w:rPr>
      </w:pPr>
      <w:bookmarkStart w:id="1" w:name="_Hlk7505158"/>
      <w:r w:rsidRPr="005B0949">
        <w:rPr>
          <w:b/>
          <w:i/>
        </w:rPr>
        <w:t xml:space="preserve">Nota </w:t>
      </w:r>
      <w:r w:rsidR="00891BAB" w:rsidRPr="005B0949">
        <w:rPr>
          <w:b/>
          <w:i/>
        </w:rPr>
        <w:t>m</w:t>
      </w:r>
      <w:r w:rsidRPr="005B0949">
        <w:rPr>
          <w:b/>
          <w:i/>
        </w:rPr>
        <w:t>etodológica</w:t>
      </w:r>
    </w:p>
    <w:p w:rsidR="00CF2964" w:rsidRPr="005B0949" w:rsidRDefault="00CF2964" w:rsidP="00CF2964">
      <w:pPr>
        <w:spacing w:before="240"/>
        <w:rPr>
          <w:lang w:val="es-ES"/>
        </w:rPr>
      </w:pPr>
      <w:r w:rsidRPr="005B0949">
        <w:rPr>
          <w:lang w:val="es-ES"/>
        </w:rPr>
        <w:t>La Encuesta Mensual de Opinión Empresarial se lleva a cabo mensualmente y tiene como base una muestra de 1,492 empresas a nivel nacional. La información es obtenida a través de entrevista electrónica (INTERNET) en dos terceras partes de las empresas de la muestra, mientras que en el resto se recaba mediante visita al directivo empresarial.</w:t>
      </w:r>
    </w:p>
    <w:p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rsidR="00CF2964" w:rsidRPr="005B0949" w:rsidRDefault="00CF2964" w:rsidP="00CF2964">
      <w:pPr>
        <w:keepLines/>
        <w:spacing w:before="360"/>
      </w:pPr>
      <w:r w:rsidRPr="005B0949">
        <w:lastRenderedPageBreak/>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empresas. En el diseño del cuestionario se incorporaron las recomendaciones de la OCDE y CEPAL, así como las sugerencias del Banco de México.</w:t>
      </w:r>
    </w:p>
    <w:p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rsidR="00CF2964" w:rsidRPr="005B0949" w:rsidRDefault="00CF2964" w:rsidP="00CF2964">
      <w:pPr>
        <w:keepNext/>
        <w:numPr>
          <w:ilvl w:val="0"/>
          <w:numId w:val="28"/>
        </w:numPr>
        <w:tabs>
          <w:tab w:val="left" w:pos="9432"/>
        </w:tabs>
        <w:spacing w:before="240"/>
        <w:ind w:left="714" w:hanging="357"/>
      </w:pPr>
      <w:r w:rsidRPr="005B0949">
        <w:t>Pedidos (30% del IPM)</w:t>
      </w:r>
    </w:p>
    <w:p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Producción (25% del IPM)</w:t>
      </w:r>
    </w:p>
    <w:p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rsidR="00CF2964" w:rsidRPr="005B0949" w:rsidRDefault="00CF2964" w:rsidP="00CF2964">
      <w:pPr>
        <w:keepNext/>
        <w:numPr>
          <w:ilvl w:val="0"/>
          <w:numId w:val="28"/>
        </w:numPr>
        <w:tabs>
          <w:tab w:val="left" w:pos="9432"/>
        </w:tabs>
        <w:spacing w:before="240"/>
        <w:ind w:left="714" w:hanging="357"/>
      </w:pPr>
      <w:r w:rsidRPr="005B0949">
        <w:t>Personal Ocupado (20% del IPM)</w:t>
      </w:r>
    </w:p>
    <w:p w:rsidR="00CF2964" w:rsidRPr="005B0949" w:rsidRDefault="00CF2964" w:rsidP="00CF2964">
      <w:pPr>
        <w:keepNext/>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Entregas de los Proveedores (15% del IPM)</w:t>
      </w:r>
    </w:p>
    <w:p w:rsidR="00CF2964" w:rsidRPr="005B0949" w:rsidRDefault="00CF2964" w:rsidP="00CF2964">
      <w:pPr>
        <w:numPr>
          <w:ilvl w:val="0"/>
          <w:numId w:val="27"/>
        </w:numPr>
        <w:tabs>
          <w:tab w:val="num" w:pos="720"/>
          <w:tab w:val="left" w:pos="9432"/>
        </w:tabs>
      </w:pPr>
      <w:r w:rsidRPr="005B0949">
        <w:t>Para los periodos indicados con respecto al mes anterior, ¿cómo califica la oportunidad de la entrega de insumos por parte de los proveedores?</w:t>
      </w:r>
    </w:p>
    <w:p w:rsidR="00CF2964" w:rsidRPr="005B0949" w:rsidRDefault="00CF2964" w:rsidP="00CF2964">
      <w:pPr>
        <w:numPr>
          <w:ilvl w:val="0"/>
          <w:numId w:val="28"/>
        </w:numPr>
        <w:tabs>
          <w:tab w:val="left" w:pos="9432"/>
        </w:tabs>
        <w:spacing w:before="240"/>
        <w:ind w:left="714" w:hanging="357"/>
      </w:pPr>
      <w:r w:rsidRPr="005B0949">
        <w:t>Inventarios (10% del IPM)</w:t>
      </w:r>
    </w:p>
    <w:p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rsidR="00CF2964" w:rsidRPr="005B0949" w:rsidRDefault="00CF2964" w:rsidP="00CF2964">
      <w:pPr>
        <w:spacing w:before="240" w:after="240"/>
      </w:pPr>
      <w:r w:rsidRPr="005B0949">
        <w:lastRenderedPageBreak/>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rsidTr="00AF48B8">
        <w:trPr>
          <w:jc w:val="center"/>
        </w:trPr>
        <w:tc>
          <w:tcPr>
            <w:tcW w:w="3969"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rsidTr="00AF48B8">
        <w:trPr>
          <w:jc w:val="center"/>
        </w:trPr>
        <w:tc>
          <w:tcPr>
            <w:tcW w:w="3969"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rsidR="00CF2964" w:rsidRPr="005B0949" w:rsidRDefault="00CF2964" w:rsidP="00CF2964">
      <w:pPr>
        <w:spacing w:before="360"/>
      </w:pPr>
      <w:r w:rsidRPr="005B0949">
        <w:t>En el IPM el valor de 50 constituye el umbral para delimitar una expansión de una contracción en la actividad del sector manufacturero.</w:t>
      </w:r>
    </w:p>
    <w:p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rsidR="00C83373" w:rsidRPr="005B0949" w:rsidRDefault="006253C9" w:rsidP="00C83373">
      <w:pPr>
        <w:spacing w:before="120"/>
      </w:pPr>
      <w:hyperlink r:id="rId33" w:history="1">
        <w:r w:rsidR="00C83373" w:rsidRPr="005B0949">
          <w:rPr>
            <w:rStyle w:val="Hipervnculo"/>
            <w:color w:val="auto"/>
          </w:rPr>
          <w:t>https://www.inegi.org.mx/programas/emoe/2004/</w:t>
        </w:r>
      </w:hyperlink>
    </w:p>
    <w:p w:rsidR="00CF2964" w:rsidRPr="005B0949" w:rsidRDefault="00CF2964" w:rsidP="00CF2964">
      <w:pPr>
        <w:spacing w:before="360"/>
        <w:rPr>
          <w:szCs w:val="20"/>
        </w:rPr>
      </w:pPr>
      <w:r w:rsidRPr="005B0949">
        <w:t xml:space="preserve">Este documento presenta variaciones de las series desestacionalizadas, ya que la gran mayoría de las series económicas se ven afectadas por factores estacionales. </w:t>
      </w:r>
    </w:p>
    <w:p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rsidR="00CF2964" w:rsidRPr="005B0949" w:rsidRDefault="00CF2964" w:rsidP="00CF2964">
      <w:pPr>
        <w:widowControl w:val="0"/>
        <w:spacing w:before="360" w:after="120"/>
        <w:rPr>
          <w:szCs w:val="20"/>
        </w:rPr>
      </w:pPr>
      <w:r w:rsidRPr="005B0949">
        <w:rPr>
          <w:szCs w:val="20"/>
        </w:rPr>
        <w:lastRenderedPageBreak/>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rsidR="00CF2964" w:rsidRPr="005B0949" w:rsidRDefault="006253C9" w:rsidP="00CF2964">
      <w:pPr>
        <w:widowControl w:val="0"/>
        <w:rPr>
          <w:rStyle w:val="Hipervnculo"/>
          <w:color w:val="auto"/>
        </w:rPr>
      </w:pPr>
      <w:hyperlink r:id="rId34" w:history="1">
        <w:r w:rsidR="00CF2964" w:rsidRPr="005B0949">
          <w:rPr>
            <w:rStyle w:val="Hipervnculo"/>
            <w:color w:val="auto"/>
          </w:rPr>
          <w:t>http://www.inegi.org.mx/app/biblioteca/ficha.html?upc=702825099060</w:t>
        </w:r>
      </w:hyperlink>
    </w:p>
    <w:p w:rsidR="00CF2964" w:rsidRPr="005B0949" w:rsidRDefault="00CF2964" w:rsidP="00CF2964">
      <w:pPr>
        <w:keepNext/>
        <w:keepLines/>
        <w:widowControl w:val="0"/>
        <w:spacing w:before="360"/>
        <w:rPr>
          <w:szCs w:val="20"/>
        </w:rPr>
      </w:pPr>
      <w:r w:rsidRPr="005B0949">
        <w:rPr>
          <w:noProof/>
          <w:sz w:val="18"/>
          <w:szCs w:val="18"/>
          <w:lang w:val="es-MX" w:eastAsia="es-MX"/>
        </w:rPr>
        <w:drawing>
          <wp:anchor distT="0" distB="0" distL="114300" distR="114300" simplePos="0" relativeHeight="251659264" behindDoc="1" locked="0" layoutInCell="1" allowOverlap="1" wp14:anchorId="1AB589B1" wp14:editId="41701016">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rsidR="005F0E8E" w:rsidRPr="005B0949" w:rsidRDefault="00CF2964" w:rsidP="00CF2964">
      <w:pPr>
        <w:pStyle w:val="texto0"/>
        <w:keepLines w:val="0"/>
        <w:widowControl w:val="0"/>
        <w:autoSpaceDE w:val="0"/>
        <w:autoSpaceDN w:val="0"/>
        <w:adjustRightInd w:val="0"/>
        <w:rPr>
          <w:color w:val="auto"/>
        </w:rPr>
      </w:pPr>
      <w:r w:rsidRPr="005B0949">
        <w:rPr>
          <w:color w:val="auto"/>
        </w:rPr>
        <w:t xml:space="preserve">Las cifras aquí mencionadas pueden ser consultadas en el Sitio del INEGI en Internet: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hyperlink r:id="rId37" w:history="1">
        <w:r w:rsidR="005A7E97" w:rsidRPr="005B0949">
          <w:rPr>
            <w:rStyle w:val="Hipervnculo"/>
            <w:color w:val="auto"/>
          </w:rPr>
          <w:t>www.inegi.org.mx/datos/</w:t>
        </w:r>
      </w:hyperlink>
      <w:r w:rsidR="005A7E97" w:rsidRPr="005B0949">
        <w:rPr>
          <w:color w:val="auto"/>
          <w:u w:val="single"/>
        </w:rPr>
        <w:t xml:space="preserve"> </w:t>
      </w:r>
    </w:p>
    <w:p w:rsidR="005F0E8E" w:rsidRPr="005B0949" w:rsidRDefault="005F0E8E" w:rsidP="005A7E97">
      <w:pPr>
        <w:pStyle w:val="Default"/>
        <w:spacing w:before="120"/>
        <w:contextualSpacing/>
        <w:jc w:val="both"/>
        <w:rPr>
          <w:color w:val="auto"/>
        </w:rPr>
      </w:pPr>
      <w:r w:rsidRPr="005B0949">
        <w:rPr>
          <w:color w:val="auto"/>
        </w:rPr>
        <w:t xml:space="preserve">Programa: </w:t>
      </w:r>
      <w:hyperlink r:id="rId38" w:history="1">
        <w:r w:rsidR="005A7E97" w:rsidRPr="005B0949">
          <w:rPr>
            <w:rStyle w:val="Hipervnculo"/>
            <w:color w:val="auto"/>
          </w:rPr>
          <w:t>www.inegi.org.mx/programas/emoe/2004/</w:t>
        </w:r>
      </w:hyperlink>
    </w:p>
    <w:p w:rsidR="00F13560" w:rsidRPr="005B0949" w:rsidRDefault="005F0E8E" w:rsidP="005A7E97">
      <w:pPr>
        <w:pStyle w:val="Default"/>
        <w:spacing w:before="120"/>
        <w:contextualSpacing/>
        <w:jc w:val="both"/>
        <w:rPr>
          <w:color w:val="auto"/>
        </w:rPr>
      </w:pPr>
      <w:r w:rsidRPr="005B0949">
        <w:rPr>
          <w:color w:val="auto"/>
        </w:rPr>
        <w:t xml:space="preserve">Banco de Información Económica: </w:t>
      </w:r>
      <w:hyperlink r:id="rId39" w:history="1">
        <w:r w:rsidR="005A7E97" w:rsidRPr="005B0949">
          <w:rPr>
            <w:rStyle w:val="Hipervnculo"/>
            <w:color w:val="auto"/>
          </w:rPr>
          <w:t>www.inegi.org.mx/sistemas/bie/</w:t>
        </w:r>
      </w:hyperlink>
      <w:bookmarkEnd w:id="1"/>
    </w:p>
    <w:sectPr w:rsidR="00F13560" w:rsidRPr="005B0949"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57" w:rsidRDefault="00CB7157">
      <w:r>
        <w:separator/>
      </w:r>
    </w:p>
  </w:endnote>
  <w:endnote w:type="continuationSeparator" w:id="0">
    <w:p w:rsidR="00CB7157" w:rsidRDefault="00CB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C9" w:rsidRDefault="006253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B1" w:rsidRPr="00854414" w:rsidRDefault="001666B1"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C9" w:rsidRDefault="006253C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57" w:rsidRDefault="00CB7157">
      <w:r>
        <w:separator/>
      </w:r>
    </w:p>
  </w:footnote>
  <w:footnote w:type="continuationSeparator" w:id="0">
    <w:p w:rsidR="00CB7157" w:rsidRDefault="00CB7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C9" w:rsidRDefault="006253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6B1" w:rsidRPr="00E0416A" w:rsidRDefault="006253C9"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1666B1"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56DE1259" wp14:editId="2072D1ED">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66B1" w:rsidRDefault="001666B1"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6253C9" w:rsidRPr="006253C9">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E1259" id="Elipse 3"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EjdAIAAPAEAAAOAAAAZHJzL2Uyb0RvYy54bWysVNFu2yAUfZ+0f0C8p7ZTJ6mtOlXTNNOk&#10;bqvU7QOIwTEa5jIgcbpq/74LTtq0e5mm5cG5wOVwzz0HLq/2nSI7YZ0EXdHsLKVE6Bq41JuKfvu6&#10;Gl1Q4jzTnCnQoqKPwtGr+ft3l70pxRhaUFxYgiDalb2paOu9KZPE1a3omDsDIzQuNmA75nFoNwm3&#10;rEf0TiXjNJ0mPVhuLNTCOZxdDot0HvGbRtT+S9M44YmqKNbm49fG7zp8k/klKzeWmVbWhzLYP1TR&#10;Manx0GeoJfOMbK38A6qTtQUHjT+roUugaWQtIgdkk6Vv2Dy0zIjIBZvjzHOb3P+DrT/v7i2RvKLn&#10;lGjWoUS3ShonyHnoTW9ciSkP5t4Gds7cQf3dEQ03LdMbcW0t9K1gHCvKQn7yakMYONxK1v0n4AjN&#10;th5im/aN7QIgNoDsoxqPz2qIvSc1Tuaz2WSMmtW4dIjDCaw8bjbW+Q8COhKCigoVC4/4bHfn/JB9&#10;zIr1g5J8JZWKA7tZ3yhLdgy9USwXi+lAAWmepikdkjWEbQPiMINl4hlhLRQctX4qsnGeLsbFaDW9&#10;mI3yVT4ZFbP0YpRmxaKYpnmRL1e/QoFZXraSc6HvpBZH32X53+l6uAGDY6LzSI8MJuNJ5P6qendK&#10;Mo2/qNMbkha2miM7VgY1bw+xZ1INcfK64igD0j7+x0ZE7YPcg238fr1HxOCBNfBHdIEFVAkFxecC&#10;gxbsT0p6vHoVdT+2zApK1EeNTgr3NAb5ZBYMYI+z69NZpmuEqKinZAhv/HCvt8bKTYsnZLEdGq7R&#10;dY2Mdnip5uBVvFaRxOEJCPf2dByzXh6q+W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ZizRI3QCAADwBAAADgAAAAAAAAAAAAAA&#10;AAAuAgAAZHJzL2Uyb0RvYy54bWxQSwECLQAUAAYACAAAACEA7LBIn9gAAAADAQAADwAAAAAAAAAA&#10;AAAAAADOBAAAZHJzL2Rvd25yZXYueG1sUEsFBgAAAAAEAAQA8wAAANMFAAAAAA==&#10;" o:allowincell="f" fillcolor="#9dbb61" stroked="f">
                  <v:textbox inset="0,,0">
                    <w:txbxContent>
                      <w:p w:rsidR="001666B1" w:rsidRDefault="001666B1"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6253C9" w:rsidRPr="006253C9">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1666B1">
      <w:rPr>
        <w:b/>
        <w:color w:val="002060"/>
      </w:rPr>
      <w:t>COMUNICADO DE</w:t>
    </w:r>
    <w:r w:rsidR="001666B1" w:rsidRPr="00E0416A">
      <w:rPr>
        <w:b/>
        <w:color w:val="002060"/>
      </w:rPr>
      <w:t xml:space="preserve"> PRENSA NÚM. </w:t>
    </w:r>
    <w:r>
      <w:rPr>
        <w:b/>
        <w:color w:val="002060"/>
      </w:rPr>
      <w:t>445</w:t>
    </w:r>
    <w:bookmarkStart w:id="0" w:name="_GoBack"/>
    <w:bookmarkEnd w:id="0"/>
    <w:r w:rsidR="001666B1" w:rsidRPr="00E0416A">
      <w:rPr>
        <w:b/>
        <w:color w:val="002060"/>
      </w:rPr>
      <w:t>/1</w:t>
    </w:r>
    <w:r w:rsidR="001666B1">
      <w:rPr>
        <w:b/>
        <w:color w:val="002060"/>
      </w:rPr>
      <w:t>9</w:t>
    </w:r>
  </w:p>
  <w:p w:rsidR="001666B1" w:rsidRPr="00E0416A" w:rsidRDefault="001666B1"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2 DE SEPTIEMBRE </w:t>
    </w:r>
    <w:r w:rsidRPr="00E0416A">
      <w:rPr>
        <w:b/>
        <w:color w:val="002060"/>
        <w:lang w:val="pt-BR"/>
      </w:rPr>
      <w:t>DE 201</w:t>
    </w:r>
    <w:r>
      <w:rPr>
        <w:b/>
        <w:color w:val="002060"/>
        <w:lang w:val="pt-BR"/>
      </w:rPr>
      <w:t>9</w:t>
    </w:r>
  </w:p>
  <w:p w:rsidR="001666B1" w:rsidRPr="00ED588B" w:rsidRDefault="001666B1"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6253C9">
      <w:rPr>
        <w:b/>
        <w:noProof/>
        <w:color w:val="002060"/>
        <w:lang w:val="pt-BR"/>
      </w:rPr>
      <w:t>1</w:t>
    </w:r>
    <w:r w:rsidRPr="00ED588B">
      <w:rPr>
        <w:color w:val="002060"/>
      </w:rPr>
      <w:fldChar w:fldCharType="end"/>
    </w:r>
    <w:r w:rsidRPr="00ED588B">
      <w:rPr>
        <w:b/>
        <w:color w:val="002060"/>
        <w:lang w:val="pt-BR"/>
      </w:rPr>
      <w:t>/</w:t>
    </w:r>
    <w:r>
      <w:rPr>
        <w:b/>
        <w:color w:val="002060"/>
        <w:lang w:val="pt-BR"/>
      </w:rPr>
      <w:t>2</w:t>
    </w:r>
  </w:p>
  <w:p w:rsidR="001666B1" w:rsidRPr="00E0416A" w:rsidRDefault="001666B1" w:rsidP="009C569C">
    <w:pPr>
      <w:pStyle w:val="Encabezado"/>
      <w:framePr w:w="5383" w:hSpace="141" w:vSpace="141" w:wrap="auto" w:vAnchor="page" w:hAnchor="page" w:x="5890" w:y="331"/>
      <w:spacing w:after="120"/>
      <w:ind w:left="567" w:hanging="11"/>
      <w:jc w:val="right"/>
      <w:rPr>
        <w:b/>
      </w:rPr>
    </w:pPr>
  </w:p>
  <w:p w:rsidR="001666B1" w:rsidRPr="00040E4E" w:rsidRDefault="001666B1" w:rsidP="009C569C">
    <w:pPr>
      <w:pStyle w:val="Encabezado"/>
      <w:framePr w:w="5383" w:hSpace="141" w:vSpace="141" w:wrap="auto" w:vAnchor="page" w:hAnchor="page" w:x="5890" w:y="331"/>
      <w:ind w:left="567" w:hanging="11"/>
      <w:rPr>
        <w:b/>
        <w:lang w:val="pt-BR"/>
      </w:rPr>
    </w:pPr>
  </w:p>
  <w:p w:rsidR="001666B1" w:rsidRDefault="001666B1" w:rsidP="005D7033">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6FEC32A8" wp14:editId="536054C3">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3C9" w:rsidRDefault="006253C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2326EF" w:rsidP="001666B1">
    <w:pPr>
      <w:pStyle w:val="Encabezado"/>
      <w:jc w:val="center"/>
    </w:pPr>
    <w:r>
      <w:rPr>
        <w:noProof/>
        <w:lang w:val="es-MX" w:eastAsia="es-MX"/>
      </w:rPr>
      <w:drawing>
        <wp:inline distT="0" distB="0" distL="0" distR="0" wp14:anchorId="2FCF1409" wp14:editId="36405D09">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mso-wrap-style:square" o:bullet="t">
        <v:imagedata r:id="rId1" o:title=""/>
      </v:shape>
    </w:pict>
  </w:numPicBullet>
  <w:abstractNum w:abstractNumId="0" w15:restartNumberingAfterBreak="0">
    <w:nsid w:val="FFFFFF82"/>
    <w:multiLevelType w:val="singleLevel"/>
    <w:tmpl w:val="76FE57B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1432"/>
    <w:rsid w:val="00021492"/>
    <w:rsid w:val="000216A3"/>
    <w:rsid w:val="00021B4D"/>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66B1"/>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743"/>
    <w:rsid w:val="00195EC2"/>
    <w:rsid w:val="00195F99"/>
    <w:rsid w:val="001A016C"/>
    <w:rsid w:val="001A0422"/>
    <w:rsid w:val="001A0556"/>
    <w:rsid w:val="001A102F"/>
    <w:rsid w:val="001A1A27"/>
    <w:rsid w:val="001A1ED0"/>
    <w:rsid w:val="001A2F07"/>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4E"/>
    <w:rsid w:val="001D24F1"/>
    <w:rsid w:val="001D3AD1"/>
    <w:rsid w:val="001D478B"/>
    <w:rsid w:val="001D4970"/>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762"/>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1C04"/>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8D9"/>
    <w:rsid w:val="0037207D"/>
    <w:rsid w:val="00372389"/>
    <w:rsid w:val="00372564"/>
    <w:rsid w:val="00372644"/>
    <w:rsid w:val="0037334A"/>
    <w:rsid w:val="003734B3"/>
    <w:rsid w:val="0037406E"/>
    <w:rsid w:val="0037443B"/>
    <w:rsid w:val="00374D3E"/>
    <w:rsid w:val="00375820"/>
    <w:rsid w:val="00375B14"/>
    <w:rsid w:val="00375D85"/>
    <w:rsid w:val="003760FD"/>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EE0"/>
    <w:rsid w:val="003C531A"/>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1964"/>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218D"/>
    <w:rsid w:val="00562EAD"/>
    <w:rsid w:val="00563222"/>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3C9"/>
    <w:rsid w:val="00625713"/>
    <w:rsid w:val="00625B22"/>
    <w:rsid w:val="00625C53"/>
    <w:rsid w:val="00626415"/>
    <w:rsid w:val="0062768B"/>
    <w:rsid w:val="00627A49"/>
    <w:rsid w:val="00627D60"/>
    <w:rsid w:val="00627E3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43B2"/>
    <w:rsid w:val="00645210"/>
    <w:rsid w:val="00645933"/>
    <w:rsid w:val="006459B3"/>
    <w:rsid w:val="00645D57"/>
    <w:rsid w:val="00645ED6"/>
    <w:rsid w:val="006461DC"/>
    <w:rsid w:val="00646970"/>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4AD"/>
    <w:rsid w:val="006905F1"/>
    <w:rsid w:val="0069072A"/>
    <w:rsid w:val="006912E6"/>
    <w:rsid w:val="006914E9"/>
    <w:rsid w:val="00691815"/>
    <w:rsid w:val="00691E51"/>
    <w:rsid w:val="006920CA"/>
    <w:rsid w:val="006927F0"/>
    <w:rsid w:val="00692C4E"/>
    <w:rsid w:val="006933B5"/>
    <w:rsid w:val="006936DB"/>
    <w:rsid w:val="00693801"/>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81"/>
    <w:rsid w:val="006E575C"/>
    <w:rsid w:val="006E58CF"/>
    <w:rsid w:val="006E6241"/>
    <w:rsid w:val="006E645F"/>
    <w:rsid w:val="006E6F3D"/>
    <w:rsid w:val="006F117D"/>
    <w:rsid w:val="006F1195"/>
    <w:rsid w:val="006F13F3"/>
    <w:rsid w:val="006F1DBD"/>
    <w:rsid w:val="006F1E00"/>
    <w:rsid w:val="006F301F"/>
    <w:rsid w:val="006F4841"/>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C56"/>
    <w:rsid w:val="00741C83"/>
    <w:rsid w:val="00741E9A"/>
    <w:rsid w:val="00742891"/>
    <w:rsid w:val="00742C3D"/>
    <w:rsid w:val="00742DAD"/>
    <w:rsid w:val="00743455"/>
    <w:rsid w:val="007435B8"/>
    <w:rsid w:val="007440C0"/>
    <w:rsid w:val="007444AE"/>
    <w:rsid w:val="007447C6"/>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636"/>
    <w:rsid w:val="007678B9"/>
    <w:rsid w:val="00767DDD"/>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12AA"/>
    <w:rsid w:val="00931325"/>
    <w:rsid w:val="00931353"/>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B2D"/>
    <w:rsid w:val="00A163CD"/>
    <w:rsid w:val="00A16778"/>
    <w:rsid w:val="00A16B57"/>
    <w:rsid w:val="00A20224"/>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D65"/>
    <w:rsid w:val="00A36CF6"/>
    <w:rsid w:val="00A36EC5"/>
    <w:rsid w:val="00A37EDA"/>
    <w:rsid w:val="00A4035D"/>
    <w:rsid w:val="00A41358"/>
    <w:rsid w:val="00A413A3"/>
    <w:rsid w:val="00A43270"/>
    <w:rsid w:val="00A43FF0"/>
    <w:rsid w:val="00A441F0"/>
    <w:rsid w:val="00A4539E"/>
    <w:rsid w:val="00A46080"/>
    <w:rsid w:val="00A461CB"/>
    <w:rsid w:val="00A46C6C"/>
    <w:rsid w:val="00A46EB1"/>
    <w:rsid w:val="00A47127"/>
    <w:rsid w:val="00A47A54"/>
    <w:rsid w:val="00A47C59"/>
    <w:rsid w:val="00A50FEC"/>
    <w:rsid w:val="00A51FC3"/>
    <w:rsid w:val="00A532F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787"/>
    <w:rsid w:val="00A648E9"/>
    <w:rsid w:val="00A6654A"/>
    <w:rsid w:val="00A666BD"/>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63B"/>
    <w:rsid w:val="00AF4CC5"/>
    <w:rsid w:val="00AF5319"/>
    <w:rsid w:val="00AF58BA"/>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A0B"/>
    <w:rsid w:val="00BA1E85"/>
    <w:rsid w:val="00BA359B"/>
    <w:rsid w:val="00BA3A93"/>
    <w:rsid w:val="00BA40AA"/>
    <w:rsid w:val="00BA4929"/>
    <w:rsid w:val="00BA4D05"/>
    <w:rsid w:val="00BA5165"/>
    <w:rsid w:val="00BA5599"/>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6317"/>
    <w:rsid w:val="00C06D01"/>
    <w:rsid w:val="00C0711F"/>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1F55"/>
    <w:rsid w:val="00C730CC"/>
    <w:rsid w:val="00C74EAB"/>
    <w:rsid w:val="00C7532A"/>
    <w:rsid w:val="00C75721"/>
    <w:rsid w:val="00C760A6"/>
    <w:rsid w:val="00C762B7"/>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157"/>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15A8"/>
    <w:rsid w:val="00D024F9"/>
    <w:rsid w:val="00D027F9"/>
    <w:rsid w:val="00D032AA"/>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228C"/>
    <w:rsid w:val="00D52E06"/>
    <w:rsid w:val="00D53650"/>
    <w:rsid w:val="00D53F1B"/>
    <w:rsid w:val="00D553C7"/>
    <w:rsid w:val="00D55F82"/>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FAC"/>
    <w:rsid w:val="00D635B0"/>
    <w:rsid w:val="00D637A9"/>
    <w:rsid w:val="00D63BE1"/>
    <w:rsid w:val="00D65280"/>
    <w:rsid w:val="00D6616F"/>
    <w:rsid w:val="00D6699B"/>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4EA"/>
    <w:rsid w:val="00DE0B85"/>
    <w:rsid w:val="00DE0D66"/>
    <w:rsid w:val="00DE12BD"/>
    <w:rsid w:val="00DE1532"/>
    <w:rsid w:val="00DE179B"/>
    <w:rsid w:val="00DE292D"/>
    <w:rsid w:val="00DE2AA3"/>
    <w:rsid w:val="00DE30D1"/>
    <w:rsid w:val="00DE3A67"/>
    <w:rsid w:val="00DE3B74"/>
    <w:rsid w:val="00DE40F7"/>
    <w:rsid w:val="00DE47DF"/>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2047"/>
    <w:rsid w:val="00E023E5"/>
    <w:rsid w:val="00E026D4"/>
    <w:rsid w:val="00E02837"/>
    <w:rsid w:val="00E0287A"/>
    <w:rsid w:val="00E0443C"/>
    <w:rsid w:val="00E04B4F"/>
    <w:rsid w:val="00E05DAA"/>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DD1"/>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5073"/>
    <w:rsid w:val="00E65E8C"/>
    <w:rsid w:val="00E66800"/>
    <w:rsid w:val="00E66D78"/>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38A1"/>
    <w:rsid w:val="00FA3C01"/>
    <w:rsid w:val="00FA3F41"/>
    <w:rsid w:val="00FA4A3B"/>
    <w:rsid w:val="00FA4ABD"/>
    <w:rsid w:val="00FA62C1"/>
    <w:rsid w:val="00FA6B17"/>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CFDDB"/>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paragraph" w:styleId="Lista2">
    <w:name w:val="List 2"/>
    <w:basedOn w:val="Normal"/>
    <w:unhideWhenUsed/>
    <w:rsid w:val="00BA4929"/>
    <w:pPr>
      <w:ind w:left="566" w:hanging="283"/>
      <w:contextualSpacing/>
    </w:pPr>
  </w:style>
  <w:style w:type="paragraph" w:styleId="Listaconvietas3">
    <w:name w:val="List Bullet 3"/>
    <w:basedOn w:val="Normal"/>
    <w:unhideWhenUsed/>
    <w:rsid w:val="00BA4929"/>
    <w:pPr>
      <w:numPr>
        <w:numId w:val="44"/>
      </w:numPr>
      <w:contextualSpacing/>
    </w:pPr>
  </w:style>
  <w:style w:type="paragraph" w:styleId="Descripcin">
    <w:name w:val="caption"/>
    <w:basedOn w:val="Normal"/>
    <w:next w:val="Normal"/>
    <w:unhideWhenUsed/>
    <w:qFormat/>
    <w:rsid w:val="00BA4929"/>
    <w:pPr>
      <w:spacing w:after="200"/>
    </w:pPr>
    <w:rPr>
      <w:i/>
      <w:iCs/>
      <w:color w:val="1F497D" w:themeColor="text2"/>
      <w:sz w:val="18"/>
      <w:szCs w:val="18"/>
    </w:rPr>
  </w:style>
  <w:style w:type="paragraph" w:styleId="Sangradetextonormal">
    <w:name w:val="Body Text Indent"/>
    <w:basedOn w:val="Normal"/>
    <w:link w:val="SangradetextonormalCar"/>
    <w:semiHidden/>
    <w:unhideWhenUsed/>
    <w:rsid w:val="00BA4929"/>
    <w:pPr>
      <w:spacing w:after="120"/>
      <w:ind w:left="283"/>
    </w:pPr>
  </w:style>
  <w:style w:type="character" w:customStyle="1" w:styleId="SangradetextonormalCar">
    <w:name w:val="Sangría de texto normal Car"/>
    <w:basedOn w:val="Fuentedeprrafopredeter"/>
    <w:link w:val="Sangradetextonormal"/>
    <w:semiHidden/>
    <w:rsid w:val="00BA4929"/>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A492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A4929"/>
    <w:rPr>
      <w:rFonts w:ascii="Arial" w:hAnsi="Arial" w:cs="Arial"/>
      <w:sz w:val="24"/>
      <w:szCs w:val="24"/>
      <w:lang w:val="es-ES_tradnl" w:eastAsia="es-ES"/>
    </w:rPr>
  </w:style>
  <w:style w:type="paragraph" w:customStyle="1" w:styleId="p01">
    <w:name w:val="p01"/>
    <w:basedOn w:val="Normal1"/>
    <w:next w:val="p0"/>
    <w:rsid w:val="001666B1"/>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1666B1"/>
    <w:rPr>
      <w:rFonts w:ascii="Arial" w:hAnsi="Arial" w:cs="Arial"/>
      <w:sz w:val="24"/>
      <w:szCs w:val="24"/>
      <w:lang w:val="es-ES_tradnl" w:eastAsia="es-ES"/>
    </w:rPr>
  </w:style>
  <w:style w:type="character" w:styleId="Nmerodepgina">
    <w:name w:val="page number"/>
    <w:basedOn w:val="Fuentedeprrafopredeter"/>
    <w:uiPriority w:val="99"/>
    <w:rsid w:val="0016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dato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04/" TargetMode="External"/><Relationship Id="rId38" Type="http://schemas.openxmlformats.org/officeDocument/2006/relationships/hyperlink" Target="http://www.inegi.org.mx/programas/emoe/20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8960655858126794"/>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Datos!$C$137:$C$196</c:f>
              <c:numCache>
                <c:formatCode>0.0_)</c:formatCode>
                <c:ptCount val="56"/>
                <c:pt idx="0">
                  <c:v>53.109736068890903</c:v>
                </c:pt>
                <c:pt idx="1">
                  <c:v>52.9800751953521</c:v>
                </c:pt>
                <c:pt idx="2">
                  <c:v>52.9865023889841</c:v>
                </c:pt>
                <c:pt idx="3">
                  <c:v>52.393127200956798</c:v>
                </c:pt>
                <c:pt idx="4">
                  <c:v>52.676649052495002</c:v>
                </c:pt>
                <c:pt idx="5">
                  <c:v>52.900084794617698</c:v>
                </c:pt>
                <c:pt idx="6">
                  <c:v>53.132639613200098</c:v>
                </c:pt>
                <c:pt idx="7">
                  <c:v>52.377243402461197</c:v>
                </c:pt>
                <c:pt idx="8">
                  <c:v>52.921119113225998</c:v>
                </c:pt>
                <c:pt idx="9">
                  <c:v>52.434988641377799</c:v>
                </c:pt>
                <c:pt idx="10">
                  <c:v>52.484671539639201</c:v>
                </c:pt>
                <c:pt idx="11">
                  <c:v>52.1694636817763</c:v>
                </c:pt>
                <c:pt idx="12">
                  <c:v>52.518391436344203</c:v>
                </c:pt>
                <c:pt idx="13">
                  <c:v>52.367921990468702</c:v>
                </c:pt>
                <c:pt idx="14">
                  <c:v>52.1122054583698</c:v>
                </c:pt>
                <c:pt idx="15">
                  <c:v>52.381418923247899</c:v>
                </c:pt>
                <c:pt idx="16">
                  <c:v>52.347733900468597</c:v>
                </c:pt>
                <c:pt idx="17">
                  <c:v>52.161065663548897</c:v>
                </c:pt>
                <c:pt idx="18">
                  <c:v>52.307627477425299</c:v>
                </c:pt>
                <c:pt idx="19">
                  <c:v>52.797854538148599</c:v>
                </c:pt>
                <c:pt idx="20">
                  <c:v>52.539633790434898</c:v>
                </c:pt>
                <c:pt idx="21">
                  <c:v>52.698420971246101</c:v>
                </c:pt>
                <c:pt idx="22">
                  <c:v>52.2226645037777</c:v>
                </c:pt>
                <c:pt idx="23">
                  <c:v>52.3974139740589</c:v>
                </c:pt>
                <c:pt idx="24">
                  <c:v>51.812648778117797</c:v>
                </c:pt>
                <c:pt idx="25">
                  <c:v>51.751562690075303</c:v>
                </c:pt>
                <c:pt idx="26">
                  <c:v>52.031795885854301</c:v>
                </c:pt>
                <c:pt idx="27">
                  <c:v>52.366547577764699</c:v>
                </c:pt>
                <c:pt idx="28">
                  <c:v>52.4916799858225</c:v>
                </c:pt>
                <c:pt idx="29">
                  <c:v>52.313129952232799</c:v>
                </c:pt>
                <c:pt idx="30">
                  <c:v>51.996194648374498</c:v>
                </c:pt>
                <c:pt idx="31">
                  <c:v>52.077228529396699</c:v>
                </c:pt>
                <c:pt idx="32">
                  <c:v>50.871732878525002</c:v>
                </c:pt>
                <c:pt idx="33">
                  <c:v>51.620733932258702</c:v>
                </c:pt>
                <c:pt idx="34">
                  <c:v>51.843729297713999</c:v>
                </c:pt>
                <c:pt idx="35">
                  <c:v>51.850568358070198</c:v>
                </c:pt>
                <c:pt idx="36">
                  <c:v>51.504898446975503</c:v>
                </c:pt>
                <c:pt idx="37">
                  <c:v>51.779004097715898</c:v>
                </c:pt>
                <c:pt idx="38">
                  <c:v>52.518920628951001</c:v>
                </c:pt>
                <c:pt idx="39">
                  <c:v>51.128639199649498</c:v>
                </c:pt>
                <c:pt idx="40">
                  <c:v>51.258134378821097</c:v>
                </c:pt>
                <c:pt idx="41">
                  <c:v>51.289632170257001</c:v>
                </c:pt>
                <c:pt idx="42">
                  <c:v>52.192596035367799</c:v>
                </c:pt>
                <c:pt idx="43">
                  <c:v>51.4980272830161</c:v>
                </c:pt>
                <c:pt idx="44">
                  <c:v>51.791625760593497</c:v>
                </c:pt>
                <c:pt idx="45">
                  <c:v>51.546501589871198</c:v>
                </c:pt>
                <c:pt idx="46">
                  <c:v>51.476955551166</c:v>
                </c:pt>
                <c:pt idx="47">
                  <c:v>51.412797267537599</c:v>
                </c:pt>
                <c:pt idx="48">
                  <c:v>51.920886956008999</c:v>
                </c:pt>
                <c:pt idx="49">
                  <c:v>51.762529654898103</c:v>
                </c:pt>
                <c:pt idx="50">
                  <c:v>51.422126233389697</c:v>
                </c:pt>
                <c:pt idx="51">
                  <c:v>52.060523966480098</c:v>
                </c:pt>
                <c:pt idx="52">
                  <c:v>51.3870344244989</c:v>
                </c:pt>
                <c:pt idx="53">
                  <c:v>51.463892049163299</c:v>
                </c:pt>
                <c:pt idx="54">
                  <c:v>50.475674019352802</c:v>
                </c:pt>
                <c:pt idx="55">
                  <c:v>50.666646203126703</c:v>
                </c:pt>
              </c:numCache>
            </c:numRef>
          </c:val>
          <c:smooth val="0"/>
          <c:extLst>
            <c:ext xmlns:c16="http://schemas.microsoft.com/office/drawing/2014/chart" uri="{C3380CC4-5D6E-409C-BE32-E72D297353CC}">
              <c16:uniqueId val="{00000000-C38C-44AA-8F4E-B265DE3961BE}"/>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Datos!$D$137:$D$196</c:f>
              <c:numCache>
                <c:formatCode>0.0_)</c:formatCode>
                <c:ptCount val="56"/>
                <c:pt idx="0">
                  <c:v>52.896305656013404</c:v>
                </c:pt>
                <c:pt idx="1">
                  <c:v>52.894537830778802</c:v>
                </c:pt>
                <c:pt idx="2">
                  <c:v>52.868152932584799</c:v>
                </c:pt>
                <c:pt idx="3">
                  <c:v>52.832778526605097</c:v>
                </c:pt>
                <c:pt idx="4">
                  <c:v>52.805900419357101</c:v>
                </c:pt>
                <c:pt idx="5">
                  <c:v>52.795726381740899</c:v>
                </c:pt>
                <c:pt idx="6">
                  <c:v>52.778598136421202</c:v>
                </c:pt>
                <c:pt idx="7">
                  <c:v>52.735529103575203</c:v>
                </c:pt>
                <c:pt idx="8">
                  <c:v>52.658230392624702</c:v>
                </c:pt>
                <c:pt idx="9">
                  <c:v>52.555453642436298</c:v>
                </c:pt>
                <c:pt idx="10">
                  <c:v>52.4512994971371</c:v>
                </c:pt>
                <c:pt idx="11">
                  <c:v>52.3798807107488</c:v>
                </c:pt>
                <c:pt idx="12">
                  <c:v>52.338178502931399</c:v>
                </c:pt>
                <c:pt idx="13">
                  <c:v>52.3021987665498</c:v>
                </c:pt>
                <c:pt idx="14">
                  <c:v>52.274206173153601</c:v>
                </c:pt>
                <c:pt idx="15">
                  <c:v>52.2717191605511</c:v>
                </c:pt>
                <c:pt idx="16">
                  <c:v>52.300094907418703</c:v>
                </c:pt>
                <c:pt idx="17">
                  <c:v>52.363979119335802</c:v>
                </c:pt>
                <c:pt idx="18">
                  <c:v>52.453129336325297</c:v>
                </c:pt>
                <c:pt idx="19">
                  <c:v>52.536919113125002</c:v>
                </c:pt>
                <c:pt idx="20">
                  <c:v>52.558475809704198</c:v>
                </c:pt>
                <c:pt idx="21">
                  <c:v>52.490009026626097</c:v>
                </c:pt>
                <c:pt idx="22">
                  <c:v>52.345279523729701</c:v>
                </c:pt>
                <c:pt idx="23">
                  <c:v>52.175255638008402</c:v>
                </c:pt>
                <c:pt idx="24">
                  <c:v>52.057364122417297</c:v>
                </c:pt>
                <c:pt idx="25">
                  <c:v>52.0345151006008</c:v>
                </c:pt>
                <c:pt idx="26">
                  <c:v>52.096932072304902</c:v>
                </c:pt>
                <c:pt idx="27">
                  <c:v>52.191534711213301</c:v>
                </c:pt>
                <c:pt idx="28">
                  <c:v>52.254832610075098</c:v>
                </c:pt>
                <c:pt idx="29">
                  <c:v>52.236222791833697</c:v>
                </c:pt>
                <c:pt idx="30">
                  <c:v>52.143188321378403</c:v>
                </c:pt>
                <c:pt idx="31">
                  <c:v>52.000334417209302</c:v>
                </c:pt>
                <c:pt idx="32">
                  <c:v>51.867549760799299</c:v>
                </c:pt>
                <c:pt idx="33">
                  <c:v>51.7866567814782</c:v>
                </c:pt>
                <c:pt idx="34">
                  <c:v>51.750375841075503</c:v>
                </c:pt>
                <c:pt idx="35">
                  <c:v>51.7229636632443</c:v>
                </c:pt>
                <c:pt idx="36">
                  <c:v>51.668271493613197</c:v>
                </c:pt>
                <c:pt idx="37">
                  <c:v>51.581601077739997</c:v>
                </c:pt>
                <c:pt idx="38">
                  <c:v>51.476265018094601</c:v>
                </c:pt>
                <c:pt idx="39">
                  <c:v>51.386301536797497</c:v>
                </c:pt>
                <c:pt idx="40">
                  <c:v>51.3519837451678</c:v>
                </c:pt>
                <c:pt idx="41">
                  <c:v>51.382712759065399</c:v>
                </c:pt>
                <c:pt idx="42">
                  <c:v>51.443023793349802</c:v>
                </c:pt>
                <c:pt idx="43">
                  <c:v>51.506908066167099</c:v>
                </c:pt>
                <c:pt idx="44">
                  <c:v>51.565745598726302</c:v>
                </c:pt>
                <c:pt idx="45">
                  <c:v>51.597541853594301</c:v>
                </c:pt>
                <c:pt idx="46">
                  <c:v>51.6143332355213</c:v>
                </c:pt>
                <c:pt idx="47">
                  <c:v>51.630292736616497</c:v>
                </c:pt>
                <c:pt idx="48">
                  <c:v>51.653304668048698</c:v>
                </c:pt>
                <c:pt idx="49">
                  <c:v>51.672771638135501</c:v>
                </c:pt>
                <c:pt idx="50">
                  <c:v>51.661856931470801</c:v>
                </c:pt>
                <c:pt idx="51">
                  <c:v>51.581358260919998</c:v>
                </c:pt>
                <c:pt idx="52">
                  <c:v>51.413227444797897</c:v>
                </c:pt>
                <c:pt idx="53">
                  <c:v>51.1881458375329</c:v>
                </c:pt>
                <c:pt idx="54">
                  <c:v>50.957471957562603</c:v>
                </c:pt>
                <c:pt idx="55">
                  <c:v>50.7672217917737</c:v>
                </c:pt>
              </c:numCache>
            </c:numRef>
          </c:val>
          <c:smooth val="0"/>
          <c:extLst>
            <c:ext xmlns:c16="http://schemas.microsoft.com/office/drawing/2014/chart" uri="{C3380CC4-5D6E-409C-BE32-E72D297353CC}">
              <c16:uniqueId val="{00000001-C38C-44AA-8F4E-B265DE3961BE}"/>
            </c:ext>
          </c:extLst>
        </c:ser>
        <c:dLbls>
          <c:showLegendKey val="0"/>
          <c:showVal val="0"/>
          <c:showCatName val="0"/>
          <c:showSerName val="0"/>
          <c:showPercent val="0"/>
          <c:showBubbleSize val="0"/>
        </c:dLbls>
        <c:smooth val="0"/>
        <c:axId val="190359824"/>
        <c:axId val="190358648"/>
      </c:lineChart>
      <c:catAx>
        <c:axId val="1903598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358648"/>
        <c:crossesAt val="50"/>
        <c:auto val="1"/>
        <c:lblAlgn val="ctr"/>
        <c:lblOffset val="0"/>
        <c:tickLblSkip val="1"/>
        <c:tickMarkSkip val="12"/>
        <c:noMultiLvlLbl val="1"/>
      </c:catAx>
      <c:valAx>
        <c:axId val="19035864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59824"/>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8960655858126794"/>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Datos!$C$137:$C$196</c:f>
              <c:numCache>
                <c:formatCode>0.0_)</c:formatCode>
                <c:ptCount val="56"/>
                <c:pt idx="0">
                  <c:v>53.109736068890903</c:v>
                </c:pt>
                <c:pt idx="1">
                  <c:v>52.9800751953521</c:v>
                </c:pt>
                <c:pt idx="2">
                  <c:v>52.9865023889841</c:v>
                </c:pt>
                <c:pt idx="3">
                  <c:v>52.393127200956798</c:v>
                </c:pt>
                <c:pt idx="4">
                  <c:v>52.676649052495002</c:v>
                </c:pt>
                <c:pt idx="5">
                  <c:v>52.900084794617698</c:v>
                </c:pt>
                <c:pt idx="6">
                  <c:v>53.132639613200098</c:v>
                </c:pt>
                <c:pt idx="7">
                  <c:v>52.377243402461197</c:v>
                </c:pt>
                <c:pt idx="8">
                  <c:v>52.921119113225998</c:v>
                </c:pt>
                <c:pt idx="9">
                  <c:v>52.434988641377799</c:v>
                </c:pt>
                <c:pt idx="10">
                  <c:v>52.484671539639201</c:v>
                </c:pt>
                <c:pt idx="11">
                  <c:v>52.1694636817763</c:v>
                </c:pt>
                <c:pt idx="12">
                  <c:v>52.518391436344203</c:v>
                </c:pt>
                <c:pt idx="13">
                  <c:v>52.367921990468702</c:v>
                </c:pt>
                <c:pt idx="14">
                  <c:v>52.1122054583698</c:v>
                </c:pt>
                <c:pt idx="15">
                  <c:v>52.381418923247899</c:v>
                </c:pt>
                <c:pt idx="16">
                  <c:v>52.347733900468597</c:v>
                </c:pt>
                <c:pt idx="17">
                  <c:v>52.161065663548897</c:v>
                </c:pt>
                <c:pt idx="18">
                  <c:v>52.307627477425299</c:v>
                </c:pt>
                <c:pt idx="19">
                  <c:v>52.797854538148599</c:v>
                </c:pt>
                <c:pt idx="20">
                  <c:v>52.539633790434898</c:v>
                </c:pt>
                <c:pt idx="21">
                  <c:v>52.698420971246101</c:v>
                </c:pt>
                <c:pt idx="22">
                  <c:v>52.2226645037777</c:v>
                </c:pt>
                <c:pt idx="23">
                  <c:v>52.3974139740589</c:v>
                </c:pt>
                <c:pt idx="24">
                  <c:v>51.812648778117797</c:v>
                </c:pt>
                <c:pt idx="25">
                  <c:v>51.751562690075303</c:v>
                </c:pt>
                <c:pt idx="26">
                  <c:v>52.031795885854301</c:v>
                </c:pt>
                <c:pt idx="27">
                  <c:v>52.366547577764699</c:v>
                </c:pt>
                <c:pt idx="28">
                  <c:v>52.4916799858225</c:v>
                </c:pt>
                <c:pt idx="29">
                  <c:v>52.313129952232799</c:v>
                </c:pt>
                <c:pt idx="30">
                  <c:v>51.996194648374498</c:v>
                </c:pt>
                <c:pt idx="31">
                  <c:v>52.077228529396699</c:v>
                </c:pt>
                <c:pt idx="32">
                  <c:v>50.871732878525002</c:v>
                </c:pt>
                <c:pt idx="33">
                  <c:v>51.620733932258702</c:v>
                </c:pt>
                <c:pt idx="34">
                  <c:v>51.843729297713999</c:v>
                </c:pt>
                <c:pt idx="35">
                  <c:v>51.850568358070198</c:v>
                </c:pt>
                <c:pt idx="36">
                  <c:v>51.504898446975503</c:v>
                </c:pt>
                <c:pt idx="37">
                  <c:v>51.779004097715898</c:v>
                </c:pt>
                <c:pt idx="38">
                  <c:v>52.518920628951001</c:v>
                </c:pt>
                <c:pt idx="39">
                  <c:v>51.128639199649498</c:v>
                </c:pt>
                <c:pt idx="40">
                  <c:v>51.258134378821097</c:v>
                </c:pt>
                <c:pt idx="41">
                  <c:v>51.289632170257001</c:v>
                </c:pt>
                <c:pt idx="42">
                  <c:v>52.192596035367799</c:v>
                </c:pt>
                <c:pt idx="43">
                  <c:v>51.4980272830161</c:v>
                </c:pt>
                <c:pt idx="44">
                  <c:v>51.791625760593497</c:v>
                </c:pt>
                <c:pt idx="45">
                  <c:v>51.546501589871198</c:v>
                </c:pt>
                <c:pt idx="46">
                  <c:v>51.476955551166</c:v>
                </c:pt>
                <c:pt idx="47">
                  <c:v>51.412797267537599</c:v>
                </c:pt>
                <c:pt idx="48">
                  <c:v>51.920886956008999</c:v>
                </c:pt>
                <c:pt idx="49">
                  <c:v>51.762529654898103</c:v>
                </c:pt>
                <c:pt idx="50">
                  <c:v>51.422126233389697</c:v>
                </c:pt>
                <c:pt idx="51">
                  <c:v>52.060523966480098</c:v>
                </c:pt>
                <c:pt idx="52">
                  <c:v>51.3870344244989</c:v>
                </c:pt>
                <c:pt idx="53">
                  <c:v>51.463892049163299</c:v>
                </c:pt>
                <c:pt idx="54">
                  <c:v>50.475674019352802</c:v>
                </c:pt>
                <c:pt idx="55">
                  <c:v>50.666646203126703</c:v>
                </c:pt>
              </c:numCache>
            </c:numRef>
          </c:val>
          <c:smooth val="0"/>
          <c:extLst>
            <c:ext xmlns:c16="http://schemas.microsoft.com/office/drawing/2014/chart" uri="{C3380CC4-5D6E-409C-BE32-E72D297353CC}">
              <c16:uniqueId val="{00000000-D41E-43F1-97B2-0B9E19B65A01}"/>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Datos!$D$137:$D$196</c:f>
              <c:numCache>
                <c:formatCode>0.0_)</c:formatCode>
                <c:ptCount val="56"/>
                <c:pt idx="0">
                  <c:v>52.896305656013404</c:v>
                </c:pt>
                <c:pt idx="1">
                  <c:v>52.894537830778802</c:v>
                </c:pt>
                <c:pt idx="2">
                  <c:v>52.868152932584799</c:v>
                </c:pt>
                <c:pt idx="3">
                  <c:v>52.832778526605097</c:v>
                </c:pt>
                <c:pt idx="4">
                  <c:v>52.805900419357101</c:v>
                </c:pt>
                <c:pt idx="5">
                  <c:v>52.795726381740899</c:v>
                </c:pt>
                <c:pt idx="6">
                  <c:v>52.778598136421202</c:v>
                </c:pt>
                <c:pt idx="7">
                  <c:v>52.735529103575203</c:v>
                </c:pt>
                <c:pt idx="8">
                  <c:v>52.658230392624702</c:v>
                </c:pt>
                <c:pt idx="9">
                  <c:v>52.555453642436298</c:v>
                </c:pt>
                <c:pt idx="10">
                  <c:v>52.4512994971371</c:v>
                </c:pt>
                <c:pt idx="11">
                  <c:v>52.3798807107488</c:v>
                </c:pt>
                <c:pt idx="12">
                  <c:v>52.338178502931399</c:v>
                </c:pt>
                <c:pt idx="13">
                  <c:v>52.3021987665498</c:v>
                </c:pt>
                <c:pt idx="14">
                  <c:v>52.274206173153601</c:v>
                </c:pt>
                <c:pt idx="15">
                  <c:v>52.2717191605511</c:v>
                </c:pt>
                <c:pt idx="16">
                  <c:v>52.300094907418703</c:v>
                </c:pt>
                <c:pt idx="17">
                  <c:v>52.363979119335802</c:v>
                </c:pt>
                <c:pt idx="18">
                  <c:v>52.453129336325297</c:v>
                </c:pt>
                <c:pt idx="19">
                  <c:v>52.536919113125002</c:v>
                </c:pt>
                <c:pt idx="20">
                  <c:v>52.558475809704198</c:v>
                </c:pt>
                <c:pt idx="21">
                  <c:v>52.490009026626097</c:v>
                </c:pt>
                <c:pt idx="22">
                  <c:v>52.345279523729701</c:v>
                </c:pt>
                <c:pt idx="23">
                  <c:v>52.175255638008402</c:v>
                </c:pt>
                <c:pt idx="24">
                  <c:v>52.057364122417297</c:v>
                </c:pt>
                <c:pt idx="25">
                  <c:v>52.0345151006008</c:v>
                </c:pt>
                <c:pt idx="26">
                  <c:v>52.096932072304902</c:v>
                </c:pt>
                <c:pt idx="27">
                  <c:v>52.191534711213301</c:v>
                </c:pt>
                <c:pt idx="28">
                  <c:v>52.254832610075098</c:v>
                </c:pt>
                <c:pt idx="29">
                  <c:v>52.236222791833697</c:v>
                </c:pt>
                <c:pt idx="30">
                  <c:v>52.143188321378403</c:v>
                </c:pt>
                <c:pt idx="31">
                  <c:v>52.000334417209302</c:v>
                </c:pt>
                <c:pt idx="32">
                  <c:v>51.867549760799299</c:v>
                </c:pt>
                <c:pt idx="33">
                  <c:v>51.7866567814782</c:v>
                </c:pt>
                <c:pt idx="34">
                  <c:v>51.750375841075503</c:v>
                </c:pt>
                <c:pt idx="35">
                  <c:v>51.7229636632443</c:v>
                </c:pt>
                <c:pt idx="36">
                  <c:v>51.668271493613197</c:v>
                </c:pt>
                <c:pt idx="37">
                  <c:v>51.581601077739997</c:v>
                </c:pt>
                <c:pt idx="38">
                  <c:v>51.476265018094601</c:v>
                </c:pt>
                <c:pt idx="39">
                  <c:v>51.386301536797497</c:v>
                </c:pt>
                <c:pt idx="40">
                  <c:v>51.3519837451678</c:v>
                </c:pt>
                <c:pt idx="41">
                  <c:v>51.382712759065399</c:v>
                </c:pt>
                <c:pt idx="42">
                  <c:v>51.443023793349802</c:v>
                </c:pt>
                <c:pt idx="43">
                  <c:v>51.506908066167099</c:v>
                </c:pt>
                <c:pt idx="44">
                  <c:v>51.565745598726302</c:v>
                </c:pt>
                <c:pt idx="45">
                  <c:v>51.597541853594301</c:v>
                </c:pt>
                <c:pt idx="46">
                  <c:v>51.6143332355213</c:v>
                </c:pt>
                <c:pt idx="47">
                  <c:v>51.630292736616497</c:v>
                </c:pt>
                <c:pt idx="48">
                  <c:v>51.653304668048698</c:v>
                </c:pt>
                <c:pt idx="49">
                  <c:v>51.672771638135501</c:v>
                </c:pt>
                <c:pt idx="50">
                  <c:v>51.661856931470801</c:v>
                </c:pt>
                <c:pt idx="51">
                  <c:v>51.581358260919998</c:v>
                </c:pt>
                <c:pt idx="52">
                  <c:v>51.413227444797897</c:v>
                </c:pt>
                <c:pt idx="53">
                  <c:v>51.1881458375329</c:v>
                </c:pt>
                <c:pt idx="54">
                  <c:v>50.957471957562603</c:v>
                </c:pt>
                <c:pt idx="55">
                  <c:v>50.7672217917737</c:v>
                </c:pt>
              </c:numCache>
            </c:numRef>
          </c:val>
          <c:smooth val="0"/>
          <c:extLst>
            <c:ext xmlns:c16="http://schemas.microsoft.com/office/drawing/2014/chart" uri="{C3380CC4-5D6E-409C-BE32-E72D297353CC}">
              <c16:uniqueId val="{00000001-D41E-43F1-97B2-0B9E19B65A01}"/>
            </c:ext>
          </c:extLst>
        </c:ser>
        <c:dLbls>
          <c:showLegendKey val="0"/>
          <c:showVal val="0"/>
          <c:showCatName val="0"/>
          <c:showSerName val="0"/>
          <c:showPercent val="0"/>
          <c:showBubbleSize val="0"/>
        </c:dLbls>
        <c:smooth val="0"/>
        <c:axId val="190359824"/>
        <c:axId val="190358648"/>
      </c:lineChart>
      <c:catAx>
        <c:axId val="1903598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358648"/>
        <c:crossesAt val="50"/>
        <c:auto val="1"/>
        <c:lblAlgn val="ctr"/>
        <c:lblOffset val="0"/>
        <c:tickLblSkip val="1"/>
        <c:tickMarkSkip val="12"/>
        <c:noMultiLvlLbl val="1"/>
      </c:catAx>
      <c:valAx>
        <c:axId val="19035864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59824"/>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Datos!$E$137:$E$196</c:f>
              <c:numCache>
                <c:formatCode>0.0_)</c:formatCode>
                <c:ptCount val="56"/>
                <c:pt idx="0">
                  <c:v>55.713045676397897</c:v>
                </c:pt>
                <c:pt idx="1">
                  <c:v>55.357304107309403</c:v>
                </c:pt>
                <c:pt idx="2">
                  <c:v>56.065078352389001</c:v>
                </c:pt>
                <c:pt idx="3">
                  <c:v>55.034749736641302</c:v>
                </c:pt>
                <c:pt idx="4">
                  <c:v>55.514855529628399</c:v>
                </c:pt>
                <c:pt idx="5">
                  <c:v>55.585036160069102</c:v>
                </c:pt>
                <c:pt idx="6">
                  <c:v>56.035966561124397</c:v>
                </c:pt>
                <c:pt idx="7">
                  <c:v>54.712678340565397</c:v>
                </c:pt>
                <c:pt idx="8">
                  <c:v>55.326492552628302</c:v>
                </c:pt>
                <c:pt idx="9">
                  <c:v>54.8050005029435</c:v>
                </c:pt>
                <c:pt idx="10">
                  <c:v>54.2294135261223</c:v>
                </c:pt>
                <c:pt idx="11">
                  <c:v>54.500320835596597</c:v>
                </c:pt>
                <c:pt idx="12">
                  <c:v>55.623390927859703</c:v>
                </c:pt>
                <c:pt idx="13">
                  <c:v>54.908854113340702</c:v>
                </c:pt>
                <c:pt idx="14">
                  <c:v>54.149605523593202</c:v>
                </c:pt>
                <c:pt idx="15">
                  <c:v>54.880730004017501</c:v>
                </c:pt>
                <c:pt idx="16">
                  <c:v>54.486919196424402</c:v>
                </c:pt>
                <c:pt idx="17">
                  <c:v>54.383152192589201</c:v>
                </c:pt>
                <c:pt idx="18">
                  <c:v>54.5583101341469</c:v>
                </c:pt>
                <c:pt idx="19">
                  <c:v>56.049293100867303</c:v>
                </c:pt>
                <c:pt idx="20">
                  <c:v>55.005031453313201</c:v>
                </c:pt>
                <c:pt idx="21">
                  <c:v>55.3679079367</c:v>
                </c:pt>
                <c:pt idx="22">
                  <c:v>55.530699135150698</c:v>
                </c:pt>
                <c:pt idx="23">
                  <c:v>54.966631214900602</c:v>
                </c:pt>
                <c:pt idx="24">
                  <c:v>53.604212634515697</c:v>
                </c:pt>
                <c:pt idx="25">
                  <c:v>51.953516008380298</c:v>
                </c:pt>
                <c:pt idx="26">
                  <c:v>54.582239365455003</c:v>
                </c:pt>
                <c:pt idx="27">
                  <c:v>55.2128055676285</c:v>
                </c:pt>
                <c:pt idx="28">
                  <c:v>54.758796156010703</c:v>
                </c:pt>
                <c:pt idx="29">
                  <c:v>54.129978175847697</c:v>
                </c:pt>
                <c:pt idx="30">
                  <c:v>53.635133834117603</c:v>
                </c:pt>
                <c:pt idx="31">
                  <c:v>54.9014736609602</c:v>
                </c:pt>
                <c:pt idx="32">
                  <c:v>53.094152948462302</c:v>
                </c:pt>
                <c:pt idx="33">
                  <c:v>53.159288189430697</c:v>
                </c:pt>
                <c:pt idx="34">
                  <c:v>53.3077186023962</c:v>
                </c:pt>
                <c:pt idx="35">
                  <c:v>52.896470378188098</c:v>
                </c:pt>
                <c:pt idx="36">
                  <c:v>53.291180637594401</c:v>
                </c:pt>
                <c:pt idx="37">
                  <c:v>53.088274984482403</c:v>
                </c:pt>
                <c:pt idx="38">
                  <c:v>53.469953942375099</c:v>
                </c:pt>
                <c:pt idx="39">
                  <c:v>52.071854094031401</c:v>
                </c:pt>
                <c:pt idx="40">
                  <c:v>52.214960876460196</c:v>
                </c:pt>
                <c:pt idx="41">
                  <c:v>53.481113703843597</c:v>
                </c:pt>
                <c:pt idx="42">
                  <c:v>53.345546272064098</c:v>
                </c:pt>
                <c:pt idx="43">
                  <c:v>52.987308549783698</c:v>
                </c:pt>
                <c:pt idx="44">
                  <c:v>53.341165220498901</c:v>
                </c:pt>
                <c:pt idx="45">
                  <c:v>53.183103386798102</c:v>
                </c:pt>
                <c:pt idx="46">
                  <c:v>52.604167878058902</c:v>
                </c:pt>
                <c:pt idx="47">
                  <c:v>53.084934634697703</c:v>
                </c:pt>
                <c:pt idx="48">
                  <c:v>52.948155185924001</c:v>
                </c:pt>
                <c:pt idx="49">
                  <c:v>52.907798358828103</c:v>
                </c:pt>
                <c:pt idx="50">
                  <c:v>52.4100293760184</c:v>
                </c:pt>
                <c:pt idx="51">
                  <c:v>53.195351074368901</c:v>
                </c:pt>
                <c:pt idx="52">
                  <c:v>53.748189187967</c:v>
                </c:pt>
                <c:pt idx="53">
                  <c:v>52.3538026050906</c:v>
                </c:pt>
                <c:pt idx="54">
                  <c:v>51.711675648792699</c:v>
                </c:pt>
                <c:pt idx="55">
                  <c:v>51.575444089633898</c:v>
                </c:pt>
              </c:numCache>
            </c:numRef>
          </c:val>
          <c:smooth val="0"/>
          <c:extLst>
            <c:ext xmlns:c16="http://schemas.microsoft.com/office/drawing/2014/chart" uri="{C3380CC4-5D6E-409C-BE32-E72D297353CC}">
              <c16:uniqueId val="{00000000-3131-4B35-BA0E-012276A0E692}"/>
            </c:ext>
          </c:extLst>
        </c:ser>
        <c:ser>
          <c:idx val="1"/>
          <c:order val="1"/>
          <c:tx>
            <c:strRef>
              <c:f>Datos!$F$4</c:f>
              <c:strCache>
                <c:ptCount val="1"/>
                <c:pt idx="0">
                  <c:v>Tendencia-Ciclo</c:v>
                </c:pt>
              </c:strCache>
            </c:strRef>
          </c:tx>
          <c:spPr>
            <a:ln w="12700">
              <a:solidFill>
                <a:schemeClr val="tx1"/>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Datos!$F$137:$F$196</c:f>
              <c:numCache>
                <c:formatCode>0.0_)</c:formatCode>
                <c:ptCount val="56"/>
                <c:pt idx="0">
                  <c:v>55.678591891920803</c:v>
                </c:pt>
                <c:pt idx="1">
                  <c:v>55.6177932859054</c:v>
                </c:pt>
                <c:pt idx="2">
                  <c:v>55.577132306677498</c:v>
                </c:pt>
                <c:pt idx="3">
                  <c:v>55.558188767757898</c:v>
                </c:pt>
                <c:pt idx="4">
                  <c:v>55.5509788935871</c:v>
                </c:pt>
                <c:pt idx="5">
                  <c:v>55.525478901520003</c:v>
                </c:pt>
                <c:pt idx="6">
                  <c:v>55.415676098850199</c:v>
                </c:pt>
                <c:pt idx="7">
                  <c:v>55.228260461436498</c:v>
                </c:pt>
                <c:pt idx="8">
                  <c:v>55.017110702459597</c:v>
                </c:pt>
                <c:pt idx="9">
                  <c:v>54.822487356281897</c:v>
                </c:pt>
                <c:pt idx="10">
                  <c:v>54.680080560930598</c:v>
                </c:pt>
                <c:pt idx="11">
                  <c:v>54.629759787012603</c:v>
                </c:pt>
                <c:pt idx="12">
                  <c:v>54.633558590630798</c:v>
                </c:pt>
                <c:pt idx="13">
                  <c:v>54.621625432286798</c:v>
                </c:pt>
                <c:pt idx="14">
                  <c:v>54.585939944943703</c:v>
                </c:pt>
                <c:pt idx="15">
                  <c:v>54.565478081975698</c:v>
                </c:pt>
                <c:pt idx="16">
                  <c:v>54.575083154131597</c:v>
                </c:pt>
                <c:pt idx="17">
                  <c:v>54.6683607430314</c:v>
                </c:pt>
                <c:pt idx="18">
                  <c:v>54.868614402608898</c:v>
                </c:pt>
                <c:pt idx="19">
                  <c:v>55.096227380052703</c:v>
                </c:pt>
                <c:pt idx="20">
                  <c:v>55.240192259279198</c:v>
                </c:pt>
                <c:pt idx="21">
                  <c:v>55.239110109264502</c:v>
                </c:pt>
                <c:pt idx="22">
                  <c:v>55.101839606045601</c:v>
                </c:pt>
                <c:pt idx="23">
                  <c:v>54.886965588605598</c:v>
                </c:pt>
                <c:pt idx="24">
                  <c:v>54.700874362398501</c:v>
                </c:pt>
                <c:pt idx="25">
                  <c:v>54.592292374377998</c:v>
                </c:pt>
                <c:pt idx="26">
                  <c:v>54.5507892351783</c:v>
                </c:pt>
                <c:pt idx="27">
                  <c:v>54.505520336270401</c:v>
                </c:pt>
                <c:pt idx="28">
                  <c:v>54.399973502482503</c:v>
                </c:pt>
                <c:pt idx="29">
                  <c:v>54.192290532388</c:v>
                </c:pt>
                <c:pt idx="30">
                  <c:v>53.890566626548598</c:v>
                </c:pt>
                <c:pt idx="31">
                  <c:v>53.576122774321703</c:v>
                </c:pt>
                <c:pt idx="32">
                  <c:v>53.326863379247698</c:v>
                </c:pt>
                <c:pt idx="33">
                  <c:v>53.194247979364199</c:v>
                </c:pt>
                <c:pt idx="34">
                  <c:v>53.163728588666103</c:v>
                </c:pt>
                <c:pt idx="35">
                  <c:v>53.151042888227401</c:v>
                </c:pt>
                <c:pt idx="36">
                  <c:v>53.097798544611202</c:v>
                </c:pt>
                <c:pt idx="37">
                  <c:v>53.012750358019098</c:v>
                </c:pt>
                <c:pt idx="38">
                  <c:v>52.918832025471801</c:v>
                </c:pt>
                <c:pt idx="39">
                  <c:v>52.852154471646102</c:v>
                </c:pt>
                <c:pt idx="40">
                  <c:v>52.864935983177297</c:v>
                </c:pt>
                <c:pt idx="41">
                  <c:v>52.941336641971901</c:v>
                </c:pt>
                <c:pt idx="42">
                  <c:v>53.0431471308152</c:v>
                </c:pt>
                <c:pt idx="43">
                  <c:v>53.128422946450598</c:v>
                </c:pt>
                <c:pt idx="44">
                  <c:v>53.158862296951497</c:v>
                </c:pt>
                <c:pt idx="45">
                  <c:v>53.107507231036202</c:v>
                </c:pt>
                <c:pt idx="46">
                  <c:v>53.003753151598197</c:v>
                </c:pt>
                <c:pt idx="47">
                  <c:v>52.926967005582398</c:v>
                </c:pt>
                <c:pt idx="48">
                  <c:v>52.902119638765399</c:v>
                </c:pt>
                <c:pt idx="49">
                  <c:v>52.891855849805502</c:v>
                </c:pt>
                <c:pt idx="50">
                  <c:v>52.855317970924702</c:v>
                </c:pt>
                <c:pt idx="51">
                  <c:v>52.7557899713075</c:v>
                </c:pt>
                <c:pt idx="52">
                  <c:v>52.559712238841499</c:v>
                </c:pt>
                <c:pt idx="53">
                  <c:v>52.276349457954602</c:v>
                </c:pt>
                <c:pt idx="54">
                  <c:v>51.943283314663297</c:v>
                </c:pt>
                <c:pt idx="55">
                  <c:v>51.601951997634302</c:v>
                </c:pt>
              </c:numCache>
            </c:numRef>
          </c:val>
          <c:smooth val="0"/>
          <c:extLst>
            <c:ext xmlns:c16="http://schemas.microsoft.com/office/drawing/2014/chart" uri="{C3380CC4-5D6E-409C-BE32-E72D297353CC}">
              <c16:uniqueId val="{00000001-3131-4B35-BA0E-012276A0E692}"/>
            </c:ext>
          </c:extLst>
        </c:ser>
        <c:dLbls>
          <c:showLegendKey val="0"/>
          <c:showVal val="0"/>
          <c:showCatName val="0"/>
          <c:showSerName val="0"/>
          <c:showPercent val="0"/>
          <c:showBubbleSize val="0"/>
        </c:dLbls>
        <c:smooth val="0"/>
        <c:axId val="190356296"/>
        <c:axId val="190357080"/>
      </c:lineChart>
      <c:catAx>
        <c:axId val="1903562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7080"/>
        <c:crossesAt val="50"/>
        <c:auto val="1"/>
        <c:lblAlgn val="ctr"/>
        <c:lblOffset val="100"/>
        <c:tickLblSkip val="1"/>
        <c:tickMarkSkip val="12"/>
        <c:noMultiLvlLbl val="1"/>
      </c:catAx>
      <c:valAx>
        <c:axId val="190357080"/>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6296"/>
        <c:crosses val="autoZero"/>
        <c:crossBetween val="between"/>
        <c:majorUnit val="2"/>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Datos!$G$137:$G$196</c:f>
              <c:numCache>
                <c:formatCode>0.0_)</c:formatCode>
                <c:ptCount val="56"/>
                <c:pt idx="0">
                  <c:v>55.269413270208403</c:v>
                </c:pt>
                <c:pt idx="1">
                  <c:v>54.740060163770401</c:v>
                </c:pt>
                <c:pt idx="2">
                  <c:v>53.5130239802048</c:v>
                </c:pt>
                <c:pt idx="3">
                  <c:v>52.706194338278898</c:v>
                </c:pt>
                <c:pt idx="4">
                  <c:v>53.761977631812798</c:v>
                </c:pt>
                <c:pt idx="5">
                  <c:v>53.9974221848504</c:v>
                </c:pt>
                <c:pt idx="6">
                  <c:v>54.172757127152003</c:v>
                </c:pt>
                <c:pt idx="7">
                  <c:v>54.071740765070203</c:v>
                </c:pt>
                <c:pt idx="8">
                  <c:v>54.903349211685899</c:v>
                </c:pt>
                <c:pt idx="9">
                  <c:v>53.574324677495802</c:v>
                </c:pt>
                <c:pt idx="10">
                  <c:v>53.8466170133376</c:v>
                </c:pt>
                <c:pt idx="11">
                  <c:v>53.297972354566902</c:v>
                </c:pt>
                <c:pt idx="12">
                  <c:v>53.436953627538898</c:v>
                </c:pt>
                <c:pt idx="13">
                  <c:v>52.7226027236661</c:v>
                </c:pt>
                <c:pt idx="14">
                  <c:v>52.882312245492798</c:v>
                </c:pt>
                <c:pt idx="15">
                  <c:v>53.169188318452903</c:v>
                </c:pt>
                <c:pt idx="16">
                  <c:v>52.886629754191603</c:v>
                </c:pt>
                <c:pt idx="17">
                  <c:v>53.001810294881402</c:v>
                </c:pt>
                <c:pt idx="18">
                  <c:v>53.486103380291397</c:v>
                </c:pt>
                <c:pt idx="19">
                  <c:v>53.992584195473597</c:v>
                </c:pt>
                <c:pt idx="20">
                  <c:v>54.085444412707197</c:v>
                </c:pt>
                <c:pt idx="21">
                  <c:v>53.819742652456</c:v>
                </c:pt>
                <c:pt idx="22">
                  <c:v>52.504454894029003</c:v>
                </c:pt>
                <c:pt idx="23">
                  <c:v>52.982439292484599</c:v>
                </c:pt>
                <c:pt idx="24">
                  <c:v>52.9575816842788</c:v>
                </c:pt>
                <c:pt idx="25">
                  <c:v>54.020769579054701</c:v>
                </c:pt>
                <c:pt idx="26">
                  <c:v>51.830179842718103</c:v>
                </c:pt>
                <c:pt idx="27">
                  <c:v>53.478213318691303</c:v>
                </c:pt>
                <c:pt idx="28">
                  <c:v>53.7807127893428</c:v>
                </c:pt>
                <c:pt idx="29">
                  <c:v>53.4027229537922</c:v>
                </c:pt>
                <c:pt idx="30">
                  <c:v>53.247165960441201</c:v>
                </c:pt>
                <c:pt idx="31">
                  <c:v>53.299175770131399</c:v>
                </c:pt>
                <c:pt idx="32">
                  <c:v>49.737742563131597</c:v>
                </c:pt>
                <c:pt idx="33">
                  <c:v>52.6745342638091</c:v>
                </c:pt>
                <c:pt idx="34">
                  <c:v>53.248765794076498</c:v>
                </c:pt>
                <c:pt idx="35">
                  <c:v>53.610250696535097</c:v>
                </c:pt>
                <c:pt idx="36">
                  <c:v>51.551827532446801</c:v>
                </c:pt>
                <c:pt idx="37">
                  <c:v>52.325547232809299</c:v>
                </c:pt>
                <c:pt idx="38">
                  <c:v>54.767056612469702</c:v>
                </c:pt>
                <c:pt idx="39">
                  <c:v>52.462776412553701</c:v>
                </c:pt>
                <c:pt idx="40">
                  <c:v>52.274874394952903</c:v>
                </c:pt>
                <c:pt idx="41">
                  <c:v>52.400204291734198</c:v>
                </c:pt>
                <c:pt idx="42">
                  <c:v>53.644960304348501</c:v>
                </c:pt>
                <c:pt idx="43">
                  <c:v>52.173804254480103</c:v>
                </c:pt>
                <c:pt idx="44">
                  <c:v>52.249481714629297</c:v>
                </c:pt>
                <c:pt idx="45">
                  <c:v>52.105781977546599</c:v>
                </c:pt>
                <c:pt idx="46">
                  <c:v>52.887487807914603</c:v>
                </c:pt>
                <c:pt idx="47">
                  <c:v>52.415743024203103</c:v>
                </c:pt>
                <c:pt idx="48">
                  <c:v>53.958589006660802</c:v>
                </c:pt>
                <c:pt idx="49">
                  <c:v>53.3904620539898</c:v>
                </c:pt>
                <c:pt idx="50">
                  <c:v>51.9213718602348</c:v>
                </c:pt>
                <c:pt idx="51">
                  <c:v>54.602325154701397</c:v>
                </c:pt>
                <c:pt idx="52">
                  <c:v>53.208373462109698</c:v>
                </c:pt>
                <c:pt idx="53">
                  <c:v>52.938966855557602</c:v>
                </c:pt>
                <c:pt idx="54">
                  <c:v>49.942905659787499</c:v>
                </c:pt>
                <c:pt idx="55">
                  <c:v>51.738333614999299</c:v>
                </c:pt>
              </c:numCache>
            </c:numRef>
          </c:val>
          <c:smooth val="0"/>
          <c:extLst>
            <c:ext xmlns:c16="http://schemas.microsoft.com/office/drawing/2014/chart" uri="{C3380CC4-5D6E-409C-BE32-E72D297353CC}">
              <c16:uniqueId val="{00000000-74E4-43BD-A344-641192E17B82}"/>
            </c:ext>
          </c:extLst>
        </c:ser>
        <c:ser>
          <c:idx val="1"/>
          <c:order val="1"/>
          <c:tx>
            <c:strRef>
              <c:f>Datos!$H$4</c:f>
              <c:strCache>
                <c:ptCount val="1"/>
                <c:pt idx="0">
                  <c:v>Tendencia-Ciclo</c:v>
                </c:pt>
              </c:strCache>
            </c:strRef>
          </c:tx>
          <c:spPr>
            <a:ln w="12700">
              <a:solidFill>
                <a:schemeClr val="tx1"/>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Datos!$H$137:$H$196</c:f>
              <c:numCache>
                <c:formatCode>0.0_)</c:formatCode>
                <c:ptCount val="56"/>
                <c:pt idx="0">
                  <c:v>54.393272177748798</c:v>
                </c:pt>
                <c:pt idx="1">
                  <c:v>54.138094214605303</c:v>
                </c:pt>
                <c:pt idx="2">
                  <c:v>53.882772865769802</c:v>
                </c:pt>
                <c:pt idx="3">
                  <c:v>53.733327072258597</c:v>
                </c:pt>
                <c:pt idx="4">
                  <c:v>53.743844008925898</c:v>
                </c:pt>
                <c:pt idx="5">
                  <c:v>53.875877379141599</c:v>
                </c:pt>
                <c:pt idx="6">
                  <c:v>54.0558608869352</c:v>
                </c:pt>
                <c:pt idx="7">
                  <c:v>54.198786271714098</c:v>
                </c:pt>
                <c:pt idx="8">
                  <c:v>54.191169278719002</c:v>
                </c:pt>
                <c:pt idx="9">
                  <c:v>54.012599573487599</c:v>
                </c:pt>
                <c:pt idx="10">
                  <c:v>53.742026992253898</c:v>
                </c:pt>
                <c:pt idx="11">
                  <c:v>53.4584935785401</c:v>
                </c:pt>
                <c:pt idx="12">
                  <c:v>53.203398425699397</c:v>
                </c:pt>
                <c:pt idx="13">
                  <c:v>53.012176471155001</c:v>
                </c:pt>
                <c:pt idx="14">
                  <c:v>52.914377782159697</c:v>
                </c:pt>
                <c:pt idx="15">
                  <c:v>52.930124243793799</c:v>
                </c:pt>
                <c:pt idx="16">
                  <c:v>53.072626307965798</c:v>
                </c:pt>
                <c:pt idx="17">
                  <c:v>53.311106496529099</c:v>
                </c:pt>
                <c:pt idx="18">
                  <c:v>53.538420635019499</c:v>
                </c:pt>
                <c:pt idx="19">
                  <c:v>53.648824248523702</c:v>
                </c:pt>
                <c:pt idx="20">
                  <c:v>53.614109606040202</c:v>
                </c:pt>
                <c:pt idx="21">
                  <c:v>53.479201147953098</c:v>
                </c:pt>
                <c:pt idx="22">
                  <c:v>53.303960236009701</c:v>
                </c:pt>
                <c:pt idx="23">
                  <c:v>53.178374474536596</c:v>
                </c:pt>
                <c:pt idx="24">
                  <c:v>53.175709981004701</c:v>
                </c:pt>
                <c:pt idx="25">
                  <c:v>53.286835295794098</c:v>
                </c:pt>
                <c:pt idx="26">
                  <c:v>53.441620910164197</c:v>
                </c:pt>
                <c:pt idx="27">
                  <c:v>53.550565555229298</c:v>
                </c:pt>
                <c:pt idx="28">
                  <c:v>53.544212604703702</c:v>
                </c:pt>
                <c:pt idx="29">
                  <c:v>53.425017161239097</c:v>
                </c:pt>
                <c:pt idx="30">
                  <c:v>53.292218317697902</c:v>
                </c:pt>
                <c:pt idx="31">
                  <c:v>53.189578395299399</c:v>
                </c:pt>
                <c:pt idx="32">
                  <c:v>53.119056863279098</c:v>
                </c:pt>
                <c:pt idx="33">
                  <c:v>53.050759783957702</c:v>
                </c:pt>
                <c:pt idx="34">
                  <c:v>52.981039548158599</c:v>
                </c:pt>
                <c:pt idx="35">
                  <c:v>52.881657166971401</c:v>
                </c:pt>
                <c:pt idx="36">
                  <c:v>52.7353649099867</c:v>
                </c:pt>
                <c:pt idx="37">
                  <c:v>52.583428708517197</c:v>
                </c:pt>
                <c:pt idx="38">
                  <c:v>52.463573721537202</c:v>
                </c:pt>
                <c:pt idx="39">
                  <c:v>52.401440659666001</c:v>
                </c:pt>
                <c:pt idx="40">
                  <c:v>52.385343196306103</c:v>
                </c:pt>
                <c:pt idx="41">
                  <c:v>52.393638781821998</c:v>
                </c:pt>
                <c:pt idx="42">
                  <c:v>52.361889809605302</c:v>
                </c:pt>
                <c:pt idx="43">
                  <c:v>52.313151257867098</c:v>
                </c:pt>
                <c:pt idx="44">
                  <c:v>52.3314383208888</c:v>
                </c:pt>
                <c:pt idx="45">
                  <c:v>52.453372067224102</c:v>
                </c:pt>
                <c:pt idx="46">
                  <c:v>52.668007683814402</c:v>
                </c:pt>
                <c:pt idx="47">
                  <c:v>52.9351701958118</c:v>
                </c:pt>
                <c:pt idx="48">
                  <c:v>53.1984496142463</c:v>
                </c:pt>
                <c:pt idx="49">
                  <c:v>53.381989668482099</c:v>
                </c:pt>
                <c:pt idx="50">
                  <c:v>53.426309783519798</c:v>
                </c:pt>
                <c:pt idx="51">
                  <c:v>53.3018510669337</c:v>
                </c:pt>
                <c:pt idx="52">
                  <c:v>53.0296223085343</c:v>
                </c:pt>
                <c:pt idx="53">
                  <c:v>52.675874654632103</c:v>
                </c:pt>
                <c:pt idx="54">
                  <c:v>52.3078741503952</c:v>
                </c:pt>
                <c:pt idx="55">
                  <c:v>51.977755014049897</c:v>
                </c:pt>
              </c:numCache>
            </c:numRef>
          </c:val>
          <c:smooth val="0"/>
          <c:extLst>
            <c:ext xmlns:c16="http://schemas.microsoft.com/office/drawing/2014/chart" uri="{C3380CC4-5D6E-409C-BE32-E72D297353CC}">
              <c16:uniqueId val="{00000001-74E4-43BD-A344-641192E17B82}"/>
            </c:ext>
          </c:extLst>
        </c:ser>
        <c:dLbls>
          <c:showLegendKey val="0"/>
          <c:showVal val="0"/>
          <c:showCatName val="0"/>
          <c:showSerName val="0"/>
          <c:showPercent val="0"/>
          <c:showBubbleSize val="0"/>
        </c:dLbls>
        <c:smooth val="0"/>
        <c:axId val="190357472"/>
        <c:axId val="190357864"/>
      </c:lineChart>
      <c:catAx>
        <c:axId val="1903574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7864"/>
        <c:crossesAt val="50"/>
        <c:auto val="1"/>
        <c:lblAlgn val="ctr"/>
        <c:lblOffset val="100"/>
        <c:tickLblSkip val="1"/>
        <c:tickMarkSkip val="12"/>
        <c:noMultiLvlLbl val="1"/>
      </c:catAx>
      <c:valAx>
        <c:axId val="190357864"/>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7472"/>
        <c:crosses val="autoZero"/>
        <c:crossBetween val="between"/>
        <c:majorUnit val="2"/>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Datos!$I$137:$I$196</c:f>
              <c:numCache>
                <c:formatCode>0.0_)</c:formatCode>
                <c:ptCount val="56"/>
                <c:pt idx="0">
                  <c:v>52.2847991113739</c:v>
                </c:pt>
                <c:pt idx="1">
                  <c:v>51.5805956178746</c:v>
                </c:pt>
                <c:pt idx="2">
                  <c:v>51.818257825730399</c:v>
                </c:pt>
                <c:pt idx="3">
                  <c:v>51.840739777371098</c:v>
                </c:pt>
                <c:pt idx="4">
                  <c:v>51.651028284220303</c:v>
                </c:pt>
                <c:pt idx="5">
                  <c:v>52.116025372620697</c:v>
                </c:pt>
                <c:pt idx="6">
                  <c:v>51.942335312149602</c:v>
                </c:pt>
                <c:pt idx="7">
                  <c:v>51.508375829275202</c:v>
                </c:pt>
                <c:pt idx="8">
                  <c:v>51.810914418338399</c:v>
                </c:pt>
                <c:pt idx="9">
                  <c:v>51.472054674491801</c:v>
                </c:pt>
                <c:pt idx="10">
                  <c:v>52.1546345055351</c:v>
                </c:pt>
                <c:pt idx="11">
                  <c:v>51.571054002554199</c:v>
                </c:pt>
                <c:pt idx="12">
                  <c:v>51.389408202772103</c:v>
                </c:pt>
                <c:pt idx="13">
                  <c:v>51.469529420372403</c:v>
                </c:pt>
                <c:pt idx="14">
                  <c:v>51.844145189000102</c:v>
                </c:pt>
                <c:pt idx="15">
                  <c:v>51.692975451945699</c:v>
                </c:pt>
                <c:pt idx="16">
                  <c:v>51.659472940693803</c:v>
                </c:pt>
                <c:pt idx="17">
                  <c:v>51.471238386522799</c:v>
                </c:pt>
                <c:pt idx="18">
                  <c:v>51.285291685542397</c:v>
                </c:pt>
                <c:pt idx="19">
                  <c:v>52.177525776956699</c:v>
                </c:pt>
                <c:pt idx="20">
                  <c:v>51.458290311800098</c:v>
                </c:pt>
                <c:pt idx="21">
                  <c:v>51.629777285406803</c:v>
                </c:pt>
                <c:pt idx="22">
                  <c:v>50.979559254634097</c:v>
                </c:pt>
                <c:pt idx="23">
                  <c:v>52.0373064340125</c:v>
                </c:pt>
                <c:pt idx="24">
                  <c:v>50.9708577515242</c:v>
                </c:pt>
                <c:pt idx="25">
                  <c:v>50.837108902286097</c:v>
                </c:pt>
                <c:pt idx="26">
                  <c:v>50.477775241494797</c:v>
                </c:pt>
                <c:pt idx="27">
                  <c:v>50.924034798434199</c:v>
                </c:pt>
                <c:pt idx="28">
                  <c:v>51.279525654316501</c:v>
                </c:pt>
                <c:pt idx="29">
                  <c:v>51.373507130687997</c:v>
                </c:pt>
                <c:pt idx="30">
                  <c:v>51.401769734362802</c:v>
                </c:pt>
                <c:pt idx="31">
                  <c:v>51.435746609631899</c:v>
                </c:pt>
                <c:pt idx="32">
                  <c:v>51.188123261199003</c:v>
                </c:pt>
                <c:pt idx="33">
                  <c:v>50.881450655783603</c:v>
                </c:pt>
                <c:pt idx="34">
                  <c:v>50.9376214444952</c:v>
                </c:pt>
                <c:pt idx="35">
                  <c:v>51.3047942218315</c:v>
                </c:pt>
                <c:pt idx="36">
                  <c:v>51.228387745945</c:v>
                </c:pt>
                <c:pt idx="37">
                  <c:v>52.1341026692429</c:v>
                </c:pt>
                <c:pt idx="38">
                  <c:v>51.525332114660102</c:v>
                </c:pt>
                <c:pt idx="39">
                  <c:v>51.2679128275227</c:v>
                </c:pt>
                <c:pt idx="40">
                  <c:v>51.3580947872574</c:v>
                </c:pt>
                <c:pt idx="41">
                  <c:v>50.276946820342403</c:v>
                </c:pt>
                <c:pt idx="42">
                  <c:v>51.846912288467003</c:v>
                </c:pt>
                <c:pt idx="43">
                  <c:v>50.960459836104697</c:v>
                </c:pt>
                <c:pt idx="44">
                  <c:v>51.1823387441287</c:v>
                </c:pt>
                <c:pt idx="45">
                  <c:v>51.153290067422603</c:v>
                </c:pt>
                <c:pt idx="46">
                  <c:v>51.202458282920603</c:v>
                </c:pt>
                <c:pt idx="47">
                  <c:v>50.4052532448489</c:v>
                </c:pt>
                <c:pt idx="48">
                  <c:v>51.426993270588</c:v>
                </c:pt>
                <c:pt idx="49">
                  <c:v>50.262991038289996</c:v>
                </c:pt>
                <c:pt idx="50">
                  <c:v>50.490525045527001</c:v>
                </c:pt>
                <c:pt idx="51">
                  <c:v>50.561524561233298</c:v>
                </c:pt>
                <c:pt idx="52">
                  <c:v>50.219061488451203</c:v>
                </c:pt>
                <c:pt idx="53">
                  <c:v>50.390030260716401</c:v>
                </c:pt>
                <c:pt idx="54">
                  <c:v>49.9679971893135</c:v>
                </c:pt>
                <c:pt idx="55">
                  <c:v>50.162502756079398</c:v>
                </c:pt>
              </c:numCache>
            </c:numRef>
          </c:val>
          <c:smooth val="0"/>
          <c:extLst>
            <c:ext xmlns:c16="http://schemas.microsoft.com/office/drawing/2014/chart" uri="{C3380CC4-5D6E-409C-BE32-E72D297353CC}">
              <c16:uniqueId val="{00000000-2700-4B0F-BCDA-80E1080C1A68}"/>
            </c:ext>
          </c:extLst>
        </c:ser>
        <c:ser>
          <c:idx val="1"/>
          <c:order val="1"/>
          <c:tx>
            <c:strRef>
              <c:f>Datos!$J$4</c:f>
              <c:strCache>
                <c:ptCount val="1"/>
                <c:pt idx="0">
                  <c:v>Tendencia-Ciclo</c:v>
                </c:pt>
              </c:strCache>
            </c:strRef>
          </c:tx>
          <c:spPr>
            <a:ln w="12700">
              <a:solidFill>
                <a:schemeClr val="tx1"/>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Datos!$J$137:$J$196</c:f>
              <c:numCache>
                <c:formatCode>0.0_)</c:formatCode>
                <c:ptCount val="56"/>
                <c:pt idx="0">
                  <c:v>51.817006446534499</c:v>
                </c:pt>
                <c:pt idx="1">
                  <c:v>51.849105914233903</c:v>
                </c:pt>
                <c:pt idx="2">
                  <c:v>51.847920088095499</c:v>
                </c:pt>
                <c:pt idx="3">
                  <c:v>51.844758470987898</c:v>
                </c:pt>
                <c:pt idx="4">
                  <c:v>51.840742881147101</c:v>
                </c:pt>
                <c:pt idx="5">
                  <c:v>51.829595532183497</c:v>
                </c:pt>
                <c:pt idx="6">
                  <c:v>51.814679902849399</c:v>
                </c:pt>
                <c:pt idx="7">
                  <c:v>51.7789177913996</c:v>
                </c:pt>
                <c:pt idx="8">
                  <c:v>51.716907085328401</c:v>
                </c:pt>
                <c:pt idx="9">
                  <c:v>51.653235181433899</c:v>
                </c:pt>
                <c:pt idx="10">
                  <c:v>51.602838267828297</c:v>
                </c:pt>
                <c:pt idx="11">
                  <c:v>51.583511084523899</c:v>
                </c:pt>
                <c:pt idx="12">
                  <c:v>51.597581737414998</c:v>
                </c:pt>
                <c:pt idx="13">
                  <c:v>51.610275859096603</c:v>
                </c:pt>
                <c:pt idx="14">
                  <c:v>51.6163028982253</c:v>
                </c:pt>
                <c:pt idx="15">
                  <c:v>51.612508422002698</c:v>
                </c:pt>
                <c:pt idx="16">
                  <c:v>51.603160923515802</c:v>
                </c:pt>
                <c:pt idx="17">
                  <c:v>51.588198418129998</c:v>
                </c:pt>
                <c:pt idx="18">
                  <c:v>51.555712240674801</c:v>
                </c:pt>
                <c:pt idx="19">
                  <c:v>51.512447806089902</c:v>
                </c:pt>
                <c:pt idx="20">
                  <c:v>51.461064782144</c:v>
                </c:pt>
                <c:pt idx="21">
                  <c:v>51.374387743720703</c:v>
                </c:pt>
                <c:pt idx="22">
                  <c:v>51.230016852748797</c:v>
                </c:pt>
                <c:pt idx="23">
                  <c:v>51.053366908612801</c:v>
                </c:pt>
                <c:pt idx="24">
                  <c:v>50.898172075732603</c:v>
                </c:pt>
                <c:pt idx="25">
                  <c:v>50.821094684127097</c:v>
                </c:pt>
                <c:pt idx="26">
                  <c:v>50.851184879653999</c:v>
                </c:pt>
                <c:pt idx="27">
                  <c:v>50.970619906525201</c:v>
                </c:pt>
                <c:pt idx="28">
                  <c:v>51.132249680183598</c:v>
                </c:pt>
                <c:pt idx="29">
                  <c:v>51.260940962644902</c:v>
                </c:pt>
                <c:pt idx="30">
                  <c:v>51.318263196646697</c:v>
                </c:pt>
                <c:pt idx="31">
                  <c:v>51.284374533763099</c:v>
                </c:pt>
                <c:pt idx="32">
                  <c:v>51.1955328146094</c:v>
                </c:pt>
                <c:pt idx="33">
                  <c:v>51.122746210795</c:v>
                </c:pt>
                <c:pt idx="34">
                  <c:v>51.117802477037898</c:v>
                </c:pt>
                <c:pt idx="35">
                  <c:v>51.1806236858773</c:v>
                </c:pt>
                <c:pt idx="36">
                  <c:v>51.279073544463898</c:v>
                </c:pt>
                <c:pt idx="37">
                  <c:v>51.370303069178</c:v>
                </c:pt>
                <c:pt idx="38">
                  <c:v>51.407777851453197</c:v>
                </c:pt>
                <c:pt idx="39">
                  <c:v>51.374990765320298</c:v>
                </c:pt>
                <c:pt idx="40">
                  <c:v>51.294715209310098</c:v>
                </c:pt>
                <c:pt idx="41">
                  <c:v>51.2183735051592</c:v>
                </c:pt>
                <c:pt idx="42">
                  <c:v>51.167520642891098</c:v>
                </c:pt>
                <c:pt idx="43">
                  <c:v>51.142004748914502</c:v>
                </c:pt>
                <c:pt idx="44">
                  <c:v>51.116841380036398</c:v>
                </c:pt>
                <c:pt idx="45">
                  <c:v>51.0541148222446</c:v>
                </c:pt>
                <c:pt idx="46">
                  <c:v>50.948631769251499</c:v>
                </c:pt>
                <c:pt idx="47">
                  <c:v>50.809984599809702</c:v>
                </c:pt>
                <c:pt idx="48">
                  <c:v>50.664719251999301</c:v>
                </c:pt>
                <c:pt idx="49">
                  <c:v>50.536758894909099</c:v>
                </c:pt>
                <c:pt idx="50">
                  <c:v>50.442272605958998</c:v>
                </c:pt>
                <c:pt idx="51">
                  <c:v>50.377410149784701</c:v>
                </c:pt>
                <c:pt idx="52">
                  <c:v>50.313570148529699</c:v>
                </c:pt>
                <c:pt idx="53">
                  <c:v>50.237472105076399</c:v>
                </c:pt>
                <c:pt idx="54">
                  <c:v>50.142997493636301</c:v>
                </c:pt>
                <c:pt idx="55">
                  <c:v>50.055192184029202</c:v>
                </c:pt>
              </c:numCache>
            </c:numRef>
          </c:val>
          <c:smooth val="0"/>
          <c:extLst>
            <c:ext xmlns:c16="http://schemas.microsoft.com/office/drawing/2014/chart" uri="{C3380CC4-5D6E-409C-BE32-E72D297353CC}">
              <c16:uniqueId val="{00000001-2700-4B0F-BCDA-80E1080C1A68}"/>
            </c:ext>
          </c:extLst>
        </c:ser>
        <c:dLbls>
          <c:showLegendKey val="0"/>
          <c:showVal val="0"/>
          <c:showCatName val="0"/>
          <c:showSerName val="0"/>
          <c:showPercent val="0"/>
          <c:showBubbleSize val="0"/>
        </c:dLbls>
        <c:smooth val="0"/>
        <c:axId val="190361392"/>
        <c:axId val="190361784"/>
      </c:lineChart>
      <c:catAx>
        <c:axId val="190361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61784"/>
        <c:crossesAt val="50"/>
        <c:auto val="1"/>
        <c:lblAlgn val="ctr"/>
        <c:lblOffset val="100"/>
        <c:tickLblSkip val="1"/>
        <c:tickMarkSkip val="12"/>
        <c:noMultiLvlLbl val="1"/>
      </c:catAx>
      <c:valAx>
        <c:axId val="190361784"/>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61392"/>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Datos!$K$137:$K$196</c:f>
              <c:numCache>
                <c:formatCode>0.0_)</c:formatCode>
                <c:ptCount val="56"/>
                <c:pt idx="0">
                  <c:v>47.714496132541399</c:v>
                </c:pt>
                <c:pt idx="1">
                  <c:v>46.818124865079703</c:v>
                </c:pt>
                <c:pt idx="2">
                  <c:v>46.800421012728897</c:v>
                </c:pt>
                <c:pt idx="3">
                  <c:v>46.694157359906797</c:v>
                </c:pt>
                <c:pt idx="4">
                  <c:v>45.234570689791902</c:v>
                </c:pt>
                <c:pt idx="5">
                  <c:v>46.548565963972102</c:v>
                </c:pt>
                <c:pt idx="6">
                  <c:v>46.950490703605098</c:v>
                </c:pt>
                <c:pt idx="7">
                  <c:v>47.266918114144602</c:v>
                </c:pt>
                <c:pt idx="8">
                  <c:v>47.379848082930103</c:v>
                </c:pt>
                <c:pt idx="9">
                  <c:v>47.411218084420497</c:v>
                </c:pt>
                <c:pt idx="10">
                  <c:v>47.884377275547898</c:v>
                </c:pt>
                <c:pt idx="11">
                  <c:v>47.502680341468398</c:v>
                </c:pt>
                <c:pt idx="12">
                  <c:v>47.460900147376698</c:v>
                </c:pt>
                <c:pt idx="13">
                  <c:v>47.610360985855003</c:v>
                </c:pt>
                <c:pt idx="14">
                  <c:v>47.570989604987403</c:v>
                </c:pt>
                <c:pt idx="15">
                  <c:v>47.641726518772899</c:v>
                </c:pt>
                <c:pt idx="16">
                  <c:v>48.957720585000402</c:v>
                </c:pt>
                <c:pt idx="17">
                  <c:v>47.976537118872002</c:v>
                </c:pt>
                <c:pt idx="18">
                  <c:v>47.599931709486597</c:v>
                </c:pt>
                <c:pt idx="19">
                  <c:v>48.200068189798202</c:v>
                </c:pt>
                <c:pt idx="20">
                  <c:v>47.617379909721102</c:v>
                </c:pt>
                <c:pt idx="21">
                  <c:v>48.199112350557897</c:v>
                </c:pt>
                <c:pt idx="22">
                  <c:v>47.964367027153102</c:v>
                </c:pt>
                <c:pt idx="23">
                  <c:v>48.711876417274198</c:v>
                </c:pt>
                <c:pt idx="24">
                  <c:v>47.862944716914001</c:v>
                </c:pt>
                <c:pt idx="25">
                  <c:v>47.827802510462099</c:v>
                </c:pt>
                <c:pt idx="26">
                  <c:v>47.088665783840902</c:v>
                </c:pt>
                <c:pt idx="27">
                  <c:v>47.927153534727204</c:v>
                </c:pt>
                <c:pt idx="28">
                  <c:v>48.035120753568499</c:v>
                </c:pt>
                <c:pt idx="29">
                  <c:v>48.030621830423101</c:v>
                </c:pt>
                <c:pt idx="30">
                  <c:v>47.733782192820001</c:v>
                </c:pt>
                <c:pt idx="31">
                  <c:v>47.571643260860597</c:v>
                </c:pt>
                <c:pt idx="32">
                  <c:v>47.869523925077203</c:v>
                </c:pt>
                <c:pt idx="33">
                  <c:v>47.961484591030903</c:v>
                </c:pt>
                <c:pt idx="34">
                  <c:v>47.759686777200898</c:v>
                </c:pt>
                <c:pt idx="35">
                  <c:v>48.2742486213726</c:v>
                </c:pt>
                <c:pt idx="36">
                  <c:v>48.2463529497509</c:v>
                </c:pt>
                <c:pt idx="37">
                  <c:v>47.8309379715677</c:v>
                </c:pt>
                <c:pt idx="38">
                  <c:v>48.254779442573401</c:v>
                </c:pt>
                <c:pt idx="39">
                  <c:v>47.611569652674497</c:v>
                </c:pt>
                <c:pt idx="40">
                  <c:v>48.083812530828901</c:v>
                </c:pt>
                <c:pt idx="41">
                  <c:v>47.369178868005697</c:v>
                </c:pt>
                <c:pt idx="42">
                  <c:v>47.539788466818599</c:v>
                </c:pt>
                <c:pt idx="43">
                  <c:v>47.385397422330897</c:v>
                </c:pt>
                <c:pt idx="44">
                  <c:v>48.332210944425498</c:v>
                </c:pt>
                <c:pt idx="45">
                  <c:v>47.379360024788497</c:v>
                </c:pt>
                <c:pt idx="46">
                  <c:v>47.8426023531485</c:v>
                </c:pt>
                <c:pt idx="47">
                  <c:v>47.391275505626503</c:v>
                </c:pt>
                <c:pt idx="48">
                  <c:v>47.792550260899603</c:v>
                </c:pt>
                <c:pt idx="49">
                  <c:v>48.7810722564139</c:v>
                </c:pt>
                <c:pt idx="50">
                  <c:v>47.398779140132397</c:v>
                </c:pt>
                <c:pt idx="51">
                  <c:v>47.9996784747539</c:v>
                </c:pt>
                <c:pt idx="52">
                  <c:v>45.554572659043401</c:v>
                </c:pt>
                <c:pt idx="53">
                  <c:v>48.5745721302006</c:v>
                </c:pt>
                <c:pt idx="54">
                  <c:v>47.927040681972201</c:v>
                </c:pt>
                <c:pt idx="55">
                  <c:v>47.762624378168098</c:v>
                </c:pt>
              </c:numCache>
            </c:numRef>
          </c:val>
          <c:smooth val="0"/>
          <c:extLst>
            <c:ext xmlns:c16="http://schemas.microsoft.com/office/drawing/2014/chart" uri="{C3380CC4-5D6E-409C-BE32-E72D297353CC}">
              <c16:uniqueId val="{00000000-8186-45D7-99D1-75B3A9DFBEC1}"/>
            </c:ext>
          </c:extLst>
        </c:ser>
        <c:ser>
          <c:idx val="1"/>
          <c:order val="1"/>
          <c:tx>
            <c:strRef>
              <c:f>Datos!$L$4</c:f>
              <c:strCache>
                <c:ptCount val="1"/>
                <c:pt idx="0">
                  <c:v>Tendencia-Ciclo</c:v>
                </c:pt>
              </c:strCache>
            </c:strRef>
          </c:tx>
          <c:spPr>
            <a:ln w="12700">
              <a:solidFill>
                <a:schemeClr val="tx1"/>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Datos!$L$137:$L$196</c:f>
              <c:numCache>
                <c:formatCode>0.0_)</c:formatCode>
                <c:ptCount val="56"/>
                <c:pt idx="0">
                  <c:v>46.502708955147497</c:v>
                </c:pt>
                <c:pt idx="1">
                  <c:v>46.6269269364997</c:v>
                </c:pt>
                <c:pt idx="2">
                  <c:v>46.694528886248001</c:v>
                </c:pt>
                <c:pt idx="3">
                  <c:v>46.719396408271798</c:v>
                </c:pt>
                <c:pt idx="4">
                  <c:v>46.730324719448298</c:v>
                </c:pt>
                <c:pt idx="5">
                  <c:v>46.801431292044498</c:v>
                </c:pt>
                <c:pt idx="6">
                  <c:v>46.951232111729603</c:v>
                </c:pt>
                <c:pt idx="7">
                  <c:v>47.148774658902099</c:v>
                </c:pt>
                <c:pt idx="8">
                  <c:v>47.347242434688198</c:v>
                </c:pt>
                <c:pt idx="9">
                  <c:v>47.497208216747502</c:v>
                </c:pt>
                <c:pt idx="10">
                  <c:v>47.5756801142076</c:v>
                </c:pt>
                <c:pt idx="11">
                  <c:v>47.591153212465997</c:v>
                </c:pt>
                <c:pt idx="12">
                  <c:v>47.5873270976493</c:v>
                </c:pt>
                <c:pt idx="13">
                  <c:v>47.590009497569604</c:v>
                </c:pt>
                <c:pt idx="14">
                  <c:v>47.621795103727301</c:v>
                </c:pt>
                <c:pt idx="15">
                  <c:v>47.675118877705302</c:v>
                </c:pt>
                <c:pt idx="16">
                  <c:v>47.743350404555102</c:v>
                </c:pt>
                <c:pt idx="17">
                  <c:v>47.810125612891397</c:v>
                </c:pt>
                <c:pt idx="18">
                  <c:v>47.864903280400803</c:v>
                </c:pt>
                <c:pt idx="19">
                  <c:v>47.916417895052497</c:v>
                </c:pt>
                <c:pt idx="20">
                  <c:v>47.964557039012597</c:v>
                </c:pt>
                <c:pt idx="21">
                  <c:v>47.9908773579361</c:v>
                </c:pt>
                <c:pt idx="22">
                  <c:v>47.984332562744299</c:v>
                </c:pt>
                <c:pt idx="23">
                  <c:v>47.9467264401083</c:v>
                </c:pt>
                <c:pt idx="24">
                  <c:v>47.899389965537303</c:v>
                </c:pt>
                <c:pt idx="25">
                  <c:v>47.867993705978897</c:v>
                </c:pt>
                <c:pt idx="26">
                  <c:v>47.860259306825299</c:v>
                </c:pt>
                <c:pt idx="27">
                  <c:v>47.858335927632197</c:v>
                </c:pt>
                <c:pt idx="28">
                  <c:v>47.865695935505201</c:v>
                </c:pt>
                <c:pt idx="29">
                  <c:v>47.852664857545903</c:v>
                </c:pt>
                <c:pt idx="30">
                  <c:v>47.824540365366097</c:v>
                </c:pt>
                <c:pt idx="31">
                  <c:v>47.808455007361502</c:v>
                </c:pt>
                <c:pt idx="32">
                  <c:v>47.823506401346101</c:v>
                </c:pt>
                <c:pt idx="33">
                  <c:v>47.888118429202997</c:v>
                </c:pt>
                <c:pt idx="34">
                  <c:v>47.978455128582901</c:v>
                </c:pt>
                <c:pt idx="35">
                  <c:v>48.061379105000697</c:v>
                </c:pt>
                <c:pt idx="36">
                  <c:v>48.099423384693097</c:v>
                </c:pt>
                <c:pt idx="37">
                  <c:v>48.076391495557502</c:v>
                </c:pt>
                <c:pt idx="38">
                  <c:v>47.993342395638301</c:v>
                </c:pt>
                <c:pt idx="39">
                  <c:v>47.8750389383558</c:v>
                </c:pt>
                <c:pt idx="40">
                  <c:v>47.737408817219404</c:v>
                </c:pt>
                <c:pt idx="41">
                  <c:v>47.621645710563499</c:v>
                </c:pt>
                <c:pt idx="42">
                  <c:v>47.546744472527799</c:v>
                </c:pt>
                <c:pt idx="43">
                  <c:v>47.510637277059303</c:v>
                </c:pt>
                <c:pt idx="44">
                  <c:v>47.520101587184598</c:v>
                </c:pt>
                <c:pt idx="45">
                  <c:v>47.5526447933402</c:v>
                </c:pt>
                <c:pt idx="46">
                  <c:v>47.584926730005002</c:v>
                </c:pt>
                <c:pt idx="47">
                  <c:v>47.614841713903502</c:v>
                </c:pt>
                <c:pt idx="48">
                  <c:v>47.6284340221805</c:v>
                </c:pt>
                <c:pt idx="49">
                  <c:v>47.647907318764403</c:v>
                </c:pt>
                <c:pt idx="50">
                  <c:v>47.677045933391803</c:v>
                </c:pt>
                <c:pt idx="51">
                  <c:v>47.719432809156501</c:v>
                </c:pt>
                <c:pt idx="52">
                  <c:v>47.758410679259903</c:v>
                </c:pt>
                <c:pt idx="53">
                  <c:v>47.783319988697798</c:v>
                </c:pt>
                <c:pt idx="54">
                  <c:v>47.779813434868402</c:v>
                </c:pt>
                <c:pt idx="55">
                  <c:v>47.7557199470698</c:v>
                </c:pt>
              </c:numCache>
            </c:numRef>
          </c:val>
          <c:smooth val="0"/>
          <c:extLst>
            <c:ext xmlns:c16="http://schemas.microsoft.com/office/drawing/2014/chart" uri="{C3380CC4-5D6E-409C-BE32-E72D297353CC}">
              <c16:uniqueId val="{00000001-8186-45D7-99D1-75B3A9DFBEC1}"/>
            </c:ext>
          </c:extLst>
        </c:ser>
        <c:dLbls>
          <c:showLegendKey val="0"/>
          <c:showVal val="0"/>
          <c:showCatName val="0"/>
          <c:showSerName val="0"/>
          <c:showPercent val="0"/>
          <c:showBubbleSize val="0"/>
        </c:dLbls>
        <c:smooth val="0"/>
        <c:axId val="190355120"/>
        <c:axId val="190354728"/>
      </c:lineChart>
      <c:catAx>
        <c:axId val="1903551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4728"/>
        <c:crossesAt val="50"/>
        <c:auto val="1"/>
        <c:lblAlgn val="ctr"/>
        <c:lblOffset val="100"/>
        <c:tickLblSkip val="1"/>
        <c:tickMarkSkip val="12"/>
        <c:noMultiLvlLbl val="1"/>
      </c:catAx>
      <c:valAx>
        <c:axId val="190354728"/>
        <c:scaling>
          <c:orientation val="minMax"/>
          <c:max val="52"/>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5120"/>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Datos!$M$137:$M$196</c:f>
              <c:numCache>
                <c:formatCode>0.0_)</c:formatCode>
                <c:ptCount val="56"/>
                <c:pt idx="0">
                  <c:v>52.477184116872898</c:v>
                </c:pt>
                <c:pt idx="1">
                  <c:v>52.197307771964397</c:v>
                </c:pt>
                <c:pt idx="2">
                  <c:v>52.341071270106603</c:v>
                </c:pt>
                <c:pt idx="3">
                  <c:v>52.899947782902302</c:v>
                </c:pt>
                <c:pt idx="4">
                  <c:v>53.506052274825599</c:v>
                </c:pt>
                <c:pt idx="5">
                  <c:v>52.324908986237801</c:v>
                </c:pt>
                <c:pt idx="6">
                  <c:v>52.511372246184202</c:v>
                </c:pt>
                <c:pt idx="7">
                  <c:v>52.4139274342429</c:v>
                </c:pt>
                <c:pt idx="8">
                  <c:v>52.162118307931799</c:v>
                </c:pt>
                <c:pt idx="9">
                  <c:v>52.944562914708499</c:v>
                </c:pt>
                <c:pt idx="10">
                  <c:v>51.690850665330402</c:v>
                </c:pt>
                <c:pt idx="11">
                  <c:v>51.565565825900102</c:v>
                </c:pt>
                <c:pt idx="12">
                  <c:v>51.496640314068699</c:v>
                </c:pt>
                <c:pt idx="13">
                  <c:v>51.164446557434097</c:v>
                </c:pt>
                <c:pt idx="14">
                  <c:v>50.067222387950899</c:v>
                </c:pt>
                <c:pt idx="15">
                  <c:v>50.513174357453003</c:v>
                </c:pt>
                <c:pt idx="16">
                  <c:v>50.836226091471197</c:v>
                </c:pt>
                <c:pt idx="17">
                  <c:v>50.919682269029202</c:v>
                </c:pt>
                <c:pt idx="18">
                  <c:v>50.594064823321197</c:v>
                </c:pt>
                <c:pt idx="19">
                  <c:v>50.280661491396899</c:v>
                </c:pt>
                <c:pt idx="20">
                  <c:v>52.065887280789902</c:v>
                </c:pt>
                <c:pt idx="21">
                  <c:v>50.943765709375</c:v>
                </c:pt>
                <c:pt idx="22">
                  <c:v>50.775756467753197</c:v>
                </c:pt>
                <c:pt idx="23">
                  <c:v>50.6906924501017</c:v>
                </c:pt>
                <c:pt idx="24">
                  <c:v>51.072887298741598</c:v>
                </c:pt>
                <c:pt idx="25">
                  <c:v>51.903377049168697</c:v>
                </c:pt>
                <c:pt idx="26">
                  <c:v>52.641298983663297</c:v>
                </c:pt>
                <c:pt idx="27">
                  <c:v>50.4998948359042</c:v>
                </c:pt>
                <c:pt idx="28">
                  <c:v>51.871005744765398</c:v>
                </c:pt>
                <c:pt idx="29">
                  <c:v>52.955613389129098</c:v>
                </c:pt>
                <c:pt idx="30">
                  <c:v>50.828956059809201</c:v>
                </c:pt>
                <c:pt idx="31">
                  <c:v>51.0415822001641</c:v>
                </c:pt>
                <c:pt idx="32">
                  <c:v>50.843035894178698</c:v>
                </c:pt>
                <c:pt idx="33">
                  <c:v>50.783355307441603</c:v>
                </c:pt>
                <c:pt idx="34">
                  <c:v>52.820951963148701</c:v>
                </c:pt>
                <c:pt idx="35">
                  <c:v>51.271701423070603</c:v>
                </c:pt>
                <c:pt idx="36">
                  <c:v>50.884099798351301</c:v>
                </c:pt>
                <c:pt idx="37">
                  <c:v>51.2989906135087</c:v>
                </c:pt>
                <c:pt idx="38">
                  <c:v>50.082321988609301</c:v>
                </c:pt>
                <c:pt idx="39">
                  <c:v>50.642745304909504</c:v>
                </c:pt>
                <c:pt idx="40">
                  <c:v>51.0576249400725</c:v>
                </c:pt>
                <c:pt idx="41">
                  <c:v>50.449850462426802</c:v>
                </c:pt>
                <c:pt idx="42">
                  <c:v>51.905371302009399</c:v>
                </c:pt>
                <c:pt idx="43">
                  <c:v>53.636944467727602</c:v>
                </c:pt>
                <c:pt idx="44">
                  <c:v>51.486228227613204</c:v>
                </c:pt>
                <c:pt idx="45">
                  <c:v>51.517557817999801</c:v>
                </c:pt>
                <c:pt idx="46">
                  <c:v>51.701935310718099</c:v>
                </c:pt>
                <c:pt idx="47">
                  <c:v>52.254225510244297</c:v>
                </c:pt>
                <c:pt idx="48">
                  <c:v>51.792795269082497</c:v>
                </c:pt>
                <c:pt idx="49">
                  <c:v>52.291242585359903</c:v>
                </c:pt>
                <c:pt idx="50">
                  <c:v>52.782736644942602</c:v>
                </c:pt>
                <c:pt idx="51">
                  <c:v>52.6193153016048</c:v>
                </c:pt>
                <c:pt idx="52">
                  <c:v>49.392280569240697</c:v>
                </c:pt>
                <c:pt idx="53">
                  <c:v>53.293329904728203</c:v>
                </c:pt>
                <c:pt idx="54">
                  <c:v>52.005681121850102</c:v>
                </c:pt>
                <c:pt idx="55">
                  <c:v>51.663884015384497</c:v>
                </c:pt>
              </c:numCache>
            </c:numRef>
          </c:val>
          <c:smooth val="0"/>
          <c:extLst>
            <c:ext xmlns:c16="http://schemas.microsoft.com/office/drawing/2014/chart" uri="{C3380CC4-5D6E-409C-BE32-E72D297353CC}">
              <c16:uniqueId val="{00000000-4ADC-4079-953E-A4F8936CC98B}"/>
            </c:ext>
          </c:extLst>
        </c:ser>
        <c:ser>
          <c:idx val="1"/>
          <c:order val="1"/>
          <c:tx>
            <c:strRef>
              <c:f>Datos!$N$4</c:f>
              <c:strCache>
                <c:ptCount val="1"/>
                <c:pt idx="0">
                  <c:v>Tendencia-Ciclo</c:v>
                </c:pt>
              </c:strCache>
            </c:strRef>
          </c:tx>
          <c:spPr>
            <a:ln w="12700">
              <a:solidFill>
                <a:schemeClr val="tx1"/>
              </a:solidFill>
            </a:ln>
          </c:spPr>
          <c:marker>
            <c:symbol val="none"/>
          </c:marker>
          <c:cat>
            <c:multiLvlStrRef>
              <c:f>Datos!$A$137:$B$196</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2015</c:v>
                  </c:pt>
                  <c:pt idx="12">
                    <c:v>2016</c:v>
                  </c:pt>
                  <c:pt idx="24">
                    <c:v>2017</c:v>
                  </c:pt>
                  <c:pt idx="36">
                    <c:v>2018</c:v>
                  </c:pt>
                  <c:pt idx="48">
                    <c:v>2019</c:v>
                  </c:pt>
                </c:lvl>
              </c:multiLvlStrCache>
            </c:multiLvlStrRef>
          </c:cat>
          <c:val>
            <c:numRef>
              <c:f>Datos!$N$137:$N$196</c:f>
              <c:numCache>
                <c:formatCode>0.0_)</c:formatCode>
                <c:ptCount val="56"/>
                <c:pt idx="0">
                  <c:v>52.139947469447598</c:v>
                </c:pt>
                <c:pt idx="1">
                  <c:v>52.437364851789802</c:v>
                </c:pt>
                <c:pt idx="2">
                  <c:v>52.660478053413698</c:v>
                </c:pt>
                <c:pt idx="3">
                  <c:v>52.758492328851503</c:v>
                </c:pt>
                <c:pt idx="4">
                  <c:v>52.771517166977098</c:v>
                </c:pt>
                <c:pt idx="5">
                  <c:v>52.741556768610899</c:v>
                </c:pt>
                <c:pt idx="6">
                  <c:v>52.654848189222697</c:v>
                </c:pt>
                <c:pt idx="7">
                  <c:v>52.526044202205902</c:v>
                </c:pt>
                <c:pt idx="8">
                  <c:v>52.381722927066598</c:v>
                </c:pt>
                <c:pt idx="9">
                  <c:v>52.2159840660387</c:v>
                </c:pt>
                <c:pt idx="10">
                  <c:v>51.982980998761903</c:v>
                </c:pt>
                <c:pt idx="11">
                  <c:v>51.654455463497598</c:v>
                </c:pt>
                <c:pt idx="12">
                  <c:v>51.276961404135299</c:v>
                </c:pt>
                <c:pt idx="13">
                  <c:v>50.957608092811697</c:v>
                </c:pt>
                <c:pt idx="14">
                  <c:v>50.731610232000897</c:v>
                </c:pt>
                <c:pt idx="15">
                  <c:v>50.611262451677703</c:v>
                </c:pt>
                <c:pt idx="16">
                  <c:v>50.582295646642002</c:v>
                </c:pt>
                <c:pt idx="17">
                  <c:v>50.605799662844802</c:v>
                </c:pt>
                <c:pt idx="18">
                  <c:v>50.661242796595403</c:v>
                </c:pt>
                <c:pt idx="19">
                  <c:v>50.693375215785899</c:v>
                </c:pt>
                <c:pt idx="20">
                  <c:v>50.684808267716001</c:v>
                </c:pt>
                <c:pt idx="21">
                  <c:v>50.709290986909799</c:v>
                </c:pt>
                <c:pt idx="22">
                  <c:v>50.848132577766499</c:v>
                </c:pt>
                <c:pt idx="23">
                  <c:v>51.100335274666897</c:v>
                </c:pt>
                <c:pt idx="24">
                  <c:v>51.428578484769197</c:v>
                </c:pt>
                <c:pt idx="25">
                  <c:v>51.746579937239296</c:v>
                </c:pt>
                <c:pt idx="26">
                  <c:v>51.966358016486097</c:v>
                </c:pt>
                <c:pt idx="27">
                  <c:v>52.015454762914999</c:v>
                </c:pt>
                <c:pt idx="28">
                  <c:v>51.856462439526702</c:v>
                </c:pt>
                <c:pt idx="29">
                  <c:v>51.550746190587297</c:v>
                </c:pt>
                <c:pt idx="30">
                  <c:v>51.230286765582399</c:v>
                </c:pt>
                <c:pt idx="31">
                  <c:v>51.000632465205001</c:v>
                </c:pt>
                <c:pt idx="32">
                  <c:v>50.924600594020902</c:v>
                </c:pt>
                <c:pt idx="33">
                  <c:v>50.952726529783398</c:v>
                </c:pt>
                <c:pt idx="34">
                  <c:v>50.992698206295699</c:v>
                </c:pt>
                <c:pt idx="35">
                  <c:v>51.001428233718102</c:v>
                </c:pt>
                <c:pt idx="36">
                  <c:v>50.930853978651598</c:v>
                </c:pt>
                <c:pt idx="37">
                  <c:v>50.813547507253901</c:v>
                </c:pt>
                <c:pt idx="38">
                  <c:v>50.735474761889897</c:v>
                </c:pt>
                <c:pt idx="39">
                  <c:v>50.7540084760996</c:v>
                </c:pt>
                <c:pt idx="40">
                  <c:v>50.889442057619902</c:v>
                </c:pt>
                <c:pt idx="41">
                  <c:v>51.097818737828</c:v>
                </c:pt>
                <c:pt idx="42">
                  <c:v>51.323241003334502</c:v>
                </c:pt>
                <c:pt idx="43">
                  <c:v>51.508306174796502</c:v>
                </c:pt>
                <c:pt idx="44">
                  <c:v>51.625423672371198</c:v>
                </c:pt>
                <c:pt idx="45">
                  <c:v>51.697902974616198</c:v>
                </c:pt>
                <c:pt idx="46">
                  <c:v>51.805944871290599</c:v>
                </c:pt>
                <c:pt idx="47">
                  <c:v>51.961657145847603</c:v>
                </c:pt>
                <c:pt idx="48">
                  <c:v>52.1516838660025</c:v>
                </c:pt>
                <c:pt idx="49">
                  <c:v>52.339553728460203</c:v>
                </c:pt>
                <c:pt idx="50">
                  <c:v>52.440274007235899</c:v>
                </c:pt>
                <c:pt idx="51">
                  <c:v>52.429800623856302</c:v>
                </c:pt>
                <c:pt idx="52">
                  <c:v>52.328252190412101</c:v>
                </c:pt>
                <c:pt idx="53">
                  <c:v>52.185968120629099</c:v>
                </c:pt>
                <c:pt idx="54">
                  <c:v>52.051332597631401</c:v>
                </c:pt>
                <c:pt idx="55">
                  <c:v>51.983328860172001</c:v>
                </c:pt>
              </c:numCache>
            </c:numRef>
          </c:val>
          <c:smooth val="0"/>
          <c:extLst>
            <c:ext xmlns:c16="http://schemas.microsoft.com/office/drawing/2014/chart" uri="{C3380CC4-5D6E-409C-BE32-E72D297353CC}">
              <c16:uniqueId val="{00000001-4ADC-4079-953E-A4F8936CC98B}"/>
            </c:ext>
          </c:extLst>
        </c:ser>
        <c:dLbls>
          <c:showLegendKey val="0"/>
          <c:showVal val="0"/>
          <c:showCatName val="0"/>
          <c:showSerName val="0"/>
          <c:showPercent val="0"/>
          <c:showBubbleSize val="0"/>
        </c:dLbls>
        <c:smooth val="0"/>
        <c:axId val="547999768"/>
        <c:axId val="547996632"/>
      </c:lineChart>
      <c:catAx>
        <c:axId val="5479997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547996632"/>
        <c:crossesAt val="50"/>
        <c:auto val="1"/>
        <c:lblAlgn val="ctr"/>
        <c:lblOffset val="100"/>
        <c:tickLblSkip val="1"/>
        <c:tickMarkSkip val="12"/>
        <c:noMultiLvlLbl val="1"/>
      </c:catAx>
      <c:valAx>
        <c:axId val="547996632"/>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547999768"/>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70B9-4A67-8742-F9A96C75B3EB}"/>
              </c:ext>
            </c:extLst>
          </c:dPt>
          <c:dPt>
            <c:idx val="1"/>
            <c:invertIfNegative val="0"/>
            <c:bubble3D val="0"/>
            <c:extLst>
              <c:ext xmlns:c16="http://schemas.microsoft.com/office/drawing/2014/chart" uri="{C3380CC4-5D6E-409C-BE32-E72D297353CC}">
                <c16:uniqueId val="{00000001-70B9-4A67-8742-F9A96C75B3EB}"/>
              </c:ext>
            </c:extLst>
          </c:dPt>
          <c:dPt>
            <c:idx val="2"/>
            <c:invertIfNegative val="0"/>
            <c:bubble3D val="0"/>
            <c:extLst>
              <c:ext xmlns:c16="http://schemas.microsoft.com/office/drawing/2014/chart" uri="{C3380CC4-5D6E-409C-BE32-E72D297353CC}">
                <c16:uniqueId val="{00000002-70B9-4A67-8742-F9A96C75B3EB}"/>
              </c:ext>
            </c:extLst>
          </c:dPt>
          <c:dPt>
            <c:idx val="3"/>
            <c:invertIfNegative val="0"/>
            <c:bubble3D val="0"/>
            <c:extLst>
              <c:ext xmlns:c16="http://schemas.microsoft.com/office/drawing/2014/chart" uri="{C3380CC4-5D6E-409C-BE32-E72D297353CC}">
                <c16:uniqueId val="{00000003-70B9-4A67-8742-F9A96C75B3EB}"/>
              </c:ext>
            </c:extLst>
          </c:dPt>
          <c:dPt>
            <c:idx val="4"/>
            <c:invertIfNegative val="0"/>
            <c:bubble3D val="0"/>
            <c:extLst>
              <c:ext xmlns:c16="http://schemas.microsoft.com/office/drawing/2014/chart" uri="{C3380CC4-5D6E-409C-BE32-E72D297353CC}">
                <c16:uniqueId val="{00000004-70B9-4A67-8742-F9A96C75B3EB}"/>
              </c:ext>
            </c:extLst>
          </c:dPt>
          <c:dPt>
            <c:idx val="5"/>
            <c:invertIfNegative val="0"/>
            <c:bubble3D val="0"/>
            <c:extLst>
              <c:ext xmlns:c16="http://schemas.microsoft.com/office/drawing/2014/chart" uri="{C3380CC4-5D6E-409C-BE32-E72D297353CC}">
                <c16:uniqueId val="{00000005-70B9-4A67-8742-F9A96C75B3EB}"/>
              </c:ext>
            </c:extLst>
          </c:dPt>
          <c:dPt>
            <c:idx val="6"/>
            <c:invertIfNegative val="0"/>
            <c:bubble3D val="0"/>
            <c:extLst>
              <c:ext xmlns:c16="http://schemas.microsoft.com/office/drawing/2014/chart" uri="{C3380CC4-5D6E-409C-BE32-E72D297353CC}">
                <c16:uniqueId val="{00000006-70B9-4A67-8742-F9A96C75B3EB}"/>
              </c:ext>
            </c:extLst>
          </c:dPt>
          <c:dPt>
            <c:idx val="7"/>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8-70B9-4A67-8742-F9A96C75B3EB}"/>
              </c:ext>
            </c:extLst>
          </c:dPt>
          <c:dPt>
            <c:idx val="8"/>
            <c:invertIfNegative val="0"/>
            <c:bubble3D val="0"/>
            <c:extLst>
              <c:ext xmlns:c16="http://schemas.microsoft.com/office/drawing/2014/chart" uri="{C3380CC4-5D6E-409C-BE32-E72D297353CC}">
                <c16:uniqueId val="{00000009-70B9-4A67-8742-F9A96C75B3EB}"/>
              </c:ext>
            </c:extLst>
          </c:dPt>
          <c:dPt>
            <c:idx val="9"/>
            <c:invertIfNegative val="0"/>
            <c:bubble3D val="0"/>
            <c:extLst>
              <c:ext xmlns:c16="http://schemas.microsoft.com/office/drawing/2014/chart" uri="{C3380CC4-5D6E-409C-BE32-E72D297353CC}">
                <c16:uniqueId val="{0000000A-70B9-4A67-8742-F9A96C75B3EB}"/>
              </c:ext>
            </c:extLst>
          </c:dPt>
          <c:dPt>
            <c:idx val="10"/>
            <c:invertIfNegative val="0"/>
            <c:bubble3D val="0"/>
            <c:extLst>
              <c:ext xmlns:c16="http://schemas.microsoft.com/office/drawing/2014/chart" uri="{C3380CC4-5D6E-409C-BE32-E72D297353CC}">
                <c16:uniqueId val="{0000000B-70B9-4A67-8742-F9A96C75B3EB}"/>
              </c:ext>
            </c:extLst>
          </c:dPt>
          <c:dPt>
            <c:idx val="11"/>
            <c:invertIfNegative val="0"/>
            <c:bubble3D val="0"/>
            <c:extLst>
              <c:ext xmlns:c16="http://schemas.microsoft.com/office/drawing/2014/chart" uri="{C3380CC4-5D6E-409C-BE32-E72D297353CC}">
                <c16:uniqueId val="{0000000C-70B9-4A67-8742-F9A96C75B3EB}"/>
              </c:ext>
            </c:extLst>
          </c:dPt>
          <c:dPt>
            <c:idx val="12"/>
            <c:invertIfNegative val="0"/>
            <c:bubble3D val="0"/>
            <c:extLst>
              <c:ext xmlns:c16="http://schemas.microsoft.com/office/drawing/2014/chart" uri="{C3380CC4-5D6E-409C-BE32-E72D297353CC}">
                <c16:uniqueId val="{0000000D-70B9-4A67-8742-F9A96C75B3EB}"/>
              </c:ext>
            </c:extLst>
          </c:dPt>
          <c:dPt>
            <c:idx val="13"/>
            <c:invertIfNegative val="0"/>
            <c:bubble3D val="0"/>
            <c:extLst>
              <c:ext xmlns:c16="http://schemas.microsoft.com/office/drawing/2014/chart" uri="{C3380CC4-5D6E-409C-BE32-E72D297353CC}">
                <c16:uniqueId val="{0000000E-70B9-4A67-8742-F9A96C75B3EB}"/>
              </c:ext>
            </c:extLst>
          </c:dPt>
          <c:dPt>
            <c:idx val="14"/>
            <c:invertIfNegative val="0"/>
            <c:bubble3D val="0"/>
            <c:extLst>
              <c:ext xmlns:c16="http://schemas.microsoft.com/office/drawing/2014/chart" uri="{C3380CC4-5D6E-409C-BE32-E72D297353CC}">
                <c16:uniqueId val="{0000000F-70B9-4A67-8742-F9A96C75B3EB}"/>
              </c:ext>
            </c:extLst>
          </c:dPt>
          <c:dPt>
            <c:idx val="15"/>
            <c:invertIfNegative val="0"/>
            <c:bubble3D val="0"/>
            <c:extLst>
              <c:ext xmlns:c16="http://schemas.microsoft.com/office/drawing/2014/chart" uri="{C3380CC4-5D6E-409C-BE32-E72D297353CC}">
                <c16:uniqueId val="{00000010-70B9-4A67-8742-F9A96C75B3EB}"/>
              </c:ext>
            </c:extLst>
          </c:dPt>
          <c:dPt>
            <c:idx val="16"/>
            <c:invertIfNegative val="0"/>
            <c:bubble3D val="0"/>
            <c:extLst>
              <c:ext xmlns:c16="http://schemas.microsoft.com/office/drawing/2014/chart" uri="{C3380CC4-5D6E-409C-BE32-E72D297353CC}">
                <c16:uniqueId val="{00000011-70B9-4A67-8742-F9A96C75B3EB}"/>
              </c:ext>
            </c:extLst>
          </c:dPt>
          <c:dPt>
            <c:idx val="17"/>
            <c:invertIfNegative val="0"/>
            <c:bubble3D val="0"/>
            <c:extLst>
              <c:ext xmlns:c16="http://schemas.microsoft.com/office/drawing/2014/chart" uri="{C3380CC4-5D6E-409C-BE32-E72D297353CC}">
                <c16:uniqueId val="{00000012-70B9-4A67-8742-F9A96C75B3EB}"/>
              </c:ext>
            </c:extLst>
          </c:dPt>
          <c:dPt>
            <c:idx val="18"/>
            <c:invertIfNegative val="0"/>
            <c:bubble3D val="0"/>
            <c:extLst>
              <c:ext xmlns:c16="http://schemas.microsoft.com/office/drawing/2014/chart" uri="{C3380CC4-5D6E-409C-BE32-E72D297353CC}">
                <c16:uniqueId val="{00000013-70B9-4A67-8742-F9A96C75B3EB}"/>
              </c:ext>
            </c:extLst>
          </c:dPt>
          <c:dPt>
            <c:idx val="19"/>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5-70B9-4A67-8742-F9A96C75B3EB}"/>
              </c:ext>
            </c:extLst>
          </c:dPt>
          <c:dPt>
            <c:idx val="20"/>
            <c:invertIfNegative val="0"/>
            <c:bubble3D val="0"/>
            <c:extLst>
              <c:ext xmlns:c16="http://schemas.microsoft.com/office/drawing/2014/chart" uri="{C3380CC4-5D6E-409C-BE32-E72D297353CC}">
                <c16:uniqueId val="{00000016-70B9-4A67-8742-F9A96C75B3EB}"/>
              </c:ext>
            </c:extLst>
          </c:dPt>
          <c:dPt>
            <c:idx val="21"/>
            <c:invertIfNegative val="0"/>
            <c:bubble3D val="0"/>
            <c:extLst>
              <c:ext xmlns:c16="http://schemas.microsoft.com/office/drawing/2014/chart" uri="{C3380CC4-5D6E-409C-BE32-E72D297353CC}">
                <c16:uniqueId val="{00000017-70B9-4A67-8742-F9A96C75B3EB}"/>
              </c:ext>
            </c:extLst>
          </c:dPt>
          <c:dPt>
            <c:idx val="22"/>
            <c:invertIfNegative val="0"/>
            <c:bubble3D val="0"/>
            <c:extLst>
              <c:ext xmlns:c16="http://schemas.microsoft.com/office/drawing/2014/chart" uri="{C3380CC4-5D6E-409C-BE32-E72D297353CC}">
                <c16:uniqueId val="{00000018-70B9-4A67-8742-F9A96C75B3EB}"/>
              </c:ext>
            </c:extLst>
          </c:dPt>
          <c:dPt>
            <c:idx val="23"/>
            <c:invertIfNegative val="0"/>
            <c:bubble3D val="0"/>
            <c:extLst>
              <c:ext xmlns:c16="http://schemas.microsoft.com/office/drawing/2014/chart" uri="{C3380CC4-5D6E-409C-BE32-E72D297353CC}">
                <c16:uniqueId val="{00000019-70B9-4A67-8742-F9A96C75B3EB}"/>
              </c:ext>
            </c:extLst>
          </c:dPt>
          <c:dPt>
            <c:idx val="24"/>
            <c:invertIfNegative val="0"/>
            <c:bubble3D val="0"/>
            <c:extLst>
              <c:ext xmlns:c16="http://schemas.microsoft.com/office/drawing/2014/chart" uri="{C3380CC4-5D6E-409C-BE32-E72D297353CC}">
                <c16:uniqueId val="{0000001A-70B9-4A67-8742-F9A96C75B3EB}"/>
              </c:ext>
            </c:extLst>
          </c:dPt>
          <c:dPt>
            <c:idx val="25"/>
            <c:invertIfNegative val="0"/>
            <c:bubble3D val="0"/>
            <c:extLst>
              <c:ext xmlns:c16="http://schemas.microsoft.com/office/drawing/2014/chart" uri="{C3380CC4-5D6E-409C-BE32-E72D297353CC}">
                <c16:uniqueId val="{0000001B-70B9-4A67-8742-F9A96C75B3EB}"/>
              </c:ext>
            </c:extLst>
          </c:dPt>
          <c:dPt>
            <c:idx val="26"/>
            <c:invertIfNegative val="0"/>
            <c:bubble3D val="0"/>
            <c:extLst>
              <c:ext xmlns:c16="http://schemas.microsoft.com/office/drawing/2014/chart" uri="{C3380CC4-5D6E-409C-BE32-E72D297353CC}">
                <c16:uniqueId val="{0000001C-70B9-4A67-8742-F9A96C75B3EB}"/>
              </c:ext>
            </c:extLst>
          </c:dPt>
          <c:dPt>
            <c:idx val="27"/>
            <c:invertIfNegative val="0"/>
            <c:bubble3D val="0"/>
            <c:extLst>
              <c:ext xmlns:c16="http://schemas.microsoft.com/office/drawing/2014/chart" uri="{C3380CC4-5D6E-409C-BE32-E72D297353CC}">
                <c16:uniqueId val="{0000001D-70B9-4A67-8742-F9A96C75B3EB}"/>
              </c:ext>
            </c:extLst>
          </c:dPt>
          <c:dPt>
            <c:idx val="28"/>
            <c:invertIfNegative val="0"/>
            <c:bubble3D val="0"/>
            <c:extLst>
              <c:ext xmlns:c16="http://schemas.microsoft.com/office/drawing/2014/chart" uri="{C3380CC4-5D6E-409C-BE32-E72D297353CC}">
                <c16:uniqueId val="{0000001E-70B9-4A67-8742-F9A96C75B3EB}"/>
              </c:ext>
            </c:extLst>
          </c:dPt>
          <c:dPt>
            <c:idx val="29"/>
            <c:invertIfNegative val="0"/>
            <c:bubble3D val="0"/>
            <c:extLst>
              <c:ext xmlns:c16="http://schemas.microsoft.com/office/drawing/2014/chart" uri="{C3380CC4-5D6E-409C-BE32-E72D297353CC}">
                <c16:uniqueId val="{0000001F-70B9-4A67-8742-F9A96C75B3EB}"/>
              </c:ext>
            </c:extLst>
          </c:dPt>
          <c:dPt>
            <c:idx val="30"/>
            <c:invertIfNegative val="0"/>
            <c:bubble3D val="0"/>
            <c:extLst>
              <c:ext xmlns:c16="http://schemas.microsoft.com/office/drawing/2014/chart" uri="{C3380CC4-5D6E-409C-BE32-E72D297353CC}">
                <c16:uniqueId val="{00000020-70B9-4A67-8742-F9A96C75B3EB}"/>
              </c:ext>
            </c:extLst>
          </c:dPt>
          <c:dPt>
            <c:idx val="31"/>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2-70B9-4A67-8742-F9A96C75B3EB}"/>
              </c:ext>
            </c:extLst>
          </c:dPt>
          <c:dPt>
            <c:idx val="32"/>
            <c:invertIfNegative val="0"/>
            <c:bubble3D val="0"/>
            <c:extLst>
              <c:ext xmlns:c16="http://schemas.microsoft.com/office/drawing/2014/chart" uri="{C3380CC4-5D6E-409C-BE32-E72D297353CC}">
                <c16:uniqueId val="{00000023-70B9-4A67-8742-F9A96C75B3EB}"/>
              </c:ext>
            </c:extLst>
          </c:dPt>
          <c:dPt>
            <c:idx val="33"/>
            <c:invertIfNegative val="0"/>
            <c:bubble3D val="0"/>
            <c:extLst>
              <c:ext xmlns:c16="http://schemas.microsoft.com/office/drawing/2014/chart" uri="{C3380CC4-5D6E-409C-BE32-E72D297353CC}">
                <c16:uniqueId val="{00000024-70B9-4A67-8742-F9A96C75B3EB}"/>
              </c:ext>
            </c:extLst>
          </c:dPt>
          <c:dPt>
            <c:idx val="34"/>
            <c:invertIfNegative val="0"/>
            <c:bubble3D val="0"/>
            <c:extLst>
              <c:ext xmlns:c16="http://schemas.microsoft.com/office/drawing/2014/chart" uri="{C3380CC4-5D6E-409C-BE32-E72D297353CC}">
                <c16:uniqueId val="{00000025-70B9-4A67-8742-F9A96C75B3EB}"/>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70B9-4A67-8742-F9A96C75B3EB}"/>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70B9-4A67-8742-F9A96C75B3EB}"/>
              </c:ext>
            </c:extLst>
          </c:dPt>
          <c:dPt>
            <c:idx val="37"/>
            <c:invertIfNegative val="0"/>
            <c:bubble3D val="0"/>
            <c:extLst>
              <c:ext xmlns:c16="http://schemas.microsoft.com/office/drawing/2014/chart" uri="{C3380CC4-5D6E-409C-BE32-E72D297353CC}">
                <c16:uniqueId val="{0000002A-70B9-4A67-8742-F9A96C75B3EB}"/>
              </c:ext>
            </c:extLst>
          </c:dPt>
          <c:dPt>
            <c:idx val="38"/>
            <c:invertIfNegative val="0"/>
            <c:bubble3D val="0"/>
            <c:extLst>
              <c:ext xmlns:c16="http://schemas.microsoft.com/office/drawing/2014/chart" uri="{C3380CC4-5D6E-409C-BE32-E72D297353CC}">
                <c16:uniqueId val="{0000002B-70B9-4A67-8742-F9A96C75B3EB}"/>
              </c:ext>
            </c:extLst>
          </c:dPt>
          <c:dPt>
            <c:idx val="39"/>
            <c:invertIfNegative val="0"/>
            <c:bubble3D val="0"/>
            <c:extLst>
              <c:ext xmlns:c16="http://schemas.microsoft.com/office/drawing/2014/chart" uri="{C3380CC4-5D6E-409C-BE32-E72D297353CC}">
                <c16:uniqueId val="{0000002C-70B9-4A67-8742-F9A96C75B3EB}"/>
              </c:ext>
            </c:extLst>
          </c:dPt>
          <c:dPt>
            <c:idx val="40"/>
            <c:invertIfNegative val="0"/>
            <c:bubble3D val="0"/>
            <c:extLst>
              <c:ext xmlns:c16="http://schemas.microsoft.com/office/drawing/2014/chart" uri="{C3380CC4-5D6E-409C-BE32-E72D297353CC}">
                <c16:uniqueId val="{0000002D-70B9-4A67-8742-F9A96C75B3EB}"/>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70B9-4A67-8742-F9A96C75B3EB}"/>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Datos!$A$161:$B$196</c:f>
              <c:multiLvlStrCache>
                <c:ptCount val="3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  Ap/</c:v>
                  </c:pt>
                </c:lvl>
                <c:lvl>
                  <c:pt idx="0">
                    <c:v>2017</c:v>
                  </c:pt>
                  <c:pt idx="12">
                    <c:v>2018</c:v>
                  </c:pt>
                  <c:pt idx="24">
                    <c:v>2019</c:v>
                  </c:pt>
                </c:lvl>
              </c:multiLvlStrCache>
            </c:multiLvlStrRef>
          </c:cat>
          <c:val>
            <c:numRef>
              <c:f>Datos!$C$161:$C$196</c:f>
              <c:numCache>
                <c:formatCode>0.0</c:formatCode>
                <c:ptCount val="32"/>
                <c:pt idx="0">
                  <c:v>51.546363335000002</c:v>
                </c:pt>
                <c:pt idx="1">
                  <c:v>51.123874065000003</c:v>
                </c:pt>
                <c:pt idx="2">
                  <c:v>53.559226989999999</c:v>
                </c:pt>
                <c:pt idx="3">
                  <c:v>51.129197595000001</c:v>
                </c:pt>
                <c:pt idx="4">
                  <c:v>53.7511206</c:v>
                </c:pt>
                <c:pt idx="5">
                  <c:v>53.196123139999997</c:v>
                </c:pt>
                <c:pt idx="6">
                  <c:v>51.792476230000005</c:v>
                </c:pt>
                <c:pt idx="7">
                  <c:v>52.578000000000003</c:v>
                </c:pt>
                <c:pt idx="8">
                  <c:v>50.688000000000002</c:v>
                </c:pt>
                <c:pt idx="9">
                  <c:v>51.905999999999999</c:v>
                </c:pt>
                <c:pt idx="10">
                  <c:v>51.298000000000002</c:v>
                </c:pt>
                <c:pt idx="11">
                  <c:v>50.209000000000003</c:v>
                </c:pt>
                <c:pt idx="12">
                  <c:v>51.393999999999998</c:v>
                </c:pt>
                <c:pt idx="13">
                  <c:v>51.289000000000001</c:v>
                </c:pt>
                <c:pt idx="14">
                  <c:v>51.884</c:v>
                </c:pt>
                <c:pt idx="15">
                  <c:v>52.137999999999998</c:v>
                </c:pt>
                <c:pt idx="16">
                  <c:v>52.481999999999999</c:v>
                </c:pt>
                <c:pt idx="17">
                  <c:v>52.171999999999997</c:v>
                </c:pt>
                <c:pt idx="18">
                  <c:v>52.152999999999999</c:v>
                </c:pt>
                <c:pt idx="19">
                  <c:v>51.91</c:v>
                </c:pt>
                <c:pt idx="20">
                  <c:v>51.256</c:v>
                </c:pt>
                <c:pt idx="21">
                  <c:v>51.973999999999997</c:v>
                </c:pt>
                <c:pt idx="22">
                  <c:v>50.874000000000002</c:v>
                </c:pt>
                <c:pt idx="23">
                  <c:v>49.706000000000003</c:v>
                </c:pt>
                <c:pt idx="24">
                  <c:v>51.874000000000002</c:v>
                </c:pt>
                <c:pt idx="25">
                  <c:v>51.384999999999998</c:v>
                </c:pt>
                <c:pt idx="26">
                  <c:v>52.552</c:v>
                </c:pt>
                <c:pt idx="27">
                  <c:v>51.444000000000003</c:v>
                </c:pt>
                <c:pt idx="28">
                  <c:v>52.566000000000003</c:v>
                </c:pt>
                <c:pt idx="29">
                  <c:v>52.323</c:v>
                </c:pt>
                <c:pt idx="30">
                  <c:v>50.613</c:v>
                </c:pt>
                <c:pt idx="31">
                  <c:v>50.728999999999999</c:v>
                </c:pt>
              </c:numCache>
            </c:numRef>
          </c:val>
          <c:extLst>
            <c:ext xmlns:c16="http://schemas.microsoft.com/office/drawing/2014/chart" uri="{C3380CC4-5D6E-409C-BE32-E72D297353CC}">
              <c16:uniqueId val="{00000030-70B9-4A67-8742-F9A96C75B3EB}"/>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7105-4B8D-498D-95C6-377D227B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476</TotalTime>
  <Pages>10</Pages>
  <Words>2310</Words>
  <Characters>13210</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SALA DE PRENSA</cp:lastModifiedBy>
  <cp:revision>87</cp:revision>
  <cp:lastPrinted>2019-08-29T18:22:00Z</cp:lastPrinted>
  <dcterms:created xsi:type="dcterms:W3CDTF">2019-03-26T21:31:00Z</dcterms:created>
  <dcterms:modified xsi:type="dcterms:W3CDTF">2019-08-30T23:03:00Z</dcterms:modified>
  <cp:category>Encuesta Mensual de Opinión Empresarial (EMOE)</cp:category>
  <cp:version>1</cp:version>
</cp:coreProperties>
</file>