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6393" w:rsidRDefault="005F6393" w:rsidP="005F6393">
      <w:pPr>
        <w:tabs>
          <w:tab w:val="left" w:pos="8789"/>
        </w:tabs>
        <w:ind w:right="51"/>
        <w:jc w:val="center"/>
        <w:rPr>
          <w:b/>
          <w:sz w:val="28"/>
        </w:rPr>
      </w:pPr>
      <w:r>
        <w:rPr>
          <w:noProof/>
          <w:sz w:val="20"/>
          <w:lang w:val="es-MX" w:eastAsia="es-MX"/>
        </w:rPr>
        <mc:AlternateContent>
          <mc:Choice Requires="wps">
            <w:drawing>
              <wp:anchor distT="45720" distB="45720" distL="114300" distR="114300" simplePos="0" relativeHeight="251659264" behindDoc="0" locked="0" layoutInCell="1" allowOverlap="1" wp14:anchorId="57FE257B" wp14:editId="4BF0CEF4">
                <wp:simplePos x="0" y="0"/>
                <wp:positionH relativeFrom="column">
                  <wp:posOffset>2724150</wp:posOffset>
                </wp:positionH>
                <wp:positionV relativeFrom="paragraph">
                  <wp:posOffset>0</wp:posOffset>
                </wp:positionV>
                <wp:extent cx="3418205"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8205" cy="266700"/>
                        </a:xfrm>
                        <a:prstGeom prst="rect">
                          <a:avLst/>
                        </a:prstGeom>
                        <a:solidFill>
                          <a:srgbClr val="FFFFFF"/>
                        </a:solidFill>
                        <a:ln w="9525">
                          <a:noFill/>
                          <a:miter lim="800000"/>
                          <a:headEnd/>
                          <a:tailEnd/>
                        </a:ln>
                      </wps:spPr>
                      <wps:txbx>
                        <w:txbxContent>
                          <w:p w:rsidR="005F6393" w:rsidRPr="00265B8C" w:rsidRDefault="005F6393" w:rsidP="005F6393">
                            <w:pPr>
                              <w:jc w:val="right"/>
                              <w:rPr>
                                <w:rFonts w:cs="Arial"/>
                                <w:szCs w:val="24"/>
                              </w:rPr>
                            </w:pPr>
                            <w:r w:rsidRPr="00265B8C">
                              <w:rPr>
                                <w:rFonts w:cs="Arial"/>
                                <w:b/>
                                <w:color w:val="FFFFFF" w:themeColor="background1"/>
                                <w:szCs w:val="24"/>
                                <w:shd w:val="clear" w:color="auto" w:fill="365F91" w:themeFill="accent1" w:themeFillShade="BF"/>
                                <w:lang w:val="pt-BR"/>
                              </w:rPr>
                              <w:t xml:space="preserve">Próxima </w:t>
                            </w:r>
                            <w:proofErr w:type="spellStart"/>
                            <w:r w:rsidRPr="00265B8C">
                              <w:rPr>
                                <w:rFonts w:cs="Arial"/>
                                <w:b/>
                                <w:color w:val="FFFFFF" w:themeColor="background1"/>
                                <w:szCs w:val="24"/>
                                <w:shd w:val="clear" w:color="auto" w:fill="365F91" w:themeFill="accent1" w:themeFillShade="BF"/>
                                <w:lang w:val="pt-BR"/>
                              </w:rPr>
                              <w:t>publicación</w:t>
                            </w:r>
                            <w:proofErr w:type="spellEnd"/>
                            <w:r>
                              <w:rPr>
                                <w:rFonts w:cs="Arial"/>
                                <w:b/>
                                <w:color w:val="FFFFFF" w:themeColor="background1"/>
                                <w:szCs w:val="24"/>
                                <w:shd w:val="clear" w:color="auto" w:fill="365F91" w:themeFill="accent1" w:themeFillShade="BF"/>
                                <w:lang w:val="pt-BR"/>
                              </w:rPr>
                              <w:t xml:space="preserve">:  13 de </w:t>
                            </w:r>
                            <w:proofErr w:type="spellStart"/>
                            <w:r>
                              <w:rPr>
                                <w:rFonts w:cs="Arial"/>
                                <w:b/>
                                <w:color w:val="FFFFFF" w:themeColor="background1"/>
                                <w:szCs w:val="24"/>
                                <w:shd w:val="clear" w:color="auto" w:fill="365F91" w:themeFill="accent1" w:themeFillShade="BF"/>
                                <w:lang w:val="pt-BR"/>
                              </w:rPr>
                              <w:t>noviembre</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7FE257B" id="_x0000_t202" coordsize="21600,21600" o:spt="202" path="m,l,21600r21600,l21600,xe">
                <v:stroke joinstyle="miter"/>
                <v:path gradientshapeok="t" o:connecttype="rect"/>
              </v:shapetype>
              <v:shape id="Cuadro de texto 217" o:spid="_x0000_s1026" type="#_x0000_t202" style="position:absolute;left:0;text-align:left;margin-left:214.5pt;margin-top:0;width:269.15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" stroked="f">
                <v:textbox>
                  <w:txbxContent>
                    <w:p w:rsidR="005F6393" w:rsidRPr="00265B8C" w:rsidRDefault="005F6393" w:rsidP="005F6393">
                      <w:pPr>
                        <w:jc w:val="right"/>
                        <w:rPr>
                          <w:rFonts w:cs="Arial"/>
                          <w:szCs w:val="24"/>
                        </w:rPr>
                      </w:pPr>
                      <w:r w:rsidRPr="00265B8C">
                        <w:rPr>
                          <w:rFonts w:cs="Arial"/>
                          <w:b/>
                          <w:color w:val="FFFFFF" w:themeColor="background1"/>
                          <w:szCs w:val="24"/>
                          <w:shd w:val="clear" w:color="auto" w:fill="365F91" w:themeFill="accent1" w:themeFillShade="BF"/>
                          <w:lang w:val="pt-BR"/>
                        </w:rPr>
                        <w:t xml:space="preserve">Próxima </w:t>
                      </w:r>
                      <w:proofErr w:type="spellStart"/>
                      <w:r w:rsidRPr="00265B8C">
                        <w:rPr>
                          <w:rFonts w:cs="Arial"/>
                          <w:b/>
                          <w:color w:val="FFFFFF" w:themeColor="background1"/>
                          <w:szCs w:val="24"/>
                          <w:shd w:val="clear" w:color="auto" w:fill="365F91" w:themeFill="accent1" w:themeFillShade="BF"/>
                          <w:lang w:val="pt-BR"/>
                        </w:rPr>
                        <w:t>publicación</w:t>
                      </w:r>
                      <w:proofErr w:type="spellEnd"/>
                      <w:r>
                        <w:rPr>
                          <w:rFonts w:cs="Arial"/>
                          <w:b/>
                          <w:color w:val="FFFFFF" w:themeColor="background1"/>
                          <w:szCs w:val="24"/>
                          <w:shd w:val="clear" w:color="auto" w:fill="365F91" w:themeFill="accent1" w:themeFillShade="BF"/>
                          <w:lang w:val="pt-BR"/>
                        </w:rPr>
                        <w:t xml:space="preserve">:  13 de </w:t>
                      </w:r>
                      <w:proofErr w:type="spellStart"/>
                      <w:r>
                        <w:rPr>
                          <w:rFonts w:cs="Arial"/>
                          <w:b/>
                          <w:color w:val="FFFFFF" w:themeColor="background1"/>
                          <w:szCs w:val="24"/>
                          <w:shd w:val="clear" w:color="auto" w:fill="365F91" w:themeFill="accent1" w:themeFillShade="BF"/>
                          <w:lang w:val="pt-BR"/>
                        </w:rPr>
                        <w:t>noviembre</w:t>
                      </w:r>
                      <w:proofErr w:type="spellEnd"/>
                    </w:p>
                  </w:txbxContent>
                </v:textbox>
                <w10:wrap type="square"/>
              </v:shape>
            </w:pict>
          </mc:Fallback>
        </mc:AlternateContent>
      </w:r>
    </w:p>
    <w:p w:rsidR="005F6393" w:rsidRDefault="005F6393" w:rsidP="005F6393">
      <w:pPr>
        <w:tabs>
          <w:tab w:val="left" w:pos="8789"/>
        </w:tabs>
        <w:ind w:right="51"/>
        <w:jc w:val="center"/>
        <w:rPr>
          <w:b/>
          <w:sz w:val="28"/>
        </w:rPr>
      </w:pPr>
    </w:p>
    <w:p w:rsidR="005F6393" w:rsidRDefault="005F6393" w:rsidP="005F6393">
      <w:pPr>
        <w:pStyle w:val="Default"/>
        <w:tabs>
          <w:tab w:val="left" w:pos="2410"/>
          <w:tab w:val="left" w:pos="3402"/>
          <w:tab w:val="left" w:pos="3686"/>
        </w:tabs>
        <w:ind w:left="-851" w:right="-232"/>
        <w:jc w:val="center"/>
        <w:rPr>
          <w:rFonts w:eastAsia="Times New Roman"/>
          <w:b/>
          <w:bCs/>
          <w:sz w:val="28"/>
          <w:szCs w:val="28"/>
          <w:lang w:val="es-ES_tradnl"/>
        </w:rPr>
      </w:pPr>
      <w:r>
        <w:rPr>
          <w:rFonts w:eastAsia="Times New Roman"/>
          <w:b/>
          <w:bCs/>
          <w:sz w:val="28"/>
          <w:szCs w:val="28"/>
          <w:lang w:val="es-ES_tradnl"/>
        </w:rPr>
        <w:t xml:space="preserve">     </w:t>
      </w:r>
    </w:p>
    <w:p w:rsidR="005F6393" w:rsidRPr="00E742E4" w:rsidRDefault="005F6393" w:rsidP="005F6393">
      <w:pPr>
        <w:pStyle w:val="Default"/>
        <w:tabs>
          <w:tab w:val="left" w:pos="2410"/>
          <w:tab w:val="left" w:pos="3402"/>
          <w:tab w:val="left" w:pos="3686"/>
        </w:tabs>
        <w:ind w:left="-851" w:right="-232"/>
        <w:jc w:val="center"/>
        <w:rPr>
          <w:rFonts w:eastAsia="Times New Roman"/>
          <w:b/>
          <w:bCs/>
          <w:sz w:val="28"/>
          <w:szCs w:val="28"/>
          <w:lang w:val="es-ES_tradnl"/>
        </w:rPr>
      </w:pPr>
      <w:r>
        <w:rPr>
          <w:rFonts w:eastAsia="Times New Roman"/>
          <w:b/>
          <w:bCs/>
          <w:sz w:val="28"/>
          <w:szCs w:val="28"/>
          <w:lang w:val="es-ES_tradnl"/>
        </w:rPr>
        <w:t xml:space="preserve"> </w:t>
      </w:r>
      <w:r w:rsidRPr="00E742E4">
        <w:rPr>
          <w:rFonts w:eastAsia="Times New Roman"/>
          <w:b/>
          <w:bCs/>
          <w:sz w:val="28"/>
          <w:szCs w:val="28"/>
          <w:lang w:val="es-ES_tradnl"/>
        </w:rPr>
        <w:t>INDICADORES TRIMESTRALES DE LA ACTIVIDAD TURÍSTICA</w:t>
      </w:r>
      <w:r w:rsidRPr="00E742E4">
        <w:rPr>
          <w:b/>
          <w:color w:val="auto"/>
          <w:sz w:val="28"/>
          <w:szCs w:val="28"/>
          <w:vertAlign w:val="superscript"/>
        </w:rPr>
        <w:footnoteReference w:id="1"/>
      </w:r>
      <w:r w:rsidRPr="00E742E4">
        <w:rPr>
          <w:rFonts w:eastAsia="Times New Roman"/>
          <w:b/>
          <w:bCs/>
          <w:sz w:val="28"/>
          <w:szCs w:val="28"/>
          <w:lang w:val="es-ES_tradnl"/>
        </w:rPr>
        <w:t xml:space="preserve"> </w:t>
      </w:r>
    </w:p>
    <w:p w:rsidR="005F6393" w:rsidRPr="00E742E4" w:rsidRDefault="005F6393" w:rsidP="005F6393">
      <w:pPr>
        <w:pStyle w:val="Default"/>
        <w:tabs>
          <w:tab w:val="left" w:pos="2410"/>
          <w:tab w:val="left" w:pos="3402"/>
          <w:tab w:val="left" w:pos="3686"/>
        </w:tabs>
        <w:ind w:left="-851" w:right="-232"/>
        <w:jc w:val="center"/>
        <w:rPr>
          <w:rFonts w:eastAsia="Times New Roman"/>
          <w:b/>
          <w:bCs/>
          <w:sz w:val="28"/>
          <w:szCs w:val="28"/>
          <w:lang w:val="es-ES_tradnl"/>
        </w:rPr>
      </w:pPr>
      <w:r w:rsidRPr="00E742E4">
        <w:rPr>
          <w:rFonts w:eastAsia="Times New Roman"/>
          <w:b/>
          <w:bCs/>
          <w:sz w:val="28"/>
          <w:szCs w:val="28"/>
          <w:lang w:val="es-ES_tradnl"/>
        </w:rPr>
        <w:t>DURANTE EL PRIMER TRIMESTRE DE 2019</w:t>
      </w:r>
      <w:r w:rsidR="0099403A">
        <w:rPr>
          <w:rFonts w:eastAsia="Times New Roman"/>
          <w:b/>
          <w:bCs/>
          <w:sz w:val="28"/>
          <w:szCs w:val="28"/>
          <w:lang w:val="es-ES_tradnl"/>
        </w:rPr>
        <w:t xml:space="preserve"> </w:t>
      </w:r>
      <w:bookmarkStart w:id="0" w:name="_GoBack"/>
      <w:bookmarkEnd w:id="0"/>
    </w:p>
    <w:p w:rsidR="005F6393" w:rsidRPr="00E81E9F" w:rsidRDefault="005F6393" w:rsidP="005F6393">
      <w:pPr>
        <w:pStyle w:val="Default"/>
        <w:jc w:val="center"/>
        <w:rPr>
          <w:rFonts w:eastAsia="Times New Roman"/>
          <w:b/>
          <w:bCs/>
          <w:i/>
          <w:sz w:val="28"/>
          <w:szCs w:val="28"/>
          <w:lang w:val="es-ES_tradnl"/>
        </w:rPr>
      </w:pPr>
      <w:r w:rsidRPr="00E81E9F">
        <w:rPr>
          <w:rFonts w:eastAsia="Times New Roman"/>
          <w:b/>
          <w:bCs/>
          <w:i/>
          <w:szCs w:val="28"/>
          <w:lang w:val="es-ES_tradnl"/>
        </w:rPr>
        <w:t>(</w:t>
      </w:r>
      <w:r>
        <w:rPr>
          <w:rFonts w:eastAsia="Times New Roman"/>
          <w:b/>
          <w:bCs/>
          <w:i/>
          <w:szCs w:val="28"/>
          <w:lang w:val="es-ES_tradnl"/>
        </w:rPr>
        <w:t>Cifras</w:t>
      </w:r>
      <w:r w:rsidRPr="00E81E9F">
        <w:rPr>
          <w:rFonts w:eastAsia="Times New Roman"/>
          <w:b/>
          <w:bCs/>
          <w:i/>
          <w:szCs w:val="28"/>
          <w:lang w:val="es-ES_tradnl"/>
        </w:rPr>
        <w:t xml:space="preserve"> desestacionalizadas)</w:t>
      </w:r>
    </w:p>
    <w:p w:rsidR="005F6393" w:rsidRPr="00E742E4" w:rsidRDefault="005F6393" w:rsidP="005F6393">
      <w:pPr>
        <w:pStyle w:val="bullet"/>
        <w:widowControl/>
        <w:numPr>
          <w:ilvl w:val="0"/>
          <w:numId w:val="0"/>
        </w:numPr>
        <w:tabs>
          <w:tab w:val="left" w:pos="8364"/>
        </w:tabs>
        <w:spacing w:before="180"/>
        <w:ind w:left="-142" w:right="-263"/>
        <w:rPr>
          <w:b w:val="0"/>
          <w:color w:val="auto"/>
          <w:sz w:val="24"/>
          <w:szCs w:val="24"/>
        </w:rPr>
      </w:pPr>
      <w:r w:rsidRPr="00E742E4">
        <w:rPr>
          <w:b w:val="0"/>
          <w:snapToGrid/>
          <w:color w:val="auto"/>
          <w:sz w:val="24"/>
          <w:szCs w:val="24"/>
        </w:rPr>
        <w:t xml:space="preserve">El Instituto Nacional de Estadística y Geografía (INEGI) presenta los resultados de los Indicadores Trimestrales de la Actividad Turística (ITAT) para el periodo enero-marzo de 2019. </w:t>
      </w:r>
    </w:p>
    <w:p w:rsidR="005F6393" w:rsidRPr="00E742E4" w:rsidRDefault="005F6393" w:rsidP="005F6393">
      <w:pPr>
        <w:pStyle w:val="bullet"/>
        <w:widowControl/>
        <w:numPr>
          <w:ilvl w:val="0"/>
          <w:numId w:val="0"/>
        </w:numPr>
        <w:tabs>
          <w:tab w:val="left" w:pos="8364"/>
        </w:tabs>
        <w:ind w:left="-142" w:right="-263"/>
        <w:rPr>
          <w:b w:val="0"/>
          <w:snapToGrid/>
          <w:color w:val="auto"/>
          <w:sz w:val="24"/>
          <w:szCs w:val="24"/>
        </w:rPr>
      </w:pPr>
      <w:r w:rsidRPr="00E742E4">
        <w:rPr>
          <w:b w:val="0"/>
          <w:snapToGrid/>
          <w:color w:val="auto"/>
          <w:sz w:val="24"/>
          <w:szCs w:val="24"/>
        </w:rPr>
        <w:t>En el primer trimestre del año actual, el Indicador Trimestral del PIB Turístico disminuyó (-)0.1 por ciento. Por su parte el del Consumo Turístico Interior no mostró variación en términos reales frente al trimestre inmediato anterior con cifras desestacionalizadas</w:t>
      </w:r>
      <w:r w:rsidRPr="00E742E4">
        <w:rPr>
          <w:b w:val="0"/>
          <w:color w:val="auto"/>
          <w:sz w:val="24"/>
          <w:szCs w:val="24"/>
          <w:vertAlign w:val="superscript"/>
        </w:rPr>
        <w:footnoteReference w:id="2"/>
      </w:r>
      <w:r w:rsidRPr="00E742E4">
        <w:rPr>
          <w:b w:val="0"/>
          <w:snapToGrid/>
          <w:color w:val="auto"/>
          <w:sz w:val="24"/>
          <w:szCs w:val="24"/>
        </w:rPr>
        <w:t>.</w:t>
      </w:r>
    </w:p>
    <w:p w:rsidR="005F6393" w:rsidRDefault="005F6393" w:rsidP="005F6393">
      <w:pPr>
        <w:pStyle w:val="Default"/>
        <w:spacing w:before="240"/>
        <w:jc w:val="center"/>
        <w:rPr>
          <w:rFonts w:eastAsia="Times New Roman"/>
          <w:b/>
          <w:smallCaps/>
          <w:snapToGrid w:val="0"/>
          <w:color w:val="auto"/>
          <w:sz w:val="22"/>
          <w:szCs w:val="22"/>
          <w:lang w:val="es-ES_tradnl"/>
        </w:rPr>
      </w:pPr>
    </w:p>
    <w:p w:rsidR="005F6393" w:rsidRPr="002D5B11" w:rsidRDefault="005F6393" w:rsidP="005F6393">
      <w:pPr>
        <w:pStyle w:val="Default"/>
        <w:spacing w:before="120"/>
        <w:jc w:val="center"/>
        <w:rPr>
          <w:rFonts w:eastAsia="Times New Roman"/>
          <w:b/>
          <w:smallCaps/>
          <w:snapToGrid w:val="0"/>
          <w:color w:val="auto"/>
          <w:sz w:val="22"/>
          <w:szCs w:val="22"/>
          <w:lang w:val="es-ES_tradnl"/>
        </w:rPr>
      </w:pPr>
      <w:r w:rsidRPr="002D5B11">
        <w:rPr>
          <w:rFonts w:eastAsia="Times New Roman"/>
          <w:b/>
          <w:smallCaps/>
          <w:snapToGrid w:val="0"/>
          <w:color w:val="auto"/>
          <w:sz w:val="22"/>
          <w:szCs w:val="22"/>
          <w:lang w:val="es-ES_tradnl"/>
        </w:rPr>
        <w:t xml:space="preserve">Indicador Trimestral del PIB Turístico </w:t>
      </w:r>
      <w:r>
        <w:rPr>
          <w:b/>
          <w:smallCaps/>
          <w:color w:val="auto"/>
          <w:sz w:val="22"/>
          <w:szCs w:val="22"/>
        </w:rPr>
        <w:t>y</w:t>
      </w:r>
      <w:r w:rsidRPr="002D5B11">
        <w:rPr>
          <w:b/>
          <w:smallCaps/>
          <w:color w:val="auto"/>
          <w:sz w:val="22"/>
          <w:szCs w:val="22"/>
        </w:rPr>
        <w:t xml:space="preserve"> </w:t>
      </w:r>
      <w:r>
        <w:rPr>
          <w:b/>
          <w:smallCaps/>
          <w:color w:val="auto"/>
          <w:sz w:val="22"/>
          <w:szCs w:val="22"/>
        </w:rPr>
        <w:t xml:space="preserve">del </w:t>
      </w:r>
      <w:r w:rsidRPr="002D5B11">
        <w:rPr>
          <w:b/>
          <w:smallCaps/>
          <w:color w:val="auto"/>
          <w:sz w:val="22"/>
          <w:szCs w:val="22"/>
        </w:rPr>
        <w:t xml:space="preserve">Consumo Turístico </w:t>
      </w:r>
    </w:p>
    <w:p w:rsidR="005F6393" w:rsidRDefault="005F6393" w:rsidP="005F6393">
      <w:pPr>
        <w:pStyle w:val="p0"/>
        <w:spacing w:before="0"/>
        <w:jc w:val="center"/>
        <w:rPr>
          <w:b/>
          <w:iCs/>
          <w:smallCaps/>
          <w:sz w:val="22"/>
          <w:szCs w:val="22"/>
          <w:lang w:val="es-MX" w:eastAsia="es-MX"/>
        </w:rPr>
      </w:pPr>
      <w:r w:rsidRPr="002D5B11">
        <w:rPr>
          <w:b/>
          <w:smallCaps/>
          <w:snapToGrid/>
          <w:color w:val="auto"/>
          <w:sz w:val="22"/>
          <w:szCs w:val="22"/>
        </w:rPr>
        <w:t>Interior</w:t>
      </w:r>
      <w:r w:rsidRPr="002D5B11">
        <w:rPr>
          <w:rFonts w:cs="Arial"/>
          <w:b/>
          <w:smallCaps/>
          <w:color w:val="auto"/>
          <w:sz w:val="22"/>
          <w:szCs w:val="22"/>
        </w:rPr>
        <w:t xml:space="preserve"> durante el </w:t>
      </w:r>
      <w:r>
        <w:rPr>
          <w:rFonts w:cs="Arial"/>
          <w:b/>
          <w:smallCaps/>
          <w:color w:val="auto"/>
          <w:sz w:val="22"/>
          <w:szCs w:val="22"/>
        </w:rPr>
        <w:t>primer</w:t>
      </w:r>
      <w:r w:rsidRPr="002D5B11">
        <w:rPr>
          <w:rFonts w:cs="Arial"/>
          <w:b/>
          <w:smallCaps/>
          <w:color w:val="auto"/>
          <w:sz w:val="22"/>
          <w:szCs w:val="22"/>
        </w:rPr>
        <w:t xml:space="preserve"> trimestre de 201</w:t>
      </w:r>
      <w:r>
        <w:rPr>
          <w:rFonts w:cs="Arial"/>
          <w:b/>
          <w:smallCaps/>
          <w:color w:val="auto"/>
          <w:sz w:val="22"/>
          <w:szCs w:val="22"/>
        </w:rPr>
        <w:t>9</w:t>
      </w:r>
      <w:r>
        <w:rPr>
          <w:b/>
          <w:iCs/>
          <w:smallCaps/>
          <w:sz w:val="22"/>
          <w:szCs w:val="22"/>
          <w:lang w:val="es-MX" w:eastAsia="es-MX"/>
        </w:rPr>
        <w:t xml:space="preserve"> </w:t>
      </w:r>
    </w:p>
    <w:p w:rsidR="005F6393" w:rsidRDefault="005F6393" w:rsidP="005F6393">
      <w:pPr>
        <w:pStyle w:val="p0"/>
        <w:spacing w:before="0"/>
        <w:jc w:val="center"/>
        <w:rPr>
          <w:rFonts w:cs="Arial"/>
          <w:b/>
          <w:smallCaps/>
          <w:color w:val="auto"/>
          <w:sz w:val="22"/>
          <w:szCs w:val="22"/>
        </w:rPr>
      </w:pPr>
      <w:r>
        <w:rPr>
          <w:rFonts w:cs="Arial"/>
          <w:b/>
          <w:smallCaps/>
          <w:color w:val="auto"/>
          <w:sz w:val="22"/>
          <w:szCs w:val="22"/>
        </w:rPr>
        <w:t>Cifras desestacionalizadas por componentes</w:t>
      </w:r>
    </w:p>
    <w:tbl>
      <w:tblPr>
        <w:tblW w:w="0" w:type="auto"/>
        <w:jc w:val="center"/>
        <w:tblLayout w:type="fixed"/>
        <w:tblCellMar>
          <w:left w:w="107" w:type="dxa"/>
          <w:right w:w="107" w:type="dxa"/>
        </w:tblCellMar>
        <w:tblLook w:val="04A0" w:firstRow="1" w:lastRow="0" w:firstColumn="1" w:lastColumn="0" w:noHBand="0" w:noVBand="1"/>
      </w:tblPr>
      <w:tblGrid>
        <w:gridCol w:w="3104"/>
        <w:gridCol w:w="1559"/>
        <w:gridCol w:w="1701"/>
      </w:tblGrid>
      <w:tr w:rsidR="005F6393" w:rsidTr="00EF3FFD">
        <w:trPr>
          <w:cantSplit/>
          <w:trHeight w:val="20"/>
          <w:jc w:val="center"/>
        </w:trPr>
        <w:tc>
          <w:tcPr>
            <w:tcW w:w="3104" w:type="dxa"/>
            <w:tcBorders>
              <w:top w:val="double" w:sz="4" w:space="0" w:color="auto"/>
              <w:left w:val="double" w:sz="4" w:space="0" w:color="auto"/>
              <w:bottom w:val="single" w:sz="8" w:space="0" w:color="404040"/>
              <w:right w:val="single" w:sz="8" w:space="0" w:color="404040"/>
            </w:tcBorders>
            <w:shd w:val="clear" w:color="auto" w:fill="C2D69B" w:themeFill="accent3" w:themeFillTint="99"/>
            <w:vAlign w:val="center"/>
            <w:hideMark/>
          </w:tcPr>
          <w:p w:rsidR="005F6393" w:rsidRDefault="005F6393" w:rsidP="00EF3FFD">
            <w:pPr>
              <w:pStyle w:val="p0"/>
              <w:tabs>
                <w:tab w:val="left" w:pos="546"/>
              </w:tabs>
              <w:spacing w:before="120" w:after="120"/>
              <w:ind w:right="284"/>
              <w:jc w:val="center"/>
              <w:rPr>
                <w:rFonts w:cs="Arial"/>
                <w:color w:val="auto"/>
                <w:sz w:val="18"/>
                <w:lang w:val="es-ES"/>
              </w:rPr>
            </w:pPr>
            <w:r>
              <w:rPr>
                <w:rFonts w:cs="Arial"/>
                <w:color w:val="auto"/>
                <w:sz w:val="18"/>
                <w:lang w:val="es-ES"/>
              </w:rPr>
              <w:t>Concepto</w:t>
            </w:r>
          </w:p>
        </w:tc>
        <w:tc>
          <w:tcPr>
            <w:tcW w:w="1559" w:type="dxa"/>
            <w:tcBorders>
              <w:top w:val="double" w:sz="4" w:space="0" w:color="auto"/>
              <w:left w:val="single" w:sz="8" w:space="0" w:color="404040"/>
              <w:bottom w:val="single" w:sz="8" w:space="0" w:color="404040"/>
              <w:right w:val="single" w:sz="8" w:space="0" w:color="404040"/>
            </w:tcBorders>
            <w:shd w:val="clear" w:color="auto" w:fill="C2D69B" w:themeFill="accent3" w:themeFillTint="99"/>
            <w:hideMark/>
          </w:tcPr>
          <w:p w:rsidR="005F6393" w:rsidRDefault="005F6393" w:rsidP="00EF3FFD">
            <w:pPr>
              <w:pStyle w:val="p0"/>
              <w:keepNext/>
              <w:spacing w:before="60"/>
              <w:jc w:val="center"/>
              <w:rPr>
                <w:rFonts w:cs="Arial"/>
                <w:color w:val="auto"/>
                <w:sz w:val="18"/>
                <w:lang w:val="es-ES"/>
              </w:rPr>
            </w:pPr>
            <w:r>
              <w:rPr>
                <w:rFonts w:cs="Arial"/>
                <w:color w:val="auto"/>
                <w:sz w:val="18"/>
                <w:lang w:val="es-ES"/>
              </w:rPr>
              <w:t>Variación % respecto al trimestre previo</w:t>
            </w:r>
          </w:p>
        </w:tc>
        <w:tc>
          <w:tcPr>
            <w:tcW w:w="1701" w:type="dxa"/>
            <w:tcBorders>
              <w:top w:val="double" w:sz="4" w:space="0" w:color="auto"/>
              <w:left w:val="single" w:sz="8" w:space="0" w:color="404040"/>
              <w:bottom w:val="single" w:sz="8" w:space="0" w:color="404040"/>
              <w:right w:val="double" w:sz="4" w:space="0" w:color="auto"/>
            </w:tcBorders>
            <w:shd w:val="clear" w:color="auto" w:fill="C2D69B" w:themeFill="accent3" w:themeFillTint="99"/>
            <w:vAlign w:val="center"/>
            <w:hideMark/>
          </w:tcPr>
          <w:p w:rsidR="005F6393" w:rsidRDefault="005F6393" w:rsidP="00EF3FFD">
            <w:pPr>
              <w:pStyle w:val="p0"/>
              <w:keepNext/>
              <w:spacing w:before="60"/>
              <w:jc w:val="center"/>
              <w:rPr>
                <w:rFonts w:cs="Arial"/>
                <w:color w:val="auto"/>
                <w:sz w:val="18"/>
                <w:lang w:val="es-ES"/>
              </w:rPr>
            </w:pPr>
            <w:r>
              <w:rPr>
                <w:rFonts w:cs="Arial"/>
                <w:color w:val="auto"/>
                <w:sz w:val="18"/>
                <w:lang w:val="es-ES"/>
              </w:rPr>
              <w:t>Variación % respecto a igual trimestre de 2018</w:t>
            </w:r>
          </w:p>
        </w:tc>
      </w:tr>
      <w:tr w:rsidR="005F6393" w:rsidTr="00EF3FFD">
        <w:trPr>
          <w:cantSplit/>
          <w:trHeight w:val="20"/>
          <w:jc w:val="center"/>
        </w:trPr>
        <w:tc>
          <w:tcPr>
            <w:tcW w:w="3104" w:type="dxa"/>
            <w:tcBorders>
              <w:top w:val="single" w:sz="8" w:space="0" w:color="404040"/>
              <w:left w:val="double" w:sz="4" w:space="0" w:color="auto"/>
              <w:bottom w:val="nil"/>
              <w:right w:val="single" w:sz="8" w:space="0" w:color="404040"/>
            </w:tcBorders>
            <w:hideMark/>
          </w:tcPr>
          <w:p w:rsidR="005F6393" w:rsidRPr="002F10D1" w:rsidRDefault="005F6393" w:rsidP="00EF3FFD">
            <w:pPr>
              <w:pStyle w:val="p0"/>
              <w:spacing w:before="120" w:after="60"/>
              <w:ind w:firstLine="159"/>
              <w:rPr>
                <w:rFonts w:cs="Arial"/>
                <w:b/>
                <w:color w:val="auto"/>
                <w:sz w:val="18"/>
                <w:lang w:val="es-ES"/>
              </w:rPr>
            </w:pPr>
            <w:r>
              <w:rPr>
                <w:rFonts w:cs="Arial"/>
                <w:sz w:val="18"/>
              </w:rPr>
              <w:br w:type="page"/>
            </w:r>
            <w:r w:rsidRPr="002F10D1">
              <w:rPr>
                <w:rFonts w:cs="Arial"/>
                <w:b/>
                <w:color w:val="auto"/>
                <w:sz w:val="18"/>
                <w:lang w:val="es-ES"/>
              </w:rPr>
              <w:t xml:space="preserve">PIB </w:t>
            </w:r>
            <w:r>
              <w:rPr>
                <w:rFonts w:cs="Arial"/>
                <w:b/>
                <w:color w:val="auto"/>
                <w:sz w:val="18"/>
                <w:lang w:val="es-ES"/>
              </w:rPr>
              <w:t>T</w:t>
            </w:r>
            <w:r w:rsidRPr="002F10D1">
              <w:rPr>
                <w:rFonts w:cs="Arial"/>
                <w:b/>
                <w:color w:val="auto"/>
                <w:sz w:val="18"/>
                <w:lang w:val="es-ES"/>
              </w:rPr>
              <w:t xml:space="preserve">urístico </w:t>
            </w:r>
          </w:p>
        </w:tc>
        <w:tc>
          <w:tcPr>
            <w:tcW w:w="1559" w:type="dxa"/>
            <w:tcBorders>
              <w:top w:val="single" w:sz="8" w:space="0" w:color="404040"/>
              <w:left w:val="single" w:sz="8" w:space="0" w:color="404040"/>
              <w:bottom w:val="nil"/>
              <w:right w:val="single" w:sz="8" w:space="0" w:color="404040"/>
            </w:tcBorders>
            <w:vAlign w:val="center"/>
          </w:tcPr>
          <w:p w:rsidR="005F6393" w:rsidRPr="00EC1D9C" w:rsidRDefault="005F6393" w:rsidP="00EF3FFD">
            <w:pPr>
              <w:tabs>
                <w:tab w:val="left" w:pos="307"/>
              </w:tabs>
              <w:spacing w:before="120" w:after="20"/>
              <w:ind w:right="567"/>
              <w:jc w:val="right"/>
              <w:rPr>
                <w:rFonts w:cs="Arial"/>
                <w:b/>
                <w:sz w:val="18"/>
                <w:lang w:val="es-ES" w:eastAsia="en-US"/>
              </w:rPr>
            </w:pPr>
            <w:r>
              <w:rPr>
                <w:rFonts w:cs="Arial"/>
                <w:b/>
                <w:sz w:val="18"/>
                <w:lang w:val="es-ES" w:eastAsia="en-US"/>
              </w:rPr>
              <w:t xml:space="preserve">(-)   </w:t>
            </w:r>
            <w:r w:rsidRPr="00EC1D9C">
              <w:rPr>
                <w:rFonts w:cs="Arial"/>
                <w:b/>
                <w:sz w:val="18"/>
                <w:lang w:val="es-ES" w:eastAsia="en-US"/>
              </w:rPr>
              <w:t>0.</w:t>
            </w:r>
            <w:r>
              <w:rPr>
                <w:rFonts w:cs="Arial"/>
                <w:b/>
                <w:sz w:val="18"/>
                <w:lang w:val="es-ES" w:eastAsia="en-US"/>
              </w:rPr>
              <w:t>1</w:t>
            </w:r>
          </w:p>
        </w:tc>
        <w:tc>
          <w:tcPr>
            <w:tcW w:w="1701" w:type="dxa"/>
            <w:tcBorders>
              <w:top w:val="single" w:sz="8" w:space="0" w:color="404040"/>
              <w:left w:val="single" w:sz="8" w:space="0" w:color="404040"/>
              <w:bottom w:val="nil"/>
              <w:right w:val="double" w:sz="4" w:space="0" w:color="auto"/>
            </w:tcBorders>
            <w:vAlign w:val="center"/>
          </w:tcPr>
          <w:p w:rsidR="005F6393" w:rsidRPr="00EC1D9C" w:rsidRDefault="005F6393" w:rsidP="00EF3FFD">
            <w:pPr>
              <w:tabs>
                <w:tab w:val="left" w:pos="307"/>
                <w:tab w:val="decimal" w:pos="881"/>
              </w:tabs>
              <w:spacing w:before="120" w:after="20"/>
              <w:ind w:right="567"/>
              <w:jc w:val="right"/>
              <w:rPr>
                <w:rFonts w:cs="Arial"/>
                <w:b/>
                <w:sz w:val="18"/>
                <w:lang w:val="es-ES" w:eastAsia="en-US"/>
              </w:rPr>
            </w:pPr>
            <w:r>
              <w:rPr>
                <w:rFonts w:cs="Arial"/>
                <w:b/>
                <w:sz w:val="18"/>
                <w:lang w:val="es-ES" w:eastAsia="en-US"/>
              </w:rPr>
              <w:t>(-)   0</w:t>
            </w:r>
            <w:r w:rsidRPr="00EC1D9C">
              <w:rPr>
                <w:rFonts w:cs="Arial"/>
                <w:b/>
                <w:sz w:val="18"/>
                <w:lang w:val="es-ES" w:eastAsia="en-US"/>
              </w:rPr>
              <w:t>.</w:t>
            </w:r>
            <w:r>
              <w:rPr>
                <w:rFonts w:cs="Arial"/>
                <w:b/>
                <w:sz w:val="18"/>
                <w:lang w:val="es-ES" w:eastAsia="en-US"/>
              </w:rPr>
              <w:t>8</w:t>
            </w:r>
          </w:p>
        </w:tc>
      </w:tr>
      <w:tr w:rsidR="005F6393" w:rsidTr="00EF3FFD">
        <w:trPr>
          <w:cantSplit/>
          <w:trHeight w:val="20"/>
          <w:jc w:val="center"/>
        </w:trPr>
        <w:tc>
          <w:tcPr>
            <w:tcW w:w="3104" w:type="dxa"/>
            <w:tcBorders>
              <w:top w:val="nil"/>
              <w:left w:val="double" w:sz="4" w:space="0" w:color="auto"/>
              <w:bottom w:val="nil"/>
              <w:right w:val="single" w:sz="8" w:space="0" w:color="404040"/>
            </w:tcBorders>
            <w:hideMark/>
          </w:tcPr>
          <w:p w:rsidR="005F6393" w:rsidRDefault="005F6393" w:rsidP="00EF3FFD">
            <w:pPr>
              <w:pStyle w:val="p0"/>
              <w:spacing w:before="0"/>
              <w:ind w:firstLine="454"/>
              <w:rPr>
                <w:rFonts w:cs="Arial"/>
                <w:color w:val="auto"/>
                <w:sz w:val="18"/>
                <w:lang w:val="es-ES"/>
              </w:rPr>
            </w:pPr>
            <w:r>
              <w:rPr>
                <w:rFonts w:cs="Arial"/>
                <w:color w:val="auto"/>
                <w:sz w:val="18"/>
                <w:lang w:val="es-ES"/>
              </w:rPr>
              <w:t>Bienes</w:t>
            </w:r>
          </w:p>
        </w:tc>
        <w:tc>
          <w:tcPr>
            <w:tcW w:w="1559" w:type="dxa"/>
            <w:tcBorders>
              <w:top w:val="nil"/>
              <w:left w:val="single" w:sz="8" w:space="0" w:color="404040"/>
              <w:bottom w:val="nil"/>
              <w:right w:val="single" w:sz="8" w:space="0" w:color="404040"/>
            </w:tcBorders>
            <w:hideMark/>
          </w:tcPr>
          <w:p w:rsidR="005F6393" w:rsidRPr="00EC1D9C" w:rsidRDefault="005F6393" w:rsidP="00EF3FFD">
            <w:pPr>
              <w:tabs>
                <w:tab w:val="left" w:pos="307"/>
              </w:tabs>
              <w:ind w:right="567"/>
              <w:jc w:val="right"/>
              <w:rPr>
                <w:rFonts w:cs="Arial"/>
                <w:sz w:val="18"/>
                <w:lang w:val="es-ES" w:eastAsia="en-US"/>
              </w:rPr>
            </w:pPr>
            <w:r>
              <w:rPr>
                <w:rFonts w:cs="Arial"/>
                <w:sz w:val="18"/>
                <w:lang w:val="es-ES" w:eastAsia="en-US"/>
              </w:rPr>
              <w:t>1</w:t>
            </w:r>
            <w:r w:rsidRPr="00EC1D9C">
              <w:rPr>
                <w:rFonts w:cs="Arial"/>
                <w:sz w:val="18"/>
                <w:lang w:val="es-ES" w:eastAsia="en-US"/>
              </w:rPr>
              <w:t>.</w:t>
            </w:r>
            <w:r>
              <w:rPr>
                <w:rFonts w:cs="Arial"/>
                <w:sz w:val="18"/>
                <w:lang w:val="es-ES" w:eastAsia="en-US"/>
              </w:rPr>
              <w:t>3</w:t>
            </w:r>
          </w:p>
        </w:tc>
        <w:tc>
          <w:tcPr>
            <w:tcW w:w="1701" w:type="dxa"/>
            <w:tcBorders>
              <w:top w:val="nil"/>
              <w:left w:val="single" w:sz="8" w:space="0" w:color="404040"/>
              <w:bottom w:val="nil"/>
              <w:right w:val="double" w:sz="4" w:space="0" w:color="auto"/>
            </w:tcBorders>
            <w:hideMark/>
          </w:tcPr>
          <w:p w:rsidR="005F6393" w:rsidRPr="00EC1D9C" w:rsidRDefault="005F6393" w:rsidP="00EF3FFD">
            <w:pPr>
              <w:tabs>
                <w:tab w:val="left" w:pos="307"/>
                <w:tab w:val="decimal" w:pos="881"/>
              </w:tabs>
              <w:ind w:right="567"/>
              <w:jc w:val="right"/>
              <w:rPr>
                <w:rFonts w:cs="Arial"/>
                <w:sz w:val="18"/>
                <w:lang w:val="es-ES" w:eastAsia="en-US"/>
              </w:rPr>
            </w:pPr>
            <w:r>
              <w:rPr>
                <w:rFonts w:cs="Arial"/>
                <w:sz w:val="18"/>
                <w:lang w:val="es-ES" w:eastAsia="en-US"/>
              </w:rPr>
              <w:t>(-)   0</w:t>
            </w:r>
            <w:r w:rsidRPr="00EC1D9C">
              <w:rPr>
                <w:rFonts w:cs="Arial"/>
                <w:sz w:val="18"/>
                <w:lang w:val="es-ES" w:eastAsia="en-US"/>
              </w:rPr>
              <w:t>.3</w:t>
            </w:r>
          </w:p>
        </w:tc>
      </w:tr>
      <w:tr w:rsidR="005F6393" w:rsidTr="00EF3FFD">
        <w:trPr>
          <w:cantSplit/>
          <w:trHeight w:val="20"/>
          <w:jc w:val="center"/>
        </w:trPr>
        <w:tc>
          <w:tcPr>
            <w:tcW w:w="3104" w:type="dxa"/>
            <w:tcBorders>
              <w:top w:val="nil"/>
              <w:left w:val="double" w:sz="4" w:space="0" w:color="auto"/>
              <w:bottom w:val="nil"/>
              <w:right w:val="single" w:sz="8" w:space="0" w:color="404040"/>
            </w:tcBorders>
            <w:hideMark/>
          </w:tcPr>
          <w:p w:rsidR="005F6393" w:rsidRDefault="005F6393" w:rsidP="00EF3FFD">
            <w:pPr>
              <w:pStyle w:val="p0"/>
              <w:spacing w:before="0"/>
              <w:ind w:firstLine="454"/>
              <w:rPr>
                <w:rFonts w:cs="Arial"/>
                <w:color w:val="auto"/>
                <w:sz w:val="18"/>
                <w:lang w:val="es-ES"/>
              </w:rPr>
            </w:pPr>
            <w:r>
              <w:rPr>
                <w:rFonts w:cs="Arial"/>
                <w:color w:val="auto"/>
                <w:sz w:val="18"/>
                <w:lang w:val="es-ES"/>
              </w:rPr>
              <w:t>Servicios</w:t>
            </w:r>
          </w:p>
        </w:tc>
        <w:tc>
          <w:tcPr>
            <w:tcW w:w="1559" w:type="dxa"/>
            <w:tcBorders>
              <w:top w:val="nil"/>
              <w:left w:val="single" w:sz="8" w:space="0" w:color="404040"/>
              <w:bottom w:val="nil"/>
              <w:right w:val="single" w:sz="8" w:space="0" w:color="404040"/>
            </w:tcBorders>
            <w:hideMark/>
          </w:tcPr>
          <w:p w:rsidR="005F6393" w:rsidRPr="00EC1D9C" w:rsidRDefault="005F6393" w:rsidP="00EF3FFD">
            <w:pPr>
              <w:tabs>
                <w:tab w:val="left" w:pos="307"/>
              </w:tabs>
              <w:ind w:right="567"/>
              <w:jc w:val="right"/>
              <w:rPr>
                <w:rFonts w:cs="Arial"/>
                <w:sz w:val="18"/>
                <w:lang w:val="es-ES" w:eastAsia="en-US"/>
              </w:rPr>
            </w:pPr>
            <w:r>
              <w:rPr>
                <w:rFonts w:cs="Arial"/>
                <w:sz w:val="18"/>
                <w:lang w:val="es-ES" w:eastAsia="en-US"/>
              </w:rPr>
              <w:t xml:space="preserve">(-)   </w:t>
            </w:r>
            <w:r w:rsidRPr="00EC1D9C">
              <w:rPr>
                <w:rFonts w:cs="Arial"/>
                <w:sz w:val="18"/>
                <w:lang w:val="es-ES" w:eastAsia="en-US"/>
              </w:rPr>
              <w:t>0.</w:t>
            </w:r>
            <w:r>
              <w:rPr>
                <w:rFonts w:cs="Arial"/>
                <w:sz w:val="18"/>
                <w:lang w:val="es-ES" w:eastAsia="en-US"/>
              </w:rPr>
              <w:t>4</w:t>
            </w:r>
          </w:p>
        </w:tc>
        <w:tc>
          <w:tcPr>
            <w:tcW w:w="1701" w:type="dxa"/>
            <w:tcBorders>
              <w:top w:val="nil"/>
              <w:left w:val="single" w:sz="8" w:space="0" w:color="404040"/>
              <w:bottom w:val="nil"/>
              <w:right w:val="double" w:sz="4" w:space="0" w:color="auto"/>
            </w:tcBorders>
            <w:hideMark/>
          </w:tcPr>
          <w:p w:rsidR="005F6393" w:rsidRPr="00EC1D9C" w:rsidRDefault="005F6393" w:rsidP="00EF3FFD">
            <w:pPr>
              <w:tabs>
                <w:tab w:val="left" w:pos="307"/>
                <w:tab w:val="decimal" w:pos="881"/>
              </w:tabs>
              <w:ind w:right="567"/>
              <w:jc w:val="right"/>
              <w:rPr>
                <w:rFonts w:cs="Arial"/>
                <w:sz w:val="18"/>
                <w:lang w:val="es-ES" w:eastAsia="en-US"/>
              </w:rPr>
            </w:pPr>
            <w:r>
              <w:rPr>
                <w:rFonts w:cs="Arial"/>
                <w:sz w:val="18"/>
                <w:lang w:val="es-ES" w:eastAsia="en-US"/>
              </w:rPr>
              <w:t>(-)   0</w:t>
            </w:r>
            <w:r w:rsidRPr="00EC1D9C">
              <w:rPr>
                <w:rFonts w:cs="Arial"/>
                <w:sz w:val="18"/>
                <w:lang w:val="es-ES" w:eastAsia="en-US"/>
              </w:rPr>
              <w:t>.</w:t>
            </w:r>
            <w:r>
              <w:rPr>
                <w:rFonts w:cs="Arial"/>
                <w:sz w:val="18"/>
                <w:lang w:val="es-ES" w:eastAsia="en-US"/>
              </w:rPr>
              <w:t>8</w:t>
            </w:r>
          </w:p>
        </w:tc>
      </w:tr>
      <w:tr w:rsidR="005F6393" w:rsidTr="00EF3FFD">
        <w:trPr>
          <w:cantSplit/>
          <w:trHeight w:val="20"/>
          <w:jc w:val="center"/>
        </w:trPr>
        <w:tc>
          <w:tcPr>
            <w:tcW w:w="3104" w:type="dxa"/>
            <w:tcBorders>
              <w:top w:val="nil"/>
              <w:left w:val="double" w:sz="4" w:space="0" w:color="auto"/>
              <w:bottom w:val="nil"/>
              <w:right w:val="single" w:sz="8" w:space="0" w:color="404040"/>
            </w:tcBorders>
            <w:hideMark/>
          </w:tcPr>
          <w:p w:rsidR="005F6393" w:rsidRPr="002F10D1" w:rsidRDefault="005F6393" w:rsidP="00EF3FFD">
            <w:pPr>
              <w:pStyle w:val="p0"/>
              <w:spacing w:before="120" w:after="60"/>
              <w:ind w:firstLine="159"/>
              <w:rPr>
                <w:rFonts w:cs="Arial"/>
                <w:b/>
                <w:color w:val="auto"/>
                <w:sz w:val="18"/>
                <w:lang w:val="es-ES"/>
              </w:rPr>
            </w:pPr>
            <w:r w:rsidRPr="002F10D1">
              <w:rPr>
                <w:rFonts w:cs="Arial"/>
                <w:b/>
                <w:color w:val="auto"/>
                <w:sz w:val="18"/>
                <w:lang w:val="es-ES"/>
              </w:rPr>
              <w:t xml:space="preserve">Consumo </w:t>
            </w:r>
            <w:r>
              <w:rPr>
                <w:rFonts w:cs="Arial"/>
                <w:b/>
                <w:color w:val="auto"/>
                <w:sz w:val="18"/>
                <w:lang w:val="es-ES"/>
              </w:rPr>
              <w:t>T</w:t>
            </w:r>
            <w:r w:rsidRPr="002F10D1">
              <w:rPr>
                <w:rFonts w:cs="Arial"/>
                <w:b/>
                <w:color w:val="auto"/>
                <w:sz w:val="18"/>
                <w:lang w:val="es-ES"/>
              </w:rPr>
              <w:t>urístico Interior</w:t>
            </w:r>
          </w:p>
        </w:tc>
        <w:tc>
          <w:tcPr>
            <w:tcW w:w="1559" w:type="dxa"/>
            <w:tcBorders>
              <w:top w:val="nil"/>
              <w:left w:val="single" w:sz="8" w:space="0" w:color="404040"/>
              <w:bottom w:val="nil"/>
              <w:right w:val="single" w:sz="8" w:space="0" w:color="404040"/>
            </w:tcBorders>
          </w:tcPr>
          <w:p w:rsidR="005F6393" w:rsidRPr="00EC1D9C" w:rsidRDefault="005F6393" w:rsidP="00EF3FFD">
            <w:pPr>
              <w:tabs>
                <w:tab w:val="left" w:pos="307"/>
              </w:tabs>
              <w:spacing w:before="120" w:after="20"/>
              <w:ind w:right="567"/>
              <w:jc w:val="right"/>
              <w:rPr>
                <w:rFonts w:cs="Arial"/>
                <w:b/>
                <w:sz w:val="18"/>
                <w:lang w:val="es-ES" w:eastAsia="en-US"/>
              </w:rPr>
            </w:pPr>
            <w:r w:rsidRPr="00EC1D9C">
              <w:rPr>
                <w:rFonts w:cs="Arial"/>
                <w:b/>
                <w:sz w:val="18"/>
                <w:lang w:val="es-ES" w:eastAsia="en-US"/>
              </w:rPr>
              <w:t>0.</w:t>
            </w:r>
            <w:r>
              <w:rPr>
                <w:rFonts w:cs="Arial"/>
                <w:b/>
                <w:sz w:val="18"/>
                <w:lang w:val="es-ES" w:eastAsia="en-US"/>
              </w:rPr>
              <w:t>0</w:t>
            </w:r>
          </w:p>
        </w:tc>
        <w:tc>
          <w:tcPr>
            <w:tcW w:w="1701" w:type="dxa"/>
            <w:tcBorders>
              <w:top w:val="nil"/>
              <w:left w:val="single" w:sz="8" w:space="0" w:color="404040"/>
              <w:bottom w:val="nil"/>
              <w:right w:val="double" w:sz="4" w:space="0" w:color="auto"/>
            </w:tcBorders>
          </w:tcPr>
          <w:p w:rsidR="005F6393" w:rsidRPr="00EC1D9C" w:rsidRDefault="005F6393" w:rsidP="00EF3FFD">
            <w:pPr>
              <w:tabs>
                <w:tab w:val="left" w:pos="307"/>
                <w:tab w:val="decimal" w:pos="881"/>
              </w:tabs>
              <w:spacing w:before="120" w:after="20"/>
              <w:ind w:right="567"/>
              <w:jc w:val="right"/>
              <w:rPr>
                <w:rFonts w:cs="Arial"/>
                <w:b/>
                <w:sz w:val="18"/>
                <w:lang w:val="es-ES" w:eastAsia="en-US"/>
              </w:rPr>
            </w:pPr>
            <w:r>
              <w:rPr>
                <w:rFonts w:cs="Arial"/>
                <w:b/>
                <w:sz w:val="18"/>
                <w:lang w:val="es-ES" w:eastAsia="en-US"/>
              </w:rPr>
              <w:t>(-)   0</w:t>
            </w:r>
            <w:r w:rsidRPr="00EC1D9C">
              <w:rPr>
                <w:rFonts w:cs="Arial"/>
                <w:b/>
                <w:sz w:val="18"/>
                <w:lang w:val="es-ES" w:eastAsia="en-US"/>
              </w:rPr>
              <w:t>.</w:t>
            </w:r>
            <w:r>
              <w:rPr>
                <w:rFonts w:cs="Arial"/>
                <w:b/>
                <w:sz w:val="18"/>
                <w:lang w:val="es-ES" w:eastAsia="en-US"/>
              </w:rPr>
              <w:t>6</w:t>
            </w:r>
          </w:p>
        </w:tc>
      </w:tr>
      <w:tr w:rsidR="005F6393" w:rsidTr="00EF3FFD">
        <w:trPr>
          <w:cantSplit/>
          <w:trHeight w:val="20"/>
          <w:jc w:val="center"/>
        </w:trPr>
        <w:tc>
          <w:tcPr>
            <w:tcW w:w="3104" w:type="dxa"/>
            <w:tcBorders>
              <w:top w:val="nil"/>
              <w:left w:val="double" w:sz="4" w:space="0" w:color="auto"/>
              <w:right w:val="single" w:sz="8" w:space="0" w:color="404040"/>
            </w:tcBorders>
          </w:tcPr>
          <w:p w:rsidR="005F6393" w:rsidRPr="00053A68" w:rsidRDefault="005F6393" w:rsidP="00EF3FFD">
            <w:pPr>
              <w:pStyle w:val="p0"/>
              <w:spacing w:before="0"/>
              <w:ind w:firstLine="454"/>
              <w:rPr>
                <w:rFonts w:cs="Arial"/>
                <w:color w:val="auto"/>
                <w:sz w:val="18"/>
                <w:lang w:val="es-ES"/>
              </w:rPr>
            </w:pPr>
            <w:r w:rsidRPr="002D5B11">
              <w:rPr>
                <w:rFonts w:cs="Arial"/>
                <w:color w:val="auto"/>
                <w:sz w:val="18"/>
                <w:lang w:val="es-ES"/>
              </w:rPr>
              <w:t>Interno</w:t>
            </w:r>
          </w:p>
        </w:tc>
        <w:tc>
          <w:tcPr>
            <w:tcW w:w="1559" w:type="dxa"/>
            <w:tcBorders>
              <w:top w:val="nil"/>
              <w:left w:val="single" w:sz="8" w:space="0" w:color="404040"/>
              <w:right w:val="single" w:sz="8" w:space="0" w:color="404040"/>
            </w:tcBorders>
          </w:tcPr>
          <w:p w:rsidR="005F6393" w:rsidRPr="00EC1D9C" w:rsidRDefault="005F6393" w:rsidP="00EF3FFD">
            <w:pPr>
              <w:tabs>
                <w:tab w:val="left" w:pos="307"/>
                <w:tab w:val="decimal" w:pos="881"/>
              </w:tabs>
              <w:ind w:right="567"/>
              <w:jc w:val="right"/>
              <w:rPr>
                <w:rFonts w:cs="Arial"/>
                <w:sz w:val="18"/>
                <w:lang w:val="es-ES"/>
              </w:rPr>
            </w:pPr>
            <w:r w:rsidRPr="00EC1D9C">
              <w:rPr>
                <w:rFonts w:cs="Arial"/>
                <w:sz w:val="18"/>
                <w:lang w:val="es-ES"/>
              </w:rPr>
              <w:t>(-)   0.</w:t>
            </w:r>
            <w:r>
              <w:rPr>
                <w:rFonts w:cs="Arial"/>
                <w:sz w:val="18"/>
                <w:lang w:val="es-ES"/>
              </w:rPr>
              <w:t>5</w:t>
            </w:r>
          </w:p>
        </w:tc>
        <w:tc>
          <w:tcPr>
            <w:tcW w:w="1701" w:type="dxa"/>
            <w:tcBorders>
              <w:top w:val="nil"/>
              <w:left w:val="single" w:sz="8" w:space="0" w:color="404040"/>
              <w:right w:val="double" w:sz="4" w:space="0" w:color="auto"/>
            </w:tcBorders>
          </w:tcPr>
          <w:p w:rsidR="005F6393" w:rsidRPr="00EC1D9C" w:rsidRDefault="005F6393" w:rsidP="00EF3FFD">
            <w:pPr>
              <w:tabs>
                <w:tab w:val="left" w:pos="307"/>
                <w:tab w:val="decimal" w:pos="881"/>
              </w:tabs>
              <w:ind w:right="567"/>
              <w:jc w:val="right"/>
              <w:rPr>
                <w:rFonts w:cs="Arial"/>
                <w:sz w:val="18"/>
                <w:lang w:val="es-ES"/>
              </w:rPr>
            </w:pPr>
            <w:r>
              <w:rPr>
                <w:rFonts w:cs="Arial"/>
                <w:sz w:val="18"/>
                <w:lang w:val="es-ES"/>
              </w:rPr>
              <w:t xml:space="preserve">(-)   </w:t>
            </w:r>
            <w:r w:rsidRPr="00EC1D9C">
              <w:rPr>
                <w:rFonts w:cs="Arial"/>
                <w:sz w:val="18"/>
                <w:lang w:val="es-ES"/>
              </w:rPr>
              <w:t>2</w:t>
            </w:r>
            <w:r>
              <w:rPr>
                <w:rFonts w:cs="Arial"/>
                <w:sz w:val="18"/>
                <w:lang w:val="es-ES"/>
              </w:rPr>
              <w:t>.8</w:t>
            </w:r>
          </w:p>
        </w:tc>
      </w:tr>
      <w:tr w:rsidR="005F6393" w:rsidTr="00EF3FFD">
        <w:trPr>
          <w:cantSplit/>
          <w:trHeight w:val="20"/>
          <w:jc w:val="center"/>
        </w:trPr>
        <w:tc>
          <w:tcPr>
            <w:tcW w:w="3104" w:type="dxa"/>
            <w:tcBorders>
              <w:top w:val="nil"/>
              <w:left w:val="double" w:sz="4" w:space="0" w:color="auto"/>
              <w:bottom w:val="double" w:sz="4" w:space="0" w:color="auto"/>
              <w:right w:val="single" w:sz="8" w:space="0" w:color="404040"/>
            </w:tcBorders>
          </w:tcPr>
          <w:p w:rsidR="005F6393" w:rsidRDefault="005F6393" w:rsidP="00EF3FFD">
            <w:pPr>
              <w:pStyle w:val="p0"/>
              <w:spacing w:before="0" w:after="60"/>
              <w:ind w:firstLine="454"/>
              <w:rPr>
                <w:rFonts w:cs="Arial"/>
                <w:color w:val="auto"/>
                <w:sz w:val="18"/>
                <w:lang w:val="es-ES"/>
              </w:rPr>
            </w:pPr>
            <w:r>
              <w:rPr>
                <w:rFonts w:cs="Arial"/>
                <w:color w:val="auto"/>
                <w:sz w:val="18"/>
                <w:lang w:val="es-ES"/>
              </w:rPr>
              <w:t>Receptivo</w:t>
            </w:r>
          </w:p>
        </w:tc>
        <w:tc>
          <w:tcPr>
            <w:tcW w:w="1559" w:type="dxa"/>
            <w:tcBorders>
              <w:top w:val="nil"/>
              <w:left w:val="single" w:sz="8" w:space="0" w:color="404040"/>
              <w:bottom w:val="double" w:sz="4" w:space="0" w:color="auto"/>
              <w:right w:val="single" w:sz="8" w:space="0" w:color="404040"/>
            </w:tcBorders>
          </w:tcPr>
          <w:p w:rsidR="005F6393" w:rsidRPr="00EC1D9C" w:rsidRDefault="005F6393" w:rsidP="00EF3FFD">
            <w:pPr>
              <w:tabs>
                <w:tab w:val="left" w:pos="307"/>
                <w:tab w:val="decimal" w:pos="881"/>
              </w:tabs>
              <w:spacing w:after="60"/>
              <w:ind w:right="567"/>
              <w:jc w:val="right"/>
              <w:rPr>
                <w:rFonts w:cs="Arial"/>
                <w:sz w:val="18"/>
                <w:lang w:val="es-ES"/>
              </w:rPr>
            </w:pPr>
            <w:r>
              <w:rPr>
                <w:rFonts w:cs="Arial"/>
                <w:sz w:val="18"/>
                <w:lang w:val="es-ES"/>
              </w:rPr>
              <w:t>3</w:t>
            </w:r>
            <w:r w:rsidRPr="00EC1D9C">
              <w:rPr>
                <w:rFonts w:cs="Arial"/>
                <w:sz w:val="18"/>
                <w:lang w:val="es-ES"/>
              </w:rPr>
              <w:t>.</w:t>
            </w:r>
            <w:r>
              <w:rPr>
                <w:rFonts w:cs="Arial"/>
                <w:sz w:val="18"/>
                <w:lang w:val="es-ES"/>
              </w:rPr>
              <w:t>2</w:t>
            </w:r>
          </w:p>
        </w:tc>
        <w:tc>
          <w:tcPr>
            <w:tcW w:w="1701" w:type="dxa"/>
            <w:tcBorders>
              <w:top w:val="nil"/>
              <w:left w:val="single" w:sz="8" w:space="0" w:color="404040"/>
              <w:bottom w:val="double" w:sz="4" w:space="0" w:color="auto"/>
              <w:right w:val="double" w:sz="4" w:space="0" w:color="auto"/>
            </w:tcBorders>
          </w:tcPr>
          <w:p w:rsidR="005F6393" w:rsidRPr="00EC1D9C" w:rsidRDefault="005F6393" w:rsidP="00EF3FFD">
            <w:pPr>
              <w:tabs>
                <w:tab w:val="left" w:pos="307"/>
                <w:tab w:val="decimal" w:pos="881"/>
              </w:tabs>
              <w:spacing w:after="60"/>
              <w:ind w:right="567"/>
              <w:jc w:val="right"/>
              <w:rPr>
                <w:rFonts w:cs="Arial"/>
                <w:sz w:val="18"/>
                <w:lang w:val="es-ES"/>
              </w:rPr>
            </w:pPr>
            <w:r w:rsidRPr="00EC1D9C">
              <w:rPr>
                <w:rFonts w:cs="Arial"/>
                <w:sz w:val="18"/>
                <w:lang w:val="es-ES"/>
              </w:rPr>
              <w:t>9</w:t>
            </w:r>
            <w:r>
              <w:rPr>
                <w:rFonts w:cs="Arial"/>
                <w:sz w:val="18"/>
                <w:lang w:val="es-ES"/>
              </w:rPr>
              <w:t>.5</w:t>
            </w:r>
          </w:p>
        </w:tc>
      </w:tr>
    </w:tbl>
    <w:p w:rsidR="005F6393" w:rsidRDefault="005F6393" w:rsidP="005F6393">
      <w:pPr>
        <w:pStyle w:val="Textoindependiente"/>
        <w:ind w:left="720" w:right="1185" w:firstLine="720"/>
        <w:contextualSpacing/>
        <w:rPr>
          <w:snapToGrid/>
          <w:color w:val="auto"/>
          <w:sz w:val="16"/>
          <w:szCs w:val="22"/>
        </w:rPr>
      </w:pPr>
      <w:r>
        <w:rPr>
          <w:sz w:val="16"/>
          <w:szCs w:val="16"/>
        </w:rPr>
        <w:t>Nota:    L</w:t>
      </w:r>
      <w:r w:rsidRPr="00CD2934">
        <w:rPr>
          <w:color w:val="auto"/>
          <w:sz w:val="16"/>
        </w:rPr>
        <w:t>a</w:t>
      </w:r>
      <w:r>
        <w:rPr>
          <w:color w:val="auto"/>
          <w:sz w:val="16"/>
        </w:rPr>
        <w:t>s</w:t>
      </w:r>
      <w:r w:rsidRPr="00CD2934">
        <w:rPr>
          <w:color w:val="auto"/>
          <w:sz w:val="16"/>
        </w:rPr>
        <w:t xml:space="preserve"> serie</w:t>
      </w:r>
      <w:r>
        <w:rPr>
          <w:color w:val="auto"/>
          <w:sz w:val="16"/>
        </w:rPr>
        <w:t>s</w:t>
      </w:r>
      <w:r w:rsidRPr="00CD2934">
        <w:rPr>
          <w:color w:val="auto"/>
          <w:sz w:val="16"/>
        </w:rPr>
        <w:t xml:space="preserve"> desestacionalizada</w:t>
      </w:r>
      <w:r>
        <w:rPr>
          <w:color w:val="auto"/>
          <w:sz w:val="16"/>
        </w:rPr>
        <w:t>s</w:t>
      </w:r>
      <w:r w:rsidRPr="00CD2934">
        <w:rPr>
          <w:color w:val="auto"/>
          <w:sz w:val="16"/>
        </w:rPr>
        <w:t xml:space="preserve"> del </w:t>
      </w:r>
      <w:r w:rsidRPr="00CD2934">
        <w:rPr>
          <w:snapToGrid/>
          <w:color w:val="auto"/>
          <w:sz w:val="16"/>
          <w:szCs w:val="22"/>
        </w:rPr>
        <w:t>Indicador Trimestral del PIB Turístico</w:t>
      </w:r>
      <w:r w:rsidRPr="00E81E9F">
        <w:rPr>
          <w:color w:val="auto"/>
          <w:sz w:val="16"/>
        </w:rPr>
        <w:t xml:space="preserve"> </w:t>
      </w:r>
      <w:r>
        <w:rPr>
          <w:color w:val="auto"/>
          <w:sz w:val="16"/>
        </w:rPr>
        <w:t>y del</w:t>
      </w:r>
    </w:p>
    <w:p w:rsidR="005F6393" w:rsidRDefault="005F6393" w:rsidP="005F6393">
      <w:pPr>
        <w:pStyle w:val="Textoindependiente"/>
        <w:ind w:left="1440" w:right="1185"/>
        <w:contextualSpacing/>
        <w:rPr>
          <w:color w:val="auto"/>
          <w:sz w:val="16"/>
        </w:rPr>
      </w:pPr>
      <w:r>
        <w:rPr>
          <w:color w:val="auto"/>
          <w:sz w:val="16"/>
        </w:rPr>
        <w:t xml:space="preserve">            Consumo Turístico Interior </w:t>
      </w:r>
      <w:r w:rsidRPr="00CD2934">
        <w:rPr>
          <w:color w:val="auto"/>
          <w:sz w:val="16"/>
        </w:rPr>
        <w:t xml:space="preserve">se </w:t>
      </w:r>
      <w:proofErr w:type="gramStart"/>
      <w:r w:rsidRPr="00CD2934">
        <w:rPr>
          <w:color w:val="auto"/>
          <w:sz w:val="16"/>
        </w:rPr>
        <w:t>calcula</w:t>
      </w:r>
      <w:r>
        <w:rPr>
          <w:color w:val="auto"/>
          <w:sz w:val="16"/>
        </w:rPr>
        <w:t>n</w:t>
      </w:r>
      <w:r w:rsidRPr="00CD2934">
        <w:rPr>
          <w:color w:val="auto"/>
          <w:sz w:val="16"/>
        </w:rPr>
        <w:t xml:space="preserve"> </w:t>
      </w:r>
      <w:r>
        <w:rPr>
          <w:color w:val="auto"/>
          <w:sz w:val="16"/>
        </w:rPr>
        <w:t xml:space="preserve"> </w:t>
      </w:r>
      <w:r w:rsidRPr="00CD2934">
        <w:rPr>
          <w:color w:val="auto"/>
          <w:sz w:val="16"/>
        </w:rPr>
        <w:t>de</w:t>
      </w:r>
      <w:proofErr w:type="gramEnd"/>
      <w:r w:rsidRPr="00CD2934">
        <w:rPr>
          <w:color w:val="auto"/>
          <w:sz w:val="16"/>
        </w:rPr>
        <w:t xml:space="preserve"> manera</w:t>
      </w:r>
      <w:r>
        <w:rPr>
          <w:color w:val="auto"/>
          <w:sz w:val="16"/>
        </w:rPr>
        <w:t xml:space="preserve"> </w:t>
      </w:r>
      <w:r w:rsidRPr="00CD2934">
        <w:rPr>
          <w:color w:val="auto"/>
          <w:sz w:val="16"/>
        </w:rPr>
        <w:t xml:space="preserve"> independiente a la</w:t>
      </w:r>
      <w:r>
        <w:rPr>
          <w:color w:val="auto"/>
          <w:sz w:val="16"/>
        </w:rPr>
        <w:t>s</w:t>
      </w:r>
      <w:r w:rsidRPr="00CD2934">
        <w:rPr>
          <w:color w:val="auto"/>
          <w:sz w:val="16"/>
        </w:rPr>
        <w:t xml:space="preserve"> de sus</w:t>
      </w:r>
      <w:r>
        <w:rPr>
          <w:color w:val="auto"/>
          <w:sz w:val="16"/>
        </w:rPr>
        <w:t xml:space="preserve"> </w:t>
      </w:r>
    </w:p>
    <w:p w:rsidR="005F6393" w:rsidRDefault="005F6393" w:rsidP="005F6393">
      <w:pPr>
        <w:pStyle w:val="Textoindependiente"/>
        <w:ind w:left="1418" w:right="1185" w:firstLine="22"/>
        <w:contextualSpacing/>
        <w:rPr>
          <w:sz w:val="16"/>
          <w:szCs w:val="16"/>
        </w:rPr>
      </w:pPr>
      <w:r>
        <w:rPr>
          <w:color w:val="auto"/>
          <w:sz w:val="16"/>
        </w:rPr>
        <w:t xml:space="preserve">            componentes.</w:t>
      </w:r>
    </w:p>
    <w:p w:rsidR="005F6393" w:rsidRDefault="005F6393" w:rsidP="005F6393">
      <w:pPr>
        <w:pStyle w:val="Textoindependiente"/>
        <w:widowControl w:val="0"/>
        <w:ind w:left="1276" w:right="1185"/>
        <w:contextualSpacing/>
        <w:rPr>
          <w:sz w:val="16"/>
          <w:szCs w:val="16"/>
        </w:rPr>
      </w:pPr>
      <w:r>
        <w:rPr>
          <w:sz w:val="16"/>
          <w:szCs w:val="16"/>
        </w:rPr>
        <w:t xml:space="preserve">   Fuente: INEGI.</w:t>
      </w:r>
    </w:p>
    <w:p w:rsidR="005F6393" w:rsidRPr="00701527" w:rsidRDefault="005F6393" w:rsidP="005F6393">
      <w:pPr>
        <w:pStyle w:val="bullet"/>
        <w:widowControl/>
        <w:numPr>
          <w:ilvl w:val="0"/>
          <w:numId w:val="0"/>
        </w:numPr>
        <w:tabs>
          <w:tab w:val="left" w:pos="8364"/>
        </w:tabs>
        <w:spacing w:before="180"/>
        <w:ind w:left="-142" w:right="-405" w:firstLine="142"/>
        <w:rPr>
          <w:b w:val="0"/>
          <w:snapToGrid/>
          <w:color w:val="auto"/>
          <w:sz w:val="24"/>
          <w:szCs w:val="24"/>
        </w:rPr>
      </w:pPr>
    </w:p>
    <w:p w:rsidR="005F6393" w:rsidRDefault="005F6393" w:rsidP="005F6393">
      <w:pPr>
        <w:pStyle w:val="Default"/>
        <w:spacing w:before="240"/>
        <w:jc w:val="center"/>
        <w:rPr>
          <w:rFonts w:eastAsia="Times New Roman"/>
          <w:b/>
          <w:smallCaps/>
          <w:snapToGrid w:val="0"/>
          <w:color w:val="auto"/>
          <w:sz w:val="8"/>
          <w:szCs w:val="8"/>
          <w:lang w:val="es-ES_tradnl"/>
        </w:rPr>
      </w:pPr>
    </w:p>
    <w:p w:rsidR="005F6393" w:rsidRDefault="005F6393" w:rsidP="005F6393">
      <w:pPr>
        <w:pStyle w:val="Default"/>
        <w:spacing w:before="240"/>
        <w:jc w:val="center"/>
        <w:rPr>
          <w:rFonts w:eastAsia="Times New Roman"/>
          <w:b/>
          <w:smallCaps/>
          <w:snapToGrid w:val="0"/>
          <w:color w:val="auto"/>
          <w:sz w:val="8"/>
          <w:szCs w:val="8"/>
          <w:lang w:val="es-ES_tradnl"/>
        </w:rPr>
      </w:pPr>
    </w:p>
    <w:p w:rsidR="005F6393" w:rsidRDefault="005F6393" w:rsidP="005F6393">
      <w:pPr>
        <w:pStyle w:val="Default"/>
        <w:spacing w:before="240"/>
        <w:jc w:val="center"/>
        <w:rPr>
          <w:rFonts w:eastAsia="Times New Roman"/>
          <w:b/>
          <w:smallCaps/>
          <w:snapToGrid w:val="0"/>
          <w:color w:val="auto"/>
          <w:sz w:val="8"/>
          <w:szCs w:val="8"/>
          <w:lang w:val="es-ES_tradnl"/>
        </w:rPr>
      </w:pPr>
    </w:p>
    <w:p w:rsidR="005F6393" w:rsidRDefault="005F6393" w:rsidP="005F6393">
      <w:pPr>
        <w:pStyle w:val="Default"/>
        <w:spacing w:before="240"/>
        <w:jc w:val="center"/>
        <w:rPr>
          <w:rFonts w:eastAsia="Times New Roman"/>
          <w:b/>
          <w:smallCaps/>
          <w:snapToGrid w:val="0"/>
          <w:color w:val="auto"/>
          <w:sz w:val="8"/>
          <w:szCs w:val="8"/>
          <w:lang w:val="es-ES_tradnl"/>
        </w:rPr>
      </w:pPr>
    </w:p>
    <w:p w:rsidR="005F6393" w:rsidRDefault="005F6393" w:rsidP="005F6393">
      <w:pPr>
        <w:pStyle w:val="Default"/>
        <w:spacing w:before="240"/>
        <w:jc w:val="center"/>
        <w:rPr>
          <w:rFonts w:eastAsia="Times New Roman"/>
          <w:b/>
          <w:smallCaps/>
          <w:snapToGrid w:val="0"/>
          <w:color w:val="auto"/>
          <w:sz w:val="8"/>
          <w:szCs w:val="8"/>
          <w:lang w:val="es-ES_tradnl"/>
        </w:rPr>
      </w:pPr>
    </w:p>
    <w:p w:rsidR="005F6393" w:rsidRDefault="005F6393" w:rsidP="005F6393">
      <w:pPr>
        <w:pStyle w:val="Default"/>
        <w:spacing w:before="240"/>
        <w:jc w:val="center"/>
        <w:rPr>
          <w:rFonts w:eastAsia="Times New Roman"/>
          <w:b/>
          <w:smallCaps/>
          <w:snapToGrid w:val="0"/>
          <w:color w:val="auto"/>
          <w:sz w:val="8"/>
          <w:szCs w:val="8"/>
          <w:lang w:val="es-ES_tradnl"/>
        </w:rPr>
      </w:pPr>
    </w:p>
    <w:p w:rsidR="005F6393" w:rsidRDefault="005F6393" w:rsidP="005F6393">
      <w:pPr>
        <w:pStyle w:val="Default"/>
        <w:spacing w:before="240"/>
        <w:jc w:val="center"/>
        <w:rPr>
          <w:rFonts w:eastAsia="Times New Roman"/>
          <w:b/>
          <w:smallCaps/>
          <w:snapToGrid w:val="0"/>
          <w:color w:val="auto"/>
          <w:sz w:val="8"/>
          <w:szCs w:val="8"/>
          <w:lang w:val="es-ES_tradnl"/>
        </w:rPr>
      </w:pPr>
    </w:p>
    <w:p w:rsidR="005F6393" w:rsidRDefault="005F6393" w:rsidP="005F6393">
      <w:pPr>
        <w:pStyle w:val="bullet"/>
        <w:widowControl/>
        <w:numPr>
          <w:ilvl w:val="0"/>
          <w:numId w:val="0"/>
        </w:numPr>
        <w:tabs>
          <w:tab w:val="left" w:pos="8364"/>
        </w:tabs>
        <w:spacing w:before="180"/>
        <w:ind w:left="-142" w:right="-405"/>
        <w:rPr>
          <w:b w:val="0"/>
          <w:snapToGrid/>
          <w:color w:val="auto"/>
          <w:sz w:val="24"/>
          <w:szCs w:val="24"/>
        </w:rPr>
      </w:pPr>
    </w:p>
    <w:p w:rsidR="005F6393" w:rsidRDefault="005F6393" w:rsidP="005F6393">
      <w:pPr>
        <w:pStyle w:val="bullet"/>
        <w:widowControl/>
        <w:numPr>
          <w:ilvl w:val="0"/>
          <w:numId w:val="0"/>
        </w:numPr>
        <w:tabs>
          <w:tab w:val="left" w:pos="8364"/>
        </w:tabs>
        <w:spacing w:before="180"/>
        <w:ind w:right="-263"/>
        <w:rPr>
          <w:b w:val="0"/>
          <w:snapToGrid/>
          <w:color w:val="auto"/>
          <w:sz w:val="24"/>
          <w:szCs w:val="24"/>
        </w:rPr>
      </w:pPr>
    </w:p>
    <w:p w:rsidR="005F6393" w:rsidRPr="00E742E4" w:rsidRDefault="005F6393" w:rsidP="005F6393">
      <w:pPr>
        <w:pStyle w:val="bullet"/>
        <w:widowControl/>
        <w:numPr>
          <w:ilvl w:val="0"/>
          <w:numId w:val="0"/>
        </w:numPr>
        <w:tabs>
          <w:tab w:val="left" w:pos="8364"/>
        </w:tabs>
        <w:spacing w:before="180"/>
        <w:ind w:right="-263"/>
        <w:rPr>
          <w:b w:val="0"/>
          <w:snapToGrid/>
          <w:color w:val="auto"/>
          <w:sz w:val="24"/>
          <w:szCs w:val="24"/>
        </w:rPr>
      </w:pPr>
      <w:r w:rsidRPr="00E742E4">
        <w:rPr>
          <w:b w:val="0"/>
          <w:snapToGrid/>
          <w:color w:val="auto"/>
          <w:sz w:val="24"/>
          <w:szCs w:val="24"/>
        </w:rPr>
        <w:t>En su comparación anual</w:t>
      </w:r>
      <w:r w:rsidRPr="00E742E4">
        <w:rPr>
          <w:b w:val="0"/>
          <w:color w:val="auto"/>
          <w:sz w:val="24"/>
          <w:szCs w:val="24"/>
          <w:vertAlign w:val="superscript"/>
        </w:rPr>
        <w:footnoteReference w:id="3"/>
      </w:r>
      <w:r w:rsidRPr="00E742E4">
        <w:rPr>
          <w:b w:val="0"/>
          <w:snapToGrid/>
          <w:color w:val="auto"/>
          <w:sz w:val="24"/>
          <w:szCs w:val="24"/>
        </w:rPr>
        <w:t>, el Indicador Trimestral del PIB Turístico tuvo una caída de (-)0.8% y el del Consumo Turístico Interior lo hizo en (-)0.6% durante el trimestre de referencia respecto a igual lapso de 2018.</w:t>
      </w:r>
    </w:p>
    <w:p w:rsidR="005F6393" w:rsidRDefault="005F6393" w:rsidP="005F6393">
      <w:pPr>
        <w:pStyle w:val="p0"/>
        <w:ind w:left="-142" w:right="-405"/>
        <w:rPr>
          <w:szCs w:val="24"/>
        </w:rPr>
      </w:pPr>
    </w:p>
    <w:p w:rsidR="005F6393" w:rsidRPr="00E9221B" w:rsidRDefault="005F6393" w:rsidP="005F6393">
      <w:pPr>
        <w:pStyle w:val="p0"/>
        <w:ind w:left="-142" w:right="-405"/>
        <w:rPr>
          <w:szCs w:val="24"/>
        </w:rPr>
      </w:pPr>
    </w:p>
    <w:p w:rsidR="005F6393" w:rsidRDefault="005F6393" w:rsidP="005F6393">
      <w:pPr>
        <w:pStyle w:val="p01"/>
        <w:keepLines w:val="0"/>
        <w:tabs>
          <w:tab w:val="left" w:pos="3261"/>
        </w:tabs>
        <w:spacing w:before="0"/>
        <w:ind w:left="1418"/>
        <w:outlineLvl w:val="0"/>
        <w:rPr>
          <w:rFonts w:ascii="Arial" w:hAnsi="Arial" w:cs="Arial"/>
          <w:color w:val="000000"/>
          <w:szCs w:val="24"/>
        </w:rPr>
      </w:pPr>
      <w:r w:rsidRPr="0073632D">
        <w:rPr>
          <w:rFonts w:ascii="Arial" w:hAnsi="Arial" w:cs="Arial"/>
          <w:color w:val="000000"/>
          <w:szCs w:val="24"/>
        </w:rPr>
        <w:tab/>
      </w:r>
    </w:p>
    <w:p w:rsidR="005F6393" w:rsidRPr="007B12CD" w:rsidRDefault="005F6393" w:rsidP="005F6393">
      <w:pPr>
        <w:pStyle w:val="p0"/>
      </w:pPr>
    </w:p>
    <w:p w:rsidR="005F6393" w:rsidRDefault="005F6393" w:rsidP="005F6393">
      <w:pPr>
        <w:pStyle w:val="p01"/>
        <w:keepLines w:val="0"/>
        <w:tabs>
          <w:tab w:val="left" w:pos="3261"/>
        </w:tabs>
        <w:spacing w:before="0"/>
        <w:ind w:left="1418"/>
        <w:outlineLvl w:val="0"/>
        <w:rPr>
          <w:b/>
          <w:sz w:val="28"/>
        </w:rPr>
      </w:pPr>
      <w:r>
        <w:rPr>
          <w:rFonts w:ascii="Arial" w:hAnsi="Arial" w:cs="Arial"/>
          <w:b/>
          <w:color w:val="000000"/>
          <w:szCs w:val="24"/>
        </w:rPr>
        <w:tab/>
        <w:t xml:space="preserve">   </w:t>
      </w:r>
      <w:r w:rsidRPr="003B1ACA">
        <w:rPr>
          <w:rFonts w:ascii="Arial" w:hAnsi="Arial" w:cs="Arial"/>
          <w:b/>
          <w:color w:val="000000"/>
          <w:szCs w:val="24"/>
        </w:rPr>
        <w:t>Se anexa Nota Técnica</w:t>
      </w:r>
    </w:p>
    <w:p w:rsidR="005F6393" w:rsidRDefault="005F6393" w:rsidP="005F6393"/>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Pr="00231538" w:rsidRDefault="005F6393" w:rsidP="005F6393">
      <w:pPr>
        <w:pStyle w:val="NormalWeb"/>
        <w:spacing w:before="0" w:beforeAutospacing="0" w:after="0" w:afterAutospacing="0"/>
        <w:ind w:left="-426" w:right="-518"/>
        <w:contextualSpacing/>
        <w:jc w:val="center"/>
        <w:rPr>
          <w:sz w:val="22"/>
          <w:szCs w:val="22"/>
        </w:rPr>
      </w:pPr>
      <w:r w:rsidRPr="00231538">
        <w:rPr>
          <w:sz w:val="22"/>
          <w:szCs w:val="22"/>
        </w:rPr>
        <w:t xml:space="preserve">Para consultas de medios y periodistas, contactar a: </w:t>
      </w:r>
      <w:hyperlink r:id="rId8" w:history="1">
        <w:r w:rsidRPr="00231538">
          <w:rPr>
            <w:rStyle w:val="Hipervnculo"/>
            <w:sz w:val="22"/>
            <w:szCs w:val="22"/>
          </w:rPr>
          <w:t>comunicacionsocial@inegi.org.mx</w:t>
        </w:r>
      </w:hyperlink>
      <w:r w:rsidRPr="00231538">
        <w:rPr>
          <w:sz w:val="22"/>
          <w:szCs w:val="22"/>
        </w:rPr>
        <w:t xml:space="preserve"> </w:t>
      </w:r>
    </w:p>
    <w:p w:rsidR="005F6393" w:rsidRPr="00231538" w:rsidRDefault="005F6393" w:rsidP="005F6393">
      <w:pPr>
        <w:pStyle w:val="NormalWeb"/>
        <w:spacing w:before="0" w:beforeAutospacing="0" w:after="0" w:afterAutospacing="0"/>
        <w:ind w:left="-426" w:right="-518"/>
        <w:contextualSpacing/>
        <w:jc w:val="center"/>
        <w:rPr>
          <w:sz w:val="22"/>
          <w:szCs w:val="22"/>
        </w:rPr>
      </w:pPr>
      <w:r w:rsidRPr="00231538">
        <w:rPr>
          <w:sz w:val="22"/>
          <w:szCs w:val="22"/>
        </w:rPr>
        <w:t xml:space="preserve">o llamar al teléfono (55) 52-78-10-00, </w:t>
      </w:r>
      <w:proofErr w:type="spellStart"/>
      <w:r w:rsidRPr="00231538">
        <w:rPr>
          <w:sz w:val="22"/>
          <w:szCs w:val="22"/>
        </w:rPr>
        <w:t>exts</w:t>
      </w:r>
      <w:proofErr w:type="spellEnd"/>
      <w:r w:rsidRPr="00231538">
        <w:rPr>
          <w:sz w:val="22"/>
          <w:szCs w:val="22"/>
        </w:rPr>
        <w:t>. 1134, 1260 y 1241.</w:t>
      </w:r>
    </w:p>
    <w:p w:rsidR="005F6393" w:rsidRPr="00231538" w:rsidRDefault="005F6393" w:rsidP="005F6393">
      <w:pPr>
        <w:ind w:left="-426" w:right="-518"/>
        <w:contextualSpacing/>
        <w:jc w:val="center"/>
        <w:rPr>
          <w:rFonts w:cs="Arial"/>
          <w:sz w:val="22"/>
          <w:szCs w:val="22"/>
        </w:rPr>
      </w:pPr>
    </w:p>
    <w:p w:rsidR="005F6393" w:rsidRPr="00231538" w:rsidRDefault="005F6393" w:rsidP="005F6393">
      <w:pPr>
        <w:ind w:left="-426" w:right="-518"/>
        <w:contextualSpacing/>
        <w:jc w:val="center"/>
        <w:rPr>
          <w:rFonts w:cs="Arial"/>
          <w:sz w:val="22"/>
          <w:szCs w:val="22"/>
        </w:rPr>
      </w:pPr>
      <w:r w:rsidRPr="00231538">
        <w:rPr>
          <w:rFonts w:cs="Arial"/>
          <w:sz w:val="22"/>
          <w:szCs w:val="22"/>
        </w:rPr>
        <w:t>Dirección de Atención a Medios / Dirección General Adjunta de Comunicación</w:t>
      </w:r>
    </w:p>
    <w:p w:rsidR="005F6393" w:rsidRPr="00A35A8D" w:rsidRDefault="005F6393" w:rsidP="005F6393">
      <w:pPr>
        <w:ind w:left="-426" w:right="-518"/>
        <w:contextualSpacing/>
        <w:jc w:val="center"/>
        <w:rPr>
          <w:sz w:val="22"/>
          <w:szCs w:val="22"/>
        </w:rPr>
      </w:pPr>
    </w:p>
    <w:p w:rsidR="005F6393" w:rsidRPr="008F0992" w:rsidRDefault="005F6393" w:rsidP="005F6393">
      <w:pPr>
        <w:ind w:left="-425" w:right="-516"/>
        <w:contextualSpacing/>
        <w:jc w:val="center"/>
        <w:rPr>
          <w:noProof/>
          <w:lang w:eastAsia="es-MX"/>
        </w:rPr>
      </w:pPr>
      <w:r w:rsidRPr="00FF1218">
        <w:rPr>
          <w:noProof/>
          <w:lang w:val="es-MX" w:eastAsia="es-MX"/>
        </w:rPr>
        <w:drawing>
          <wp:inline distT="0" distB="0" distL="0" distR="0" wp14:anchorId="7040365D" wp14:editId="6A7271D0">
            <wp:extent cx="274320" cy="365760"/>
            <wp:effectExtent l="0" t="0" r="0" b="0"/>
            <wp:docPr id="5" name="Imagen 5" descr="C:\Users\saladeprensa\Desktop\NVOS LOGOS\F.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43852549" wp14:editId="65F42A7F">
            <wp:extent cx="365760" cy="365760"/>
            <wp:effectExtent l="0" t="0" r="0" b="0"/>
            <wp:docPr id="10" name="Imagen 10" descr="C:\Users\saladeprensa\Desktop\NVOS LOGOS\I.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30F4731" wp14:editId="5C2B02B5">
            <wp:extent cx="365760" cy="365760"/>
            <wp:effectExtent l="0" t="0" r="0" b="0"/>
            <wp:docPr id="30" name="Imagen 30" descr="C:\Users\saladeprensa\Desktop\NVOS LOGOS\T.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913C6C5" wp14:editId="06BD7EC9">
            <wp:extent cx="365760" cy="365760"/>
            <wp:effectExtent l="0" t="0" r="0" b="0"/>
            <wp:docPr id="15" name="Imagen 15" descr="C:\Users\saladeprensa\Desktop\NVOS LOGOS\Y.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2EB5AB61" wp14:editId="0A7C7139">
            <wp:extent cx="2286000" cy="274320"/>
            <wp:effectExtent l="0" t="0" r="0" b="0"/>
            <wp:docPr id="11" name="Imagen 11">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rsidR="005F6393" w:rsidRDefault="005F6393" w:rsidP="005F6393">
      <w:pPr>
        <w:pStyle w:val="NormalWeb"/>
        <w:spacing w:before="0" w:beforeAutospacing="0" w:after="0" w:afterAutospacing="0"/>
        <w:ind w:left="-426" w:right="-518"/>
        <w:contextualSpacing/>
        <w:jc w:val="center"/>
        <w:rPr>
          <w:sz w:val="18"/>
          <w:szCs w:val="18"/>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Default="005F6393" w:rsidP="005F6393">
      <w:pPr>
        <w:pStyle w:val="bullet"/>
        <w:numPr>
          <w:ilvl w:val="0"/>
          <w:numId w:val="0"/>
        </w:numPr>
        <w:tabs>
          <w:tab w:val="left" w:pos="8789"/>
        </w:tabs>
        <w:spacing w:before="0"/>
        <w:ind w:left="2880" w:right="51" w:hanging="360"/>
        <w:jc w:val="center"/>
        <w:rPr>
          <w:rFonts w:cs="Arial"/>
          <w:szCs w:val="24"/>
        </w:rPr>
      </w:pPr>
    </w:p>
    <w:p w:rsidR="005F6393" w:rsidRPr="00157C43" w:rsidRDefault="005F6393" w:rsidP="005F6393">
      <w:pPr>
        <w:pStyle w:val="bullet"/>
        <w:numPr>
          <w:ilvl w:val="0"/>
          <w:numId w:val="0"/>
        </w:numPr>
        <w:tabs>
          <w:tab w:val="left" w:pos="8789"/>
        </w:tabs>
        <w:spacing w:before="0"/>
        <w:ind w:left="2880" w:right="51" w:hanging="360"/>
        <w:jc w:val="center"/>
        <w:rPr>
          <w:rFonts w:cs="Arial"/>
          <w:szCs w:val="24"/>
        </w:rPr>
        <w:sectPr w:rsidR="005F6393" w:rsidRPr="00157C43" w:rsidSect="004C150C">
          <w:headerReference w:type="default" r:id="rId19"/>
          <w:footerReference w:type="default" r:id="rId20"/>
          <w:pgSz w:w="12240" w:h="15840" w:code="1"/>
          <w:pgMar w:top="1" w:right="1701" w:bottom="0" w:left="1588" w:header="510" w:footer="510" w:gutter="0"/>
          <w:cols w:space="720"/>
          <w:docGrid w:linePitch="272"/>
        </w:sectPr>
      </w:pPr>
    </w:p>
    <w:p w:rsidR="005F6393" w:rsidRDefault="005F6393" w:rsidP="005F6393">
      <w:pPr>
        <w:widowControl/>
        <w:tabs>
          <w:tab w:val="left" w:pos="8399"/>
        </w:tabs>
        <w:autoSpaceDE w:val="0"/>
        <w:autoSpaceDN w:val="0"/>
        <w:adjustRightInd w:val="0"/>
        <w:spacing w:before="240"/>
        <w:ind w:firstLine="720"/>
        <w:contextualSpacing/>
        <w:rPr>
          <w:b/>
          <w:sz w:val="28"/>
          <w:szCs w:val="28"/>
        </w:rPr>
      </w:pPr>
      <w:r>
        <w:rPr>
          <w:b/>
          <w:sz w:val="28"/>
          <w:szCs w:val="28"/>
        </w:rPr>
        <w:lastRenderedPageBreak/>
        <w:t xml:space="preserve">                                   </w:t>
      </w:r>
      <w:r w:rsidRPr="005F6393">
        <w:rPr>
          <w:b/>
          <w:sz w:val="28"/>
          <w:szCs w:val="28"/>
        </w:rPr>
        <w:t>NOTA TÉCNICA</w:t>
      </w:r>
    </w:p>
    <w:p w:rsidR="005F6393" w:rsidRPr="005F6393" w:rsidRDefault="005F6393" w:rsidP="005F6393">
      <w:pPr>
        <w:widowControl/>
        <w:tabs>
          <w:tab w:val="left" w:pos="8399"/>
        </w:tabs>
        <w:autoSpaceDE w:val="0"/>
        <w:autoSpaceDN w:val="0"/>
        <w:adjustRightInd w:val="0"/>
        <w:spacing w:before="240"/>
        <w:ind w:firstLine="720"/>
        <w:contextualSpacing/>
        <w:rPr>
          <w:b/>
          <w:sz w:val="16"/>
          <w:szCs w:val="16"/>
        </w:rPr>
      </w:pPr>
    </w:p>
    <w:p w:rsidR="008452B0" w:rsidRPr="005F6393" w:rsidRDefault="00F203A4" w:rsidP="00EE7736">
      <w:pPr>
        <w:pStyle w:val="Default"/>
        <w:tabs>
          <w:tab w:val="left" w:pos="2410"/>
          <w:tab w:val="left" w:pos="3402"/>
          <w:tab w:val="left" w:pos="3686"/>
        </w:tabs>
        <w:ind w:left="-851" w:right="-232"/>
        <w:jc w:val="center"/>
        <w:rPr>
          <w:rFonts w:eastAsia="Times New Roman"/>
          <w:b/>
          <w:bCs/>
          <w:sz w:val="28"/>
          <w:szCs w:val="28"/>
          <w:lang w:val="es-ES_tradnl"/>
        </w:rPr>
      </w:pPr>
      <w:r w:rsidRPr="005F6393">
        <w:rPr>
          <w:rFonts w:eastAsia="Times New Roman"/>
          <w:b/>
          <w:bCs/>
          <w:sz w:val="28"/>
          <w:szCs w:val="28"/>
          <w:lang w:val="es-ES_tradnl"/>
        </w:rPr>
        <w:t>INDICADORES TRIMESTRALES DE LA ACTIVIDAD</w:t>
      </w:r>
      <w:r w:rsidR="008452B0" w:rsidRPr="005F6393">
        <w:rPr>
          <w:rFonts w:eastAsia="Times New Roman"/>
          <w:b/>
          <w:bCs/>
          <w:sz w:val="28"/>
          <w:szCs w:val="28"/>
          <w:lang w:val="es-ES_tradnl"/>
        </w:rPr>
        <w:t xml:space="preserve"> </w:t>
      </w:r>
      <w:r w:rsidRPr="005F6393">
        <w:rPr>
          <w:rFonts w:eastAsia="Times New Roman"/>
          <w:b/>
          <w:bCs/>
          <w:sz w:val="28"/>
          <w:szCs w:val="28"/>
          <w:lang w:val="es-ES_tradnl"/>
        </w:rPr>
        <w:t>TURÍSTICA</w:t>
      </w:r>
      <w:r w:rsidR="00C55A68" w:rsidRPr="005F6393">
        <w:rPr>
          <w:b/>
          <w:color w:val="auto"/>
          <w:sz w:val="28"/>
          <w:szCs w:val="28"/>
          <w:vertAlign w:val="superscript"/>
        </w:rPr>
        <w:footnoteReference w:id="4"/>
      </w:r>
      <w:r w:rsidRPr="005F6393">
        <w:rPr>
          <w:rFonts w:eastAsia="Times New Roman"/>
          <w:b/>
          <w:bCs/>
          <w:sz w:val="28"/>
          <w:szCs w:val="28"/>
          <w:lang w:val="es-ES_tradnl"/>
        </w:rPr>
        <w:t xml:space="preserve"> </w:t>
      </w:r>
    </w:p>
    <w:p w:rsidR="00F203A4" w:rsidRPr="005F6393" w:rsidRDefault="008452B0" w:rsidP="008452B0">
      <w:pPr>
        <w:pStyle w:val="Default"/>
        <w:tabs>
          <w:tab w:val="left" w:pos="2410"/>
          <w:tab w:val="left" w:pos="3402"/>
          <w:tab w:val="left" w:pos="3686"/>
        </w:tabs>
        <w:ind w:left="-851" w:right="-232"/>
        <w:jc w:val="center"/>
        <w:rPr>
          <w:rFonts w:eastAsia="Times New Roman"/>
          <w:b/>
          <w:bCs/>
          <w:sz w:val="28"/>
          <w:szCs w:val="28"/>
          <w:lang w:val="es-ES_tradnl"/>
        </w:rPr>
      </w:pPr>
      <w:r w:rsidRPr="005F6393">
        <w:rPr>
          <w:rFonts w:eastAsia="Times New Roman"/>
          <w:b/>
          <w:bCs/>
          <w:sz w:val="28"/>
          <w:szCs w:val="28"/>
          <w:lang w:val="es-ES_tradnl"/>
        </w:rPr>
        <w:t xml:space="preserve">DURANTE EL </w:t>
      </w:r>
      <w:r w:rsidR="005A6BB7" w:rsidRPr="005F6393">
        <w:rPr>
          <w:rFonts w:eastAsia="Times New Roman"/>
          <w:b/>
          <w:bCs/>
          <w:sz w:val="28"/>
          <w:szCs w:val="28"/>
          <w:lang w:val="es-ES_tradnl"/>
        </w:rPr>
        <w:t>PRIMER</w:t>
      </w:r>
      <w:r w:rsidR="00D46BA8" w:rsidRPr="005F6393">
        <w:rPr>
          <w:rFonts w:eastAsia="Times New Roman"/>
          <w:b/>
          <w:bCs/>
          <w:sz w:val="28"/>
          <w:szCs w:val="28"/>
          <w:lang w:val="es-ES_tradnl"/>
        </w:rPr>
        <w:t xml:space="preserve"> </w:t>
      </w:r>
      <w:r w:rsidR="00CC0001" w:rsidRPr="005F6393">
        <w:rPr>
          <w:rFonts w:eastAsia="Times New Roman"/>
          <w:b/>
          <w:bCs/>
          <w:sz w:val="28"/>
          <w:szCs w:val="28"/>
          <w:lang w:val="es-ES_tradnl"/>
        </w:rPr>
        <w:t>TRIMESTRE DE</w:t>
      </w:r>
      <w:r w:rsidR="00F203A4" w:rsidRPr="005F6393">
        <w:rPr>
          <w:rFonts w:eastAsia="Times New Roman"/>
          <w:b/>
          <w:bCs/>
          <w:sz w:val="28"/>
          <w:szCs w:val="28"/>
          <w:lang w:val="es-ES_tradnl"/>
        </w:rPr>
        <w:t xml:space="preserve"> 201</w:t>
      </w:r>
      <w:r w:rsidR="005A6BB7" w:rsidRPr="005F6393">
        <w:rPr>
          <w:rFonts w:eastAsia="Times New Roman"/>
          <w:b/>
          <w:bCs/>
          <w:sz w:val="28"/>
          <w:szCs w:val="28"/>
          <w:lang w:val="es-ES_tradnl"/>
        </w:rPr>
        <w:t>9</w:t>
      </w:r>
    </w:p>
    <w:p w:rsidR="00274992" w:rsidRPr="00E81E9F" w:rsidRDefault="00274992" w:rsidP="00F53C03">
      <w:pPr>
        <w:pStyle w:val="Default"/>
        <w:jc w:val="center"/>
        <w:rPr>
          <w:rFonts w:eastAsia="Times New Roman"/>
          <w:b/>
          <w:bCs/>
          <w:i/>
          <w:sz w:val="28"/>
          <w:szCs w:val="28"/>
          <w:lang w:val="es-ES_tradnl"/>
        </w:rPr>
      </w:pPr>
      <w:r w:rsidRPr="00E81E9F">
        <w:rPr>
          <w:rFonts w:eastAsia="Times New Roman"/>
          <w:b/>
          <w:bCs/>
          <w:i/>
          <w:szCs w:val="28"/>
          <w:lang w:val="es-ES_tradnl"/>
        </w:rPr>
        <w:t>(</w:t>
      </w:r>
      <w:r w:rsidR="007449C3">
        <w:rPr>
          <w:rFonts w:eastAsia="Times New Roman"/>
          <w:b/>
          <w:bCs/>
          <w:i/>
          <w:szCs w:val="28"/>
          <w:lang w:val="es-ES_tradnl"/>
        </w:rPr>
        <w:t>Cifras</w:t>
      </w:r>
      <w:r w:rsidRPr="00E81E9F">
        <w:rPr>
          <w:rFonts w:eastAsia="Times New Roman"/>
          <w:b/>
          <w:bCs/>
          <w:i/>
          <w:szCs w:val="28"/>
          <w:lang w:val="es-ES_tradnl"/>
        </w:rPr>
        <w:t xml:space="preserve"> desestacionalizadas)</w:t>
      </w:r>
    </w:p>
    <w:p w:rsidR="00B25993" w:rsidRPr="00280516" w:rsidRDefault="00E103DA" w:rsidP="00817925">
      <w:pPr>
        <w:pStyle w:val="Textoindependiente"/>
        <w:tabs>
          <w:tab w:val="center" w:pos="3348"/>
        </w:tabs>
        <w:spacing w:before="480"/>
        <w:rPr>
          <w:rFonts w:cs="Arial"/>
          <w:b/>
          <w:iCs/>
          <w:smallCaps/>
          <w:snapToGrid/>
          <w:color w:val="auto"/>
          <w:szCs w:val="24"/>
          <w:lang w:val="es-MX" w:eastAsia="es-MX"/>
        </w:rPr>
      </w:pPr>
      <w:r>
        <w:rPr>
          <w:rFonts w:cs="Arial"/>
          <w:b/>
          <w:iCs/>
          <w:smallCaps/>
          <w:snapToGrid/>
          <w:color w:val="auto"/>
          <w:szCs w:val="24"/>
          <w:lang w:val="es-MX" w:eastAsia="es-MX"/>
        </w:rPr>
        <w:t xml:space="preserve">Indicador Trimestral del </w:t>
      </w:r>
      <w:r w:rsidR="00501611" w:rsidRPr="00280516">
        <w:rPr>
          <w:rFonts w:cs="Arial"/>
          <w:b/>
          <w:iCs/>
          <w:smallCaps/>
          <w:snapToGrid/>
          <w:color w:val="auto"/>
          <w:szCs w:val="24"/>
          <w:lang w:val="es-MX" w:eastAsia="es-MX"/>
        </w:rPr>
        <w:t>Producto Interno</w:t>
      </w:r>
      <w:r w:rsidR="00B25993" w:rsidRPr="00280516">
        <w:rPr>
          <w:rFonts w:cs="Arial"/>
          <w:b/>
          <w:iCs/>
          <w:smallCaps/>
          <w:snapToGrid/>
          <w:color w:val="auto"/>
          <w:szCs w:val="24"/>
          <w:lang w:val="es-MX" w:eastAsia="es-MX"/>
        </w:rPr>
        <w:t xml:space="preserve"> </w:t>
      </w:r>
      <w:r w:rsidR="00ED7F21">
        <w:rPr>
          <w:rFonts w:cs="Arial"/>
          <w:b/>
          <w:iCs/>
          <w:smallCaps/>
          <w:snapToGrid/>
          <w:color w:val="auto"/>
          <w:szCs w:val="24"/>
          <w:lang w:val="es-MX" w:eastAsia="es-MX"/>
        </w:rPr>
        <w:t>b</w:t>
      </w:r>
      <w:r w:rsidR="00B25993" w:rsidRPr="00280516">
        <w:rPr>
          <w:rFonts w:cs="Arial"/>
          <w:b/>
          <w:iCs/>
          <w:smallCaps/>
          <w:snapToGrid/>
          <w:color w:val="auto"/>
          <w:szCs w:val="24"/>
          <w:lang w:val="es-MX" w:eastAsia="es-MX"/>
        </w:rPr>
        <w:t>ruto Turístico (</w:t>
      </w:r>
      <w:r>
        <w:rPr>
          <w:rFonts w:cs="Arial"/>
          <w:b/>
          <w:iCs/>
          <w:smallCaps/>
          <w:snapToGrid/>
          <w:color w:val="auto"/>
          <w:szCs w:val="24"/>
          <w:lang w:val="es-MX" w:eastAsia="es-MX"/>
        </w:rPr>
        <w:t>IT</w:t>
      </w:r>
      <w:r w:rsidR="00501611" w:rsidRPr="00280516">
        <w:rPr>
          <w:rFonts w:cs="Arial"/>
          <w:b/>
          <w:iCs/>
          <w:smallCaps/>
          <w:snapToGrid/>
          <w:color w:val="auto"/>
          <w:szCs w:val="24"/>
          <w:lang w:val="es-MX" w:eastAsia="es-MX"/>
        </w:rPr>
        <w:t>PIB</w:t>
      </w:r>
      <w:r w:rsidR="00B25993" w:rsidRPr="00280516">
        <w:rPr>
          <w:rFonts w:cs="Arial"/>
          <w:b/>
          <w:iCs/>
          <w:smallCaps/>
          <w:snapToGrid/>
          <w:color w:val="auto"/>
          <w:szCs w:val="24"/>
          <w:lang w:val="es-MX" w:eastAsia="es-MX"/>
        </w:rPr>
        <w:t>T)</w:t>
      </w:r>
    </w:p>
    <w:p w:rsidR="006F48F0" w:rsidRDefault="00BE0544" w:rsidP="00445596">
      <w:pPr>
        <w:pStyle w:val="Default"/>
        <w:spacing w:before="120"/>
        <w:jc w:val="both"/>
        <w:rPr>
          <w:color w:val="auto"/>
        </w:rPr>
      </w:pPr>
      <w:r>
        <w:rPr>
          <w:color w:val="auto"/>
        </w:rPr>
        <w:t>E</w:t>
      </w:r>
      <w:r w:rsidR="00DC6CFE">
        <w:rPr>
          <w:color w:val="auto"/>
        </w:rPr>
        <w:t>l</w:t>
      </w:r>
      <w:r w:rsidR="00280516" w:rsidRPr="00DA09CB">
        <w:rPr>
          <w:color w:val="auto"/>
        </w:rPr>
        <w:t xml:space="preserve"> ITPIBT</w:t>
      </w:r>
      <w:r w:rsidR="00847CE2">
        <w:rPr>
          <w:color w:val="auto"/>
        </w:rPr>
        <w:t xml:space="preserve"> </w:t>
      </w:r>
      <w:r w:rsidR="00665BB6">
        <w:rPr>
          <w:color w:val="auto"/>
        </w:rPr>
        <w:t>presentó</w:t>
      </w:r>
      <w:r w:rsidR="00D87EA6">
        <w:rPr>
          <w:color w:val="auto"/>
        </w:rPr>
        <w:t xml:space="preserve"> </w:t>
      </w:r>
      <w:r w:rsidR="00124D63">
        <w:rPr>
          <w:color w:val="auto"/>
        </w:rPr>
        <w:t>una disminución</w:t>
      </w:r>
      <w:r w:rsidR="006E01F9">
        <w:rPr>
          <w:color w:val="auto"/>
        </w:rPr>
        <w:t xml:space="preserve"> de </w:t>
      </w:r>
      <w:r w:rsidR="00124D63">
        <w:rPr>
          <w:color w:val="auto"/>
        </w:rPr>
        <w:t>(-)</w:t>
      </w:r>
      <w:r w:rsidR="006E01F9" w:rsidRPr="005A6BB7">
        <w:rPr>
          <w:color w:val="auto"/>
        </w:rPr>
        <w:t>0.</w:t>
      </w:r>
      <w:r w:rsidR="00124D63">
        <w:rPr>
          <w:color w:val="auto"/>
        </w:rPr>
        <w:t>1</w:t>
      </w:r>
      <w:r w:rsidR="006E01F9">
        <w:rPr>
          <w:color w:val="auto"/>
        </w:rPr>
        <w:t>%</w:t>
      </w:r>
      <w:r w:rsidR="0070717E">
        <w:rPr>
          <w:color w:val="auto"/>
        </w:rPr>
        <w:t xml:space="preserve"> </w:t>
      </w:r>
      <w:r w:rsidR="005422C0">
        <w:rPr>
          <w:color w:val="auto"/>
        </w:rPr>
        <w:t xml:space="preserve">en el </w:t>
      </w:r>
      <w:r w:rsidR="005A6BB7">
        <w:rPr>
          <w:color w:val="auto"/>
        </w:rPr>
        <w:t>primer</w:t>
      </w:r>
      <w:r w:rsidR="005422C0">
        <w:rPr>
          <w:color w:val="auto"/>
        </w:rPr>
        <w:t xml:space="preserve"> trimestre de 201</w:t>
      </w:r>
      <w:r w:rsidR="005A6BB7">
        <w:rPr>
          <w:color w:val="auto"/>
        </w:rPr>
        <w:t>9</w:t>
      </w:r>
      <w:r w:rsidR="005422C0">
        <w:rPr>
          <w:color w:val="auto"/>
        </w:rPr>
        <w:t xml:space="preserve"> frente al trimestre previo. </w:t>
      </w:r>
      <w:r w:rsidR="006F48F0">
        <w:rPr>
          <w:color w:val="auto"/>
          <w:szCs w:val="22"/>
        </w:rPr>
        <w:t>A su interior</w:t>
      </w:r>
      <w:r w:rsidR="002F10D1">
        <w:rPr>
          <w:color w:val="auto"/>
          <w:szCs w:val="22"/>
        </w:rPr>
        <w:t>,</w:t>
      </w:r>
      <w:r w:rsidR="00F527F2">
        <w:rPr>
          <w:color w:val="auto"/>
          <w:szCs w:val="22"/>
        </w:rPr>
        <w:t xml:space="preserve"> </w:t>
      </w:r>
      <w:r w:rsidR="00D87EA6">
        <w:rPr>
          <w:color w:val="auto"/>
        </w:rPr>
        <w:t xml:space="preserve">el de los </w:t>
      </w:r>
      <w:r w:rsidR="00124D63">
        <w:rPr>
          <w:color w:val="auto"/>
        </w:rPr>
        <w:t xml:space="preserve">Servicios Turísticos </w:t>
      </w:r>
      <w:r w:rsidR="00FC6D35">
        <w:rPr>
          <w:color w:val="auto"/>
        </w:rPr>
        <w:t>descendi</w:t>
      </w:r>
      <w:r w:rsidR="00124D63">
        <w:rPr>
          <w:color w:val="auto"/>
        </w:rPr>
        <w:t xml:space="preserve">ó (-)0.4% mientras </w:t>
      </w:r>
      <w:r w:rsidR="009760C2">
        <w:rPr>
          <w:color w:val="auto"/>
        </w:rPr>
        <w:t xml:space="preserve">que </w:t>
      </w:r>
      <w:r w:rsidR="0093792D">
        <w:rPr>
          <w:color w:val="auto"/>
        </w:rPr>
        <w:t>el</w:t>
      </w:r>
      <w:r w:rsidR="00D87EA6">
        <w:rPr>
          <w:color w:val="auto"/>
        </w:rPr>
        <w:t xml:space="preserve"> de los </w:t>
      </w:r>
      <w:r w:rsidR="00124D63">
        <w:rPr>
          <w:color w:val="auto"/>
        </w:rPr>
        <w:t xml:space="preserve">Bienes </w:t>
      </w:r>
      <w:r w:rsidR="009760C2">
        <w:rPr>
          <w:color w:val="auto"/>
        </w:rPr>
        <w:t>creció</w:t>
      </w:r>
      <w:r w:rsidR="00124D63">
        <w:rPr>
          <w:color w:val="auto"/>
        </w:rPr>
        <w:t xml:space="preserve"> 1.3% </w:t>
      </w:r>
      <w:r w:rsidR="006E01F9">
        <w:rPr>
          <w:color w:val="auto"/>
        </w:rPr>
        <w:t>en igual lapso</w:t>
      </w:r>
      <w:r w:rsidR="006F48F0" w:rsidRPr="00E92EC9">
        <w:rPr>
          <w:color w:val="auto"/>
          <w:szCs w:val="22"/>
        </w:rPr>
        <w:t>.</w:t>
      </w:r>
      <w:r w:rsidR="006F48F0" w:rsidRPr="00274992">
        <w:rPr>
          <w:color w:val="auto"/>
          <w:szCs w:val="22"/>
        </w:rPr>
        <w:t xml:space="preserve"> </w:t>
      </w:r>
    </w:p>
    <w:p w:rsidR="00B663DF" w:rsidRDefault="00B663DF" w:rsidP="00F23FBF">
      <w:pPr>
        <w:spacing w:before="120"/>
        <w:contextualSpacing/>
        <w:jc w:val="center"/>
        <w:rPr>
          <w:rFonts w:cs="Arial"/>
          <w:sz w:val="18"/>
          <w:szCs w:val="18"/>
        </w:rPr>
      </w:pPr>
    </w:p>
    <w:p w:rsidR="00280516" w:rsidRPr="003D2E2E" w:rsidRDefault="00280516" w:rsidP="00F23FBF">
      <w:pPr>
        <w:spacing w:before="120"/>
        <w:contextualSpacing/>
        <w:jc w:val="center"/>
        <w:rPr>
          <w:rFonts w:cs="Arial"/>
          <w:sz w:val="18"/>
          <w:szCs w:val="18"/>
        </w:rPr>
      </w:pPr>
      <w:r w:rsidRPr="003D2E2E">
        <w:rPr>
          <w:rFonts w:cs="Arial"/>
          <w:sz w:val="18"/>
          <w:szCs w:val="18"/>
        </w:rPr>
        <w:t xml:space="preserve">Gráfica </w:t>
      </w:r>
      <w:r w:rsidR="00B4562D" w:rsidRPr="003D2E2E">
        <w:rPr>
          <w:rFonts w:cs="Arial"/>
          <w:sz w:val="18"/>
          <w:szCs w:val="18"/>
        </w:rPr>
        <w:t>1</w:t>
      </w:r>
    </w:p>
    <w:p w:rsidR="00280516" w:rsidRPr="005B4B9E" w:rsidRDefault="00280516" w:rsidP="00280516">
      <w:pPr>
        <w:contextualSpacing/>
        <w:jc w:val="center"/>
        <w:rPr>
          <w:rFonts w:cs="Arial"/>
          <w:b/>
          <w:smallCaps/>
          <w:sz w:val="22"/>
          <w:szCs w:val="22"/>
        </w:rPr>
      </w:pPr>
      <w:r w:rsidRPr="005B4B9E">
        <w:rPr>
          <w:rFonts w:cs="Arial"/>
          <w:b/>
          <w:iCs/>
          <w:smallCaps/>
          <w:snapToGrid/>
          <w:sz w:val="22"/>
          <w:szCs w:val="22"/>
          <w:lang w:val="es-MX" w:eastAsia="es-MX"/>
        </w:rPr>
        <w:t>Indicador Trimestral del PIB Turístico</w:t>
      </w:r>
    </w:p>
    <w:p w:rsidR="00280516" w:rsidRPr="00004A7D" w:rsidRDefault="00280516" w:rsidP="00280516">
      <w:pPr>
        <w:contextualSpacing/>
        <w:jc w:val="center"/>
        <w:rPr>
          <w:rFonts w:cs="Arial"/>
          <w:b/>
          <w:smallCaps/>
          <w:szCs w:val="24"/>
        </w:rPr>
      </w:pPr>
      <w:r w:rsidRPr="005B4B9E">
        <w:rPr>
          <w:rFonts w:cs="Arial"/>
          <w:b/>
          <w:smallCaps/>
          <w:sz w:val="22"/>
          <w:szCs w:val="22"/>
        </w:rPr>
        <w:t xml:space="preserve">al </w:t>
      </w:r>
      <w:r w:rsidR="005A6BB7">
        <w:rPr>
          <w:rFonts w:cs="Arial"/>
          <w:b/>
          <w:smallCaps/>
          <w:sz w:val="22"/>
          <w:szCs w:val="22"/>
        </w:rPr>
        <w:t>primer</w:t>
      </w:r>
      <w:r w:rsidR="00297DA6">
        <w:rPr>
          <w:rFonts w:cs="Arial"/>
          <w:b/>
          <w:smallCaps/>
          <w:sz w:val="22"/>
          <w:szCs w:val="22"/>
        </w:rPr>
        <w:t xml:space="preserve"> </w:t>
      </w:r>
      <w:r w:rsidR="00CC0001" w:rsidRPr="005B4B9E">
        <w:rPr>
          <w:rFonts w:cs="Arial"/>
          <w:b/>
          <w:smallCaps/>
          <w:sz w:val="22"/>
          <w:szCs w:val="22"/>
        </w:rPr>
        <w:t>trimestre de</w:t>
      </w:r>
      <w:r w:rsidRPr="005B4B9E">
        <w:rPr>
          <w:rFonts w:cs="Arial"/>
          <w:b/>
          <w:smallCaps/>
          <w:sz w:val="22"/>
          <w:szCs w:val="22"/>
        </w:rPr>
        <w:t xml:space="preserve"> 201</w:t>
      </w:r>
      <w:r w:rsidR="005A6BB7">
        <w:rPr>
          <w:rFonts w:cs="Arial"/>
          <w:b/>
          <w:smallCaps/>
          <w:sz w:val="22"/>
          <w:szCs w:val="22"/>
        </w:rPr>
        <w:t>9</w:t>
      </w:r>
    </w:p>
    <w:p w:rsidR="00280516" w:rsidRPr="003D2E2E" w:rsidRDefault="00280516" w:rsidP="00280516">
      <w:pPr>
        <w:contextualSpacing/>
        <w:jc w:val="center"/>
        <w:rPr>
          <w:rFonts w:cs="Arial"/>
          <w:sz w:val="18"/>
          <w:szCs w:val="18"/>
        </w:rPr>
      </w:pPr>
      <w:r w:rsidRPr="003D2E2E">
        <w:rPr>
          <w:rFonts w:cs="Arial"/>
          <w:sz w:val="18"/>
          <w:szCs w:val="18"/>
        </w:rPr>
        <w:t xml:space="preserve">(Índice </w:t>
      </w:r>
      <w:r w:rsidR="008F692E">
        <w:rPr>
          <w:rFonts w:cs="Arial"/>
          <w:sz w:val="18"/>
          <w:szCs w:val="18"/>
        </w:rPr>
        <w:t xml:space="preserve">base </w:t>
      </w:r>
      <w:r w:rsidR="00B604CA">
        <w:rPr>
          <w:rFonts w:cs="Arial"/>
          <w:sz w:val="18"/>
          <w:szCs w:val="18"/>
        </w:rPr>
        <w:t>20</w:t>
      </w:r>
      <w:r w:rsidR="002A618E">
        <w:rPr>
          <w:rFonts w:cs="Arial"/>
          <w:sz w:val="18"/>
          <w:szCs w:val="18"/>
        </w:rPr>
        <w:t>13</w:t>
      </w:r>
      <w:r w:rsidRPr="003D2E2E">
        <w:rPr>
          <w:rFonts w:cs="Arial"/>
          <w:sz w:val="18"/>
          <w:szCs w:val="18"/>
        </w:rPr>
        <w:t>=100)</w:t>
      </w:r>
    </w:p>
    <w:p w:rsidR="00BA6B74" w:rsidRPr="00004A7D" w:rsidRDefault="00B65F7D" w:rsidP="00BA6B74">
      <w:pPr>
        <w:contextualSpacing/>
        <w:jc w:val="center"/>
        <w:rPr>
          <w:rFonts w:cs="Arial"/>
          <w:szCs w:val="24"/>
        </w:rPr>
      </w:pPr>
      <w:r>
        <w:rPr>
          <w:noProof/>
          <w:snapToGrid/>
          <w:lang w:val="es-MX" w:eastAsia="es-MX"/>
        </w:rPr>
        <w:drawing>
          <wp:inline distT="0" distB="0" distL="0" distR="0" wp14:anchorId="14ED379F" wp14:editId="4B3FF18F">
            <wp:extent cx="4320000" cy="2520000"/>
            <wp:effectExtent l="0" t="0" r="23495" b="33020"/>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0E2C66" w:rsidRPr="003D2E2E" w:rsidRDefault="000E2C66" w:rsidP="00593A80">
      <w:pPr>
        <w:ind w:left="1134"/>
        <w:contextualSpacing/>
        <w:rPr>
          <w:rFonts w:cs="Arial"/>
          <w:sz w:val="16"/>
          <w:szCs w:val="16"/>
        </w:rPr>
      </w:pPr>
      <w:r w:rsidRPr="003D2E2E">
        <w:rPr>
          <w:rFonts w:cs="Arial"/>
          <w:sz w:val="16"/>
          <w:szCs w:val="16"/>
        </w:rPr>
        <w:t>Fuente: INEGI</w:t>
      </w:r>
      <w:r w:rsidR="007806B1">
        <w:rPr>
          <w:rFonts w:cs="Arial"/>
          <w:sz w:val="16"/>
          <w:szCs w:val="16"/>
        </w:rPr>
        <w:t>.</w:t>
      </w:r>
    </w:p>
    <w:p w:rsidR="00B663DF" w:rsidRDefault="00B663DF">
      <w:pPr>
        <w:widowControl/>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817925" w:rsidRDefault="00817925" w:rsidP="00506982">
      <w:pPr>
        <w:spacing w:before="240"/>
        <w:ind w:left="284" w:hanging="45"/>
        <w:contextualSpacing/>
        <w:jc w:val="center"/>
        <w:rPr>
          <w:rFonts w:cs="Arial"/>
          <w:sz w:val="18"/>
          <w:szCs w:val="18"/>
        </w:rPr>
      </w:pPr>
    </w:p>
    <w:p w:rsidR="00506982" w:rsidRDefault="00506982" w:rsidP="00506982">
      <w:pPr>
        <w:spacing w:before="240"/>
        <w:ind w:left="284" w:hanging="45"/>
        <w:contextualSpacing/>
        <w:jc w:val="center"/>
        <w:rPr>
          <w:rFonts w:cs="Arial"/>
          <w:sz w:val="18"/>
          <w:szCs w:val="18"/>
        </w:rPr>
      </w:pPr>
      <w:r w:rsidRPr="003D2E2E">
        <w:rPr>
          <w:rFonts w:cs="Arial"/>
          <w:sz w:val="18"/>
          <w:szCs w:val="18"/>
        </w:rPr>
        <w:t xml:space="preserve">Gráfica </w:t>
      </w:r>
      <w:r>
        <w:rPr>
          <w:rFonts w:cs="Arial"/>
          <w:sz w:val="18"/>
          <w:szCs w:val="18"/>
        </w:rPr>
        <w:t>2</w:t>
      </w:r>
    </w:p>
    <w:p w:rsidR="00506982" w:rsidRPr="005B4B9E" w:rsidRDefault="00506982" w:rsidP="00506982">
      <w:pPr>
        <w:contextualSpacing/>
        <w:jc w:val="center"/>
        <w:rPr>
          <w:rFonts w:cs="Arial"/>
          <w:b/>
          <w:smallCaps/>
          <w:sz w:val="22"/>
          <w:szCs w:val="22"/>
        </w:rPr>
      </w:pPr>
      <w:r w:rsidRPr="005B4B9E">
        <w:rPr>
          <w:rFonts w:cs="Arial"/>
          <w:b/>
          <w:iCs/>
          <w:smallCaps/>
          <w:snapToGrid/>
          <w:sz w:val="22"/>
          <w:szCs w:val="22"/>
          <w:lang w:val="es-MX" w:eastAsia="es-MX"/>
        </w:rPr>
        <w:t>Indicador Trimestral del PIB Turístico</w:t>
      </w:r>
      <w:r>
        <w:rPr>
          <w:rFonts w:cs="Arial"/>
          <w:b/>
          <w:smallCaps/>
          <w:sz w:val="22"/>
          <w:szCs w:val="22"/>
        </w:rPr>
        <w:t xml:space="preserve"> de Servicios</w:t>
      </w:r>
    </w:p>
    <w:p w:rsidR="00506982" w:rsidRPr="00004A7D" w:rsidRDefault="00506982" w:rsidP="00506982">
      <w:pPr>
        <w:contextualSpacing/>
        <w:jc w:val="center"/>
        <w:rPr>
          <w:rFonts w:cs="Arial"/>
          <w:b/>
          <w:smallCaps/>
          <w:szCs w:val="24"/>
        </w:rPr>
      </w:pPr>
      <w:r w:rsidRPr="005B4B9E">
        <w:rPr>
          <w:rFonts w:cs="Arial"/>
          <w:b/>
          <w:smallCaps/>
          <w:sz w:val="22"/>
          <w:szCs w:val="22"/>
        </w:rPr>
        <w:t xml:space="preserve">al </w:t>
      </w:r>
      <w:r>
        <w:rPr>
          <w:rFonts w:cs="Arial"/>
          <w:b/>
          <w:smallCaps/>
          <w:sz w:val="22"/>
          <w:szCs w:val="22"/>
        </w:rPr>
        <w:t xml:space="preserve">primer </w:t>
      </w:r>
      <w:r w:rsidRPr="005B4B9E">
        <w:rPr>
          <w:rFonts w:cs="Arial"/>
          <w:b/>
          <w:smallCaps/>
          <w:sz w:val="22"/>
          <w:szCs w:val="22"/>
        </w:rPr>
        <w:t>trimestre de 201</w:t>
      </w:r>
      <w:r>
        <w:rPr>
          <w:rFonts w:cs="Arial"/>
          <w:b/>
          <w:smallCaps/>
          <w:sz w:val="22"/>
          <w:szCs w:val="22"/>
        </w:rPr>
        <w:t>9</w:t>
      </w:r>
    </w:p>
    <w:p w:rsidR="00506982" w:rsidRDefault="00506982" w:rsidP="00506982">
      <w:pPr>
        <w:spacing w:before="240"/>
        <w:ind w:left="284" w:hanging="45"/>
        <w:contextualSpacing/>
        <w:jc w:val="center"/>
        <w:rPr>
          <w:rFonts w:cs="Arial"/>
          <w:sz w:val="18"/>
          <w:szCs w:val="18"/>
        </w:rPr>
      </w:pPr>
      <w:r w:rsidRPr="003D2E2E">
        <w:rPr>
          <w:rFonts w:cs="Arial"/>
          <w:sz w:val="18"/>
          <w:szCs w:val="18"/>
        </w:rPr>
        <w:t>(Índice</w:t>
      </w:r>
      <w:r>
        <w:rPr>
          <w:rFonts w:cs="Arial"/>
          <w:sz w:val="18"/>
          <w:szCs w:val="18"/>
        </w:rPr>
        <w:t xml:space="preserve"> base 2013</w:t>
      </w:r>
      <w:r w:rsidRPr="003D2E2E">
        <w:rPr>
          <w:rFonts w:cs="Arial"/>
          <w:sz w:val="18"/>
          <w:szCs w:val="18"/>
        </w:rPr>
        <w:t>=100)</w:t>
      </w:r>
    </w:p>
    <w:p w:rsidR="00506982" w:rsidRDefault="00506982" w:rsidP="00506982">
      <w:pPr>
        <w:spacing w:before="240"/>
        <w:ind w:left="284" w:hanging="45"/>
        <w:contextualSpacing/>
        <w:jc w:val="center"/>
        <w:rPr>
          <w:rFonts w:cs="Arial"/>
          <w:sz w:val="18"/>
          <w:szCs w:val="18"/>
        </w:rPr>
      </w:pPr>
      <w:r>
        <w:rPr>
          <w:noProof/>
          <w:snapToGrid/>
          <w:lang w:val="es-MX" w:eastAsia="es-MX"/>
        </w:rPr>
        <w:drawing>
          <wp:inline distT="0" distB="0" distL="0" distR="0" wp14:anchorId="6964D352" wp14:editId="4D0FE126">
            <wp:extent cx="4320000" cy="2520000"/>
            <wp:effectExtent l="0" t="0" r="23495" b="33020"/>
            <wp:docPr id="3"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506982" w:rsidRPr="003D2E2E" w:rsidRDefault="00506982" w:rsidP="00506982">
      <w:pPr>
        <w:spacing w:before="240"/>
        <w:ind w:left="1004"/>
        <w:contextualSpacing/>
        <w:jc w:val="both"/>
        <w:rPr>
          <w:rFonts w:cs="Arial"/>
          <w:sz w:val="18"/>
          <w:szCs w:val="18"/>
        </w:rPr>
      </w:pPr>
      <w:r>
        <w:rPr>
          <w:rFonts w:cs="Arial"/>
          <w:sz w:val="16"/>
          <w:szCs w:val="16"/>
        </w:rPr>
        <w:t xml:space="preserve">    </w:t>
      </w:r>
      <w:r w:rsidRPr="003D2E2E">
        <w:rPr>
          <w:rFonts w:cs="Arial"/>
          <w:sz w:val="16"/>
          <w:szCs w:val="16"/>
        </w:rPr>
        <w:t>Fuente: INEGI</w:t>
      </w:r>
      <w:r>
        <w:rPr>
          <w:rFonts w:cs="Arial"/>
          <w:sz w:val="16"/>
          <w:szCs w:val="16"/>
        </w:rPr>
        <w:t>.</w:t>
      </w:r>
    </w:p>
    <w:p w:rsidR="00EE7736" w:rsidRDefault="00EE7736">
      <w:pPr>
        <w:widowControl/>
        <w:rPr>
          <w:rFonts w:cs="Arial"/>
          <w:sz w:val="18"/>
          <w:szCs w:val="18"/>
        </w:rPr>
      </w:pPr>
    </w:p>
    <w:p w:rsidR="00817925" w:rsidRDefault="00817925" w:rsidP="00506982">
      <w:pPr>
        <w:spacing w:before="360"/>
        <w:contextualSpacing/>
        <w:jc w:val="center"/>
        <w:rPr>
          <w:rFonts w:cs="Arial"/>
          <w:sz w:val="18"/>
          <w:szCs w:val="18"/>
        </w:rPr>
      </w:pPr>
    </w:p>
    <w:p w:rsidR="00817925" w:rsidRDefault="00817925" w:rsidP="00506982">
      <w:pPr>
        <w:spacing w:before="360"/>
        <w:contextualSpacing/>
        <w:jc w:val="center"/>
        <w:rPr>
          <w:rFonts w:cs="Arial"/>
          <w:sz w:val="18"/>
          <w:szCs w:val="18"/>
        </w:rPr>
      </w:pPr>
    </w:p>
    <w:p w:rsidR="00506982" w:rsidRPr="003D2E2E" w:rsidRDefault="00506982" w:rsidP="00506982">
      <w:pPr>
        <w:spacing w:before="360"/>
        <w:contextualSpacing/>
        <w:jc w:val="center"/>
        <w:rPr>
          <w:rFonts w:cs="Arial"/>
          <w:sz w:val="18"/>
          <w:szCs w:val="18"/>
        </w:rPr>
      </w:pPr>
      <w:r>
        <w:rPr>
          <w:rFonts w:cs="Arial"/>
          <w:sz w:val="18"/>
          <w:szCs w:val="18"/>
        </w:rPr>
        <w:t>Gráfica 3</w:t>
      </w:r>
    </w:p>
    <w:p w:rsidR="00506982" w:rsidRPr="005B4B9E" w:rsidRDefault="00506982" w:rsidP="00506982">
      <w:pPr>
        <w:contextualSpacing/>
        <w:jc w:val="center"/>
        <w:rPr>
          <w:rFonts w:cs="Arial"/>
          <w:b/>
          <w:smallCaps/>
          <w:sz w:val="22"/>
          <w:szCs w:val="22"/>
        </w:rPr>
      </w:pPr>
      <w:r w:rsidRPr="005B4B9E">
        <w:rPr>
          <w:rFonts w:cs="Arial"/>
          <w:b/>
          <w:iCs/>
          <w:smallCaps/>
          <w:snapToGrid/>
          <w:sz w:val="22"/>
          <w:szCs w:val="22"/>
          <w:lang w:val="es-MX" w:eastAsia="es-MX"/>
        </w:rPr>
        <w:t>Indicador Trimestral del PIB Turístico</w:t>
      </w:r>
      <w:r w:rsidRPr="005B4B9E">
        <w:rPr>
          <w:rFonts w:cs="Arial"/>
          <w:b/>
          <w:smallCaps/>
          <w:sz w:val="22"/>
          <w:szCs w:val="22"/>
        </w:rPr>
        <w:t xml:space="preserve"> de Bienes</w:t>
      </w:r>
    </w:p>
    <w:p w:rsidR="00506982" w:rsidRPr="00004A7D" w:rsidRDefault="00506982" w:rsidP="00506982">
      <w:pPr>
        <w:contextualSpacing/>
        <w:jc w:val="center"/>
        <w:rPr>
          <w:rFonts w:cs="Arial"/>
          <w:b/>
          <w:smallCaps/>
          <w:szCs w:val="24"/>
        </w:rPr>
      </w:pPr>
      <w:r w:rsidRPr="005B4B9E">
        <w:rPr>
          <w:rFonts w:cs="Arial"/>
          <w:b/>
          <w:smallCaps/>
          <w:sz w:val="22"/>
          <w:szCs w:val="22"/>
        </w:rPr>
        <w:t>al</w:t>
      </w:r>
      <w:r>
        <w:rPr>
          <w:rFonts w:cs="Arial"/>
          <w:b/>
          <w:smallCaps/>
          <w:sz w:val="22"/>
          <w:szCs w:val="22"/>
        </w:rPr>
        <w:t xml:space="preserve"> primer </w:t>
      </w:r>
      <w:r w:rsidRPr="005B4B9E">
        <w:rPr>
          <w:rFonts w:cs="Arial"/>
          <w:b/>
          <w:smallCaps/>
          <w:sz w:val="22"/>
          <w:szCs w:val="22"/>
        </w:rPr>
        <w:t>trimestre de 201</w:t>
      </w:r>
      <w:r>
        <w:rPr>
          <w:rFonts w:cs="Arial"/>
          <w:b/>
          <w:smallCaps/>
          <w:sz w:val="22"/>
          <w:szCs w:val="22"/>
        </w:rPr>
        <w:t>9</w:t>
      </w:r>
    </w:p>
    <w:p w:rsidR="00506982" w:rsidRPr="003D2E2E" w:rsidRDefault="00506982" w:rsidP="00506982">
      <w:pPr>
        <w:contextualSpacing/>
        <w:jc w:val="center"/>
        <w:rPr>
          <w:rFonts w:cs="Arial"/>
          <w:sz w:val="18"/>
          <w:szCs w:val="18"/>
        </w:rPr>
      </w:pPr>
      <w:r w:rsidRPr="003D2E2E">
        <w:rPr>
          <w:rFonts w:cs="Arial"/>
          <w:sz w:val="18"/>
          <w:szCs w:val="18"/>
        </w:rPr>
        <w:t xml:space="preserve">(Índice </w:t>
      </w:r>
      <w:r>
        <w:rPr>
          <w:rFonts w:cs="Arial"/>
          <w:sz w:val="18"/>
          <w:szCs w:val="18"/>
        </w:rPr>
        <w:t>base 2013</w:t>
      </w:r>
      <w:r w:rsidRPr="003D2E2E">
        <w:rPr>
          <w:rFonts w:cs="Arial"/>
          <w:sz w:val="18"/>
          <w:szCs w:val="18"/>
        </w:rPr>
        <w:t>=100)</w:t>
      </w:r>
    </w:p>
    <w:p w:rsidR="00506982" w:rsidRPr="002959AC" w:rsidRDefault="00506982" w:rsidP="00506982">
      <w:pPr>
        <w:contextualSpacing/>
        <w:jc w:val="center"/>
        <w:rPr>
          <w:rFonts w:cs="Arial"/>
          <w:sz w:val="20"/>
          <w14:shadow w14:blurRad="50800" w14:dist="50800" w14:dir="3600000" w14:sx="0" w14:sy="0" w14:kx="0" w14:ky="0" w14:algn="ctr">
            <w14:srgbClr w14:val="000000">
              <w14:alpha w14:val="56870"/>
            </w14:srgbClr>
          </w14:shadow>
        </w:rPr>
      </w:pPr>
      <w:r>
        <w:rPr>
          <w:noProof/>
          <w:snapToGrid/>
          <w:lang w:val="es-MX" w:eastAsia="es-MX"/>
        </w:rPr>
        <w:drawing>
          <wp:inline distT="0" distB="0" distL="0" distR="0" wp14:anchorId="06778A16" wp14:editId="18CB1E2F">
            <wp:extent cx="4320000" cy="2520000"/>
            <wp:effectExtent l="0" t="0" r="23495" b="33020"/>
            <wp:docPr id="2"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506982" w:rsidRDefault="00506982" w:rsidP="00506982">
      <w:pPr>
        <w:spacing w:before="480"/>
        <w:ind w:left="1134"/>
        <w:contextualSpacing/>
        <w:rPr>
          <w:rFonts w:cs="Arial"/>
          <w:sz w:val="18"/>
          <w:szCs w:val="18"/>
        </w:rPr>
      </w:pPr>
      <w:r w:rsidRPr="003D2E2E">
        <w:rPr>
          <w:rFonts w:cs="Arial"/>
          <w:sz w:val="16"/>
          <w:szCs w:val="16"/>
        </w:rPr>
        <w:t>Fuente: INEGI</w:t>
      </w:r>
      <w:r>
        <w:rPr>
          <w:rFonts w:cs="Arial"/>
          <w:sz w:val="16"/>
          <w:szCs w:val="16"/>
        </w:rPr>
        <w:t>.</w:t>
      </w:r>
    </w:p>
    <w:p w:rsidR="00506982" w:rsidRDefault="00506982" w:rsidP="00506982">
      <w:pPr>
        <w:widowControl/>
        <w:rPr>
          <w:rFonts w:cs="Arial"/>
          <w:sz w:val="18"/>
          <w:szCs w:val="18"/>
        </w:rPr>
      </w:pPr>
    </w:p>
    <w:p w:rsidR="003C524C" w:rsidRDefault="003C524C" w:rsidP="00894F3D">
      <w:pPr>
        <w:pStyle w:val="Textoindependiente"/>
        <w:tabs>
          <w:tab w:val="center" w:pos="3348"/>
        </w:tabs>
        <w:spacing w:before="480"/>
        <w:jc w:val="both"/>
        <w:rPr>
          <w:snapToGrid/>
          <w:color w:val="auto"/>
          <w:szCs w:val="22"/>
        </w:rPr>
      </w:pPr>
    </w:p>
    <w:p w:rsidR="003C524C" w:rsidRDefault="003C524C" w:rsidP="00894F3D">
      <w:pPr>
        <w:pStyle w:val="Textoindependiente"/>
        <w:tabs>
          <w:tab w:val="center" w:pos="3348"/>
        </w:tabs>
        <w:spacing w:before="480"/>
        <w:jc w:val="both"/>
        <w:rPr>
          <w:snapToGrid/>
          <w:color w:val="auto"/>
          <w:szCs w:val="22"/>
        </w:rPr>
      </w:pPr>
    </w:p>
    <w:p w:rsidR="006F48F0" w:rsidRDefault="006F48F0" w:rsidP="003C524C">
      <w:pPr>
        <w:pStyle w:val="Textoindependiente"/>
        <w:tabs>
          <w:tab w:val="center" w:pos="3348"/>
        </w:tabs>
        <w:spacing w:before="240"/>
        <w:jc w:val="both"/>
        <w:rPr>
          <w:rFonts w:cs="Arial"/>
          <w:b/>
          <w:smallCaps/>
          <w:szCs w:val="24"/>
        </w:rPr>
      </w:pPr>
      <w:r>
        <w:rPr>
          <w:snapToGrid/>
          <w:color w:val="auto"/>
          <w:szCs w:val="22"/>
        </w:rPr>
        <w:t>En su comparación anual</w:t>
      </w:r>
      <w:r w:rsidR="007E312B">
        <w:rPr>
          <w:snapToGrid/>
          <w:color w:val="auto"/>
          <w:szCs w:val="22"/>
        </w:rPr>
        <w:t>,</w:t>
      </w:r>
      <w:r>
        <w:rPr>
          <w:color w:val="auto"/>
          <w:szCs w:val="22"/>
        </w:rPr>
        <w:t xml:space="preserve"> </w:t>
      </w:r>
      <w:r w:rsidR="00A3021B" w:rsidRPr="00E92EC9">
        <w:rPr>
          <w:snapToGrid/>
          <w:color w:val="auto"/>
          <w:szCs w:val="22"/>
        </w:rPr>
        <w:t xml:space="preserve">el </w:t>
      </w:r>
      <w:r w:rsidR="00A3021B" w:rsidRPr="00DA09CB">
        <w:rPr>
          <w:color w:val="auto"/>
        </w:rPr>
        <w:t>ITPIBT</w:t>
      </w:r>
      <w:r w:rsidR="00A3021B" w:rsidRPr="00E92EC9">
        <w:rPr>
          <w:color w:val="auto"/>
          <w:szCs w:val="22"/>
        </w:rPr>
        <w:t xml:space="preserve"> </w:t>
      </w:r>
      <w:r w:rsidR="00FC6D35">
        <w:rPr>
          <w:color w:val="auto"/>
          <w:szCs w:val="22"/>
        </w:rPr>
        <w:t>di</w:t>
      </w:r>
      <w:r w:rsidR="008440AA">
        <w:rPr>
          <w:color w:val="auto"/>
          <w:szCs w:val="22"/>
        </w:rPr>
        <w:t>sminuy</w:t>
      </w:r>
      <w:r w:rsidR="00FC6D35">
        <w:rPr>
          <w:color w:val="auto"/>
          <w:szCs w:val="22"/>
        </w:rPr>
        <w:t>ó</w:t>
      </w:r>
      <w:r w:rsidRPr="00E92EC9">
        <w:rPr>
          <w:snapToGrid/>
          <w:color w:val="auto"/>
          <w:szCs w:val="22"/>
        </w:rPr>
        <w:t xml:space="preserve"> </w:t>
      </w:r>
      <w:r w:rsidR="00F04762">
        <w:rPr>
          <w:snapToGrid/>
          <w:color w:val="auto"/>
          <w:szCs w:val="22"/>
        </w:rPr>
        <w:t>(-)0</w:t>
      </w:r>
      <w:r w:rsidR="006E01F9">
        <w:rPr>
          <w:snapToGrid/>
          <w:color w:val="auto"/>
          <w:szCs w:val="22"/>
        </w:rPr>
        <w:t>.</w:t>
      </w:r>
      <w:r w:rsidR="00F04762">
        <w:rPr>
          <w:snapToGrid/>
          <w:color w:val="auto"/>
          <w:szCs w:val="22"/>
        </w:rPr>
        <w:t>8</w:t>
      </w:r>
      <w:r w:rsidR="00D35FF6">
        <w:rPr>
          <w:snapToGrid/>
          <w:color w:val="auto"/>
          <w:szCs w:val="22"/>
        </w:rPr>
        <w:t xml:space="preserve">% </w:t>
      </w:r>
      <w:r w:rsidR="0093792D">
        <w:rPr>
          <w:snapToGrid/>
          <w:color w:val="auto"/>
          <w:szCs w:val="22"/>
        </w:rPr>
        <w:t xml:space="preserve">en términos reales </w:t>
      </w:r>
      <w:r w:rsidR="00A3021B">
        <w:rPr>
          <w:color w:val="auto"/>
          <w:szCs w:val="22"/>
        </w:rPr>
        <w:t>con cifras desestacion</w:t>
      </w:r>
      <w:r w:rsidR="00314FD2">
        <w:rPr>
          <w:color w:val="auto"/>
          <w:szCs w:val="22"/>
        </w:rPr>
        <w:t xml:space="preserve">alizadas en el trimestre </w:t>
      </w:r>
      <w:r w:rsidR="003049D3">
        <w:rPr>
          <w:color w:val="auto"/>
          <w:szCs w:val="22"/>
        </w:rPr>
        <w:t>e</w:t>
      </w:r>
      <w:r w:rsidR="005A6BB7">
        <w:rPr>
          <w:color w:val="auto"/>
          <w:szCs w:val="22"/>
        </w:rPr>
        <w:t>nero-marzo</w:t>
      </w:r>
      <w:r w:rsidR="00A3021B">
        <w:rPr>
          <w:color w:val="auto"/>
          <w:szCs w:val="22"/>
        </w:rPr>
        <w:t xml:space="preserve"> de 201</w:t>
      </w:r>
      <w:r w:rsidR="005A6BB7">
        <w:rPr>
          <w:color w:val="auto"/>
          <w:szCs w:val="22"/>
        </w:rPr>
        <w:t>9</w:t>
      </w:r>
      <w:r>
        <w:rPr>
          <w:snapToGrid/>
          <w:color w:val="auto"/>
          <w:szCs w:val="22"/>
        </w:rPr>
        <w:t>.  Por componente</w:t>
      </w:r>
      <w:r w:rsidR="0096144D">
        <w:rPr>
          <w:snapToGrid/>
          <w:color w:val="auto"/>
          <w:szCs w:val="22"/>
        </w:rPr>
        <w:t>s</w:t>
      </w:r>
      <w:r>
        <w:rPr>
          <w:snapToGrid/>
          <w:color w:val="auto"/>
          <w:szCs w:val="22"/>
        </w:rPr>
        <w:t>,</w:t>
      </w:r>
      <w:r w:rsidRPr="00E92EC9">
        <w:rPr>
          <w:snapToGrid/>
          <w:color w:val="auto"/>
          <w:szCs w:val="22"/>
        </w:rPr>
        <w:t xml:space="preserve"> </w:t>
      </w:r>
      <w:r w:rsidR="00B3561F">
        <w:rPr>
          <w:color w:val="auto"/>
        </w:rPr>
        <w:t xml:space="preserve">el de los </w:t>
      </w:r>
      <w:r w:rsidR="00DF75FD">
        <w:rPr>
          <w:color w:val="auto"/>
        </w:rPr>
        <w:t xml:space="preserve">Servicios </w:t>
      </w:r>
      <w:r w:rsidR="00F04762">
        <w:rPr>
          <w:color w:val="auto"/>
        </w:rPr>
        <w:t>se reduj</w:t>
      </w:r>
      <w:r w:rsidR="006C56B9">
        <w:rPr>
          <w:color w:val="auto"/>
        </w:rPr>
        <w:t>o</w:t>
      </w:r>
      <w:r w:rsidR="00915204">
        <w:rPr>
          <w:color w:val="auto"/>
        </w:rPr>
        <w:t xml:space="preserve"> </w:t>
      </w:r>
      <w:r w:rsidR="00F04762">
        <w:rPr>
          <w:color w:val="auto"/>
        </w:rPr>
        <w:t>(-)0</w:t>
      </w:r>
      <w:r w:rsidR="006E01F9">
        <w:rPr>
          <w:color w:val="auto"/>
        </w:rPr>
        <w:t>.</w:t>
      </w:r>
      <w:r w:rsidR="00F04762">
        <w:rPr>
          <w:color w:val="auto"/>
        </w:rPr>
        <w:t>8</w:t>
      </w:r>
      <w:r w:rsidR="00831C5E">
        <w:rPr>
          <w:color w:val="auto"/>
        </w:rPr>
        <w:t>%</w:t>
      </w:r>
      <w:r w:rsidR="00B3561F">
        <w:rPr>
          <w:color w:val="auto"/>
        </w:rPr>
        <w:t xml:space="preserve"> y </w:t>
      </w:r>
      <w:r w:rsidR="00D87EA6">
        <w:rPr>
          <w:color w:val="auto"/>
        </w:rPr>
        <w:t xml:space="preserve">el de los </w:t>
      </w:r>
      <w:r w:rsidR="00DF75FD">
        <w:rPr>
          <w:color w:val="auto"/>
        </w:rPr>
        <w:t xml:space="preserve">Bienes </w:t>
      </w:r>
      <w:r w:rsidR="00FC6D35">
        <w:rPr>
          <w:color w:val="auto"/>
        </w:rPr>
        <w:t xml:space="preserve">lo hizo en </w:t>
      </w:r>
      <w:r w:rsidR="00F04762">
        <w:rPr>
          <w:color w:val="auto"/>
        </w:rPr>
        <w:t>(-)0</w:t>
      </w:r>
      <w:r w:rsidR="006E01F9">
        <w:rPr>
          <w:color w:val="auto"/>
        </w:rPr>
        <w:t>.3</w:t>
      </w:r>
      <w:r w:rsidR="00831C5E">
        <w:rPr>
          <w:color w:val="auto"/>
        </w:rPr>
        <w:t xml:space="preserve"> </w:t>
      </w:r>
      <w:r>
        <w:rPr>
          <w:color w:val="auto"/>
        </w:rPr>
        <w:t>por ciento.</w:t>
      </w:r>
    </w:p>
    <w:p w:rsidR="002C1ADA" w:rsidRDefault="002C1ADA" w:rsidP="00894F3D">
      <w:pPr>
        <w:pStyle w:val="Textoindependiente"/>
        <w:tabs>
          <w:tab w:val="center" w:pos="3348"/>
        </w:tabs>
        <w:spacing w:before="480"/>
        <w:rPr>
          <w:rFonts w:cs="Arial"/>
          <w:b/>
          <w:smallCaps/>
          <w:szCs w:val="24"/>
        </w:rPr>
      </w:pPr>
      <w:r>
        <w:rPr>
          <w:rFonts w:cs="Arial"/>
          <w:b/>
          <w:smallCaps/>
          <w:szCs w:val="24"/>
        </w:rPr>
        <w:t>Indicador Trimestral del Consumo Turístico Interior</w:t>
      </w:r>
      <w:r w:rsidRPr="00004A7D">
        <w:rPr>
          <w:rFonts w:cs="Arial"/>
          <w:b/>
          <w:smallCaps/>
          <w:szCs w:val="24"/>
        </w:rPr>
        <w:t xml:space="preserve"> (</w:t>
      </w:r>
      <w:r>
        <w:rPr>
          <w:rFonts w:cs="Arial"/>
          <w:b/>
          <w:smallCaps/>
          <w:szCs w:val="24"/>
        </w:rPr>
        <w:t>ITCTI</w:t>
      </w:r>
      <w:r w:rsidRPr="00004A7D">
        <w:rPr>
          <w:rFonts w:cs="Arial"/>
          <w:b/>
          <w:smallCaps/>
          <w:szCs w:val="24"/>
        </w:rPr>
        <w:t>)</w:t>
      </w:r>
    </w:p>
    <w:p w:rsidR="004E0EE9" w:rsidRDefault="00DD139F" w:rsidP="00894F3D">
      <w:pPr>
        <w:pStyle w:val="Textoindependiente"/>
        <w:tabs>
          <w:tab w:val="center" w:pos="3348"/>
        </w:tabs>
        <w:spacing w:before="480"/>
        <w:jc w:val="both"/>
        <w:rPr>
          <w:rFonts w:cs="Arial"/>
          <w:b/>
          <w:smallCaps/>
          <w:szCs w:val="24"/>
        </w:rPr>
      </w:pPr>
      <w:r>
        <w:rPr>
          <w:snapToGrid/>
          <w:color w:val="auto"/>
          <w:szCs w:val="22"/>
        </w:rPr>
        <w:t>E</w:t>
      </w:r>
      <w:r w:rsidRPr="00E92EC9">
        <w:rPr>
          <w:snapToGrid/>
          <w:color w:val="auto"/>
          <w:szCs w:val="22"/>
        </w:rPr>
        <w:t xml:space="preserve">l Indicador Trimestral del Consumo Turístico Interior </w:t>
      </w:r>
      <w:r w:rsidR="00F6462A">
        <w:rPr>
          <w:snapToGrid/>
          <w:color w:val="auto"/>
          <w:szCs w:val="22"/>
        </w:rPr>
        <w:t xml:space="preserve">no </w:t>
      </w:r>
      <w:r w:rsidR="002A618E">
        <w:rPr>
          <w:snapToGrid/>
          <w:color w:val="auto"/>
          <w:szCs w:val="22"/>
        </w:rPr>
        <w:t>m</w:t>
      </w:r>
      <w:r w:rsidR="009921BB">
        <w:rPr>
          <w:snapToGrid/>
          <w:color w:val="auto"/>
          <w:szCs w:val="22"/>
        </w:rPr>
        <w:t xml:space="preserve">ostró </w:t>
      </w:r>
      <w:r w:rsidR="00F04762">
        <w:rPr>
          <w:snapToGrid/>
          <w:color w:val="auto"/>
          <w:szCs w:val="22"/>
        </w:rPr>
        <w:t>variación</w:t>
      </w:r>
      <w:r w:rsidR="002A618E">
        <w:rPr>
          <w:snapToGrid/>
          <w:color w:val="auto"/>
          <w:szCs w:val="22"/>
        </w:rPr>
        <w:t xml:space="preserve"> </w:t>
      </w:r>
      <w:r w:rsidR="00F43F9E">
        <w:rPr>
          <w:snapToGrid/>
          <w:color w:val="auto"/>
          <w:szCs w:val="22"/>
        </w:rPr>
        <w:t xml:space="preserve">en el </w:t>
      </w:r>
      <w:r w:rsidR="005A6BB7">
        <w:rPr>
          <w:snapToGrid/>
          <w:color w:val="auto"/>
          <w:szCs w:val="22"/>
        </w:rPr>
        <w:t>primer</w:t>
      </w:r>
      <w:r w:rsidR="00F43F9E">
        <w:rPr>
          <w:snapToGrid/>
          <w:color w:val="auto"/>
          <w:szCs w:val="22"/>
        </w:rPr>
        <w:t xml:space="preserve"> trimestre de</w:t>
      </w:r>
      <w:r w:rsidR="0093792D">
        <w:rPr>
          <w:snapToGrid/>
          <w:color w:val="auto"/>
          <w:szCs w:val="22"/>
        </w:rPr>
        <w:t>l</w:t>
      </w:r>
      <w:r w:rsidR="00801F25">
        <w:rPr>
          <w:snapToGrid/>
          <w:color w:val="auto"/>
          <w:szCs w:val="22"/>
        </w:rPr>
        <w:t xml:space="preserve"> </w:t>
      </w:r>
      <w:r w:rsidR="00F04762">
        <w:rPr>
          <w:snapToGrid/>
          <w:color w:val="auto"/>
          <w:szCs w:val="22"/>
        </w:rPr>
        <w:t xml:space="preserve">presente </w:t>
      </w:r>
      <w:r w:rsidR="00801F25">
        <w:rPr>
          <w:snapToGrid/>
          <w:color w:val="auto"/>
          <w:szCs w:val="22"/>
        </w:rPr>
        <w:t>año</w:t>
      </w:r>
      <w:r w:rsidR="00F43F9E">
        <w:rPr>
          <w:snapToGrid/>
          <w:color w:val="auto"/>
          <w:szCs w:val="22"/>
        </w:rPr>
        <w:t xml:space="preserve"> </w:t>
      </w:r>
      <w:r w:rsidR="00E81E9F">
        <w:rPr>
          <w:snapToGrid/>
          <w:color w:val="auto"/>
          <w:szCs w:val="22"/>
        </w:rPr>
        <w:t xml:space="preserve">respecto al trimestre </w:t>
      </w:r>
      <w:r w:rsidR="00F65E92">
        <w:rPr>
          <w:snapToGrid/>
          <w:color w:val="auto"/>
          <w:szCs w:val="22"/>
        </w:rPr>
        <w:t>inmediato anterior</w:t>
      </w:r>
      <w:r>
        <w:rPr>
          <w:snapToGrid/>
          <w:color w:val="auto"/>
          <w:szCs w:val="22"/>
        </w:rPr>
        <w:t xml:space="preserve">. </w:t>
      </w:r>
      <w:r w:rsidR="007449C3">
        <w:rPr>
          <w:snapToGrid/>
          <w:color w:val="auto"/>
          <w:szCs w:val="22"/>
        </w:rPr>
        <w:t>De manera desagregada</w:t>
      </w:r>
      <w:r w:rsidR="008B5024">
        <w:rPr>
          <w:snapToGrid/>
          <w:color w:val="auto"/>
          <w:szCs w:val="22"/>
        </w:rPr>
        <w:t xml:space="preserve">, el </w:t>
      </w:r>
      <w:r w:rsidR="00F13D46">
        <w:rPr>
          <w:snapToGrid/>
          <w:color w:val="auto"/>
          <w:szCs w:val="22"/>
        </w:rPr>
        <w:t xml:space="preserve">del </w:t>
      </w:r>
      <w:r w:rsidR="00831C5E">
        <w:rPr>
          <w:snapToGrid/>
          <w:color w:val="auto"/>
          <w:szCs w:val="22"/>
        </w:rPr>
        <w:t xml:space="preserve">Turismo </w:t>
      </w:r>
      <w:r w:rsidR="006E01F9">
        <w:rPr>
          <w:snapToGrid/>
          <w:color w:val="auto"/>
          <w:szCs w:val="22"/>
        </w:rPr>
        <w:t>R</w:t>
      </w:r>
      <w:r w:rsidR="006E01F9" w:rsidRPr="00E92EC9">
        <w:rPr>
          <w:snapToGrid/>
          <w:color w:val="auto"/>
          <w:szCs w:val="22"/>
        </w:rPr>
        <w:t>eceptivo</w:t>
      </w:r>
      <w:r w:rsidR="006E01F9">
        <w:rPr>
          <w:snapToGrid/>
          <w:color w:val="auto"/>
          <w:szCs w:val="22"/>
        </w:rPr>
        <w:t xml:space="preserve"> </w:t>
      </w:r>
      <w:r w:rsidR="00F04762">
        <w:rPr>
          <w:snapToGrid/>
          <w:color w:val="auto"/>
          <w:szCs w:val="22"/>
        </w:rPr>
        <w:t>aumentó</w:t>
      </w:r>
      <w:r w:rsidR="006E01F9">
        <w:rPr>
          <w:snapToGrid/>
          <w:color w:val="auto"/>
          <w:szCs w:val="22"/>
        </w:rPr>
        <w:t xml:space="preserve"> </w:t>
      </w:r>
      <w:r w:rsidR="00F04762">
        <w:rPr>
          <w:snapToGrid/>
          <w:color w:val="auto"/>
          <w:szCs w:val="22"/>
        </w:rPr>
        <w:t>3</w:t>
      </w:r>
      <w:r w:rsidR="006E01F9">
        <w:rPr>
          <w:snapToGrid/>
          <w:color w:val="auto"/>
          <w:szCs w:val="22"/>
        </w:rPr>
        <w:t>.</w:t>
      </w:r>
      <w:r w:rsidR="00F04762">
        <w:rPr>
          <w:snapToGrid/>
          <w:color w:val="auto"/>
          <w:szCs w:val="22"/>
        </w:rPr>
        <w:t>2</w:t>
      </w:r>
      <w:r w:rsidR="0093792D">
        <w:rPr>
          <w:snapToGrid/>
          <w:color w:val="auto"/>
          <w:szCs w:val="22"/>
        </w:rPr>
        <w:t>%</w:t>
      </w:r>
      <w:r w:rsidR="008440AA">
        <w:rPr>
          <w:snapToGrid/>
          <w:color w:val="auto"/>
          <w:szCs w:val="22"/>
        </w:rPr>
        <w:t>,</w:t>
      </w:r>
      <w:r w:rsidR="006E01F9">
        <w:rPr>
          <w:snapToGrid/>
          <w:color w:val="auto"/>
          <w:szCs w:val="22"/>
        </w:rPr>
        <w:t xml:space="preserve"> </w:t>
      </w:r>
      <w:r w:rsidR="001E4A31">
        <w:rPr>
          <w:snapToGrid/>
          <w:color w:val="auto"/>
          <w:szCs w:val="22"/>
        </w:rPr>
        <w:t xml:space="preserve">en tanto </w:t>
      </w:r>
      <w:r w:rsidR="006E01F9">
        <w:rPr>
          <w:snapToGrid/>
          <w:color w:val="auto"/>
          <w:szCs w:val="22"/>
        </w:rPr>
        <w:t xml:space="preserve">que </w:t>
      </w:r>
      <w:r w:rsidR="0093792D">
        <w:rPr>
          <w:snapToGrid/>
          <w:color w:val="auto"/>
          <w:szCs w:val="22"/>
        </w:rPr>
        <w:t xml:space="preserve">el </w:t>
      </w:r>
      <w:r w:rsidR="0003305A">
        <w:rPr>
          <w:snapToGrid/>
          <w:color w:val="auto"/>
          <w:szCs w:val="22"/>
        </w:rPr>
        <w:t xml:space="preserve">del </w:t>
      </w:r>
      <w:r w:rsidR="002A618E">
        <w:rPr>
          <w:snapToGrid/>
          <w:color w:val="auto"/>
          <w:szCs w:val="22"/>
        </w:rPr>
        <w:t xml:space="preserve">Turismo </w:t>
      </w:r>
      <w:r w:rsidR="006E01F9">
        <w:rPr>
          <w:snapToGrid/>
          <w:color w:val="auto"/>
          <w:szCs w:val="22"/>
        </w:rPr>
        <w:t>I</w:t>
      </w:r>
      <w:r w:rsidR="006E01F9" w:rsidRPr="00E92EC9">
        <w:rPr>
          <w:snapToGrid/>
          <w:color w:val="auto"/>
          <w:szCs w:val="22"/>
        </w:rPr>
        <w:t>nterno</w:t>
      </w:r>
      <w:r w:rsidR="006E01F9">
        <w:rPr>
          <w:snapToGrid/>
          <w:color w:val="auto"/>
          <w:szCs w:val="22"/>
        </w:rPr>
        <w:t xml:space="preserve"> </w:t>
      </w:r>
      <w:r w:rsidR="00DF75FD">
        <w:rPr>
          <w:snapToGrid/>
          <w:color w:val="auto"/>
          <w:szCs w:val="22"/>
        </w:rPr>
        <w:t>retrocedió</w:t>
      </w:r>
      <w:r w:rsidR="00831C5E">
        <w:rPr>
          <w:snapToGrid/>
          <w:color w:val="auto"/>
          <w:szCs w:val="22"/>
        </w:rPr>
        <w:t xml:space="preserve"> </w:t>
      </w:r>
      <w:r w:rsidR="006E01F9">
        <w:rPr>
          <w:snapToGrid/>
          <w:color w:val="auto"/>
          <w:szCs w:val="22"/>
        </w:rPr>
        <w:t>(-)0</w:t>
      </w:r>
      <w:r w:rsidR="00DF75FD">
        <w:rPr>
          <w:snapToGrid/>
          <w:color w:val="auto"/>
          <w:szCs w:val="22"/>
        </w:rPr>
        <w:t>.</w:t>
      </w:r>
      <w:r w:rsidR="00F04762">
        <w:rPr>
          <w:snapToGrid/>
          <w:color w:val="auto"/>
          <w:szCs w:val="22"/>
        </w:rPr>
        <w:t>5</w:t>
      </w:r>
      <w:r w:rsidR="00DF75FD">
        <w:rPr>
          <w:snapToGrid/>
          <w:color w:val="auto"/>
          <w:szCs w:val="22"/>
        </w:rPr>
        <w:t xml:space="preserve">% en </w:t>
      </w:r>
      <w:r w:rsidR="00831C5E">
        <w:rPr>
          <w:snapToGrid/>
          <w:color w:val="auto"/>
          <w:szCs w:val="22"/>
        </w:rPr>
        <w:t xml:space="preserve">el período </w:t>
      </w:r>
      <w:r w:rsidR="0093792D">
        <w:rPr>
          <w:snapToGrid/>
          <w:color w:val="auto"/>
          <w:szCs w:val="22"/>
        </w:rPr>
        <w:t>en cuestión</w:t>
      </w:r>
      <w:r w:rsidR="00831C5E">
        <w:rPr>
          <w:snapToGrid/>
          <w:color w:val="auto"/>
          <w:szCs w:val="22"/>
        </w:rPr>
        <w:t>.</w:t>
      </w:r>
    </w:p>
    <w:p w:rsidR="003C524C" w:rsidRDefault="003C524C" w:rsidP="003C524C">
      <w:pPr>
        <w:widowControl/>
        <w:rPr>
          <w:sz w:val="18"/>
          <w:szCs w:val="18"/>
        </w:rPr>
      </w:pPr>
    </w:p>
    <w:p w:rsidR="003C524C" w:rsidRDefault="003C524C" w:rsidP="003C524C">
      <w:pPr>
        <w:widowControl/>
        <w:jc w:val="center"/>
        <w:rPr>
          <w:sz w:val="18"/>
          <w:szCs w:val="18"/>
        </w:rPr>
      </w:pPr>
    </w:p>
    <w:p w:rsidR="000D65E2" w:rsidRPr="003D2E2E" w:rsidRDefault="000D65E2" w:rsidP="003C524C">
      <w:pPr>
        <w:widowControl/>
        <w:jc w:val="center"/>
        <w:rPr>
          <w:sz w:val="18"/>
          <w:szCs w:val="18"/>
        </w:rPr>
      </w:pPr>
      <w:r w:rsidRPr="003D2E2E">
        <w:rPr>
          <w:sz w:val="18"/>
          <w:szCs w:val="18"/>
        </w:rPr>
        <w:t xml:space="preserve">Gráfica </w:t>
      </w:r>
      <w:r w:rsidR="009910DB" w:rsidRPr="003D2E2E">
        <w:rPr>
          <w:sz w:val="18"/>
          <w:szCs w:val="18"/>
        </w:rPr>
        <w:t>4</w:t>
      </w:r>
    </w:p>
    <w:p w:rsidR="000D65E2" w:rsidRPr="005B4B9E" w:rsidRDefault="000D65E2" w:rsidP="000D65E2">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p>
    <w:p w:rsidR="000D65E2" w:rsidRDefault="000D65E2" w:rsidP="000D65E2">
      <w:pPr>
        <w:contextualSpacing/>
        <w:jc w:val="center"/>
        <w:rPr>
          <w:rFonts w:cs="Arial"/>
          <w:b/>
          <w:smallCaps/>
          <w:szCs w:val="24"/>
        </w:rPr>
      </w:pPr>
      <w:r w:rsidRPr="005B4B9E">
        <w:rPr>
          <w:rFonts w:cs="Arial"/>
          <w:b/>
          <w:smallCaps/>
          <w:sz w:val="22"/>
          <w:szCs w:val="22"/>
        </w:rPr>
        <w:t xml:space="preserve">al </w:t>
      </w:r>
      <w:r w:rsidR="005A6BB7">
        <w:rPr>
          <w:rFonts w:cs="Arial"/>
          <w:b/>
          <w:smallCaps/>
          <w:sz w:val="22"/>
          <w:szCs w:val="22"/>
        </w:rPr>
        <w:t>primer</w:t>
      </w:r>
      <w:r w:rsidR="00FD40DA">
        <w:rPr>
          <w:rFonts w:cs="Arial"/>
          <w:b/>
          <w:smallCaps/>
          <w:sz w:val="22"/>
          <w:szCs w:val="22"/>
        </w:rPr>
        <w:t xml:space="preserve"> </w:t>
      </w:r>
      <w:r w:rsidR="004B3E14">
        <w:rPr>
          <w:rFonts w:cs="Arial"/>
          <w:b/>
          <w:smallCaps/>
          <w:sz w:val="22"/>
          <w:szCs w:val="22"/>
        </w:rPr>
        <w:t>trimestre de</w:t>
      </w:r>
      <w:r w:rsidR="005B4B9E" w:rsidRPr="005B4B9E">
        <w:rPr>
          <w:rFonts w:cs="Arial"/>
          <w:b/>
          <w:smallCaps/>
          <w:sz w:val="22"/>
          <w:szCs w:val="22"/>
        </w:rPr>
        <w:t xml:space="preserve"> 201</w:t>
      </w:r>
      <w:r w:rsidR="005A6BB7">
        <w:rPr>
          <w:rFonts w:cs="Arial"/>
          <w:b/>
          <w:smallCaps/>
          <w:sz w:val="22"/>
          <w:szCs w:val="22"/>
        </w:rPr>
        <w:t>9</w:t>
      </w:r>
    </w:p>
    <w:p w:rsidR="000D65E2" w:rsidRPr="000A5EC0" w:rsidRDefault="000D65E2" w:rsidP="000D65E2">
      <w:pPr>
        <w:contextualSpacing/>
        <w:jc w:val="center"/>
        <w:rPr>
          <w:rFonts w:cs="Arial"/>
          <w:b/>
          <w:smallCaps/>
          <w:sz w:val="18"/>
          <w:szCs w:val="18"/>
        </w:rPr>
      </w:pPr>
      <w:r w:rsidRPr="000A5EC0">
        <w:rPr>
          <w:rFonts w:cs="Arial"/>
          <w:sz w:val="18"/>
          <w:szCs w:val="18"/>
        </w:rPr>
        <w:t xml:space="preserve">(Índice </w:t>
      </w:r>
      <w:r w:rsidR="008F692E">
        <w:rPr>
          <w:rFonts w:cs="Arial"/>
          <w:sz w:val="18"/>
          <w:szCs w:val="18"/>
        </w:rPr>
        <w:t xml:space="preserve">base </w:t>
      </w:r>
      <w:r w:rsidR="00B604CA">
        <w:rPr>
          <w:rFonts w:cs="Arial"/>
          <w:sz w:val="18"/>
          <w:szCs w:val="18"/>
        </w:rPr>
        <w:t>20</w:t>
      </w:r>
      <w:r w:rsidR="00FC221A">
        <w:rPr>
          <w:rFonts w:cs="Arial"/>
          <w:sz w:val="18"/>
          <w:szCs w:val="18"/>
        </w:rPr>
        <w:t>13</w:t>
      </w:r>
      <w:r w:rsidRPr="000A5EC0">
        <w:rPr>
          <w:rFonts w:cs="Arial"/>
          <w:sz w:val="18"/>
          <w:szCs w:val="18"/>
        </w:rPr>
        <w:t>=100)</w:t>
      </w:r>
    </w:p>
    <w:p w:rsidR="000D65E2" w:rsidRDefault="00A94552" w:rsidP="00E06933">
      <w:pPr>
        <w:tabs>
          <w:tab w:val="left" w:pos="6145"/>
        </w:tabs>
        <w:jc w:val="center"/>
      </w:pPr>
      <w:r>
        <w:rPr>
          <w:noProof/>
          <w:snapToGrid/>
          <w:lang w:val="es-MX" w:eastAsia="es-MX"/>
        </w:rPr>
        <w:drawing>
          <wp:inline distT="0" distB="0" distL="0" distR="0" wp14:anchorId="4462EF77" wp14:editId="597E62F7">
            <wp:extent cx="4320000" cy="2520000"/>
            <wp:effectExtent l="0" t="0" r="23495" b="33020"/>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E06933" w:rsidRPr="003D2E2E" w:rsidRDefault="00DB7239" w:rsidP="00E06933">
      <w:pPr>
        <w:ind w:left="993"/>
        <w:contextualSpacing/>
        <w:rPr>
          <w:rFonts w:cs="Arial"/>
          <w:sz w:val="16"/>
          <w:szCs w:val="16"/>
        </w:rPr>
      </w:pPr>
      <w:r>
        <w:rPr>
          <w:rFonts w:cs="Arial"/>
          <w:sz w:val="16"/>
          <w:szCs w:val="16"/>
        </w:rPr>
        <w:t xml:space="preserve">    </w:t>
      </w:r>
      <w:r w:rsidR="00E06933" w:rsidRPr="003D2E2E">
        <w:rPr>
          <w:rFonts w:cs="Arial"/>
          <w:sz w:val="16"/>
          <w:szCs w:val="16"/>
        </w:rPr>
        <w:t>Fuente: INEGI</w:t>
      </w:r>
      <w:r w:rsidR="007806B1">
        <w:rPr>
          <w:rFonts w:cs="Arial"/>
          <w:sz w:val="16"/>
          <w:szCs w:val="16"/>
        </w:rPr>
        <w:t>.</w:t>
      </w:r>
    </w:p>
    <w:p w:rsidR="005A4D85" w:rsidRDefault="005A4D85" w:rsidP="005A4D85">
      <w:pPr>
        <w:pStyle w:val="Default"/>
        <w:spacing w:before="360"/>
        <w:jc w:val="center"/>
        <w:rPr>
          <w:sz w:val="18"/>
          <w:szCs w:val="18"/>
        </w:rPr>
      </w:pPr>
    </w:p>
    <w:p w:rsidR="003C524C" w:rsidRDefault="003C524C" w:rsidP="005A4D85">
      <w:pPr>
        <w:pStyle w:val="Default"/>
        <w:spacing w:before="360"/>
        <w:jc w:val="center"/>
        <w:rPr>
          <w:sz w:val="18"/>
          <w:szCs w:val="18"/>
        </w:rPr>
      </w:pPr>
    </w:p>
    <w:p w:rsidR="003C524C" w:rsidRDefault="003C524C" w:rsidP="005A4D85">
      <w:pPr>
        <w:pStyle w:val="Default"/>
        <w:spacing w:before="360"/>
        <w:jc w:val="center"/>
        <w:rPr>
          <w:sz w:val="18"/>
          <w:szCs w:val="18"/>
        </w:rPr>
      </w:pPr>
    </w:p>
    <w:p w:rsidR="003C524C" w:rsidRDefault="003C524C" w:rsidP="005A4D85">
      <w:pPr>
        <w:pStyle w:val="Default"/>
        <w:spacing w:before="360"/>
        <w:jc w:val="center"/>
        <w:rPr>
          <w:sz w:val="18"/>
          <w:szCs w:val="18"/>
        </w:rPr>
      </w:pPr>
    </w:p>
    <w:p w:rsidR="003C524C" w:rsidRDefault="003C524C" w:rsidP="005A4D85">
      <w:pPr>
        <w:pStyle w:val="Default"/>
        <w:spacing w:before="360"/>
        <w:jc w:val="center"/>
        <w:rPr>
          <w:sz w:val="18"/>
          <w:szCs w:val="18"/>
        </w:rPr>
      </w:pPr>
    </w:p>
    <w:p w:rsidR="003C524C" w:rsidRDefault="003C524C" w:rsidP="005A4D85">
      <w:pPr>
        <w:pStyle w:val="Default"/>
        <w:spacing w:before="360"/>
        <w:jc w:val="center"/>
        <w:rPr>
          <w:sz w:val="18"/>
          <w:szCs w:val="18"/>
        </w:rPr>
      </w:pPr>
    </w:p>
    <w:p w:rsidR="005A4D85" w:rsidRPr="003D2E2E" w:rsidRDefault="005A4D85" w:rsidP="003C524C">
      <w:pPr>
        <w:pStyle w:val="Default"/>
        <w:tabs>
          <w:tab w:val="left" w:pos="4111"/>
        </w:tabs>
        <w:spacing w:before="360"/>
        <w:jc w:val="center"/>
        <w:rPr>
          <w:sz w:val="18"/>
          <w:szCs w:val="18"/>
        </w:rPr>
      </w:pPr>
      <w:r>
        <w:rPr>
          <w:sz w:val="18"/>
          <w:szCs w:val="18"/>
        </w:rPr>
        <w:t>Gráfica 5</w:t>
      </w:r>
    </w:p>
    <w:p w:rsidR="005A4D85" w:rsidRPr="005B4B9E" w:rsidRDefault="005A4D85" w:rsidP="005A4D85">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r>
        <w:rPr>
          <w:rFonts w:cs="Arial"/>
          <w:b/>
          <w:smallCaps/>
          <w:sz w:val="22"/>
          <w:szCs w:val="22"/>
        </w:rPr>
        <w:t>Receptivo</w:t>
      </w:r>
    </w:p>
    <w:p w:rsidR="005A4D85" w:rsidRDefault="005A4D85" w:rsidP="005A4D85">
      <w:pPr>
        <w:contextualSpacing/>
        <w:jc w:val="center"/>
        <w:rPr>
          <w:rFonts w:cs="Arial"/>
          <w:b/>
          <w:smallCaps/>
          <w:szCs w:val="24"/>
        </w:rPr>
      </w:pPr>
      <w:r w:rsidRPr="005B4B9E">
        <w:rPr>
          <w:rFonts w:cs="Arial"/>
          <w:b/>
          <w:smallCaps/>
          <w:sz w:val="22"/>
          <w:szCs w:val="22"/>
        </w:rPr>
        <w:t>al</w:t>
      </w:r>
      <w:r>
        <w:rPr>
          <w:rFonts w:cs="Arial"/>
          <w:b/>
          <w:smallCaps/>
          <w:sz w:val="22"/>
          <w:szCs w:val="22"/>
        </w:rPr>
        <w:t xml:space="preserve"> </w:t>
      </w:r>
      <w:r w:rsidR="005A6BB7">
        <w:rPr>
          <w:rFonts w:cs="Arial"/>
          <w:b/>
          <w:smallCaps/>
          <w:sz w:val="22"/>
          <w:szCs w:val="22"/>
        </w:rPr>
        <w:t>primer</w:t>
      </w:r>
      <w:r>
        <w:rPr>
          <w:rFonts w:cs="Arial"/>
          <w:b/>
          <w:smallCaps/>
          <w:sz w:val="22"/>
          <w:szCs w:val="22"/>
        </w:rPr>
        <w:t xml:space="preserve"> trimestre de</w:t>
      </w:r>
      <w:r w:rsidRPr="005B4B9E">
        <w:rPr>
          <w:rFonts w:cs="Arial"/>
          <w:b/>
          <w:smallCaps/>
          <w:sz w:val="22"/>
          <w:szCs w:val="22"/>
        </w:rPr>
        <w:t xml:space="preserve"> 201</w:t>
      </w:r>
      <w:r w:rsidR="005A6BB7">
        <w:rPr>
          <w:rFonts w:cs="Arial"/>
          <w:b/>
          <w:smallCaps/>
          <w:sz w:val="22"/>
          <w:szCs w:val="22"/>
        </w:rPr>
        <w:t>9</w:t>
      </w:r>
    </w:p>
    <w:p w:rsidR="005A4D85" w:rsidRPr="000A5EC0" w:rsidRDefault="005A4D85" w:rsidP="005A4D85">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rsidR="005A4D85" w:rsidRDefault="00A94552" w:rsidP="005A4D85">
      <w:pPr>
        <w:tabs>
          <w:tab w:val="left" w:pos="6145"/>
        </w:tabs>
        <w:jc w:val="center"/>
        <w:rPr>
          <w:sz w:val="16"/>
          <w:szCs w:val="16"/>
        </w:rPr>
      </w:pPr>
      <w:r>
        <w:rPr>
          <w:noProof/>
          <w:snapToGrid/>
          <w:lang w:val="es-MX" w:eastAsia="es-MX"/>
        </w:rPr>
        <w:drawing>
          <wp:inline distT="0" distB="0" distL="0" distR="0" wp14:anchorId="51B0D120" wp14:editId="47CB823B">
            <wp:extent cx="4320000" cy="2520000"/>
            <wp:effectExtent l="0" t="0" r="23495" b="13970"/>
            <wp:docPr id="6"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3C524C" w:rsidRDefault="005A4D85" w:rsidP="003C524C">
      <w:pPr>
        <w:tabs>
          <w:tab w:val="left" w:pos="6145"/>
        </w:tabs>
        <w:ind w:left="993"/>
        <w:rPr>
          <w:sz w:val="16"/>
          <w:szCs w:val="16"/>
        </w:rPr>
      </w:pPr>
      <w:r>
        <w:rPr>
          <w:sz w:val="16"/>
          <w:szCs w:val="16"/>
        </w:rPr>
        <w:t xml:space="preserve">    </w:t>
      </w:r>
      <w:r w:rsidRPr="003D2E2E">
        <w:rPr>
          <w:sz w:val="16"/>
          <w:szCs w:val="16"/>
        </w:rPr>
        <w:t>Fuente: INEGI</w:t>
      </w:r>
      <w:r>
        <w:rPr>
          <w:sz w:val="16"/>
          <w:szCs w:val="16"/>
        </w:rPr>
        <w:t>.</w:t>
      </w:r>
    </w:p>
    <w:p w:rsidR="003C524C" w:rsidRDefault="003C524C" w:rsidP="003C524C">
      <w:pPr>
        <w:tabs>
          <w:tab w:val="left" w:pos="6145"/>
        </w:tabs>
        <w:ind w:left="993"/>
        <w:rPr>
          <w:sz w:val="16"/>
          <w:szCs w:val="16"/>
        </w:rPr>
      </w:pPr>
    </w:p>
    <w:p w:rsidR="003C524C" w:rsidRDefault="003C524C" w:rsidP="003C524C">
      <w:pPr>
        <w:tabs>
          <w:tab w:val="left" w:pos="6145"/>
        </w:tabs>
        <w:ind w:left="993"/>
        <w:rPr>
          <w:sz w:val="16"/>
          <w:szCs w:val="16"/>
        </w:rPr>
      </w:pPr>
    </w:p>
    <w:p w:rsidR="003C524C" w:rsidRDefault="003C524C" w:rsidP="003C524C">
      <w:pPr>
        <w:tabs>
          <w:tab w:val="left" w:pos="6145"/>
        </w:tabs>
        <w:ind w:left="993"/>
        <w:rPr>
          <w:sz w:val="16"/>
          <w:szCs w:val="16"/>
        </w:rPr>
      </w:pPr>
    </w:p>
    <w:p w:rsidR="00593BE6" w:rsidRPr="003D2E2E" w:rsidRDefault="003C524C" w:rsidP="003C524C">
      <w:pPr>
        <w:tabs>
          <w:tab w:val="left" w:pos="3969"/>
          <w:tab w:val="left" w:pos="6145"/>
        </w:tabs>
        <w:ind w:left="993"/>
        <w:rPr>
          <w:sz w:val="18"/>
          <w:szCs w:val="18"/>
        </w:rPr>
      </w:pPr>
      <w:r>
        <w:rPr>
          <w:sz w:val="18"/>
          <w:szCs w:val="18"/>
        </w:rPr>
        <w:t xml:space="preserve">                                                              </w:t>
      </w:r>
      <w:r w:rsidR="00593BE6">
        <w:rPr>
          <w:sz w:val="18"/>
          <w:szCs w:val="18"/>
        </w:rPr>
        <w:t xml:space="preserve">Gráfica </w:t>
      </w:r>
      <w:r w:rsidR="005A4D85">
        <w:rPr>
          <w:sz w:val="18"/>
          <w:szCs w:val="18"/>
        </w:rPr>
        <w:t>6</w:t>
      </w:r>
    </w:p>
    <w:p w:rsidR="004167CF" w:rsidRPr="005B4B9E" w:rsidRDefault="004167CF" w:rsidP="004167CF">
      <w:pPr>
        <w:contextualSpacing/>
        <w:jc w:val="center"/>
        <w:rPr>
          <w:rFonts w:cs="Arial"/>
          <w:b/>
          <w:smallCaps/>
          <w:sz w:val="22"/>
          <w:szCs w:val="22"/>
        </w:rPr>
      </w:pPr>
      <w:r w:rsidRPr="005B4B9E">
        <w:rPr>
          <w:rFonts w:cs="Arial"/>
          <w:b/>
          <w:smallCaps/>
          <w:sz w:val="22"/>
          <w:szCs w:val="22"/>
        </w:rPr>
        <w:t>Indicador Trimestral del Consumo Turístico Interior</w:t>
      </w:r>
      <w:r>
        <w:rPr>
          <w:rFonts w:cs="Arial"/>
          <w:b/>
          <w:smallCaps/>
          <w:sz w:val="22"/>
          <w:szCs w:val="22"/>
        </w:rPr>
        <w:t xml:space="preserve"> Interno</w:t>
      </w:r>
      <w:r w:rsidRPr="005B4B9E" w:rsidDel="00CC2A9A">
        <w:rPr>
          <w:rFonts w:cs="Arial"/>
          <w:b/>
          <w:smallCaps/>
          <w:sz w:val="22"/>
          <w:szCs w:val="22"/>
        </w:rPr>
        <w:t xml:space="preserve"> </w:t>
      </w:r>
    </w:p>
    <w:p w:rsidR="00013DDD" w:rsidRDefault="00013DDD" w:rsidP="00013DDD">
      <w:pPr>
        <w:contextualSpacing/>
        <w:jc w:val="center"/>
        <w:rPr>
          <w:rFonts w:cs="Arial"/>
          <w:b/>
          <w:smallCaps/>
          <w:szCs w:val="24"/>
        </w:rPr>
      </w:pPr>
      <w:r w:rsidRPr="005B4B9E">
        <w:rPr>
          <w:rFonts w:cs="Arial"/>
          <w:b/>
          <w:smallCaps/>
          <w:sz w:val="22"/>
          <w:szCs w:val="22"/>
        </w:rPr>
        <w:t xml:space="preserve">al </w:t>
      </w:r>
      <w:r w:rsidR="005A6BB7">
        <w:rPr>
          <w:rFonts w:cs="Arial"/>
          <w:b/>
          <w:smallCaps/>
          <w:sz w:val="22"/>
          <w:szCs w:val="22"/>
        </w:rPr>
        <w:t>primer</w:t>
      </w:r>
      <w:r>
        <w:rPr>
          <w:rFonts w:cs="Arial"/>
          <w:b/>
          <w:smallCaps/>
          <w:sz w:val="22"/>
          <w:szCs w:val="22"/>
        </w:rPr>
        <w:t xml:space="preserve"> trimestre de</w:t>
      </w:r>
      <w:r w:rsidRPr="005B4B9E">
        <w:rPr>
          <w:rFonts w:cs="Arial"/>
          <w:b/>
          <w:smallCaps/>
          <w:sz w:val="22"/>
          <w:szCs w:val="22"/>
        </w:rPr>
        <w:t xml:space="preserve"> 201</w:t>
      </w:r>
      <w:r w:rsidR="005A6BB7">
        <w:rPr>
          <w:rFonts w:cs="Arial"/>
          <w:b/>
          <w:smallCaps/>
          <w:sz w:val="22"/>
          <w:szCs w:val="22"/>
        </w:rPr>
        <w:t>9</w:t>
      </w:r>
    </w:p>
    <w:p w:rsidR="00013DDD" w:rsidRPr="000A5EC0" w:rsidRDefault="00013DDD" w:rsidP="00013DDD">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rsidR="00013DDD" w:rsidRDefault="00506982" w:rsidP="00013DDD">
      <w:pPr>
        <w:tabs>
          <w:tab w:val="left" w:pos="6145"/>
        </w:tabs>
        <w:jc w:val="center"/>
      </w:pPr>
      <w:r>
        <w:rPr>
          <w:noProof/>
          <w:snapToGrid/>
          <w:lang w:val="es-MX" w:eastAsia="es-MX"/>
        </w:rPr>
        <w:drawing>
          <wp:inline distT="0" distB="0" distL="0" distR="0" wp14:anchorId="0EA996ED" wp14:editId="7C2644B4">
            <wp:extent cx="4320000" cy="2520000"/>
            <wp:effectExtent l="0" t="0" r="23495" b="33020"/>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593BE6" w:rsidRDefault="00013DDD" w:rsidP="00013DDD">
      <w:pPr>
        <w:pStyle w:val="Default"/>
        <w:ind w:left="993"/>
        <w:rPr>
          <w:sz w:val="18"/>
          <w:szCs w:val="18"/>
        </w:rPr>
      </w:pPr>
      <w:r>
        <w:rPr>
          <w:sz w:val="16"/>
          <w:szCs w:val="16"/>
        </w:rPr>
        <w:t xml:space="preserve">   </w:t>
      </w:r>
      <w:r w:rsidRPr="003D2E2E">
        <w:rPr>
          <w:sz w:val="16"/>
          <w:szCs w:val="16"/>
        </w:rPr>
        <w:t>Fuente: INEGI</w:t>
      </w:r>
      <w:r>
        <w:rPr>
          <w:sz w:val="16"/>
          <w:szCs w:val="16"/>
        </w:rPr>
        <w:t>.</w:t>
      </w:r>
    </w:p>
    <w:p w:rsidR="00196FF3" w:rsidRDefault="00196FF3">
      <w:pPr>
        <w:widowControl/>
        <w:rPr>
          <w:rFonts w:eastAsiaTheme="minorEastAsia" w:cs="Arial"/>
          <w:snapToGrid/>
          <w:color w:val="000000"/>
          <w:sz w:val="18"/>
          <w:szCs w:val="18"/>
          <w:lang w:val="es-ES"/>
        </w:rPr>
      </w:pPr>
    </w:p>
    <w:p w:rsidR="00013DDD" w:rsidRDefault="00013DDD" w:rsidP="00013DDD">
      <w:pPr>
        <w:widowControl/>
        <w:ind w:left="993"/>
        <w:rPr>
          <w:rFonts w:cs="Arial"/>
          <w:sz w:val="16"/>
          <w:szCs w:val="16"/>
        </w:rPr>
      </w:pPr>
    </w:p>
    <w:p w:rsidR="000D566F" w:rsidRDefault="000D566F" w:rsidP="00093578">
      <w:pPr>
        <w:pStyle w:val="n01"/>
        <w:keepNext/>
        <w:spacing w:after="360"/>
        <w:ind w:left="0" w:firstLine="0"/>
        <w:contextualSpacing/>
        <w:outlineLvl w:val="0"/>
        <w:rPr>
          <w:color w:val="auto"/>
        </w:rPr>
      </w:pPr>
    </w:p>
    <w:p w:rsidR="000D566F" w:rsidRDefault="000D566F" w:rsidP="00093578">
      <w:pPr>
        <w:pStyle w:val="n01"/>
        <w:keepNext/>
        <w:spacing w:after="360"/>
        <w:ind w:left="0" w:firstLine="0"/>
        <w:contextualSpacing/>
        <w:outlineLvl w:val="0"/>
        <w:rPr>
          <w:color w:val="auto"/>
        </w:rPr>
      </w:pPr>
    </w:p>
    <w:p w:rsidR="00A74306" w:rsidRDefault="00A852EC" w:rsidP="00093578">
      <w:pPr>
        <w:pStyle w:val="n01"/>
        <w:keepNext/>
        <w:spacing w:after="360"/>
        <w:ind w:left="0" w:firstLine="0"/>
        <w:contextualSpacing/>
        <w:outlineLvl w:val="0"/>
        <w:rPr>
          <w:color w:val="auto"/>
          <w:szCs w:val="22"/>
        </w:rPr>
      </w:pPr>
      <w:r>
        <w:rPr>
          <w:color w:val="auto"/>
        </w:rPr>
        <w:t>En su comparación a</w:t>
      </w:r>
      <w:r w:rsidR="00526FDF">
        <w:rPr>
          <w:color w:val="auto"/>
        </w:rPr>
        <w:t>nual</w:t>
      </w:r>
      <w:r>
        <w:rPr>
          <w:color w:val="auto"/>
        </w:rPr>
        <w:t xml:space="preserve"> </w:t>
      </w:r>
      <w:r w:rsidR="00DD4A68">
        <w:rPr>
          <w:color w:val="auto"/>
        </w:rPr>
        <w:t xml:space="preserve">y </w:t>
      </w:r>
      <w:r>
        <w:rPr>
          <w:color w:val="auto"/>
        </w:rPr>
        <w:t>con datos</w:t>
      </w:r>
      <w:r w:rsidR="00DD139F">
        <w:rPr>
          <w:color w:val="auto"/>
        </w:rPr>
        <w:t xml:space="preserve"> desestacionalizados, e</w:t>
      </w:r>
      <w:r w:rsidR="00DD139F" w:rsidRPr="00E92EC9">
        <w:rPr>
          <w:color w:val="auto"/>
          <w:szCs w:val="22"/>
        </w:rPr>
        <w:t xml:space="preserve">l </w:t>
      </w:r>
      <w:r w:rsidR="00DD139F">
        <w:rPr>
          <w:color w:val="auto"/>
          <w:szCs w:val="22"/>
        </w:rPr>
        <w:t>Indicador Trimestral del Consumo Turístico</w:t>
      </w:r>
      <w:r w:rsidR="00DD139F" w:rsidRPr="00E92EC9">
        <w:rPr>
          <w:color w:val="auto"/>
          <w:szCs w:val="22"/>
        </w:rPr>
        <w:t xml:space="preserve"> Interior</w:t>
      </w:r>
      <w:r w:rsidR="00DD139F">
        <w:rPr>
          <w:color w:val="auto"/>
          <w:szCs w:val="22"/>
        </w:rPr>
        <w:t xml:space="preserve"> registró </w:t>
      </w:r>
      <w:r w:rsidR="0085250F">
        <w:rPr>
          <w:color w:val="auto"/>
          <w:szCs w:val="22"/>
        </w:rPr>
        <w:t>un</w:t>
      </w:r>
      <w:r w:rsidR="000D7CA3">
        <w:rPr>
          <w:color w:val="auto"/>
          <w:szCs w:val="22"/>
        </w:rPr>
        <w:t>a</w:t>
      </w:r>
      <w:r w:rsidR="00AC3637">
        <w:rPr>
          <w:color w:val="auto"/>
          <w:szCs w:val="22"/>
        </w:rPr>
        <w:t xml:space="preserve"> </w:t>
      </w:r>
      <w:r w:rsidR="000D7CA3">
        <w:rPr>
          <w:color w:val="auto"/>
          <w:szCs w:val="22"/>
        </w:rPr>
        <w:t>disminución</w:t>
      </w:r>
      <w:r w:rsidR="00DD139F">
        <w:rPr>
          <w:color w:val="auto"/>
          <w:szCs w:val="22"/>
        </w:rPr>
        <w:t xml:space="preserve"> </w:t>
      </w:r>
      <w:r w:rsidR="00AC3637">
        <w:rPr>
          <w:color w:val="auto"/>
          <w:szCs w:val="22"/>
        </w:rPr>
        <w:t xml:space="preserve">de </w:t>
      </w:r>
      <w:r w:rsidR="000D7CA3">
        <w:rPr>
          <w:color w:val="auto"/>
          <w:szCs w:val="22"/>
        </w:rPr>
        <w:t>(-)0</w:t>
      </w:r>
      <w:r w:rsidR="00CF10E6">
        <w:rPr>
          <w:color w:val="auto"/>
          <w:szCs w:val="22"/>
        </w:rPr>
        <w:t>.</w:t>
      </w:r>
      <w:r w:rsidR="000D7CA3">
        <w:rPr>
          <w:color w:val="auto"/>
          <w:szCs w:val="22"/>
        </w:rPr>
        <w:t>6</w:t>
      </w:r>
      <w:r w:rsidR="00AC3637">
        <w:rPr>
          <w:color w:val="auto"/>
          <w:szCs w:val="22"/>
        </w:rPr>
        <w:t>% d</w:t>
      </w:r>
      <w:r w:rsidR="00573E5B">
        <w:rPr>
          <w:color w:val="auto"/>
          <w:szCs w:val="22"/>
        </w:rPr>
        <w:t xml:space="preserve">urante el trimestre </w:t>
      </w:r>
      <w:r w:rsidR="00767281">
        <w:rPr>
          <w:color w:val="auto"/>
          <w:szCs w:val="22"/>
        </w:rPr>
        <w:t>e</w:t>
      </w:r>
      <w:r w:rsidR="005A6BB7">
        <w:rPr>
          <w:color w:val="auto"/>
          <w:szCs w:val="22"/>
        </w:rPr>
        <w:t>nero-marzo</w:t>
      </w:r>
      <w:r w:rsidR="00573E5B">
        <w:rPr>
          <w:color w:val="auto"/>
          <w:szCs w:val="22"/>
        </w:rPr>
        <w:t xml:space="preserve"> de 201</w:t>
      </w:r>
      <w:r w:rsidR="005A6BB7">
        <w:rPr>
          <w:color w:val="auto"/>
          <w:szCs w:val="22"/>
        </w:rPr>
        <w:t>9</w:t>
      </w:r>
      <w:r w:rsidR="00DD139F" w:rsidRPr="00E92EC9">
        <w:rPr>
          <w:color w:val="auto"/>
          <w:szCs w:val="22"/>
        </w:rPr>
        <w:t xml:space="preserve"> </w:t>
      </w:r>
      <w:r w:rsidR="00F85102">
        <w:rPr>
          <w:color w:val="auto"/>
          <w:szCs w:val="22"/>
        </w:rPr>
        <w:t xml:space="preserve">respecto </w:t>
      </w:r>
      <w:r w:rsidR="009921BB">
        <w:rPr>
          <w:color w:val="auto"/>
          <w:szCs w:val="22"/>
        </w:rPr>
        <w:t>a igual</w:t>
      </w:r>
      <w:r w:rsidR="00DD139F">
        <w:rPr>
          <w:color w:val="auto"/>
          <w:szCs w:val="22"/>
        </w:rPr>
        <w:t xml:space="preserve"> </w:t>
      </w:r>
      <w:r w:rsidR="00DD139F" w:rsidRPr="00E92EC9">
        <w:rPr>
          <w:color w:val="auto"/>
          <w:szCs w:val="22"/>
        </w:rPr>
        <w:t xml:space="preserve">trimestre </w:t>
      </w:r>
      <w:r w:rsidR="00F43F9E">
        <w:rPr>
          <w:color w:val="auto"/>
          <w:szCs w:val="22"/>
        </w:rPr>
        <w:t>de 201</w:t>
      </w:r>
      <w:r w:rsidR="005A6BB7">
        <w:rPr>
          <w:color w:val="auto"/>
          <w:szCs w:val="22"/>
        </w:rPr>
        <w:t>8</w:t>
      </w:r>
      <w:r w:rsidR="008B5024">
        <w:rPr>
          <w:color w:val="auto"/>
          <w:szCs w:val="22"/>
        </w:rPr>
        <w:t xml:space="preserve">. Por componentes, </w:t>
      </w:r>
      <w:r w:rsidR="006B675B" w:rsidRPr="00E92EC9">
        <w:rPr>
          <w:color w:val="auto"/>
          <w:szCs w:val="22"/>
        </w:rPr>
        <w:t xml:space="preserve">el </w:t>
      </w:r>
      <w:r w:rsidR="00F13D46">
        <w:rPr>
          <w:color w:val="auto"/>
          <w:szCs w:val="22"/>
        </w:rPr>
        <w:t xml:space="preserve">Consumo </w:t>
      </w:r>
      <w:r w:rsidR="006B675B">
        <w:rPr>
          <w:color w:val="auto"/>
          <w:szCs w:val="22"/>
        </w:rPr>
        <w:t xml:space="preserve">del </w:t>
      </w:r>
      <w:r w:rsidR="000D7CA3">
        <w:rPr>
          <w:color w:val="auto"/>
          <w:szCs w:val="22"/>
        </w:rPr>
        <w:t>Turismo I</w:t>
      </w:r>
      <w:r w:rsidR="000D7CA3" w:rsidRPr="00E92EC9">
        <w:rPr>
          <w:color w:val="auto"/>
          <w:szCs w:val="22"/>
        </w:rPr>
        <w:t xml:space="preserve">nterno </w:t>
      </w:r>
      <w:r w:rsidR="000D7CA3">
        <w:rPr>
          <w:color w:val="auto"/>
          <w:szCs w:val="22"/>
        </w:rPr>
        <w:t>cayó (-)</w:t>
      </w:r>
      <w:r w:rsidR="00FC6D35">
        <w:rPr>
          <w:color w:val="auto"/>
          <w:szCs w:val="22"/>
        </w:rPr>
        <w:t>2</w:t>
      </w:r>
      <w:r w:rsidR="000D7CA3">
        <w:rPr>
          <w:color w:val="auto"/>
          <w:szCs w:val="22"/>
        </w:rPr>
        <w:t>.</w:t>
      </w:r>
      <w:r w:rsidR="00FC6D35">
        <w:rPr>
          <w:color w:val="auto"/>
          <w:szCs w:val="22"/>
        </w:rPr>
        <w:t>8%,</w:t>
      </w:r>
      <w:r w:rsidR="000D7CA3">
        <w:rPr>
          <w:color w:val="auto"/>
          <w:szCs w:val="22"/>
        </w:rPr>
        <w:t xml:space="preserve"> </w:t>
      </w:r>
      <w:r w:rsidR="001E4A31">
        <w:rPr>
          <w:color w:val="auto"/>
          <w:szCs w:val="22"/>
        </w:rPr>
        <w:t>en cambio</w:t>
      </w:r>
      <w:r w:rsidR="000D7CA3">
        <w:rPr>
          <w:color w:val="auto"/>
          <w:szCs w:val="22"/>
        </w:rPr>
        <w:t xml:space="preserve"> </w:t>
      </w:r>
      <w:r w:rsidR="00F73E2B">
        <w:rPr>
          <w:color w:val="auto"/>
          <w:szCs w:val="22"/>
        </w:rPr>
        <w:t>el</w:t>
      </w:r>
      <w:r w:rsidR="006B675B">
        <w:rPr>
          <w:color w:val="auto"/>
          <w:szCs w:val="22"/>
        </w:rPr>
        <w:t xml:space="preserve"> del </w:t>
      </w:r>
      <w:r w:rsidR="000D7CA3">
        <w:rPr>
          <w:color w:val="auto"/>
          <w:szCs w:val="22"/>
        </w:rPr>
        <w:t>Turismo R</w:t>
      </w:r>
      <w:r w:rsidR="000D7CA3" w:rsidRPr="00E92EC9">
        <w:rPr>
          <w:color w:val="auto"/>
          <w:szCs w:val="22"/>
        </w:rPr>
        <w:t xml:space="preserve">eceptivo </w:t>
      </w:r>
      <w:r w:rsidR="000D7CA3">
        <w:rPr>
          <w:color w:val="auto"/>
          <w:szCs w:val="22"/>
        </w:rPr>
        <w:t xml:space="preserve">se incrementó 9.5 </w:t>
      </w:r>
      <w:r w:rsidR="00DD139F" w:rsidRPr="00E92EC9">
        <w:rPr>
          <w:color w:val="auto"/>
          <w:szCs w:val="22"/>
        </w:rPr>
        <w:t>por ciento.</w:t>
      </w:r>
    </w:p>
    <w:p w:rsidR="00093578" w:rsidRDefault="00093578" w:rsidP="00093578">
      <w:pPr>
        <w:pStyle w:val="n01"/>
        <w:keepNext/>
        <w:spacing w:after="360"/>
        <w:ind w:left="0" w:firstLine="0"/>
        <w:contextualSpacing/>
        <w:outlineLvl w:val="0"/>
        <w:rPr>
          <w:rFonts w:ascii="Arial" w:hAnsi="Arial" w:cs="Arial"/>
          <w:b/>
          <w:smallCaps/>
          <w:color w:val="auto"/>
          <w:szCs w:val="24"/>
          <w:lang w:val="es-MX"/>
        </w:rPr>
      </w:pPr>
    </w:p>
    <w:p w:rsidR="00445596" w:rsidRDefault="00445596" w:rsidP="000D566F">
      <w:pPr>
        <w:pStyle w:val="n01"/>
        <w:keepNext/>
        <w:spacing w:before="840" w:after="120"/>
        <w:ind w:left="0" w:firstLine="0"/>
        <w:contextualSpacing/>
        <w:outlineLvl w:val="0"/>
        <w:rPr>
          <w:rFonts w:ascii="Arial" w:hAnsi="Arial" w:cs="Arial"/>
          <w:b/>
          <w:smallCaps/>
          <w:color w:val="auto"/>
          <w:szCs w:val="24"/>
          <w:lang w:val="es-MX"/>
        </w:rPr>
      </w:pPr>
      <w:r>
        <w:rPr>
          <w:rFonts w:ascii="Arial" w:hAnsi="Arial" w:cs="Arial"/>
          <w:b/>
          <w:smallCaps/>
          <w:color w:val="auto"/>
          <w:szCs w:val="24"/>
          <w:lang w:val="es-MX"/>
        </w:rPr>
        <w:t>Cifras originales</w:t>
      </w:r>
    </w:p>
    <w:p w:rsidR="00F04141" w:rsidRPr="002D5B11" w:rsidRDefault="00F04141" w:rsidP="000D566F">
      <w:pPr>
        <w:pStyle w:val="Default"/>
        <w:spacing w:before="360"/>
        <w:jc w:val="center"/>
        <w:rPr>
          <w:rFonts w:eastAsia="Times New Roman"/>
          <w:b/>
          <w:smallCaps/>
          <w:snapToGrid w:val="0"/>
          <w:color w:val="auto"/>
          <w:sz w:val="22"/>
          <w:szCs w:val="22"/>
          <w:lang w:val="es-ES_tradnl"/>
        </w:rPr>
      </w:pPr>
      <w:r w:rsidRPr="002D5B11">
        <w:rPr>
          <w:rFonts w:eastAsia="Times New Roman"/>
          <w:b/>
          <w:smallCaps/>
          <w:snapToGrid w:val="0"/>
          <w:color w:val="auto"/>
          <w:sz w:val="22"/>
          <w:szCs w:val="22"/>
          <w:lang w:val="es-ES_tradnl"/>
        </w:rPr>
        <w:t xml:space="preserve">Indicador Trimestral del PIB Turístico </w:t>
      </w:r>
    </w:p>
    <w:p w:rsidR="00BE0544" w:rsidRDefault="00F04141" w:rsidP="00F04141">
      <w:pPr>
        <w:pStyle w:val="p0"/>
        <w:spacing w:before="0"/>
        <w:jc w:val="center"/>
        <w:rPr>
          <w:rFonts w:cs="Arial"/>
          <w:b/>
          <w:smallCaps/>
          <w:color w:val="auto"/>
          <w:sz w:val="22"/>
          <w:szCs w:val="22"/>
        </w:rPr>
      </w:pPr>
      <w:r w:rsidRPr="002D5B11">
        <w:rPr>
          <w:b/>
          <w:smallCaps/>
          <w:snapToGrid/>
          <w:color w:val="auto"/>
          <w:sz w:val="22"/>
          <w:szCs w:val="22"/>
        </w:rPr>
        <w:t xml:space="preserve">y </w:t>
      </w:r>
      <w:r w:rsidR="00594DAE">
        <w:rPr>
          <w:b/>
          <w:smallCaps/>
          <w:snapToGrid/>
          <w:color w:val="auto"/>
          <w:sz w:val="22"/>
          <w:szCs w:val="22"/>
        </w:rPr>
        <w:t xml:space="preserve">del </w:t>
      </w:r>
      <w:r w:rsidRPr="002D5B11">
        <w:rPr>
          <w:b/>
          <w:smallCaps/>
          <w:snapToGrid/>
          <w:color w:val="auto"/>
          <w:sz w:val="22"/>
          <w:szCs w:val="22"/>
        </w:rPr>
        <w:t xml:space="preserve">Consumo Turístico Interior </w:t>
      </w:r>
      <w:r w:rsidR="00BE0544">
        <w:rPr>
          <w:rFonts w:cs="Arial"/>
          <w:b/>
          <w:smallCaps/>
          <w:color w:val="auto"/>
          <w:sz w:val="22"/>
          <w:szCs w:val="22"/>
        </w:rPr>
        <w:t>por componente</w:t>
      </w:r>
      <w:r w:rsidR="007449C3">
        <w:rPr>
          <w:rFonts w:cs="Arial"/>
          <w:b/>
          <w:smallCaps/>
          <w:color w:val="auto"/>
          <w:sz w:val="22"/>
          <w:szCs w:val="22"/>
        </w:rPr>
        <w:t>s</w:t>
      </w:r>
      <w:r w:rsidR="00BE0544">
        <w:rPr>
          <w:rFonts w:cs="Arial"/>
          <w:b/>
          <w:smallCaps/>
          <w:color w:val="auto"/>
          <w:sz w:val="22"/>
          <w:szCs w:val="22"/>
        </w:rPr>
        <w:t xml:space="preserve"> </w:t>
      </w:r>
    </w:p>
    <w:p w:rsidR="00F04141" w:rsidRDefault="00C16FE3" w:rsidP="00F04141">
      <w:pPr>
        <w:pStyle w:val="p0"/>
        <w:spacing w:before="0"/>
        <w:jc w:val="center"/>
        <w:rPr>
          <w:b/>
          <w:iCs/>
          <w:smallCaps/>
          <w:sz w:val="22"/>
          <w:szCs w:val="22"/>
          <w:lang w:val="es-MX" w:eastAsia="es-MX"/>
        </w:rPr>
      </w:pPr>
      <w:r>
        <w:rPr>
          <w:rFonts w:cs="Arial"/>
          <w:b/>
          <w:smallCaps/>
          <w:color w:val="auto"/>
          <w:sz w:val="22"/>
          <w:szCs w:val="22"/>
        </w:rPr>
        <w:t>durante el</w:t>
      </w:r>
      <w:r w:rsidR="00F04141" w:rsidRPr="002D5B11">
        <w:rPr>
          <w:rFonts w:cs="Arial"/>
          <w:b/>
          <w:smallCaps/>
          <w:color w:val="auto"/>
          <w:sz w:val="22"/>
          <w:szCs w:val="22"/>
        </w:rPr>
        <w:t xml:space="preserve"> </w:t>
      </w:r>
      <w:r w:rsidR="005A6BB7">
        <w:rPr>
          <w:rFonts w:cs="Arial"/>
          <w:b/>
          <w:smallCaps/>
          <w:color w:val="auto"/>
          <w:sz w:val="22"/>
          <w:szCs w:val="22"/>
        </w:rPr>
        <w:t>primer</w:t>
      </w:r>
      <w:r w:rsidR="00F04141" w:rsidRPr="002D5B11">
        <w:rPr>
          <w:rFonts w:cs="Arial"/>
          <w:b/>
          <w:smallCaps/>
          <w:color w:val="auto"/>
          <w:sz w:val="22"/>
          <w:szCs w:val="22"/>
        </w:rPr>
        <w:t xml:space="preserve"> trimestre de 201</w:t>
      </w:r>
      <w:r w:rsidR="005A6BB7">
        <w:rPr>
          <w:rFonts w:cs="Arial"/>
          <w:b/>
          <w:smallCaps/>
          <w:color w:val="auto"/>
          <w:sz w:val="22"/>
          <w:szCs w:val="22"/>
        </w:rPr>
        <w:t>9</w:t>
      </w:r>
      <w:r w:rsidR="00F04141">
        <w:rPr>
          <w:b/>
          <w:iCs/>
          <w:smallCaps/>
          <w:sz w:val="22"/>
          <w:szCs w:val="22"/>
          <w:lang w:val="es-MX" w:eastAsia="es-MX"/>
        </w:rPr>
        <w:t xml:space="preserve"> </w:t>
      </w:r>
    </w:p>
    <w:p w:rsidR="00B4338D" w:rsidRPr="00B4338D" w:rsidRDefault="00B4338D" w:rsidP="00F04141">
      <w:pPr>
        <w:pStyle w:val="p0"/>
        <w:spacing w:before="0"/>
        <w:jc w:val="center"/>
        <w:rPr>
          <w:rFonts w:ascii="Univers (W1)" w:hAnsi="Univers (W1)"/>
          <w:snapToGrid/>
          <w:color w:val="auto"/>
          <w:sz w:val="16"/>
          <w:szCs w:val="16"/>
        </w:rPr>
      </w:pPr>
      <w:r w:rsidRPr="00B4338D">
        <w:rPr>
          <w:rFonts w:ascii="Univers (W1)" w:hAnsi="Univers (W1)"/>
          <w:snapToGrid/>
          <w:color w:val="auto"/>
          <w:sz w:val="16"/>
          <w:szCs w:val="16"/>
        </w:rPr>
        <w:t xml:space="preserve">(Variación porcentual real respecto a igual período de un año antes) </w:t>
      </w:r>
    </w:p>
    <w:tbl>
      <w:tblPr>
        <w:tblW w:w="0" w:type="auto"/>
        <w:jc w:val="center"/>
        <w:tblLayout w:type="fixed"/>
        <w:tblCellMar>
          <w:left w:w="107" w:type="dxa"/>
          <w:right w:w="107" w:type="dxa"/>
        </w:tblCellMar>
        <w:tblLook w:val="04A0" w:firstRow="1" w:lastRow="0" w:firstColumn="1" w:lastColumn="0" w:noHBand="0" w:noVBand="1"/>
      </w:tblPr>
      <w:tblGrid>
        <w:gridCol w:w="3441"/>
        <w:gridCol w:w="1946"/>
      </w:tblGrid>
      <w:tr w:rsidR="00E43EEF" w:rsidTr="00801F25">
        <w:trPr>
          <w:cantSplit/>
          <w:trHeight w:val="21"/>
          <w:jc w:val="center"/>
        </w:trPr>
        <w:tc>
          <w:tcPr>
            <w:tcW w:w="3441" w:type="dxa"/>
            <w:tcBorders>
              <w:top w:val="double" w:sz="4" w:space="0" w:color="auto"/>
              <w:left w:val="double" w:sz="4" w:space="0" w:color="auto"/>
              <w:bottom w:val="double" w:sz="4" w:space="0" w:color="404040"/>
              <w:right w:val="single" w:sz="4" w:space="0" w:color="auto"/>
            </w:tcBorders>
            <w:shd w:val="clear" w:color="auto" w:fill="C2D69B" w:themeFill="accent3" w:themeFillTint="99"/>
            <w:vAlign w:val="center"/>
            <w:hideMark/>
          </w:tcPr>
          <w:p w:rsidR="00E43EEF" w:rsidRDefault="00E43EEF" w:rsidP="000347D1">
            <w:pPr>
              <w:pStyle w:val="p0"/>
              <w:spacing w:before="120" w:after="120"/>
              <w:jc w:val="center"/>
              <w:rPr>
                <w:rFonts w:cs="Arial"/>
                <w:color w:val="auto"/>
                <w:sz w:val="18"/>
                <w:lang w:val="es-ES"/>
              </w:rPr>
            </w:pPr>
            <w:r>
              <w:rPr>
                <w:rFonts w:cs="Arial"/>
                <w:color w:val="auto"/>
                <w:sz w:val="18"/>
                <w:lang w:val="es-ES"/>
              </w:rPr>
              <w:t>Concepto</w:t>
            </w:r>
          </w:p>
        </w:tc>
        <w:tc>
          <w:tcPr>
            <w:tcW w:w="1946" w:type="dxa"/>
            <w:tcBorders>
              <w:top w:val="double" w:sz="4" w:space="0" w:color="auto"/>
              <w:left w:val="single" w:sz="4" w:space="0" w:color="auto"/>
              <w:bottom w:val="double" w:sz="4" w:space="0" w:color="404040"/>
              <w:right w:val="double" w:sz="4" w:space="0" w:color="auto"/>
            </w:tcBorders>
            <w:shd w:val="clear" w:color="auto" w:fill="C2D69B" w:themeFill="accent3" w:themeFillTint="99"/>
            <w:hideMark/>
          </w:tcPr>
          <w:p w:rsidR="00E43EEF" w:rsidRDefault="00DE5A22" w:rsidP="005A6BB7">
            <w:pPr>
              <w:pStyle w:val="p0"/>
              <w:keepNext/>
              <w:spacing w:before="120" w:after="120"/>
              <w:jc w:val="center"/>
              <w:rPr>
                <w:rFonts w:cs="Arial"/>
                <w:color w:val="auto"/>
                <w:sz w:val="18"/>
                <w:lang w:val="es-ES"/>
              </w:rPr>
            </w:pPr>
            <w:proofErr w:type="spellStart"/>
            <w:r>
              <w:rPr>
                <w:rFonts w:cs="Arial"/>
                <w:color w:val="auto"/>
                <w:sz w:val="18"/>
                <w:lang w:val="es-ES"/>
              </w:rPr>
              <w:t>I</w:t>
            </w:r>
            <w:r w:rsidR="00EA02E6" w:rsidRPr="00EA02E6">
              <w:rPr>
                <w:rFonts w:cs="Arial"/>
                <w:color w:val="auto"/>
                <w:sz w:val="18"/>
                <w:vertAlign w:val="superscript"/>
                <w:lang w:val="es-ES"/>
              </w:rPr>
              <w:t>p</w:t>
            </w:r>
            <w:proofErr w:type="spellEnd"/>
            <w:r w:rsidR="00EA02E6" w:rsidRPr="00EA02E6">
              <w:rPr>
                <w:rFonts w:cs="Arial"/>
                <w:color w:val="auto"/>
                <w:sz w:val="18"/>
                <w:vertAlign w:val="superscript"/>
                <w:lang w:val="es-ES"/>
              </w:rPr>
              <w:t>/</w:t>
            </w:r>
            <w:r w:rsidR="00E43EEF">
              <w:rPr>
                <w:rFonts w:cs="Arial"/>
                <w:color w:val="auto"/>
                <w:sz w:val="18"/>
                <w:lang w:val="es-ES"/>
              </w:rPr>
              <w:t xml:space="preserve"> Trimestre</w:t>
            </w:r>
          </w:p>
        </w:tc>
      </w:tr>
      <w:tr w:rsidR="00E43EEF" w:rsidTr="00801F25">
        <w:trPr>
          <w:cantSplit/>
          <w:trHeight w:val="21"/>
          <w:jc w:val="center"/>
        </w:trPr>
        <w:tc>
          <w:tcPr>
            <w:tcW w:w="3441" w:type="dxa"/>
            <w:tcBorders>
              <w:top w:val="double" w:sz="4" w:space="0" w:color="404040"/>
              <w:left w:val="double" w:sz="4" w:space="0" w:color="auto"/>
              <w:bottom w:val="nil"/>
              <w:right w:val="single" w:sz="4" w:space="0" w:color="auto"/>
            </w:tcBorders>
            <w:hideMark/>
          </w:tcPr>
          <w:p w:rsidR="00E43EEF" w:rsidRPr="006F48F0" w:rsidRDefault="00E43EEF" w:rsidP="000347D1">
            <w:pPr>
              <w:pStyle w:val="p0"/>
              <w:spacing w:before="120"/>
              <w:ind w:firstLine="159"/>
              <w:rPr>
                <w:rFonts w:cs="Arial"/>
                <w:b/>
                <w:color w:val="auto"/>
                <w:sz w:val="18"/>
                <w:lang w:val="es-ES"/>
              </w:rPr>
            </w:pPr>
            <w:r w:rsidRPr="006F48F0">
              <w:rPr>
                <w:rFonts w:cs="Arial"/>
                <w:b/>
                <w:color w:val="auto"/>
                <w:sz w:val="18"/>
                <w:lang w:val="es-ES"/>
              </w:rPr>
              <w:t xml:space="preserve">PIB </w:t>
            </w:r>
            <w:r>
              <w:rPr>
                <w:rFonts w:cs="Arial"/>
                <w:b/>
                <w:color w:val="auto"/>
                <w:sz w:val="18"/>
                <w:lang w:val="es-ES"/>
              </w:rPr>
              <w:t>T</w:t>
            </w:r>
            <w:r w:rsidRPr="006F48F0">
              <w:rPr>
                <w:rFonts w:cs="Arial"/>
                <w:b/>
                <w:color w:val="auto"/>
                <w:sz w:val="18"/>
                <w:lang w:val="es-ES"/>
              </w:rPr>
              <w:t xml:space="preserve">urístico </w:t>
            </w:r>
          </w:p>
        </w:tc>
        <w:tc>
          <w:tcPr>
            <w:tcW w:w="1946" w:type="dxa"/>
            <w:tcBorders>
              <w:top w:val="double" w:sz="4" w:space="0" w:color="404040"/>
              <w:left w:val="single" w:sz="4" w:space="0" w:color="auto"/>
              <w:bottom w:val="nil"/>
              <w:right w:val="double" w:sz="4" w:space="0" w:color="auto"/>
            </w:tcBorders>
            <w:vAlign w:val="center"/>
          </w:tcPr>
          <w:p w:rsidR="00E43EEF" w:rsidRPr="006E2C9F" w:rsidRDefault="006E2C9F" w:rsidP="00C521BF">
            <w:pPr>
              <w:tabs>
                <w:tab w:val="left" w:pos="307"/>
              </w:tabs>
              <w:spacing w:before="120"/>
              <w:ind w:right="624"/>
              <w:jc w:val="right"/>
              <w:rPr>
                <w:rFonts w:cs="Arial"/>
                <w:b/>
                <w:sz w:val="18"/>
                <w:lang w:val="es-ES" w:eastAsia="en-US"/>
              </w:rPr>
            </w:pPr>
            <w:r>
              <w:rPr>
                <w:rFonts w:cs="Arial"/>
                <w:b/>
                <w:sz w:val="18"/>
                <w:lang w:val="es-ES" w:eastAsia="en-US"/>
              </w:rPr>
              <w:t>(-)  0</w:t>
            </w:r>
            <w:r w:rsidR="00CF10E6" w:rsidRPr="006E2C9F">
              <w:rPr>
                <w:rFonts w:cs="Arial"/>
                <w:b/>
                <w:sz w:val="18"/>
                <w:lang w:val="es-ES" w:eastAsia="en-US"/>
              </w:rPr>
              <w:t>.</w:t>
            </w:r>
            <w:r>
              <w:rPr>
                <w:rFonts w:cs="Arial"/>
                <w:b/>
                <w:sz w:val="18"/>
                <w:lang w:val="es-ES" w:eastAsia="en-US"/>
              </w:rPr>
              <w:t>6</w:t>
            </w:r>
          </w:p>
        </w:tc>
      </w:tr>
      <w:tr w:rsidR="00E43EEF" w:rsidTr="00801F25">
        <w:trPr>
          <w:cantSplit/>
          <w:trHeight w:val="21"/>
          <w:jc w:val="center"/>
        </w:trPr>
        <w:tc>
          <w:tcPr>
            <w:tcW w:w="3441" w:type="dxa"/>
            <w:tcBorders>
              <w:top w:val="nil"/>
              <w:left w:val="double" w:sz="4" w:space="0" w:color="auto"/>
              <w:bottom w:val="nil"/>
              <w:right w:val="single" w:sz="4" w:space="0" w:color="auto"/>
            </w:tcBorders>
            <w:hideMark/>
          </w:tcPr>
          <w:p w:rsidR="00E43EEF" w:rsidRDefault="00E43EEF" w:rsidP="000347D1">
            <w:pPr>
              <w:pStyle w:val="p0"/>
              <w:spacing w:before="0"/>
              <w:ind w:firstLine="454"/>
              <w:rPr>
                <w:rFonts w:cs="Arial"/>
                <w:color w:val="auto"/>
                <w:sz w:val="18"/>
                <w:lang w:val="es-ES"/>
              </w:rPr>
            </w:pPr>
            <w:r>
              <w:rPr>
                <w:rFonts w:cs="Arial"/>
                <w:color w:val="auto"/>
                <w:sz w:val="18"/>
                <w:lang w:val="es-ES"/>
              </w:rPr>
              <w:t>Bienes</w:t>
            </w:r>
          </w:p>
        </w:tc>
        <w:tc>
          <w:tcPr>
            <w:tcW w:w="1946" w:type="dxa"/>
            <w:tcBorders>
              <w:top w:val="nil"/>
              <w:left w:val="single" w:sz="4" w:space="0" w:color="auto"/>
              <w:bottom w:val="nil"/>
              <w:right w:val="double" w:sz="4" w:space="0" w:color="auto"/>
            </w:tcBorders>
            <w:hideMark/>
          </w:tcPr>
          <w:p w:rsidR="00E43EEF" w:rsidRPr="006E2C9F" w:rsidRDefault="00CF10E6" w:rsidP="00C521BF">
            <w:pPr>
              <w:tabs>
                <w:tab w:val="left" w:pos="307"/>
              </w:tabs>
              <w:ind w:right="624"/>
              <w:jc w:val="right"/>
              <w:rPr>
                <w:rFonts w:cs="Arial"/>
                <w:sz w:val="18"/>
                <w:lang w:val="es-ES" w:eastAsia="en-US"/>
              </w:rPr>
            </w:pPr>
            <w:r w:rsidRPr="006E2C9F">
              <w:rPr>
                <w:rFonts w:cs="Arial"/>
                <w:sz w:val="18"/>
                <w:lang w:val="es-ES" w:eastAsia="en-US"/>
              </w:rPr>
              <w:t>0.</w:t>
            </w:r>
            <w:r w:rsidR="006E2C9F">
              <w:rPr>
                <w:rFonts w:cs="Arial"/>
                <w:sz w:val="18"/>
                <w:lang w:val="es-ES" w:eastAsia="en-US"/>
              </w:rPr>
              <w:t>3</w:t>
            </w:r>
          </w:p>
        </w:tc>
      </w:tr>
      <w:tr w:rsidR="00E43EEF" w:rsidTr="00801F25">
        <w:trPr>
          <w:cantSplit/>
          <w:trHeight w:val="21"/>
          <w:jc w:val="center"/>
        </w:trPr>
        <w:tc>
          <w:tcPr>
            <w:tcW w:w="3441" w:type="dxa"/>
            <w:tcBorders>
              <w:top w:val="nil"/>
              <w:left w:val="double" w:sz="4" w:space="0" w:color="auto"/>
              <w:bottom w:val="nil"/>
              <w:right w:val="single" w:sz="4" w:space="0" w:color="auto"/>
            </w:tcBorders>
            <w:hideMark/>
          </w:tcPr>
          <w:p w:rsidR="00E43EEF" w:rsidRDefault="00E43EEF" w:rsidP="000347D1">
            <w:pPr>
              <w:pStyle w:val="p0"/>
              <w:spacing w:before="0"/>
              <w:ind w:firstLine="454"/>
              <w:rPr>
                <w:rFonts w:cs="Arial"/>
                <w:color w:val="auto"/>
                <w:sz w:val="18"/>
                <w:lang w:val="es-ES"/>
              </w:rPr>
            </w:pPr>
            <w:r>
              <w:rPr>
                <w:rFonts w:cs="Arial"/>
                <w:color w:val="auto"/>
                <w:sz w:val="18"/>
                <w:lang w:val="es-ES"/>
              </w:rPr>
              <w:t>Servicios</w:t>
            </w:r>
          </w:p>
        </w:tc>
        <w:tc>
          <w:tcPr>
            <w:tcW w:w="1946" w:type="dxa"/>
            <w:tcBorders>
              <w:top w:val="nil"/>
              <w:left w:val="single" w:sz="4" w:space="0" w:color="auto"/>
              <w:bottom w:val="nil"/>
              <w:right w:val="double" w:sz="4" w:space="0" w:color="auto"/>
            </w:tcBorders>
            <w:hideMark/>
          </w:tcPr>
          <w:p w:rsidR="00E43EEF" w:rsidRPr="006E2C9F" w:rsidRDefault="006E2C9F" w:rsidP="00C521BF">
            <w:pPr>
              <w:tabs>
                <w:tab w:val="left" w:pos="307"/>
              </w:tabs>
              <w:ind w:right="624"/>
              <w:jc w:val="right"/>
              <w:rPr>
                <w:rFonts w:cs="Arial"/>
                <w:sz w:val="18"/>
                <w:lang w:val="es-ES" w:eastAsia="en-US"/>
              </w:rPr>
            </w:pPr>
            <w:r>
              <w:rPr>
                <w:rFonts w:cs="Arial"/>
                <w:sz w:val="18"/>
                <w:lang w:val="es-ES" w:eastAsia="en-US"/>
              </w:rPr>
              <w:t>(-)  0</w:t>
            </w:r>
            <w:r w:rsidR="00CF10E6" w:rsidRPr="006E2C9F">
              <w:rPr>
                <w:rFonts w:cs="Arial"/>
                <w:sz w:val="18"/>
                <w:lang w:val="es-ES" w:eastAsia="en-US"/>
              </w:rPr>
              <w:t>.</w:t>
            </w:r>
            <w:r>
              <w:rPr>
                <w:rFonts w:cs="Arial"/>
                <w:sz w:val="18"/>
                <w:lang w:val="es-ES" w:eastAsia="en-US"/>
              </w:rPr>
              <w:t>8</w:t>
            </w:r>
          </w:p>
        </w:tc>
      </w:tr>
      <w:tr w:rsidR="00E43EEF" w:rsidTr="00801F25">
        <w:trPr>
          <w:cantSplit/>
          <w:trHeight w:val="21"/>
          <w:jc w:val="center"/>
        </w:trPr>
        <w:tc>
          <w:tcPr>
            <w:tcW w:w="3441" w:type="dxa"/>
            <w:tcBorders>
              <w:top w:val="nil"/>
              <w:left w:val="double" w:sz="4" w:space="0" w:color="auto"/>
              <w:bottom w:val="nil"/>
              <w:right w:val="single" w:sz="4" w:space="0" w:color="auto"/>
            </w:tcBorders>
            <w:hideMark/>
          </w:tcPr>
          <w:p w:rsidR="00E43EEF" w:rsidRPr="006F48F0" w:rsidRDefault="00E43EEF" w:rsidP="000347D1">
            <w:pPr>
              <w:pStyle w:val="p0"/>
              <w:spacing w:before="120"/>
              <w:ind w:firstLine="159"/>
              <w:rPr>
                <w:rFonts w:cs="Arial"/>
                <w:b/>
                <w:color w:val="auto"/>
                <w:sz w:val="18"/>
                <w:lang w:val="es-ES"/>
              </w:rPr>
            </w:pPr>
            <w:r w:rsidRPr="006F48F0">
              <w:rPr>
                <w:rFonts w:cs="Arial"/>
                <w:b/>
                <w:color w:val="auto"/>
                <w:sz w:val="18"/>
                <w:lang w:val="es-ES"/>
              </w:rPr>
              <w:t xml:space="preserve">Consumo </w:t>
            </w:r>
            <w:r>
              <w:rPr>
                <w:rFonts w:cs="Arial"/>
                <w:b/>
                <w:color w:val="auto"/>
                <w:sz w:val="18"/>
                <w:lang w:val="es-ES"/>
              </w:rPr>
              <w:t>T</w:t>
            </w:r>
            <w:r w:rsidRPr="006F48F0">
              <w:rPr>
                <w:rFonts w:cs="Arial"/>
                <w:b/>
                <w:color w:val="auto"/>
                <w:sz w:val="18"/>
                <w:lang w:val="es-ES"/>
              </w:rPr>
              <w:t>urístico Interior</w:t>
            </w:r>
          </w:p>
        </w:tc>
        <w:tc>
          <w:tcPr>
            <w:tcW w:w="1946" w:type="dxa"/>
            <w:tcBorders>
              <w:top w:val="nil"/>
              <w:left w:val="single" w:sz="4" w:space="0" w:color="auto"/>
              <w:bottom w:val="nil"/>
              <w:right w:val="double" w:sz="4" w:space="0" w:color="auto"/>
            </w:tcBorders>
          </w:tcPr>
          <w:p w:rsidR="00E43EEF" w:rsidRPr="006E2C9F" w:rsidRDefault="006E2C9F" w:rsidP="00C521BF">
            <w:pPr>
              <w:tabs>
                <w:tab w:val="left" w:pos="307"/>
              </w:tabs>
              <w:spacing w:before="120" w:after="20"/>
              <w:ind w:right="624"/>
              <w:jc w:val="right"/>
              <w:rPr>
                <w:rFonts w:cs="Arial"/>
                <w:b/>
                <w:sz w:val="18"/>
                <w:lang w:val="es-ES" w:eastAsia="en-US"/>
              </w:rPr>
            </w:pPr>
            <w:r>
              <w:rPr>
                <w:rFonts w:cs="Arial"/>
                <w:b/>
                <w:sz w:val="18"/>
                <w:lang w:val="es-ES" w:eastAsia="en-US"/>
              </w:rPr>
              <w:t>(-)  0</w:t>
            </w:r>
            <w:r w:rsidR="00CF10E6" w:rsidRPr="006E2C9F">
              <w:rPr>
                <w:rFonts w:cs="Arial"/>
                <w:b/>
                <w:sz w:val="18"/>
                <w:lang w:val="es-ES" w:eastAsia="en-US"/>
              </w:rPr>
              <w:t>.</w:t>
            </w:r>
            <w:r>
              <w:rPr>
                <w:rFonts w:cs="Arial"/>
                <w:b/>
                <w:sz w:val="18"/>
                <w:lang w:val="es-ES" w:eastAsia="en-US"/>
              </w:rPr>
              <w:t>4</w:t>
            </w:r>
            <w:r w:rsidR="00E43EEF" w:rsidRPr="006E2C9F">
              <w:rPr>
                <w:rFonts w:cs="Arial"/>
                <w:b/>
                <w:sz w:val="18"/>
                <w:lang w:val="es-ES" w:eastAsia="en-US"/>
              </w:rPr>
              <w:t xml:space="preserve"> </w:t>
            </w:r>
          </w:p>
        </w:tc>
      </w:tr>
      <w:tr w:rsidR="00E43EEF" w:rsidTr="00801F25">
        <w:trPr>
          <w:cantSplit/>
          <w:trHeight w:val="21"/>
          <w:jc w:val="center"/>
        </w:trPr>
        <w:tc>
          <w:tcPr>
            <w:tcW w:w="3441" w:type="dxa"/>
            <w:tcBorders>
              <w:top w:val="nil"/>
              <w:left w:val="double" w:sz="4" w:space="0" w:color="auto"/>
              <w:right w:val="single" w:sz="4" w:space="0" w:color="auto"/>
            </w:tcBorders>
          </w:tcPr>
          <w:p w:rsidR="00E43EEF" w:rsidRPr="00053A68" w:rsidRDefault="00E43EEF" w:rsidP="000347D1">
            <w:pPr>
              <w:pStyle w:val="p0"/>
              <w:spacing w:before="0"/>
              <w:ind w:firstLine="454"/>
              <w:rPr>
                <w:rFonts w:cs="Arial"/>
                <w:color w:val="auto"/>
                <w:sz w:val="18"/>
                <w:lang w:val="es-ES"/>
              </w:rPr>
            </w:pPr>
            <w:r w:rsidRPr="002D5B11">
              <w:rPr>
                <w:rFonts w:cs="Arial"/>
                <w:color w:val="auto"/>
                <w:sz w:val="18"/>
                <w:lang w:val="es-ES"/>
              </w:rPr>
              <w:t>Interno</w:t>
            </w:r>
          </w:p>
        </w:tc>
        <w:tc>
          <w:tcPr>
            <w:tcW w:w="1946" w:type="dxa"/>
            <w:tcBorders>
              <w:top w:val="nil"/>
              <w:left w:val="single" w:sz="4" w:space="0" w:color="auto"/>
              <w:right w:val="double" w:sz="4" w:space="0" w:color="auto"/>
            </w:tcBorders>
          </w:tcPr>
          <w:p w:rsidR="00E43EEF" w:rsidRPr="006E2C9F" w:rsidRDefault="006E2C9F" w:rsidP="00C521BF">
            <w:pPr>
              <w:tabs>
                <w:tab w:val="left" w:pos="307"/>
                <w:tab w:val="decimal" w:pos="881"/>
              </w:tabs>
              <w:ind w:right="624"/>
              <w:jc w:val="right"/>
              <w:rPr>
                <w:rFonts w:cs="Arial"/>
                <w:sz w:val="18"/>
                <w:lang w:val="es-ES"/>
              </w:rPr>
            </w:pPr>
            <w:r>
              <w:rPr>
                <w:rFonts w:cs="Arial"/>
                <w:sz w:val="18"/>
                <w:lang w:val="es-ES"/>
              </w:rPr>
              <w:t>(-)  2</w:t>
            </w:r>
            <w:r w:rsidR="00CF10E6" w:rsidRPr="006E2C9F">
              <w:rPr>
                <w:rFonts w:cs="Arial"/>
                <w:sz w:val="18"/>
                <w:lang w:val="es-ES"/>
              </w:rPr>
              <w:t>.</w:t>
            </w:r>
            <w:r>
              <w:rPr>
                <w:rFonts w:cs="Arial"/>
                <w:sz w:val="18"/>
                <w:lang w:val="es-ES"/>
              </w:rPr>
              <w:t>7</w:t>
            </w:r>
          </w:p>
        </w:tc>
      </w:tr>
      <w:tr w:rsidR="00E43EEF" w:rsidTr="00801F25">
        <w:trPr>
          <w:cantSplit/>
          <w:trHeight w:val="21"/>
          <w:jc w:val="center"/>
        </w:trPr>
        <w:tc>
          <w:tcPr>
            <w:tcW w:w="3441" w:type="dxa"/>
            <w:tcBorders>
              <w:top w:val="nil"/>
              <w:left w:val="double" w:sz="4" w:space="0" w:color="auto"/>
              <w:bottom w:val="double" w:sz="4" w:space="0" w:color="auto"/>
              <w:right w:val="single" w:sz="4" w:space="0" w:color="auto"/>
            </w:tcBorders>
          </w:tcPr>
          <w:p w:rsidR="00E43EEF" w:rsidRDefault="00E43EEF" w:rsidP="000347D1">
            <w:pPr>
              <w:pStyle w:val="p0"/>
              <w:spacing w:before="0" w:after="120"/>
              <w:ind w:firstLine="454"/>
              <w:rPr>
                <w:rFonts w:cs="Arial"/>
                <w:color w:val="auto"/>
                <w:sz w:val="18"/>
                <w:lang w:val="es-ES"/>
              </w:rPr>
            </w:pPr>
            <w:r>
              <w:rPr>
                <w:rFonts w:cs="Arial"/>
                <w:color w:val="auto"/>
                <w:sz w:val="18"/>
                <w:lang w:val="es-ES"/>
              </w:rPr>
              <w:t>Receptivo</w:t>
            </w:r>
          </w:p>
        </w:tc>
        <w:tc>
          <w:tcPr>
            <w:tcW w:w="1946" w:type="dxa"/>
            <w:tcBorders>
              <w:top w:val="nil"/>
              <w:left w:val="single" w:sz="4" w:space="0" w:color="auto"/>
              <w:bottom w:val="double" w:sz="4" w:space="0" w:color="auto"/>
              <w:right w:val="double" w:sz="4" w:space="0" w:color="auto"/>
            </w:tcBorders>
          </w:tcPr>
          <w:p w:rsidR="00E43EEF" w:rsidRPr="006E2C9F" w:rsidRDefault="006E2C9F" w:rsidP="00C521BF">
            <w:pPr>
              <w:tabs>
                <w:tab w:val="left" w:pos="307"/>
                <w:tab w:val="decimal" w:pos="881"/>
              </w:tabs>
              <w:spacing w:after="120"/>
              <w:ind w:right="624"/>
              <w:jc w:val="right"/>
              <w:rPr>
                <w:rFonts w:cs="Arial"/>
                <w:sz w:val="18"/>
                <w:lang w:val="es-ES"/>
              </w:rPr>
            </w:pPr>
            <w:r>
              <w:rPr>
                <w:rFonts w:cs="Arial"/>
                <w:sz w:val="18"/>
                <w:lang w:val="es-ES"/>
              </w:rPr>
              <w:t>9</w:t>
            </w:r>
            <w:r w:rsidR="004050E6" w:rsidRPr="006E2C9F">
              <w:rPr>
                <w:rFonts w:cs="Arial"/>
                <w:sz w:val="18"/>
                <w:lang w:val="es-ES"/>
              </w:rPr>
              <w:t>.</w:t>
            </w:r>
            <w:r>
              <w:rPr>
                <w:rFonts w:cs="Arial"/>
                <w:sz w:val="18"/>
                <w:lang w:val="es-ES"/>
              </w:rPr>
              <w:t>6</w:t>
            </w:r>
          </w:p>
        </w:tc>
      </w:tr>
    </w:tbl>
    <w:p w:rsidR="00EA02E6" w:rsidRDefault="00593BE6" w:rsidP="00642525">
      <w:pPr>
        <w:pStyle w:val="n01"/>
        <w:keepNext/>
        <w:spacing w:before="0"/>
        <w:ind w:firstLine="0"/>
        <w:contextualSpacing/>
        <w:outlineLvl w:val="0"/>
        <w:rPr>
          <w:rFonts w:ascii="Arial" w:hAnsi="Arial" w:cs="Arial"/>
          <w:color w:val="auto"/>
          <w:sz w:val="16"/>
          <w:szCs w:val="16"/>
        </w:rPr>
      </w:pPr>
      <w:r>
        <w:rPr>
          <w:rFonts w:ascii="Arial" w:hAnsi="Arial" w:cs="Arial"/>
          <w:color w:val="auto"/>
          <w:sz w:val="16"/>
          <w:szCs w:val="16"/>
        </w:rPr>
        <w:t xml:space="preserve">   </w:t>
      </w:r>
      <w:r w:rsidR="00C31BDC">
        <w:rPr>
          <w:rFonts w:ascii="Arial" w:hAnsi="Arial" w:cs="Arial"/>
          <w:color w:val="auto"/>
          <w:sz w:val="16"/>
          <w:szCs w:val="16"/>
        </w:rPr>
        <w:tab/>
      </w:r>
      <w:r w:rsidR="00EA02E6">
        <w:rPr>
          <w:rFonts w:ascii="Arial" w:hAnsi="Arial" w:cs="Arial"/>
          <w:color w:val="auto"/>
          <w:sz w:val="16"/>
          <w:szCs w:val="16"/>
        </w:rPr>
        <w:t xml:space="preserve">        p/ Cifras preliminares.</w:t>
      </w:r>
    </w:p>
    <w:p w:rsidR="00445596" w:rsidRDefault="00EA02E6" w:rsidP="00EA02E6">
      <w:pPr>
        <w:pStyle w:val="n01"/>
        <w:keepNext/>
        <w:spacing w:before="60"/>
        <w:ind w:firstLine="720"/>
        <w:contextualSpacing/>
        <w:outlineLvl w:val="0"/>
        <w:rPr>
          <w:rFonts w:ascii="Arial" w:hAnsi="Arial" w:cs="Arial"/>
          <w:b/>
          <w:smallCaps/>
          <w:color w:val="auto"/>
          <w:szCs w:val="24"/>
          <w:lang w:val="es-MX"/>
        </w:rPr>
      </w:pPr>
      <w:r>
        <w:rPr>
          <w:rFonts w:ascii="Arial" w:hAnsi="Arial" w:cs="Arial"/>
          <w:color w:val="auto"/>
          <w:sz w:val="16"/>
          <w:szCs w:val="16"/>
        </w:rPr>
        <w:t xml:space="preserve">        </w:t>
      </w:r>
      <w:r w:rsidR="00F04141" w:rsidRPr="00560786">
        <w:rPr>
          <w:rFonts w:ascii="Arial" w:hAnsi="Arial" w:cs="Arial"/>
          <w:color w:val="auto"/>
          <w:sz w:val="16"/>
          <w:szCs w:val="16"/>
        </w:rPr>
        <w:t>Fuente: INEGI</w:t>
      </w:r>
      <w:r w:rsidR="00F04141">
        <w:rPr>
          <w:sz w:val="16"/>
          <w:szCs w:val="16"/>
        </w:rPr>
        <w:t>.</w:t>
      </w:r>
    </w:p>
    <w:p w:rsidR="00444DE7" w:rsidRDefault="00444DE7">
      <w:pPr>
        <w:widowControl/>
        <w:rPr>
          <w:b/>
          <w:i/>
        </w:rPr>
      </w:pPr>
      <w:r>
        <w:rPr>
          <w:b/>
          <w:i/>
        </w:rPr>
        <w:br w:type="page"/>
      </w:r>
    </w:p>
    <w:p w:rsidR="00ED7F21" w:rsidRDefault="00ED7F21" w:rsidP="00573E5B">
      <w:pPr>
        <w:pStyle w:val="p0"/>
        <w:spacing w:before="120"/>
        <w:rPr>
          <w:b/>
          <w:i/>
          <w:color w:val="auto"/>
        </w:rPr>
      </w:pPr>
    </w:p>
    <w:p w:rsidR="00DA152C" w:rsidRPr="00573E5B" w:rsidRDefault="004D4743" w:rsidP="00C34F80">
      <w:pPr>
        <w:pStyle w:val="p0"/>
        <w:spacing w:before="360"/>
        <w:rPr>
          <w:b/>
          <w:i/>
          <w:color w:val="auto"/>
        </w:rPr>
      </w:pPr>
      <w:r w:rsidRPr="00573E5B">
        <w:rPr>
          <w:b/>
          <w:i/>
          <w:color w:val="auto"/>
        </w:rPr>
        <w:t>N</w:t>
      </w:r>
      <w:r w:rsidR="00DA152C" w:rsidRPr="00573E5B">
        <w:rPr>
          <w:b/>
          <w:i/>
          <w:color w:val="auto"/>
        </w:rPr>
        <w:t>ota metodológica</w:t>
      </w:r>
    </w:p>
    <w:p w:rsidR="00BB05C3" w:rsidRPr="00BB05C3" w:rsidRDefault="00BB05C3" w:rsidP="00C34F80">
      <w:pPr>
        <w:pStyle w:val="Default"/>
        <w:spacing w:before="240"/>
        <w:jc w:val="both"/>
        <w:rPr>
          <w:rFonts w:eastAsia="Times New Roman" w:cs="Times New Roman"/>
          <w:snapToGrid w:val="0"/>
          <w:color w:val="auto"/>
          <w:szCs w:val="20"/>
          <w:lang w:val="es-ES_tradnl"/>
        </w:rPr>
      </w:pPr>
      <w:r w:rsidRPr="00CF29C1">
        <w:rPr>
          <w:rFonts w:eastAsia="Times New Roman" w:cs="Times New Roman"/>
          <w:snapToGrid w:val="0"/>
          <w:color w:val="auto"/>
          <w:szCs w:val="20"/>
          <w:lang w:val="es-ES_tradnl"/>
        </w:rPr>
        <w:t>Para la estimación del ITAT se aprovecha, fundamentalmente, la información anual de la Cuenta Satélite del Turismo de México (CSTM), desagregándose a partir del uso de índices relativos simples que captan la estructura de los datos trimestrales seleccionados del Sistema de Cuentas Nacionales de México (SCNM), particularmente de la Oferta y Demanda Global de Bienes y Servicios.</w:t>
      </w:r>
    </w:p>
    <w:p w:rsidR="00607F08" w:rsidRPr="006200AD" w:rsidRDefault="00607F08" w:rsidP="00C34F80">
      <w:pPr>
        <w:pStyle w:val="p0"/>
        <w:keepLines w:val="0"/>
        <w:autoSpaceDE w:val="0"/>
        <w:autoSpaceDN w:val="0"/>
        <w:adjustRightInd w:val="0"/>
        <w:rPr>
          <w:color w:val="auto"/>
        </w:rPr>
      </w:pPr>
      <w:r>
        <w:rPr>
          <w:color w:val="auto"/>
        </w:rPr>
        <w:t xml:space="preserve">El presente </w:t>
      </w:r>
      <w:r w:rsidR="002E0BA8">
        <w:rPr>
          <w:color w:val="auto"/>
        </w:rPr>
        <w:t>documento</w:t>
      </w:r>
      <w:r>
        <w:rPr>
          <w:color w:val="auto"/>
        </w:rPr>
        <w:t xml:space="preserve"> destaca las variaciones porcentuales de las series desestacionalizadas o ajustadas estacionalmente, </w:t>
      </w:r>
      <w:r w:rsidRPr="002166AB">
        <w:rPr>
          <w:color w:val="auto"/>
        </w:rPr>
        <w:t>tanto respecto al trimestre anterior como respecto al mismo trimestre del año anterior</w:t>
      </w:r>
      <w:r>
        <w:rPr>
          <w:color w:val="auto"/>
        </w:rPr>
        <w:t xml:space="preserve">, ya que </w:t>
      </w:r>
      <w:r w:rsidRPr="006200AD">
        <w:rPr>
          <w:color w:val="auto"/>
        </w:rPr>
        <w:t xml:space="preserve">la gran mayoría de las series económicas se ven afectadas por factores estacionales. Éstos son efectos periódicos que se repiten cada año y cuyas causas pueden considerarse ajenas a la naturaleza económica de las series, como son las festividades, </w:t>
      </w:r>
      <w:r w:rsidRPr="000434B9">
        <w:rPr>
          <w:rFonts w:cs="Arial"/>
          <w:color w:val="auto"/>
          <w:szCs w:val="24"/>
        </w:rPr>
        <w:t>el hecho de que algunos meses tienen más días que otros,</w:t>
      </w:r>
      <w:r w:rsidRPr="006200AD">
        <w:rPr>
          <w:color w:val="auto"/>
        </w:rPr>
        <w:t xml:space="preserve"> los periodos de vacaciones escolares, el efecto del clima en las diferentes estaciones del año, y otras fluctuaciones estacionales como, por ejemplo, la elevada producción de juguetes en los meses previos a la Navidad provocada por la expectativa de mayores ventas en diciembre.</w:t>
      </w:r>
    </w:p>
    <w:p w:rsidR="00607F08" w:rsidRPr="006200AD" w:rsidRDefault="00607F08" w:rsidP="00C34F80">
      <w:pPr>
        <w:pStyle w:val="p0"/>
        <w:rPr>
          <w:color w:val="auto"/>
        </w:rPr>
      </w:pPr>
      <w:r w:rsidRPr="006200AD">
        <w:rPr>
          <w:color w:val="auto"/>
        </w:rPr>
        <w:t xml:space="preserve">En este sentido, la desestacionalización o ajuste estacional de series económicas consiste en remover estas influencias intra-anuales periódicas, debido a que su presencia dificulta diagnosticar o describir el comportamiento de una serie al no poder comparar adecuadamente un determinado trimestre con el inmediato anterior.  Analizar la serie </w:t>
      </w:r>
      <w:r>
        <w:rPr>
          <w:color w:val="auto"/>
        </w:rPr>
        <w:t>ajustada</w:t>
      </w:r>
      <w:r w:rsidRPr="006200AD">
        <w:rPr>
          <w:color w:val="auto"/>
        </w:rPr>
        <w:t xml:space="preserve"> ayuda a realizar un mejor diagnóstico y pronóstico de la evolución de la misma, ya que facilita la identificación de la posible dirección de los movimientos que pudiera tener la variable en cuestión, en el corto plazo. Las cifras desestacionalizadas también incluyen el ajuste por los efectos </w:t>
      </w:r>
      <w:r>
        <w:rPr>
          <w:color w:val="auto"/>
        </w:rPr>
        <w:t xml:space="preserve">de </w:t>
      </w:r>
      <w:r w:rsidRPr="006200AD">
        <w:rPr>
          <w:color w:val="auto"/>
        </w:rPr>
        <w:t>calendario (frecuencia de los días de la semana</w:t>
      </w:r>
      <w:r>
        <w:rPr>
          <w:color w:val="auto"/>
        </w:rPr>
        <w:t xml:space="preserve"> y, en su caso, la Semana S</w:t>
      </w:r>
      <w:r w:rsidRPr="006200AD">
        <w:rPr>
          <w:color w:val="auto"/>
        </w:rPr>
        <w:t>anta</w:t>
      </w:r>
      <w:r>
        <w:rPr>
          <w:color w:val="auto"/>
        </w:rPr>
        <w:t xml:space="preserve"> y año bisiesto</w:t>
      </w:r>
      <w:r w:rsidRPr="006200AD">
        <w:rPr>
          <w:color w:val="auto"/>
        </w:rPr>
        <w:t>). Cabe señalar que la serie desestacionalizada de</w:t>
      </w:r>
      <w:r w:rsidR="00C34F80">
        <w:rPr>
          <w:color w:val="auto"/>
        </w:rPr>
        <w:t xml:space="preserve"> </w:t>
      </w:r>
      <w:r w:rsidRPr="006200AD">
        <w:rPr>
          <w:color w:val="auto"/>
        </w:rPr>
        <w:t>l</w:t>
      </w:r>
      <w:r w:rsidR="00C34F80">
        <w:rPr>
          <w:color w:val="auto"/>
        </w:rPr>
        <w:t>os</w:t>
      </w:r>
      <w:r w:rsidRPr="006200AD">
        <w:rPr>
          <w:color w:val="auto"/>
        </w:rPr>
        <w:t xml:space="preserve"> </w:t>
      </w:r>
      <w:r w:rsidR="00C34F80">
        <w:rPr>
          <w:snapToGrid/>
          <w:color w:val="auto"/>
          <w:szCs w:val="22"/>
        </w:rPr>
        <w:t>i</w:t>
      </w:r>
      <w:r w:rsidRPr="00E92EC9">
        <w:rPr>
          <w:snapToGrid/>
          <w:color w:val="auto"/>
          <w:szCs w:val="22"/>
        </w:rPr>
        <w:t>ndicador</w:t>
      </w:r>
      <w:r w:rsidR="00C34F80">
        <w:rPr>
          <w:snapToGrid/>
          <w:color w:val="auto"/>
          <w:szCs w:val="22"/>
        </w:rPr>
        <w:t>es</w:t>
      </w:r>
      <w:r w:rsidRPr="00E92EC9">
        <w:rPr>
          <w:snapToGrid/>
          <w:color w:val="auto"/>
          <w:szCs w:val="22"/>
        </w:rPr>
        <w:t xml:space="preserve"> </w:t>
      </w:r>
      <w:r w:rsidR="00C34F80">
        <w:rPr>
          <w:snapToGrid/>
          <w:color w:val="auto"/>
          <w:szCs w:val="22"/>
        </w:rPr>
        <w:t>t</w:t>
      </w:r>
      <w:r w:rsidRPr="00E92EC9">
        <w:rPr>
          <w:snapToGrid/>
          <w:color w:val="auto"/>
          <w:szCs w:val="22"/>
        </w:rPr>
        <w:t>rimestral de</w:t>
      </w:r>
      <w:r w:rsidR="00C34F80">
        <w:rPr>
          <w:snapToGrid/>
          <w:color w:val="auto"/>
          <w:szCs w:val="22"/>
        </w:rPr>
        <w:t xml:space="preserve"> </w:t>
      </w:r>
      <w:r w:rsidRPr="00E92EC9">
        <w:rPr>
          <w:snapToGrid/>
          <w:color w:val="auto"/>
          <w:szCs w:val="22"/>
        </w:rPr>
        <w:t>l</w:t>
      </w:r>
      <w:r w:rsidR="00C34F80">
        <w:rPr>
          <w:snapToGrid/>
          <w:color w:val="auto"/>
          <w:szCs w:val="22"/>
        </w:rPr>
        <w:t>a</w:t>
      </w:r>
      <w:r w:rsidRPr="00E92EC9">
        <w:rPr>
          <w:snapToGrid/>
          <w:color w:val="auto"/>
          <w:szCs w:val="22"/>
        </w:rPr>
        <w:t xml:space="preserve"> </w:t>
      </w:r>
      <w:r w:rsidR="00C34F80">
        <w:rPr>
          <w:snapToGrid/>
          <w:color w:val="auto"/>
          <w:szCs w:val="22"/>
        </w:rPr>
        <w:t>actividad turística</w:t>
      </w:r>
      <w:r w:rsidRPr="006200AD">
        <w:rPr>
          <w:color w:val="auto"/>
        </w:rPr>
        <w:t xml:space="preserve"> se calcula de manera independiente a la de sus componentes.</w:t>
      </w:r>
    </w:p>
    <w:p w:rsidR="0095595D" w:rsidRPr="0095595D" w:rsidRDefault="0095595D" w:rsidP="0095595D">
      <w:pPr>
        <w:pStyle w:val="Default"/>
        <w:spacing w:before="240"/>
        <w:jc w:val="both"/>
        <w:rPr>
          <w:color w:val="auto"/>
        </w:rPr>
      </w:pPr>
      <w:r w:rsidRPr="0095595D">
        <w:rPr>
          <w:color w:val="auto"/>
        </w:rPr>
        <w:t>Las series originales se ajustan estacionalmente mediante el paquete estadístico X</w:t>
      </w:r>
      <w:r w:rsidRPr="0095595D">
        <w:rPr>
          <w:color w:val="auto"/>
        </w:rPr>
        <w:noBreakHyphen/>
        <w:t>13ARIMA-SEATS. Para conocer la metodología se sugiere consultar la siguiente liga:</w:t>
      </w:r>
    </w:p>
    <w:p w:rsidR="0095595D" w:rsidRDefault="0099403A" w:rsidP="0095595D">
      <w:pPr>
        <w:pStyle w:val="parrafo1"/>
        <w:widowControl w:val="0"/>
        <w:spacing w:before="240"/>
        <w:ind w:left="0" w:right="584"/>
        <w:rPr>
          <w:rStyle w:val="Hipervnculo"/>
          <w:lang w:eastAsia="en-US"/>
        </w:rPr>
      </w:pPr>
      <w:hyperlink r:id="rId27" w:history="1">
        <w:r w:rsidR="001A3153" w:rsidRPr="006C0485">
          <w:rPr>
            <w:rStyle w:val="Hipervnculo"/>
            <w:lang w:eastAsia="en-US"/>
          </w:rPr>
          <w:t>http://www.inegi.org.mx/app/biblioteca/ficha.html?upc=702825099060</w:t>
        </w:r>
      </w:hyperlink>
    </w:p>
    <w:p w:rsidR="00607F08" w:rsidRDefault="00607F08" w:rsidP="00607F08">
      <w:pPr>
        <w:pStyle w:val="Default"/>
        <w:spacing w:before="240"/>
        <w:jc w:val="both"/>
        <w:rPr>
          <w:color w:val="auto"/>
        </w:rPr>
      </w:pPr>
      <w:r w:rsidRPr="007D012D">
        <w:rPr>
          <w:color w:val="auto"/>
        </w:rPr>
        <w:t xml:space="preserve">Asimismo, las especificaciones de los modelos utilizados para realizar el ajuste estacional están disponibles en el Banco de Información Económica, seleccionando el icono de información </w:t>
      </w:r>
      <w:r>
        <w:rPr>
          <w:noProof/>
          <w:sz w:val="18"/>
          <w:szCs w:val="18"/>
          <w:lang w:val="es-MX" w:eastAsia="es-MX"/>
        </w:rPr>
        <w:drawing>
          <wp:inline distT="0" distB="0" distL="0" distR="0" wp14:anchorId="0162CA29" wp14:editId="45F246E2">
            <wp:extent cx="152400" cy="152400"/>
            <wp:effectExtent l="0" t="0" r="0" b="0"/>
            <wp:docPr id="8" name="Imagen 8" descr="http://www.inegi.org.mx/sistemas/bie/img/MetadatoC.GIF">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tnMetaDID2951" descr="http://www.inegi.org.mx/sistemas/bie/img/MetadatoC.GIF">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B724F3">
        <w:rPr>
          <w:color w:val="auto"/>
        </w:rPr>
        <w:t xml:space="preserve"> </w:t>
      </w:r>
      <w:r w:rsidRPr="007D012D">
        <w:rPr>
          <w:color w:val="auto"/>
        </w:rPr>
        <w:t xml:space="preserve">correspondiente a las “series desestacionalizadas y </w:t>
      </w:r>
      <w:r>
        <w:rPr>
          <w:color w:val="auto"/>
        </w:rPr>
        <w:t xml:space="preserve">de </w:t>
      </w:r>
      <w:r w:rsidRPr="007D012D">
        <w:rPr>
          <w:color w:val="auto"/>
        </w:rPr>
        <w:t xml:space="preserve">tendencia-ciclo” del </w:t>
      </w:r>
      <w:r w:rsidR="00CD2934" w:rsidRPr="00E92EC9">
        <w:rPr>
          <w:color w:val="auto"/>
          <w:szCs w:val="22"/>
        </w:rPr>
        <w:t>Indicador Trimestral del PIB Turístico</w:t>
      </w:r>
      <w:r w:rsidRPr="007D012D">
        <w:rPr>
          <w:color w:val="auto"/>
        </w:rPr>
        <w:t>.</w:t>
      </w:r>
    </w:p>
    <w:p w:rsidR="00BA567B" w:rsidRDefault="00BA567B" w:rsidP="00BB05C3">
      <w:pPr>
        <w:pStyle w:val="Default"/>
        <w:spacing w:before="240"/>
        <w:jc w:val="both"/>
        <w:rPr>
          <w:color w:val="auto"/>
        </w:rPr>
      </w:pPr>
    </w:p>
    <w:p w:rsidR="00BA567B" w:rsidRDefault="00BA567B" w:rsidP="00BB05C3">
      <w:pPr>
        <w:pStyle w:val="Default"/>
        <w:spacing w:before="240"/>
        <w:jc w:val="both"/>
        <w:rPr>
          <w:color w:val="auto"/>
        </w:rPr>
      </w:pPr>
    </w:p>
    <w:p w:rsidR="00BB05C3" w:rsidRPr="00CF29C1" w:rsidRDefault="00BB05C3" w:rsidP="00BB05C3">
      <w:pPr>
        <w:pStyle w:val="Default"/>
        <w:spacing w:before="240"/>
        <w:jc w:val="both"/>
        <w:rPr>
          <w:lang w:val="es-MX"/>
        </w:rPr>
      </w:pPr>
      <w:r w:rsidRPr="00CF29C1">
        <w:rPr>
          <w:color w:val="auto"/>
        </w:rPr>
        <w:t>La CSTM proporciona datos para la serie de estas variables a precios básicos. Una vez logrado el proceso para la elaboración de la cuenta de producción, se determina el PIB turístico trimestral; y se transforman los valores en índices.</w:t>
      </w:r>
      <w:r w:rsidRPr="00CF29C1">
        <w:t xml:space="preserve"> El ejercicio para determinar la variación trimestral anualizada de dichos índices es el que permite la derivación del ITAT</w:t>
      </w:r>
      <w:r w:rsidRPr="00CF29C1">
        <w:rPr>
          <w:rStyle w:val="Refdecomentario"/>
        </w:rPr>
        <w:t>.</w:t>
      </w:r>
    </w:p>
    <w:p w:rsidR="00BB05C3" w:rsidRPr="00CF29C1" w:rsidRDefault="00BB05C3" w:rsidP="00BB05C3">
      <w:pPr>
        <w:pStyle w:val="Default"/>
        <w:spacing w:before="240"/>
        <w:jc w:val="both"/>
        <w:rPr>
          <w:color w:val="auto"/>
          <w:lang w:val="es-MX"/>
        </w:rPr>
      </w:pPr>
      <w:r w:rsidRPr="00CF29C1">
        <w:rPr>
          <w:color w:val="auto"/>
        </w:rPr>
        <w:t>Los resultados trimestrales del PIB turístico se comparan con la información anual de la CSTM, para posteriormente ajustar los datos de alta frecuencia (trimestrales) a los de baja frecuencia (valor anual) utilizando la técnica Denton</w:t>
      </w:r>
      <w:r w:rsidR="00CF29C1" w:rsidRPr="00CF29C1">
        <w:rPr>
          <w:color w:val="auto"/>
          <w:vertAlign w:val="superscript"/>
        </w:rPr>
        <w:footnoteReference w:id="5"/>
      </w:r>
      <w:r w:rsidRPr="00CF29C1">
        <w:rPr>
          <w:color w:val="auto"/>
        </w:rPr>
        <w:t>.</w:t>
      </w:r>
    </w:p>
    <w:p w:rsidR="00BB05C3" w:rsidRPr="00CF29C1" w:rsidRDefault="00BB05C3" w:rsidP="00BB05C3">
      <w:pPr>
        <w:pStyle w:val="Default"/>
        <w:spacing w:before="240"/>
        <w:jc w:val="both"/>
        <w:rPr>
          <w:color w:val="auto"/>
          <w:lang w:val="es-MX"/>
        </w:rPr>
      </w:pPr>
      <w:r w:rsidRPr="00CF29C1">
        <w:rPr>
          <w:color w:val="auto"/>
        </w:rPr>
        <w:t>Los datos se presentan en cuadros de Índices del Consumo Turístico Interior (CTI), cuyo concepto se define como los gastos que realizan los turistas en sus viajes en el territorio del país; mostrando la apertura del Consumo Turístico Interno (</w:t>
      </w:r>
      <w:proofErr w:type="spellStart"/>
      <w:r w:rsidRPr="00CF29C1">
        <w:rPr>
          <w:color w:val="auto"/>
        </w:rPr>
        <w:t>CTIn</w:t>
      </w:r>
      <w:proofErr w:type="spellEnd"/>
      <w:r w:rsidRPr="00CF29C1">
        <w:rPr>
          <w:color w:val="auto"/>
        </w:rPr>
        <w:t>) y el Consumo Turístico Receptivo (CTR).</w:t>
      </w:r>
    </w:p>
    <w:p w:rsidR="00BB05C3" w:rsidRPr="00CF29C1" w:rsidRDefault="00BB05C3" w:rsidP="00BB05C3">
      <w:pPr>
        <w:pStyle w:val="Default"/>
        <w:spacing w:before="240"/>
        <w:jc w:val="both"/>
        <w:rPr>
          <w:color w:val="auto"/>
          <w:u w:val="single"/>
          <w:lang w:val="es-MX"/>
        </w:rPr>
      </w:pPr>
      <w:r w:rsidRPr="00CF29C1">
        <w:rPr>
          <w:color w:val="auto"/>
        </w:rPr>
        <w:t>Los datos que se presentan en este documento amplían la información que actualmente difunde el INEGI, la cual continuará generándose como parte de los resultados del SCNM, y se da a conocer en la fecha establecida en el Calendario de difusión de información estadística y geográfica y de Interés Nacional.</w:t>
      </w:r>
    </w:p>
    <w:p w:rsidR="00AB3894" w:rsidRPr="00A75667" w:rsidRDefault="00BB05C3" w:rsidP="00A75667">
      <w:pPr>
        <w:pStyle w:val="Default"/>
        <w:spacing w:before="240"/>
        <w:jc w:val="both"/>
        <w:rPr>
          <w:color w:val="auto"/>
        </w:rPr>
      </w:pPr>
      <w:r w:rsidRPr="00A75667">
        <w:rPr>
          <w:color w:val="auto"/>
        </w:rPr>
        <w:t xml:space="preserve">Las cifras aquí presentadas podrán ser consultadas en la página web del INEGI en: </w:t>
      </w:r>
    </w:p>
    <w:p w:rsidR="00BB05C3" w:rsidRPr="00A75667" w:rsidRDefault="0099403A" w:rsidP="00A75667">
      <w:pPr>
        <w:pStyle w:val="parrafo1"/>
        <w:widowControl w:val="0"/>
        <w:spacing w:before="240"/>
        <w:ind w:left="0" w:right="584"/>
        <w:rPr>
          <w:u w:val="single"/>
          <w:lang w:val="es-ES"/>
        </w:rPr>
      </w:pPr>
      <w:hyperlink r:id="rId30" w:history="1">
        <w:r w:rsidR="00BB05C3" w:rsidRPr="00A75667">
          <w:rPr>
            <w:rStyle w:val="Hipervnculo"/>
            <w:lang w:eastAsia="en-US"/>
          </w:rPr>
          <w:t>http://www.inegi.org.mx/sistemas/bie/default.aspx</w:t>
        </w:r>
      </w:hyperlink>
    </w:p>
    <w:p w:rsidR="00BB05C3" w:rsidRPr="00BB05C3" w:rsidRDefault="00BB05C3" w:rsidP="00BB05C3">
      <w:pPr>
        <w:spacing w:after="120"/>
        <w:rPr>
          <w:sz w:val="18"/>
          <w:szCs w:val="18"/>
          <w:highlight w:val="yellow"/>
        </w:rPr>
      </w:pPr>
    </w:p>
    <w:p w:rsidR="008C32D6" w:rsidRPr="00E12064" w:rsidRDefault="008C32D6" w:rsidP="0085250F">
      <w:pPr>
        <w:widowControl/>
        <w:autoSpaceDE w:val="0"/>
        <w:autoSpaceDN w:val="0"/>
        <w:adjustRightInd w:val="0"/>
        <w:jc w:val="both"/>
      </w:pPr>
    </w:p>
    <w:sectPr w:rsidR="008C32D6" w:rsidRPr="00E12064" w:rsidSect="00EE7736">
      <w:headerReference w:type="default" r:id="rId31"/>
      <w:footerReference w:type="default" r:id="rId32"/>
      <w:endnotePr>
        <w:numFmt w:val="decimal"/>
      </w:endnotePr>
      <w:pgSz w:w="12242" w:h="15842"/>
      <w:pgMar w:top="1021" w:right="1701" w:bottom="1134" w:left="1701" w:header="680" w:footer="567"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127F" w:rsidRDefault="006E127F">
      <w:r>
        <w:separator/>
      </w:r>
    </w:p>
  </w:endnote>
  <w:endnote w:type="continuationSeparator" w:id="0">
    <w:p w:rsidR="006E127F" w:rsidRDefault="006E12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altName w:val="Arial"/>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Univers (W1)">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6393" w:rsidRDefault="005F6393" w:rsidP="004C150C">
    <w:pPr>
      <w:pStyle w:val="Piedepgina"/>
      <w:contextualSpacing/>
      <w:jc w:val="center"/>
      <w:rPr>
        <w:rFonts w:cs="Arial"/>
        <w:b/>
        <w:color w:val="002060"/>
        <w:sz w:val="18"/>
        <w:szCs w:val="18"/>
      </w:rPr>
    </w:pPr>
  </w:p>
  <w:p w:rsidR="005F6393" w:rsidRDefault="005F6393" w:rsidP="004C150C">
    <w:pPr>
      <w:pStyle w:val="Piedepgina"/>
      <w:contextualSpacing/>
      <w:jc w:val="center"/>
      <w:rPr>
        <w:rFonts w:cs="Arial"/>
        <w:b/>
        <w:color w:val="002060"/>
        <w:sz w:val="18"/>
        <w:szCs w:val="18"/>
      </w:rPr>
    </w:pPr>
  </w:p>
  <w:p w:rsidR="005F6393" w:rsidRPr="00BB4018" w:rsidRDefault="005F6393" w:rsidP="004C150C">
    <w:pPr>
      <w:pStyle w:val="Piedepgina"/>
      <w:contextualSpacing/>
      <w:jc w:val="center"/>
      <w:rPr>
        <w:rFonts w:cs="Arial"/>
        <w:color w:val="002060"/>
        <w:sz w:val="18"/>
        <w:szCs w:val="18"/>
      </w:rPr>
    </w:pPr>
    <w:r w:rsidRPr="00BB4018">
      <w:rPr>
        <w:rFonts w:cs="Arial"/>
        <w:b/>
        <w:color w:val="002060"/>
        <w:sz w:val="18"/>
        <w:szCs w:val="18"/>
      </w:rPr>
      <w:t>COMUNICACIÓN SOCIAL</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7136" w:rsidRPr="00B06AE9" w:rsidRDefault="00E07136" w:rsidP="00B06AE9">
    <w:pPr>
      <w:pStyle w:val="Piedepgina"/>
      <w:jc w:val="center"/>
    </w:pPr>
    <w:r>
      <w:rPr>
        <w:b/>
        <w:lang w:val="es-MX"/>
      </w:rPr>
      <w:t>COMUNICACIÓN SOCIAL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127F" w:rsidRDefault="006E127F">
      <w:r>
        <w:separator/>
      </w:r>
    </w:p>
  </w:footnote>
  <w:footnote w:type="continuationSeparator" w:id="0">
    <w:p w:rsidR="006E127F" w:rsidRDefault="006E127F">
      <w:r>
        <w:continuationSeparator/>
      </w:r>
    </w:p>
  </w:footnote>
  <w:footnote w:id="1">
    <w:p w:rsidR="005F6393" w:rsidRPr="00C07AE5" w:rsidRDefault="005F6393" w:rsidP="005F6393">
      <w:pPr>
        <w:pStyle w:val="Textonotapie"/>
        <w:ind w:left="142" w:right="-121" w:hanging="142"/>
        <w:jc w:val="both"/>
        <w:rPr>
          <w:rFonts w:ascii="Arial" w:hAnsi="Arial" w:cs="Arial"/>
          <w:sz w:val="16"/>
          <w:szCs w:val="16"/>
        </w:rPr>
      </w:pPr>
      <w:r w:rsidRPr="006E799E">
        <w:rPr>
          <w:rStyle w:val="Refdenotaalpie"/>
          <w:rFonts w:ascii="Arial" w:hAnsi="Arial"/>
          <w:b w:val="0"/>
        </w:rPr>
        <w:footnoteRef/>
      </w:r>
      <w:r w:rsidRPr="006E799E">
        <w:rPr>
          <w:rStyle w:val="Refdenotaalpie"/>
          <w:b w:val="0"/>
          <w:sz w:val="18"/>
        </w:rPr>
        <w:t xml:space="preserve"> </w:t>
      </w:r>
      <w:r>
        <w:rPr>
          <w:sz w:val="18"/>
        </w:rPr>
        <w:tab/>
      </w:r>
      <w:r>
        <w:rPr>
          <w:rFonts w:ascii="Arial" w:hAnsi="Arial" w:cs="Arial"/>
          <w:sz w:val="16"/>
          <w:szCs w:val="16"/>
        </w:rPr>
        <w:t xml:space="preserve">Año base 2013. </w:t>
      </w:r>
    </w:p>
  </w:footnote>
  <w:footnote w:id="2">
    <w:p w:rsidR="005F6393" w:rsidRPr="00C07AE5" w:rsidRDefault="005F6393" w:rsidP="005F6393">
      <w:pPr>
        <w:pStyle w:val="Textonotapie"/>
        <w:ind w:left="142" w:right="-121" w:hanging="142"/>
        <w:jc w:val="both"/>
        <w:rPr>
          <w:rFonts w:ascii="Arial" w:hAnsi="Arial" w:cs="Arial"/>
          <w:sz w:val="16"/>
          <w:szCs w:val="16"/>
        </w:rPr>
      </w:pPr>
      <w:r w:rsidRPr="006E799E">
        <w:rPr>
          <w:rStyle w:val="Refdenotaalpie"/>
          <w:rFonts w:ascii="Arial" w:hAnsi="Arial"/>
          <w:b w:val="0"/>
        </w:rPr>
        <w:footnoteRef/>
      </w:r>
      <w:r w:rsidRPr="006E799E">
        <w:rPr>
          <w:rStyle w:val="Refdenotaalpie"/>
          <w:b w:val="0"/>
          <w:sz w:val="18"/>
        </w:rPr>
        <w:t xml:space="preserve"> </w:t>
      </w:r>
      <w:r>
        <w:rPr>
          <w:sz w:val="18"/>
        </w:rPr>
        <w:tab/>
      </w:r>
      <w:r>
        <w:rPr>
          <w:rFonts w:ascii="Arial" w:hAnsi="Arial" w:cs="Arial"/>
          <w:sz w:val="16"/>
          <w:szCs w:val="16"/>
        </w:rPr>
        <w:t>L</w:t>
      </w:r>
      <w:r w:rsidRPr="002B7F1F">
        <w:rPr>
          <w:rFonts w:ascii="Arial" w:hAnsi="Arial" w:cs="Arial"/>
          <w:sz w:val="16"/>
          <w:szCs w:val="16"/>
        </w:rPr>
        <w:t>a gran mayoría de las series económicas se ven afectadas por factores estacionales</w:t>
      </w:r>
      <w:r>
        <w:rPr>
          <w:rFonts w:ascii="Arial" w:hAnsi="Arial" w:cs="Arial"/>
          <w:sz w:val="16"/>
          <w:szCs w:val="16"/>
        </w:rPr>
        <w:t xml:space="preserve"> y de calendario. El ajuste de las cifras por dichos factores permite obtener las cifras desestacionalizadas, cuyo análisis </w:t>
      </w:r>
      <w:r w:rsidRPr="00C07AE5">
        <w:rPr>
          <w:rFonts w:ascii="Arial" w:hAnsi="Arial" w:cs="Arial"/>
          <w:sz w:val="16"/>
          <w:szCs w:val="16"/>
        </w:rPr>
        <w:t>ayuda a realizar un mejor diagnóstico de la evolución de la</w:t>
      </w:r>
      <w:r>
        <w:rPr>
          <w:rFonts w:ascii="Arial" w:hAnsi="Arial" w:cs="Arial"/>
          <w:sz w:val="16"/>
          <w:szCs w:val="16"/>
        </w:rPr>
        <w:t>s</w:t>
      </w:r>
      <w:r w:rsidRPr="00C07AE5">
        <w:rPr>
          <w:rFonts w:ascii="Arial" w:hAnsi="Arial" w:cs="Arial"/>
          <w:sz w:val="16"/>
          <w:szCs w:val="16"/>
        </w:rPr>
        <w:t xml:space="preserve"> </w:t>
      </w:r>
      <w:r>
        <w:rPr>
          <w:rFonts w:ascii="Arial" w:hAnsi="Arial" w:cs="Arial"/>
          <w:sz w:val="16"/>
          <w:szCs w:val="16"/>
        </w:rPr>
        <w:t xml:space="preserve">variables. </w:t>
      </w:r>
    </w:p>
  </w:footnote>
  <w:footnote w:id="3">
    <w:p w:rsidR="005F6393" w:rsidRPr="003843CA" w:rsidRDefault="005F6393" w:rsidP="005F6393">
      <w:pPr>
        <w:pStyle w:val="Textonotapie"/>
        <w:ind w:left="142" w:hanging="142"/>
        <w:jc w:val="both"/>
        <w:rPr>
          <w:rStyle w:val="Refdenotaalpie"/>
          <w:rFonts w:ascii="Arial" w:hAnsi="Arial"/>
          <w:b w:val="0"/>
          <w:sz w:val="16"/>
          <w:szCs w:val="16"/>
          <w:vertAlign w:val="baseline"/>
        </w:rPr>
      </w:pPr>
      <w:r w:rsidRPr="006E799E">
        <w:rPr>
          <w:rStyle w:val="Refdenotaalpie"/>
          <w:rFonts w:ascii="Arial" w:hAnsi="Arial"/>
          <w:b w:val="0"/>
        </w:rPr>
        <w:footnoteRef/>
      </w:r>
      <w:r>
        <w:rPr>
          <w:rFonts w:ascii="Arial" w:hAnsi="Arial" w:cs="Arial"/>
        </w:rPr>
        <w:tab/>
      </w:r>
      <w:r>
        <w:rPr>
          <w:rStyle w:val="Refdenotaalpie"/>
          <w:rFonts w:ascii="Arial" w:hAnsi="Arial"/>
          <w:b w:val="0"/>
          <w:smallCaps w:val="0"/>
          <w:sz w:val="16"/>
          <w:szCs w:val="16"/>
          <w:vertAlign w:val="baseline"/>
        </w:rPr>
        <w:t>V</w:t>
      </w:r>
      <w:r w:rsidRPr="0001181C">
        <w:rPr>
          <w:rStyle w:val="Refdenotaalpie"/>
          <w:rFonts w:ascii="Arial" w:hAnsi="Arial"/>
          <w:b w:val="0"/>
          <w:smallCaps w:val="0"/>
          <w:sz w:val="16"/>
          <w:szCs w:val="16"/>
          <w:vertAlign w:val="baseline"/>
        </w:rPr>
        <w:t>ariación anual de las cifras desestacionalizadas</w:t>
      </w:r>
      <w:r w:rsidRPr="00F15845">
        <w:rPr>
          <w:rStyle w:val="Refdenotaalpie"/>
          <w:rFonts w:ascii="Arial" w:hAnsi="Arial"/>
          <w:b w:val="0"/>
          <w:sz w:val="16"/>
          <w:vertAlign w:val="baseline"/>
        </w:rPr>
        <w:t>.</w:t>
      </w:r>
      <w:r w:rsidRPr="00F15845">
        <w:rPr>
          <w:rStyle w:val="Refdenotaalpie"/>
          <w:rFonts w:ascii="Arial" w:hAnsi="Arial"/>
          <w:b w:val="0"/>
          <w:sz w:val="16"/>
          <w:szCs w:val="16"/>
          <w:vertAlign w:val="baseline"/>
        </w:rPr>
        <w:t xml:space="preserve"> </w:t>
      </w:r>
    </w:p>
  </w:footnote>
  <w:footnote w:id="4">
    <w:p w:rsidR="00C55A68" w:rsidRPr="00C07AE5" w:rsidRDefault="00C55A68" w:rsidP="00C55A68">
      <w:pPr>
        <w:pStyle w:val="Textonotapie"/>
        <w:ind w:left="142" w:hanging="142"/>
        <w:jc w:val="both"/>
        <w:rPr>
          <w:rFonts w:ascii="Arial" w:hAnsi="Arial" w:cs="Arial"/>
          <w:sz w:val="16"/>
          <w:szCs w:val="16"/>
        </w:rPr>
      </w:pPr>
      <w:r w:rsidRPr="006E799E">
        <w:rPr>
          <w:rStyle w:val="Refdenotaalpie"/>
          <w:rFonts w:ascii="Arial" w:hAnsi="Arial"/>
          <w:b w:val="0"/>
        </w:rPr>
        <w:footnoteRef/>
      </w:r>
      <w:r w:rsidRPr="006E799E">
        <w:rPr>
          <w:rStyle w:val="Refdenotaalpie"/>
          <w:b w:val="0"/>
          <w:sz w:val="18"/>
        </w:rPr>
        <w:t xml:space="preserve"> </w:t>
      </w:r>
      <w:r>
        <w:rPr>
          <w:sz w:val="18"/>
        </w:rPr>
        <w:tab/>
      </w:r>
      <w:r>
        <w:rPr>
          <w:rFonts w:ascii="Arial" w:hAnsi="Arial" w:cs="Arial"/>
          <w:sz w:val="16"/>
          <w:szCs w:val="16"/>
        </w:rPr>
        <w:t xml:space="preserve">Año base 2013. </w:t>
      </w:r>
    </w:p>
  </w:footnote>
  <w:footnote w:id="5">
    <w:p w:rsidR="00CF29C1" w:rsidRPr="00CF29C1" w:rsidRDefault="00CF29C1" w:rsidP="00CF29C1">
      <w:pPr>
        <w:pStyle w:val="Textonotapie"/>
        <w:ind w:left="142" w:hanging="142"/>
        <w:jc w:val="both"/>
        <w:rPr>
          <w:rStyle w:val="Refdenotaalpie"/>
          <w:rFonts w:ascii="Arial" w:hAnsi="Arial"/>
          <w:b w:val="0"/>
          <w:smallCaps w:val="0"/>
          <w:sz w:val="16"/>
          <w:szCs w:val="16"/>
          <w:vertAlign w:val="baseline"/>
        </w:rPr>
      </w:pPr>
      <w:r w:rsidRPr="006E799E">
        <w:rPr>
          <w:rStyle w:val="Refdenotaalpie"/>
          <w:rFonts w:ascii="Arial" w:hAnsi="Arial"/>
          <w:b w:val="0"/>
        </w:rPr>
        <w:footnoteRef/>
      </w:r>
      <w:r>
        <w:rPr>
          <w:rFonts w:ascii="Arial" w:hAnsi="Arial" w:cs="Arial"/>
        </w:rPr>
        <w:tab/>
      </w:r>
      <w:r w:rsidRPr="00CF29C1">
        <w:rPr>
          <w:rStyle w:val="Refdenotaalpie"/>
          <w:rFonts w:ascii="Arial" w:hAnsi="Arial"/>
          <w:b w:val="0"/>
          <w:smallCaps w:val="0"/>
          <w:sz w:val="16"/>
          <w:szCs w:val="16"/>
          <w:vertAlign w:val="baseline"/>
        </w:rPr>
        <w:t xml:space="preserve">Procedimiento de Benchmarking utilizado para ajustar datos trimestrales a los anuales.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6393" w:rsidRPr="00265B8C" w:rsidRDefault="005F6393" w:rsidP="001B1505">
    <w:pPr>
      <w:pStyle w:val="Encabezado"/>
      <w:framePr w:w="5268" w:hSpace="141" w:wrap="auto" w:vAnchor="text" w:hAnchor="page" w:x="5838" w:y="34"/>
      <w:ind w:left="567" w:hanging="11"/>
      <w:jc w:val="right"/>
      <w:rPr>
        <w:rFonts w:cs="Arial"/>
        <w:b/>
        <w:color w:val="002060"/>
        <w:szCs w:val="24"/>
      </w:rPr>
    </w:pPr>
    <w:r w:rsidRPr="00265B8C">
      <w:rPr>
        <w:rFonts w:cs="Arial"/>
        <w:b/>
        <w:color w:val="002060"/>
        <w:szCs w:val="24"/>
      </w:rPr>
      <w:t xml:space="preserve">COMUNICADO DE PRENSA NÚM. </w:t>
    </w:r>
    <w:r w:rsidR="000A6E34">
      <w:rPr>
        <w:rFonts w:cs="Arial"/>
        <w:b/>
        <w:color w:val="002060"/>
        <w:szCs w:val="24"/>
      </w:rPr>
      <w:t>398</w:t>
    </w:r>
    <w:r w:rsidRPr="00265B8C">
      <w:rPr>
        <w:rFonts w:cs="Arial"/>
        <w:b/>
        <w:color w:val="002060"/>
        <w:szCs w:val="24"/>
      </w:rPr>
      <w:t>/1</w:t>
    </w:r>
    <w:r>
      <w:rPr>
        <w:rFonts w:cs="Arial"/>
        <w:b/>
        <w:color w:val="002060"/>
        <w:szCs w:val="24"/>
      </w:rPr>
      <w:t>9</w:t>
    </w:r>
  </w:p>
  <w:p w:rsidR="005F6393" w:rsidRPr="00265B8C" w:rsidRDefault="005F6393" w:rsidP="001B1505">
    <w:pPr>
      <w:pStyle w:val="Encabezado"/>
      <w:framePr w:w="5268" w:hSpace="141" w:wrap="auto" w:vAnchor="text" w:hAnchor="page" w:x="5838" w:y="34"/>
      <w:ind w:left="567" w:hanging="11"/>
      <w:jc w:val="right"/>
      <w:rPr>
        <w:rFonts w:cs="Arial"/>
        <w:b/>
        <w:color w:val="002060"/>
        <w:szCs w:val="24"/>
        <w:lang w:val="pt-BR"/>
      </w:rPr>
    </w:pPr>
    <w:r>
      <w:rPr>
        <w:rFonts w:cs="Arial"/>
        <w:b/>
        <w:color w:val="002060"/>
        <w:szCs w:val="24"/>
        <w:lang w:val="pt-BR"/>
      </w:rPr>
      <w:t xml:space="preserve">13 DE AGOSTO </w:t>
    </w:r>
    <w:r w:rsidRPr="00265B8C">
      <w:rPr>
        <w:rFonts w:cs="Arial"/>
        <w:b/>
        <w:color w:val="002060"/>
        <w:szCs w:val="24"/>
        <w:lang w:val="pt-BR"/>
      </w:rPr>
      <w:t>DE 201</w:t>
    </w:r>
    <w:r>
      <w:rPr>
        <w:rFonts w:cs="Arial"/>
        <w:b/>
        <w:color w:val="002060"/>
        <w:szCs w:val="24"/>
        <w:lang w:val="pt-BR"/>
      </w:rPr>
      <w:t>9</w:t>
    </w:r>
  </w:p>
  <w:p w:rsidR="005F6393" w:rsidRPr="00265B8C" w:rsidRDefault="005F6393" w:rsidP="001B1505">
    <w:pPr>
      <w:pStyle w:val="Encabezado"/>
      <w:framePr w:w="5268" w:hSpace="141" w:wrap="auto" w:vAnchor="text" w:hAnchor="page" w:x="5838" w:y="34"/>
      <w:ind w:left="567" w:hanging="11"/>
      <w:jc w:val="right"/>
      <w:rPr>
        <w:rFonts w:cs="Arial"/>
        <w:b/>
        <w:color w:val="002060"/>
        <w:szCs w:val="24"/>
        <w:lang w:val="pt-BR"/>
      </w:rPr>
    </w:pPr>
    <w:r w:rsidRPr="00265B8C">
      <w:rPr>
        <w:rFonts w:cs="Arial"/>
        <w:b/>
        <w:color w:val="002060"/>
        <w:szCs w:val="24"/>
        <w:lang w:val="pt-BR"/>
      </w:rPr>
      <w:t xml:space="preserve">PÁGINA </w:t>
    </w:r>
    <w:r w:rsidRPr="00265B8C">
      <w:rPr>
        <w:rFonts w:cs="Arial"/>
        <w:b/>
        <w:color w:val="002060"/>
        <w:szCs w:val="24"/>
      </w:rPr>
      <w:fldChar w:fldCharType="begin"/>
    </w:r>
    <w:r w:rsidRPr="00265B8C">
      <w:rPr>
        <w:rFonts w:cs="Arial"/>
        <w:b/>
        <w:color w:val="002060"/>
        <w:szCs w:val="24"/>
        <w:lang w:val="pt-BR"/>
      </w:rPr>
      <w:instrText xml:space="preserve">\PAGE </w:instrText>
    </w:r>
    <w:r w:rsidRPr="00265B8C">
      <w:rPr>
        <w:rFonts w:cs="Arial"/>
        <w:color w:val="002060"/>
        <w:szCs w:val="24"/>
      </w:rPr>
      <w:fldChar w:fldCharType="separate"/>
    </w:r>
    <w:r w:rsidR="0099403A">
      <w:rPr>
        <w:rFonts w:cs="Arial"/>
        <w:b/>
        <w:noProof/>
        <w:color w:val="002060"/>
        <w:szCs w:val="24"/>
        <w:lang w:val="pt-BR"/>
      </w:rPr>
      <w:t>1</w:t>
    </w:r>
    <w:r w:rsidRPr="00265B8C">
      <w:rPr>
        <w:rFonts w:cs="Arial"/>
        <w:color w:val="002060"/>
        <w:szCs w:val="24"/>
      </w:rPr>
      <w:fldChar w:fldCharType="end"/>
    </w:r>
    <w:r w:rsidRPr="00265B8C">
      <w:rPr>
        <w:rFonts w:cs="Arial"/>
        <w:b/>
        <w:color w:val="002060"/>
        <w:szCs w:val="24"/>
        <w:lang w:val="pt-BR"/>
      </w:rPr>
      <w:t>/</w:t>
    </w:r>
    <w:r>
      <w:rPr>
        <w:rFonts w:cs="Arial"/>
        <w:b/>
        <w:color w:val="002060"/>
        <w:szCs w:val="24"/>
        <w:lang w:val="pt-BR"/>
      </w:rPr>
      <w:t>2</w:t>
    </w:r>
  </w:p>
  <w:p w:rsidR="005F6393" w:rsidRDefault="005F6393" w:rsidP="004C150C">
    <w:pPr>
      <w:pStyle w:val="Encabezado"/>
      <w:ind w:left="-993"/>
    </w:pPr>
    <w:r>
      <w:rPr>
        <w:noProof/>
        <w:lang w:val="es-MX" w:eastAsia="es-MX"/>
      </w:rPr>
      <w:drawing>
        <wp:inline distT="0" distB="0" distL="0" distR="0" wp14:anchorId="75DBE107" wp14:editId="0F54BA77">
          <wp:extent cx="927615" cy="963545"/>
          <wp:effectExtent l="0" t="0" r="6350" b="825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847" cy="991832"/>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7F21" w:rsidRDefault="00EE7736" w:rsidP="005F6393">
    <w:pPr>
      <w:pStyle w:val="Encabezado"/>
      <w:jc w:val="center"/>
    </w:pPr>
    <w:r>
      <w:rPr>
        <w:noProof/>
        <w:snapToGrid/>
        <w:lang w:val="es-MX" w:eastAsia="es-MX"/>
      </w:rPr>
      <w:drawing>
        <wp:inline distT="0" distB="0" distL="0" distR="0" wp14:anchorId="580728FD" wp14:editId="25BC4E73">
          <wp:extent cx="928370" cy="907415"/>
          <wp:effectExtent l="0" t="0" r="5080" b="6985"/>
          <wp:docPr id="9" name="Imagen 9" descr="cid:image002.png@01D4B335.490B1A50"/>
          <wp:cNvGraphicFramePr/>
          <a:graphic xmlns:a="http://schemas.openxmlformats.org/drawingml/2006/main">
            <a:graphicData uri="http://schemas.openxmlformats.org/drawingml/2006/picture">
              <pic:pic xmlns:pic="http://schemas.openxmlformats.org/drawingml/2006/picture">
                <pic:nvPicPr>
                  <pic:cNvPr id="9" name="Imagen 9"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31800" cy="91076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4"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5"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6"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7"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8"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19"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5"/>
  </w:num>
  <w:num w:numId="5">
    <w:abstractNumId w:val="7"/>
  </w:num>
  <w:num w:numId="6">
    <w:abstractNumId w:val="3"/>
  </w:num>
  <w:num w:numId="7">
    <w:abstractNumId w:val="9"/>
  </w:num>
  <w:num w:numId="8">
    <w:abstractNumId w:val="13"/>
  </w:num>
  <w:num w:numId="9">
    <w:abstractNumId w:val="5"/>
  </w:num>
  <w:num w:numId="10">
    <w:abstractNumId w:val="8"/>
  </w:num>
  <w:num w:numId="11">
    <w:abstractNumId w:val="19"/>
  </w:num>
  <w:num w:numId="12">
    <w:abstractNumId w:val="6"/>
  </w:num>
  <w:num w:numId="13">
    <w:abstractNumId w:val="12"/>
  </w:num>
  <w:num w:numId="14">
    <w:abstractNumId w:val="14"/>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8"/>
  </w:num>
  <w:num w:numId="18">
    <w:abstractNumId w:val="2"/>
  </w:num>
  <w:num w:numId="19">
    <w:abstractNumId w:val="16"/>
  </w:num>
  <w:num w:numId="20">
    <w:abstractNumId w:val="16"/>
  </w:num>
  <w:num w:numId="21">
    <w:abstractNumId w:val="16"/>
  </w:num>
  <w:num w:numId="22">
    <w:abstractNumId w:val="16"/>
  </w:num>
  <w:num w:numId="2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activeWritingStyle w:appName="MSWord" w:lang="es-MX" w:vendorID="64" w:dllVersion="0" w:nlCheck="1" w:checkStyle="0"/>
  <w:activeWritingStyle w:appName="MSWord" w:lang="es-ES" w:vendorID="64" w:dllVersion="131078" w:nlCheck="1" w:checkStyle="0"/>
  <w:activeWritingStyle w:appName="MSWord" w:lang="es-ES_tradnl"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7"/>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932"/>
    <w:rsid w:val="0000095D"/>
    <w:rsid w:val="00000B43"/>
    <w:rsid w:val="00000B7F"/>
    <w:rsid w:val="00001B98"/>
    <w:rsid w:val="0000273F"/>
    <w:rsid w:val="00002C85"/>
    <w:rsid w:val="000031B0"/>
    <w:rsid w:val="00004215"/>
    <w:rsid w:val="000042EF"/>
    <w:rsid w:val="00004A7D"/>
    <w:rsid w:val="00006462"/>
    <w:rsid w:val="00006D11"/>
    <w:rsid w:val="00007DBD"/>
    <w:rsid w:val="0001024B"/>
    <w:rsid w:val="00010A17"/>
    <w:rsid w:val="00010E0F"/>
    <w:rsid w:val="00010E74"/>
    <w:rsid w:val="00011964"/>
    <w:rsid w:val="00011D5B"/>
    <w:rsid w:val="00012228"/>
    <w:rsid w:val="00013DDD"/>
    <w:rsid w:val="00014EAF"/>
    <w:rsid w:val="00016611"/>
    <w:rsid w:val="00017666"/>
    <w:rsid w:val="00020298"/>
    <w:rsid w:val="0002056D"/>
    <w:rsid w:val="00020F4E"/>
    <w:rsid w:val="00021C68"/>
    <w:rsid w:val="00022153"/>
    <w:rsid w:val="00022907"/>
    <w:rsid w:val="00023E91"/>
    <w:rsid w:val="00025729"/>
    <w:rsid w:val="000260FB"/>
    <w:rsid w:val="00026733"/>
    <w:rsid w:val="0002692A"/>
    <w:rsid w:val="00031C3F"/>
    <w:rsid w:val="00032184"/>
    <w:rsid w:val="00032383"/>
    <w:rsid w:val="00032439"/>
    <w:rsid w:val="0003305A"/>
    <w:rsid w:val="0003385F"/>
    <w:rsid w:val="00034077"/>
    <w:rsid w:val="000347D1"/>
    <w:rsid w:val="00035555"/>
    <w:rsid w:val="00036F4A"/>
    <w:rsid w:val="00036FBF"/>
    <w:rsid w:val="00037A49"/>
    <w:rsid w:val="00040567"/>
    <w:rsid w:val="00040A88"/>
    <w:rsid w:val="000421BC"/>
    <w:rsid w:val="00042729"/>
    <w:rsid w:val="00042E12"/>
    <w:rsid w:val="000431DE"/>
    <w:rsid w:val="0004368D"/>
    <w:rsid w:val="0004453C"/>
    <w:rsid w:val="0004493F"/>
    <w:rsid w:val="000453DC"/>
    <w:rsid w:val="000463BE"/>
    <w:rsid w:val="00046715"/>
    <w:rsid w:val="00046B8A"/>
    <w:rsid w:val="00050F12"/>
    <w:rsid w:val="00051AA5"/>
    <w:rsid w:val="00052C69"/>
    <w:rsid w:val="00053780"/>
    <w:rsid w:val="00053A68"/>
    <w:rsid w:val="00054FD6"/>
    <w:rsid w:val="0005576F"/>
    <w:rsid w:val="00055E5F"/>
    <w:rsid w:val="00056149"/>
    <w:rsid w:val="00056554"/>
    <w:rsid w:val="00057C42"/>
    <w:rsid w:val="00057C43"/>
    <w:rsid w:val="000608A0"/>
    <w:rsid w:val="00060919"/>
    <w:rsid w:val="0006111A"/>
    <w:rsid w:val="00062558"/>
    <w:rsid w:val="00063635"/>
    <w:rsid w:val="00063D1D"/>
    <w:rsid w:val="00064294"/>
    <w:rsid w:val="000646E7"/>
    <w:rsid w:val="0006516A"/>
    <w:rsid w:val="00065DAB"/>
    <w:rsid w:val="00065F7A"/>
    <w:rsid w:val="00066103"/>
    <w:rsid w:val="000665D9"/>
    <w:rsid w:val="00066D7E"/>
    <w:rsid w:val="00066EB6"/>
    <w:rsid w:val="00067BFC"/>
    <w:rsid w:val="00067F2D"/>
    <w:rsid w:val="00070209"/>
    <w:rsid w:val="000716D7"/>
    <w:rsid w:val="0007442D"/>
    <w:rsid w:val="00075A18"/>
    <w:rsid w:val="000762F8"/>
    <w:rsid w:val="00077907"/>
    <w:rsid w:val="00080C47"/>
    <w:rsid w:val="00082002"/>
    <w:rsid w:val="000840A0"/>
    <w:rsid w:val="00084FD7"/>
    <w:rsid w:val="00085BD9"/>
    <w:rsid w:val="00085FDB"/>
    <w:rsid w:val="00086740"/>
    <w:rsid w:val="000904E6"/>
    <w:rsid w:val="00091999"/>
    <w:rsid w:val="00092ACB"/>
    <w:rsid w:val="00092B83"/>
    <w:rsid w:val="00093578"/>
    <w:rsid w:val="00093F8F"/>
    <w:rsid w:val="00094417"/>
    <w:rsid w:val="00094591"/>
    <w:rsid w:val="0009491E"/>
    <w:rsid w:val="00095DC6"/>
    <w:rsid w:val="00097371"/>
    <w:rsid w:val="000A01BF"/>
    <w:rsid w:val="000A05A1"/>
    <w:rsid w:val="000A0B27"/>
    <w:rsid w:val="000A1488"/>
    <w:rsid w:val="000A14B3"/>
    <w:rsid w:val="000A1890"/>
    <w:rsid w:val="000A2A4E"/>
    <w:rsid w:val="000A3A2B"/>
    <w:rsid w:val="000A3F3E"/>
    <w:rsid w:val="000A6470"/>
    <w:rsid w:val="000A65FD"/>
    <w:rsid w:val="000A6E34"/>
    <w:rsid w:val="000A7204"/>
    <w:rsid w:val="000A79E7"/>
    <w:rsid w:val="000B0CE8"/>
    <w:rsid w:val="000B0EC9"/>
    <w:rsid w:val="000B139D"/>
    <w:rsid w:val="000B2120"/>
    <w:rsid w:val="000B3C5B"/>
    <w:rsid w:val="000B5E8A"/>
    <w:rsid w:val="000B6736"/>
    <w:rsid w:val="000B6AE5"/>
    <w:rsid w:val="000B7BED"/>
    <w:rsid w:val="000B7CFD"/>
    <w:rsid w:val="000C02F0"/>
    <w:rsid w:val="000C0467"/>
    <w:rsid w:val="000C0563"/>
    <w:rsid w:val="000C0C8A"/>
    <w:rsid w:val="000C117A"/>
    <w:rsid w:val="000C1B88"/>
    <w:rsid w:val="000C3595"/>
    <w:rsid w:val="000C3C44"/>
    <w:rsid w:val="000C4460"/>
    <w:rsid w:val="000C55BE"/>
    <w:rsid w:val="000C5B89"/>
    <w:rsid w:val="000C648E"/>
    <w:rsid w:val="000C66BE"/>
    <w:rsid w:val="000C6E1B"/>
    <w:rsid w:val="000C72D9"/>
    <w:rsid w:val="000C7599"/>
    <w:rsid w:val="000C7999"/>
    <w:rsid w:val="000D08BB"/>
    <w:rsid w:val="000D0CC8"/>
    <w:rsid w:val="000D1A8E"/>
    <w:rsid w:val="000D3BA0"/>
    <w:rsid w:val="000D52C1"/>
    <w:rsid w:val="000D5529"/>
    <w:rsid w:val="000D566F"/>
    <w:rsid w:val="000D5B24"/>
    <w:rsid w:val="000D6074"/>
    <w:rsid w:val="000D65E2"/>
    <w:rsid w:val="000D689B"/>
    <w:rsid w:val="000D6BD0"/>
    <w:rsid w:val="000D7CA3"/>
    <w:rsid w:val="000E0A62"/>
    <w:rsid w:val="000E1443"/>
    <w:rsid w:val="000E2C66"/>
    <w:rsid w:val="000E3033"/>
    <w:rsid w:val="000E4CA4"/>
    <w:rsid w:val="000F09D4"/>
    <w:rsid w:val="000F09F8"/>
    <w:rsid w:val="000F1108"/>
    <w:rsid w:val="000F14B9"/>
    <w:rsid w:val="000F1608"/>
    <w:rsid w:val="000F1839"/>
    <w:rsid w:val="000F2966"/>
    <w:rsid w:val="000F3D4A"/>
    <w:rsid w:val="000F3F47"/>
    <w:rsid w:val="000F4540"/>
    <w:rsid w:val="000F4658"/>
    <w:rsid w:val="000F5E17"/>
    <w:rsid w:val="000F611A"/>
    <w:rsid w:val="000F6657"/>
    <w:rsid w:val="000F682F"/>
    <w:rsid w:val="000F698B"/>
    <w:rsid w:val="000F79B9"/>
    <w:rsid w:val="000F7B11"/>
    <w:rsid w:val="001003A7"/>
    <w:rsid w:val="00101A58"/>
    <w:rsid w:val="00101BCD"/>
    <w:rsid w:val="001034D4"/>
    <w:rsid w:val="00104C78"/>
    <w:rsid w:val="001073D8"/>
    <w:rsid w:val="001108BF"/>
    <w:rsid w:val="00110B27"/>
    <w:rsid w:val="001115F7"/>
    <w:rsid w:val="001137CE"/>
    <w:rsid w:val="0011434C"/>
    <w:rsid w:val="001155C6"/>
    <w:rsid w:val="001156DE"/>
    <w:rsid w:val="0011585D"/>
    <w:rsid w:val="00115C1E"/>
    <w:rsid w:val="00116918"/>
    <w:rsid w:val="00116947"/>
    <w:rsid w:val="00117B09"/>
    <w:rsid w:val="00117C54"/>
    <w:rsid w:val="0012290F"/>
    <w:rsid w:val="00123379"/>
    <w:rsid w:val="001234A8"/>
    <w:rsid w:val="00123B68"/>
    <w:rsid w:val="00124A7D"/>
    <w:rsid w:val="00124D63"/>
    <w:rsid w:val="00125B7A"/>
    <w:rsid w:val="00125C98"/>
    <w:rsid w:val="00126D65"/>
    <w:rsid w:val="00127101"/>
    <w:rsid w:val="001277D8"/>
    <w:rsid w:val="00130446"/>
    <w:rsid w:val="00131392"/>
    <w:rsid w:val="00131E1A"/>
    <w:rsid w:val="00133E3A"/>
    <w:rsid w:val="00133E9C"/>
    <w:rsid w:val="0013459D"/>
    <w:rsid w:val="001345B1"/>
    <w:rsid w:val="00135030"/>
    <w:rsid w:val="00135483"/>
    <w:rsid w:val="0013782A"/>
    <w:rsid w:val="00137E78"/>
    <w:rsid w:val="00137F47"/>
    <w:rsid w:val="00140B6C"/>
    <w:rsid w:val="00141DAC"/>
    <w:rsid w:val="00142299"/>
    <w:rsid w:val="001428FF"/>
    <w:rsid w:val="00142921"/>
    <w:rsid w:val="0014557C"/>
    <w:rsid w:val="00145B63"/>
    <w:rsid w:val="001463C4"/>
    <w:rsid w:val="0014682B"/>
    <w:rsid w:val="0014693A"/>
    <w:rsid w:val="0014725A"/>
    <w:rsid w:val="00147908"/>
    <w:rsid w:val="00151522"/>
    <w:rsid w:val="0015270C"/>
    <w:rsid w:val="00152E6E"/>
    <w:rsid w:val="00153366"/>
    <w:rsid w:val="0015373F"/>
    <w:rsid w:val="00154177"/>
    <w:rsid w:val="00154C05"/>
    <w:rsid w:val="00154C3B"/>
    <w:rsid w:val="001565E4"/>
    <w:rsid w:val="00156AAB"/>
    <w:rsid w:val="00156ABA"/>
    <w:rsid w:val="00156DF2"/>
    <w:rsid w:val="00160412"/>
    <w:rsid w:val="001605E8"/>
    <w:rsid w:val="0016074A"/>
    <w:rsid w:val="00160FAF"/>
    <w:rsid w:val="00163512"/>
    <w:rsid w:val="00163A8E"/>
    <w:rsid w:val="00163ADE"/>
    <w:rsid w:val="00163B3E"/>
    <w:rsid w:val="00163BA6"/>
    <w:rsid w:val="00164DA3"/>
    <w:rsid w:val="00165501"/>
    <w:rsid w:val="001659D7"/>
    <w:rsid w:val="00165E9D"/>
    <w:rsid w:val="0016690F"/>
    <w:rsid w:val="0017122C"/>
    <w:rsid w:val="001727A6"/>
    <w:rsid w:val="0017393E"/>
    <w:rsid w:val="00173FEA"/>
    <w:rsid w:val="00174978"/>
    <w:rsid w:val="001755B3"/>
    <w:rsid w:val="0017620A"/>
    <w:rsid w:val="00180722"/>
    <w:rsid w:val="00182595"/>
    <w:rsid w:val="00182A73"/>
    <w:rsid w:val="00182F89"/>
    <w:rsid w:val="00183844"/>
    <w:rsid w:val="00184160"/>
    <w:rsid w:val="0018416A"/>
    <w:rsid w:val="001842C5"/>
    <w:rsid w:val="00184D49"/>
    <w:rsid w:val="00185470"/>
    <w:rsid w:val="001855A5"/>
    <w:rsid w:val="001872D0"/>
    <w:rsid w:val="00191DEB"/>
    <w:rsid w:val="00193057"/>
    <w:rsid w:val="00193ED8"/>
    <w:rsid w:val="001941AB"/>
    <w:rsid w:val="00194480"/>
    <w:rsid w:val="001951D5"/>
    <w:rsid w:val="001952C4"/>
    <w:rsid w:val="0019532A"/>
    <w:rsid w:val="00195865"/>
    <w:rsid w:val="001959B6"/>
    <w:rsid w:val="00195FEE"/>
    <w:rsid w:val="001960DA"/>
    <w:rsid w:val="00196671"/>
    <w:rsid w:val="001968B9"/>
    <w:rsid w:val="00196FF3"/>
    <w:rsid w:val="00197417"/>
    <w:rsid w:val="00197630"/>
    <w:rsid w:val="001A0B6A"/>
    <w:rsid w:val="001A1299"/>
    <w:rsid w:val="001A25CF"/>
    <w:rsid w:val="001A3153"/>
    <w:rsid w:val="001A354D"/>
    <w:rsid w:val="001A37FC"/>
    <w:rsid w:val="001A445D"/>
    <w:rsid w:val="001B0B3F"/>
    <w:rsid w:val="001B2B81"/>
    <w:rsid w:val="001B44BA"/>
    <w:rsid w:val="001B47AA"/>
    <w:rsid w:val="001B54C5"/>
    <w:rsid w:val="001B6801"/>
    <w:rsid w:val="001C04DF"/>
    <w:rsid w:val="001C0B53"/>
    <w:rsid w:val="001C0E25"/>
    <w:rsid w:val="001C174A"/>
    <w:rsid w:val="001C1E2C"/>
    <w:rsid w:val="001C238D"/>
    <w:rsid w:val="001C293A"/>
    <w:rsid w:val="001C2D93"/>
    <w:rsid w:val="001C2FAA"/>
    <w:rsid w:val="001C3DA9"/>
    <w:rsid w:val="001C4472"/>
    <w:rsid w:val="001C47A3"/>
    <w:rsid w:val="001C5F5D"/>
    <w:rsid w:val="001C650B"/>
    <w:rsid w:val="001C6CD4"/>
    <w:rsid w:val="001C6FA7"/>
    <w:rsid w:val="001C7D21"/>
    <w:rsid w:val="001C7E8C"/>
    <w:rsid w:val="001D0373"/>
    <w:rsid w:val="001D0DC3"/>
    <w:rsid w:val="001D0F1A"/>
    <w:rsid w:val="001D23B8"/>
    <w:rsid w:val="001D2489"/>
    <w:rsid w:val="001D285D"/>
    <w:rsid w:val="001D3DBA"/>
    <w:rsid w:val="001D4C6B"/>
    <w:rsid w:val="001D51FE"/>
    <w:rsid w:val="001D5AB0"/>
    <w:rsid w:val="001E037F"/>
    <w:rsid w:val="001E04EB"/>
    <w:rsid w:val="001E1370"/>
    <w:rsid w:val="001E1EC8"/>
    <w:rsid w:val="001E38C9"/>
    <w:rsid w:val="001E3B2F"/>
    <w:rsid w:val="001E4621"/>
    <w:rsid w:val="001E4A31"/>
    <w:rsid w:val="001E5C9B"/>
    <w:rsid w:val="001E7565"/>
    <w:rsid w:val="001F0892"/>
    <w:rsid w:val="001F08C2"/>
    <w:rsid w:val="001F2519"/>
    <w:rsid w:val="001F3CE5"/>
    <w:rsid w:val="001F421F"/>
    <w:rsid w:val="001F4249"/>
    <w:rsid w:val="001F4AB0"/>
    <w:rsid w:val="001F4F7E"/>
    <w:rsid w:val="001F562F"/>
    <w:rsid w:val="001F65DD"/>
    <w:rsid w:val="001F6D20"/>
    <w:rsid w:val="0020081F"/>
    <w:rsid w:val="002008C3"/>
    <w:rsid w:val="002025F0"/>
    <w:rsid w:val="00202751"/>
    <w:rsid w:val="00203925"/>
    <w:rsid w:val="0020440D"/>
    <w:rsid w:val="0020475B"/>
    <w:rsid w:val="00205302"/>
    <w:rsid w:val="002058BB"/>
    <w:rsid w:val="00205C16"/>
    <w:rsid w:val="00205D6F"/>
    <w:rsid w:val="0020717A"/>
    <w:rsid w:val="00211056"/>
    <w:rsid w:val="00211279"/>
    <w:rsid w:val="0021228E"/>
    <w:rsid w:val="00212EAE"/>
    <w:rsid w:val="002138EA"/>
    <w:rsid w:val="00213E5E"/>
    <w:rsid w:val="002146E9"/>
    <w:rsid w:val="00215360"/>
    <w:rsid w:val="002162C6"/>
    <w:rsid w:val="002169BE"/>
    <w:rsid w:val="00220359"/>
    <w:rsid w:val="0022190B"/>
    <w:rsid w:val="00221C33"/>
    <w:rsid w:val="0022200C"/>
    <w:rsid w:val="002224F5"/>
    <w:rsid w:val="0022411B"/>
    <w:rsid w:val="002248CF"/>
    <w:rsid w:val="00224D24"/>
    <w:rsid w:val="00224D9E"/>
    <w:rsid w:val="00224EB0"/>
    <w:rsid w:val="00224FB2"/>
    <w:rsid w:val="00224FB9"/>
    <w:rsid w:val="00226C7F"/>
    <w:rsid w:val="00226F6C"/>
    <w:rsid w:val="00227E7E"/>
    <w:rsid w:val="00233847"/>
    <w:rsid w:val="00233E2A"/>
    <w:rsid w:val="00235175"/>
    <w:rsid w:val="00235FA3"/>
    <w:rsid w:val="002360C7"/>
    <w:rsid w:val="0023784B"/>
    <w:rsid w:val="0024100A"/>
    <w:rsid w:val="002424D2"/>
    <w:rsid w:val="00242B5F"/>
    <w:rsid w:val="00242C77"/>
    <w:rsid w:val="0024346C"/>
    <w:rsid w:val="002435A0"/>
    <w:rsid w:val="00244BD7"/>
    <w:rsid w:val="00244E84"/>
    <w:rsid w:val="00245082"/>
    <w:rsid w:val="0024559C"/>
    <w:rsid w:val="002459F7"/>
    <w:rsid w:val="00246053"/>
    <w:rsid w:val="002466AB"/>
    <w:rsid w:val="00246C58"/>
    <w:rsid w:val="002470F9"/>
    <w:rsid w:val="00247E21"/>
    <w:rsid w:val="00250226"/>
    <w:rsid w:val="00250742"/>
    <w:rsid w:val="00250CC1"/>
    <w:rsid w:val="00250EAB"/>
    <w:rsid w:val="00251751"/>
    <w:rsid w:val="00252975"/>
    <w:rsid w:val="00252AEC"/>
    <w:rsid w:val="00253130"/>
    <w:rsid w:val="002547E9"/>
    <w:rsid w:val="00254DB3"/>
    <w:rsid w:val="00255291"/>
    <w:rsid w:val="0025719B"/>
    <w:rsid w:val="00257D9D"/>
    <w:rsid w:val="00257EBF"/>
    <w:rsid w:val="0026147C"/>
    <w:rsid w:val="002630F9"/>
    <w:rsid w:val="00263FFB"/>
    <w:rsid w:val="00264275"/>
    <w:rsid w:val="0026446E"/>
    <w:rsid w:val="00264854"/>
    <w:rsid w:val="00264AA7"/>
    <w:rsid w:val="00264E1A"/>
    <w:rsid w:val="00266887"/>
    <w:rsid w:val="00266D08"/>
    <w:rsid w:val="00266FF3"/>
    <w:rsid w:val="00267023"/>
    <w:rsid w:val="002675F1"/>
    <w:rsid w:val="002702AB"/>
    <w:rsid w:val="00270671"/>
    <w:rsid w:val="00270B53"/>
    <w:rsid w:val="00270D15"/>
    <w:rsid w:val="00270D59"/>
    <w:rsid w:val="00273B19"/>
    <w:rsid w:val="00274992"/>
    <w:rsid w:val="00274C21"/>
    <w:rsid w:val="00280516"/>
    <w:rsid w:val="002809B3"/>
    <w:rsid w:val="002811AB"/>
    <w:rsid w:val="002827BF"/>
    <w:rsid w:val="00282BA0"/>
    <w:rsid w:val="00282F0A"/>
    <w:rsid w:val="002838A3"/>
    <w:rsid w:val="002839A5"/>
    <w:rsid w:val="00284B57"/>
    <w:rsid w:val="00285648"/>
    <w:rsid w:val="00285776"/>
    <w:rsid w:val="00286FAB"/>
    <w:rsid w:val="002906CF"/>
    <w:rsid w:val="00290C18"/>
    <w:rsid w:val="00292FD6"/>
    <w:rsid w:val="002931C6"/>
    <w:rsid w:val="0029403F"/>
    <w:rsid w:val="00295148"/>
    <w:rsid w:val="002951C4"/>
    <w:rsid w:val="002959AC"/>
    <w:rsid w:val="00297DA6"/>
    <w:rsid w:val="002A0FCC"/>
    <w:rsid w:val="002A11AE"/>
    <w:rsid w:val="002A193C"/>
    <w:rsid w:val="002A200D"/>
    <w:rsid w:val="002A2685"/>
    <w:rsid w:val="002A2EBD"/>
    <w:rsid w:val="002A319B"/>
    <w:rsid w:val="002A3BC6"/>
    <w:rsid w:val="002A3E2D"/>
    <w:rsid w:val="002A5436"/>
    <w:rsid w:val="002A5908"/>
    <w:rsid w:val="002A5CBA"/>
    <w:rsid w:val="002A618E"/>
    <w:rsid w:val="002A7BB4"/>
    <w:rsid w:val="002A7D9C"/>
    <w:rsid w:val="002A7E45"/>
    <w:rsid w:val="002B0693"/>
    <w:rsid w:val="002B2ED8"/>
    <w:rsid w:val="002B4B80"/>
    <w:rsid w:val="002B5511"/>
    <w:rsid w:val="002B612F"/>
    <w:rsid w:val="002B62C3"/>
    <w:rsid w:val="002B7440"/>
    <w:rsid w:val="002B77C7"/>
    <w:rsid w:val="002C06DB"/>
    <w:rsid w:val="002C1ADA"/>
    <w:rsid w:val="002C2B36"/>
    <w:rsid w:val="002C2C06"/>
    <w:rsid w:val="002C2D0F"/>
    <w:rsid w:val="002C42FE"/>
    <w:rsid w:val="002C4422"/>
    <w:rsid w:val="002C49C6"/>
    <w:rsid w:val="002C4C23"/>
    <w:rsid w:val="002C4FDC"/>
    <w:rsid w:val="002C6220"/>
    <w:rsid w:val="002C6984"/>
    <w:rsid w:val="002D0297"/>
    <w:rsid w:val="002D0776"/>
    <w:rsid w:val="002D095F"/>
    <w:rsid w:val="002D0B24"/>
    <w:rsid w:val="002D32A6"/>
    <w:rsid w:val="002D4026"/>
    <w:rsid w:val="002D5B11"/>
    <w:rsid w:val="002D6429"/>
    <w:rsid w:val="002D674F"/>
    <w:rsid w:val="002D7483"/>
    <w:rsid w:val="002D7871"/>
    <w:rsid w:val="002E0016"/>
    <w:rsid w:val="002E0975"/>
    <w:rsid w:val="002E0BA8"/>
    <w:rsid w:val="002E0D7C"/>
    <w:rsid w:val="002E16A8"/>
    <w:rsid w:val="002E338D"/>
    <w:rsid w:val="002E38A7"/>
    <w:rsid w:val="002E5C03"/>
    <w:rsid w:val="002E6992"/>
    <w:rsid w:val="002E69B1"/>
    <w:rsid w:val="002E6BF3"/>
    <w:rsid w:val="002F05D2"/>
    <w:rsid w:val="002F10D1"/>
    <w:rsid w:val="002F1AE8"/>
    <w:rsid w:val="002F32B6"/>
    <w:rsid w:val="002F54B1"/>
    <w:rsid w:val="002F5CBA"/>
    <w:rsid w:val="002F6CDC"/>
    <w:rsid w:val="002F7030"/>
    <w:rsid w:val="002F7084"/>
    <w:rsid w:val="002F71B9"/>
    <w:rsid w:val="002F7886"/>
    <w:rsid w:val="00300F90"/>
    <w:rsid w:val="00301736"/>
    <w:rsid w:val="003017F3"/>
    <w:rsid w:val="003019B3"/>
    <w:rsid w:val="00303261"/>
    <w:rsid w:val="00303D92"/>
    <w:rsid w:val="0030466A"/>
    <w:rsid w:val="003049D3"/>
    <w:rsid w:val="003051F6"/>
    <w:rsid w:val="00305ACD"/>
    <w:rsid w:val="003064AC"/>
    <w:rsid w:val="003071C4"/>
    <w:rsid w:val="00310117"/>
    <w:rsid w:val="00310639"/>
    <w:rsid w:val="0031097A"/>
    <w:rsid w:val="003126FC"/>
    <w:rsid w:val="0031289C"/>
    <w:rsid w:val="00312F79"/>
    <w:rsid w:val="00313D69"/>
    <w:rsid w:val="00314084"/>
    <w:rsid w:val="00314695"/>
    <w:rsid w:val="00314FD2"/>
    <w:rsid w:val="0031533D"/>
    <w:rsid w:val="0031638A"/>
    <w:rsid w:val="003165DA"/>
    <w:rsid w:val="00317317"/>
    <w:rsid w:val="0031796B"/>
    <w:rsid w:val="00320B4C"/>
    <w:rsid w:val="00320BDC"/>
    <w:rsid w:val="003217EB"/>
    <w:rsid w:val="00321EBD"/>
    <w:rsid w:val="0032269F"/>
    <w:rsid w:val="00322A57"/>
    <w:rsid w:val="00324510"/>
    <w:rsid w:val="0032465C"/>
    <w:rsid w:val="00325403"/>
    <w:rsid w:val="00325EE1"/>
    <w:rsid w:val="00326C03"/>
    <w:rsid w:val="0032723B"/>
    <w:rsid w:val="00327B6E"/>
    <w:rsid w:val="003301B9"/>
    <w:rsid w:val="00330E94"/>
    <w:rsid w:val="00330EEF"/>
    <w:rsid w:val="00332CB3"/>
    <w:rsid w:val="00333136"/>
    <w:rsid w:val="003355A5"/>
    <w:rsid w:val="00341B4F"/>
    <w:rsid w:val="0034311C"/>
    <w:rsid w:val="003436A1"/>
    <w:rsid w:val="00343806"/>
    <w:rsid w:val="0034408C"/>
    <w:rsid w:val="0034441B"/>
    <w:rsid w:val="0034499C"/>
    <w:rsid w:val="00344EEF"/>
    <w:rsid w:val="003457BF"/>
    <w:rsid w:val="00345BF5"/>
    <w:rsid w:val="00345D63"/>
    <w:rsid w:val="00347C6B"/>
    <w:rsid w:val="00347CEC"/>
    <w:rsid w:val="003508A7"/>
    <w:rsid w:val="0035148E"/>
    <w:rsid w:val="00351E22"/>
    <w:rsid w:val="00355AA0"/>
    <w:rsid w:val="00356EA1"/>
    <w:rsid w:val="003607BA"/>
    <w:rsid w:val="00360E8F"/>
    <w:rsid w:val="003618B3"/>
    <w:rsid w:val="00361A86"/>
    <w:rsid w:val="00362342"/>
    <w:rsid w:val="00363945"/>
    <w:rsid w:val="00364164"/>
    <w:rsid w:val="003648E6"/>
    <w:rsid w:val="00364DD1"/>
    <w:rsid w:val="003654CE"/>
    <w:rsid w:val="0036725F"/>
    <w:rsid w:val="0036737B"/>
    <w:rsid w:val="0037142D"/>
    <w:rsid w:val="00372AA8"/>
    <w:rsid w:val="00372D16"/>
    <w:rsid w:val="00373A0D"/>
    <w:rsid w:val="00373B78"/>
    <w:rsid w:val="003749F9"/>
    <w:rsid w:val="00375105"/>
    <w:rsid w:val="003756F0"/>
    <w:rsid w:val="0037698F"/>
    <w:rsid w:val="003776A6"/>
    <w:rsid w:val="00377A2F"/>
    <w:rsid w:val="003800CE"/>
    <w:rsid w:val="00382278"/>
    <w:rsid w:val="0038296A"/>
    <w:rsid w:val="00383B1E"/>
    <w:rsid w:val="00384033"/>
    <w:rsid w:val="00384C4B"/>
    <w:rsid w:val="00385592"/>
    <w:rsid w:val="003940F5"/>
    <w:rsid w:val="003942B3"/>
    <w:rsid w:val="0039682E"/>
    <w:rsid w:val="00397686"/>
    <w:rsid w:val="00397F1E"/>
    <w:rsid w:val="003A089B"/>
    <w:rsid w:val="003A11AC"/>
    <w:rsid w:val="003A1460"/>
    <w:rsid w:val="003A1926"/>
    <w:rsid w:val="003A4479"/>
    <w:rsid w:val="003A5CCC"/>
    <w:rsid w:val="003A68A0"/>
    <w:rsid w:val="003A6C8A"/>
    <w:rsid w:val="003B03BE"/>
    <w:rsid w:val="003B0AD6"/>
    <w:rsid w:val="003B0DD8"/>
    <w:rsid w:val="003B1119"/>
    <w:rsid w:val="003B1425"/>
    <w:rsid w:val="003B1DD8"/>
    <w:rsid w:val="003B2FDF"/>
    <w:rsid w:val="003B34C1"/>
    <w:rsid w:val="003B3F7C"/>
    <w:rsid w:val="003B4D0E"/>
    <w:rsid w:val="003B5744"/>
    <w:rsid w:val="003B5EFC"/>
    <w:rsid w:val="003B7917"/>
    <w:rsid w:val="003C05A9"/>
    <w:rsid w:val="003C0CBC"/>
    <w:rsid w:val="003C0DD4"/>
    <w:rsid w:val="003C0E46"/>
    <w:rsid w:val="003C0F02"/>
    <w:rsid w:val="003C11B7"/>
    <w:rsid w:val="003C1AAB"/>
    <w:rsid w:val="003C1CE6"/>
    <w:rsid w:val="003C208B"/>
    <w:rsid w:val="003C2468"/>
    <w:rsid w:val="003C26DF"/>
    <w:rsid w:val="003C2BB9"/>
    <w:rsid w:val="003C2CEF"/>
    <w:rsid w:val="003C3A86"/>
    <w:rsid w:val="003C41E9"/>
    <w:rsid w:val="003C49C0"/>
    <w:rsid w:val="003C524C"/>
    <w:rsid w:val="003C59D0"/>
    <w:rsid w:val="003C6D35"/>
    <w:rsid w:val="003C6E13"/>
    <w:rsid w:val="003C7068"/>
    <w:rsid w:val="003C79D1"/>
    <w:rsid w:val="003D2352"/>
    <w:rsid w:val="003D2E2E"/>
    <w:rsid w:val="003D332D"/>
    <w:rsid w:val="003D454B"/>
    <w:rsid w:val="003D4609"/>
    <w:rsid w:val="003D547D"/>
    <w:rsid w:val="003D597A"/>
    <w:rsid w:val="003D5D7E"/>
    <w:rsid w:val="003D6094"/>
    <w:rsid w:val="003D7ECB"/>
    <w:rsid w:val="003E0003"/>
    <w:rsid w:val="003E0E64"/>
    <w:rsid w:val="003E21A3"/>
    <w:rsid w:val="003E429F"/>
    <w:rsid w:val="003E5AB4"/>
    <w:rsid w:val="003E5B7F"/>
    <w:rsid w:val="003E6472"/>
    <w:rsid w:val="003E6CFE"/>
    <w:rsid w:val="003E70D2"/>
    <w:rsid w:val="003E7E9B"/>
    <w:rsid w:val="003F07C4"/>
    <w:rsid w:val="003F1F31"/>
    <w:rsid w:val="003F26EB"/>
    <w:rsid w:val="003F286D"/>
    <w:rsid w:val="003F3DDA"/>
    <w:rsid w:val="003F4213"/>
    <w:rsid w:val="003F5F95"/>
    <w:rsid w:val="003F61DF"/>
    <w:rsid w:val="003F7972"/>
    <w:rsid w:val="003F7F13"/>
    <w:rsid w:val="00400D22"/>
    <w:rsid w:val="00402C6E"/>
    <w:rsid w:val="00404F61"/>
    <w:rsid w:val="004050E6"/>
    <w:rsid w:val="00405E0C"/>
    <w:rsid w:val="00406135"/>
    <w:rsid w:val="00406CAE"/>
    <w:rsid w:val="00407D79"/>
    <w:rsid w:val="00410113"/>
    <w:rsid w:val="00410A26"/>
    <w:rsid w:val="004113EA"/>
    <w:rsid w:val="00411831"/>
    <w:rsid w:val="00411C84"/>
    <w:rsid w:val="004123FA"/>
    <w:rsid w:val="004128A9"/>
    <w:rsid w:val="00412A71"/>
    <w:rsid w:val="00414288"/>
    <w:rsid w:val="00414C52"/>
    <w:rsid w:val="00414D41"/>
    <w:rsid w:val="00414D4F"/>
    <w:rsid w:val="00415642"/>
    <w:rsid w:val="0041592A"/>
    <w:rsid w:val="004167CF"/>
    <w:rsid w:val="00416EF5"/>
    <w:rsid w:val="00420D3A"/>
    <w:rsid w:val="00420FAA"/>
    <w:rsid w:val="00423E11"/>
    <w:rsid w:val="00426210"/>
    <w:rsid w:val="0042660A"/>
    <w:rsid w:val="004266CB"/>
    <w:rsid w:val="00426C76"/>
    <w:rsid w:val="004271AE"/>
    <w:rsid w:val="00427339"/>
    <w:rsid w:val="00430446"/>
    <w:rsid w:val="00430F48"/>
    <w:rsid w:val="004312CE"/>
    <w:rsid w:val="00431471"/>
    <w:rsid w:val="00432123"/>
    <w:rsid w:val="00432AB8"/>
    <w:rsid w:val="00432D29"/>
    <w:rsid w:val="004345E1"/>
    <w:rsid w:val="004348F2"/>
    <w:rsid w:val="0043529C"/>
    <w:rsid w:val="00435311"/>
    <w:rsid w:val="00435ABD"/>
    <w:rsid w:val="00435CE8"/>
    <w:rsid w:val="00435ED9"/>
    <w:rsid w:val="00436764"/>
    <w:rsid w:val="00436BD4"/>
    <w:rsid w:val="00436F4C"/>
    <w:rsid w:val="004372B2"/>
    <w:rsid w:val="00437B81"/>
    <w:rsid w:val="00437CE9"/>
    <w:rsid w:val="00440333"/>
    <w:rsid w:val="00440C7D"/>
    <w:rsid w:val="00440F43"/>
    <w:rsid w:val="004416AE"/>
    <w:rsid w:val="00441E7E"/>
    <w:rsid w:val="0044275F"/>
    <w:rsid w:val="004438D7"/>
    <w:rsid w:val="00443B66"/>
    <w:rsid w:val="00444081"/>
    <w:rsid w:val="0044476B"/>
    <w:rsid w:val="00444DE7"/>
    <w:rsid w:val="00445596"/>
    <w:rsid w:val="004472C5"/>
    <w:rsid w:val="0045072C"/>
    <w:rsid w:val="00450A1D"/>
    <w:rsid w:val="0045354A"/>
    <w:rsid w:val="00454E0B"/>
    <w:rsid w:val="0045542B"/>
    <w:rsid w:val="00455FD3"/>
    <w:rsid w:val="004562E0"/>
    <w:rsid w:val="00457B8E"/>
    <w:rsid w:val="00460009"/>
    <w:rsid w:val="0046041A"/>
    <w:rsid w:val="004616D5"/>
    <w:rsid w:val="00462700"/>
    <w:rsid w:val="00462F9D"/>
    <w:rsid w:val="004631B0"/>
    <w:rsid w:val="00464A2A"/>
    <w:rsid w:val="00464AE0"/>
    <w:rsid w:val="00464EA7"/>
    <w:rsid w:val="00465C23"/>
    <w:rsid w:val="00465E65"/>
    <w:rsid w:val="004660AB"/>
    <w:rsid w:val="00466947"/>
    <w:rsid w:val="00466F8E"/>
    <w:rsid w:val="00470194"/>
    <w:rsid w:val="00470A0A"/>
    <w:rsid w:val="00470E51"/>
    <w:rsid w:val="00471966"/>
    <w:rsid w:val="00471D20"/>
    <w:rsid w:val="00474197"/>
    <w:rsid w:val="0047428D"/>
    <w:rsid w:val="0047475A"/>
    <w:rsid w:val="00475636"/>
    <w:rsid w:val="00476753"/>
    <w:rsid w:val="00476B79"/>
    <w:rsid w:val="00477330"/>
    <w:rsid w:val="0047780A"/>
    <w:rsid w:val="00477DA0"/>
    <w:rsid w:val="00481941"/>
    <w:rsid w:val="0048290E"/>
    <w:rsid w:val="00484747"/>
    <w:rsid w:val="0048557F"/>
    <w:rsid w:val="00485D93"/>
    <w:rsid w:val="00486A37"/>
    <w:rsid w:val="00493879"/>
    <w:rsid w:val="00494A1D"/>
    <w:rsid w:val="00495B96"/>
    <w:rsid w:val="004965A1"/>
    <w:rsid w:val="004966FD"/>
    <w:rsid w:val="00497EEB"/>
    <w:rsid w:val="004A01B4"/>
    <w:rsid w:val="004A06EA"/>
    <w:rsid w:val="004A0886"/>
    <w:rsid w:val="004A0903"/>
    <w:rsid w:val="004A1070"/>
    <w:rsid w:val="004A15A1"/>
    <w:rsid w:val="004A1EB7"/>
    <w:rsid w:val="004A1F76"/>
    <w:rsid w:val="004A2DB7"/>
    <w:rsid w:val="004A57E5"/>
    <w:rsid w:val="004B07AA"/>
    <w:rsid w:val="004B07DD"/>
    <w:rsid w:val="004B14FA"/>
    <w:rsid w:val="004B28AA"/>
    <w:rsid w:val="004B367F"/>
    <w:rsid w:val="004B3E14"/>
    <w:rsid w:val="004B415E"/>
    <w:rsid w:val="004B469B"/>
    <w:rsid w:val="004B4752"/>
    <w:rsid w:val="004B5902"/>
    <w:rsid w:val="004B5A07"/>
    <w:rsid w:val="004B6896"/>
    <w:rsid w:val="004B6984"/>
    <w:rsid w:val="004B73D8"/>
    <w:rsid w:val="004B75E7"/>
    <w:rsid w:val="004B7EA1"/>
    <w:rsid w:val="004C13D9"/>
    <w:rsid w:val="004C1C7D"/>
    <w:rsid w:val="004C2120"/>
    <w:rsid w:val="004C3128"/>
    <w:rsid w:val="004C31F9"/>
    <w:rsid w:val="004C33C5"/>
    <w:rsid w:val="004C3DCB"/>
    <w:rsid w:val="004C4728"/>
    <w:rsid w:val="004C47B6"/>
    <w:rsid w:val="004C4EFE"/>
    <w:rsid w:val="004C5328"/>
    <w:rsid w:val="004D0BFA"/>
    <w:rsid w:val="004D11ED"/>
    <w:rsid w:val="004D33FE"/>
    <w:rsid w:val="004D4743"/>
    <w:rsid w:val="004D523F"/>
    <w:rsid w:val="004D56AE"/>
    <w:rsid w:val="004D5CC0"/>
    <w:rsid w:val="004D6671"/>
    <w:rsid w:val="004D71CA"/>
    <w:rsid w:val="004D7DFA"/>
    <w:rsid w:val="004E0EE9"/>
    <w:rsid w:val="004E1AD6"/>
    <w:rsid w:val="004E2107"/>
    <w:rsid w:val="004E2258"/>
    <w:rsid w:val="004E2936"/>
    <w:rsid w:val="004E293F"/>
    <w:rsid w:val="004E2992"/>
    <w:rsid w:val="004E2C52"/>
    <w:rsid w:val="004E2D37"/>
    <w:rsid w:val="004E2F4B"/>
    <w:rsid w:val="004E41E8"/>
    <w:rsid w:val="004E43A3"/>
    <w:rsid w:val="004E4E26"/>
    <w:rsid w:val="004E5A25"/>
    <w:rsid w:val="004E5C23"/>
    <w:rsid w:val="004E5C2A"/>
    <w:rsid w:val="004F1204"/>
    <w:rsid w:val="004F158A"/>
    <w:rsid w:val="004F190D"/>
    <w:rsid w:val="004F238A"/>
    <w:rsid w:val="004F277A"/>
    <w:rsid w:val="004F2ED1"/>
    <w:rsid w:val="004F3960"/>
    <w:rsid w:val="004F4CAC"/>
    <w:rsid w:val="004F6A71"/>
    <w:rsid w:val="004F72BD"/>
    <w:rsid w:val="004F7638"/>
    <w:rsid w:val="004F7831"/>
    <w:rsid w:val="004F7B3B"/>
    <w:rsid w:val="0050108D"/>
    <w:rsid w:val="005011F5"/>
    <w:rsid w:val="00501611"/>
    <w:rsid w:val="00501D3E"/>
    <w:rsid w:val="00502B16"/>
    <w:rsid w:val="00503D62"/>
    <w:rsid w:val="00503EFC"/>
    <w:rsid w:val="00504E55"/>
    <w:rsid w:val="00506152"/>
    <w:rsid w:val="00506982"/>
    <w:rsid w:val="00507AA6"/>
    <w:rsid w:val="005101E2"/>
    <w:rsid w:val="00510633"/>
    <w:rsid w:val="00511843"/>
    <w:rsid w:val="00511B25"/>
    <w:rsid w:val="00512EF4"/>
    <w:rsid w:val="00513A35"/>
    <w:rsid w:val="00513D71"/>
    <w:rsid w:val="005147E0"/>
    <w:rsid w:val="00514AB6"/>
    <w:rsid w:val="005161AA"/>
    <w:rsid w:val="00516344"/>
    <w:rsid w:val="005164F4"/>
    <w:rsid w:val="005169E7"/>
    <w:rsid w:val="00516B14"/>
    <w:rsid w:val="00516EA1"/>
    <w:rsid w:val="00517139"/>
    <w:rsid w:val="00517217"/>
    <w:rsid w:val="0051779D"/>
    <w:rsid w:val="00521189"/>
    <w:rsid w:val="00522342"/>
    <w:rsid w:val="00522BA0"/>
    <w:rsid w:val="00523933"/>
    <w:rsid w:val="0052399C"/>
    <w:rsid w:val="00523D11"/>
    <w:rsid w:val="00525234"/>
    <w:rsid w:val="00526FDF"/>
    <w:rsid w:val="00527319"/>
    <w:rsid w:val="0052757F"/>
    <w:rsid w:val="005275BD"/>
    <w:rsid w:val="005279C9"/>
    <w:rsid w:val="0053018F"/>
    <w:rsid w:val="00530728"/>
    <w:rsid w:val="00531266"/>
    <w:rsid w:val="0053212F"/>
    <w:rsid w:val="00532609"/>
    <w:rsid w:val="00532DD2"/>
    <w:rsid w:val="0053359D"/>
    <w:rsid w:val="0053384B"/>
    <w:rsid w:val="00533A64"/>
    <w:rsid w:val="00534000"/>
    <w:rsid w:val="0053486B"/>
    <w:rsid w:val="00541409"/>
    <w:rsid w:val="005422C0"/>
    <w:rsid w:val="005433D1"/>
    <w:rsid w:val="0054406E"/>
    <w:rsid w:val="0054437B"/>
    <w:rsid w:val="0054498B"/>
    <w:rsid w:val="00547F39"/>
    <w:rsid w:val="00550BD2"/>
    <w:rsid w:val="00550FE3"/>
    <w:rsid w:val="00551A14"/>
    <w:rsid w:val="00553061"/>
    <w:rsid w:val="00553238"/>
    <w:rsid w:val="00553B11"/>
    <w:rsid w:val="005564D5"/>
    <w:rsid w:val="00557764"/>
    <w:rsid w:val="0056041A"/>
    <w:rsid w:val="00560786"/>
    <w:rsid w:val="00561451"/>
    <w:rsid w:val="0056212B"/>
    <w:rsid w:val="0056286A"/>
    <w:rsid w:val="0056486F"/>
    <w:rsid w:val="00564C1B"/>
    <w:rsid w:val="00566E02"/>
    <w:rsid w:val="00567CF2"/>
    <w:rsid w:val="00570AD3"/>
    <w:rsid w:val="00571094"/>
    <w:rsid w:val="0057122E"/>
    <w:rsid w:val="005722B3"/>
    <w:rsid w:val="00572AE8"/>
    <w:rsid w:val="00573E5B"/>
    <w:rsid w:val="005742E2"/>
    <w:rsid w:val="00574A91"/>
    <w:rsid w:val="00576B4B"/>
    <w:rsid w:val="00576B53"/>
    <w:rsid w:val="00580F60"/>
    <w:rsid w:val="005810BA"/>
    <w:rsid w:val="005831AC"/>
    <w:rsid w:val="005839E2"/>
    <w:rsid w:val="00584320"/>
    <w:rsid w:val="00585D34"/>
    <w:rsid w:val="0058659F"/>
    <w:rsid w:val="00586865"/>
    <w:rsid w:val="00586C54"/>
    <w:rsid w:val="00587110"/>
    <w:rsid w:val="0058720B"/>
    <w:rsid w:val="005878DD"/>
    <w:rsid w:val="005917F2"/>
    <w:rsid w:val="0059268E"/>
    <w:rsid w:val="00592C7E"/>
    <w:rsid w:val="00592F4E"/>
    <w:rsid w:val="005931C4"/>
    <w:rsid w:val="00593434"/>
    <w:rsid w:val="00593452"/>
    <w:rsid w:val="00593A80"/>
    <w:rsid w:val="00593BE6"/>
    <w:rsid w:val="00593FC3"/>
    <w:rsid w:val="005944D8"/>
    <w:rsid w:val="00594CCB"/>
    <w:rsid w:val="00594DAE"/>
    <w:rsid w:val="00595DF8"/>
    <w:rsid w:val="005966B4"/>
    <w:rsid w:val="00596D33"/>
    <w:rsid w:val="00597EBB"/>
    <w:rsid w:val="005A03EC"/>
    <w:rsid w:val="005A0BCC"/>
    <w:rsid w:val="005A1C93"/>
    <w:rsid w:val="005A207C"/>
    <w:rsid w:val="005A2537"/>
    <w:rsid w:val="005A2B89"/>
    <w:rsid w:val="005A30B8"/>
    <w:rsid w:val="005A31D9"/>
    <w:rsid w:val="005A374C"/>
    <w:rsid w:val="005A3B00"/>
    <w:rsid w:val="005A3C03"/>
    <w:rsid w:val="005A424B"/>
    <w:rsid w:val="005A4D85"/>
    <w:rsid w:val="005A6915"/>
    <w:rsid w:val="005A6BB7"/>
    <w:rsid w:val="005A70CD"/>
    <w:rsid w:val="005A7178"/>
    <w:rsid w:val="005A7320"/>
    <w:rsid w:val="005A7688"/>
    <w:rsid w:val="005A7814"/>
    <w:rsid w:val="005A7BC7"/>
    <w:rsid w:val="005B00EE"/>
    <w:rsid w:val="005B03C2"/>
    <w:rsid w:val="005B145C"/>
    <w:rsid w:val="005B20E3"/>
    <w:rsid w:val="005B27C8"/>
    <w:rsid w:val="005B2EA1"/>
    <w:rsid w:val="005B4B9E"/>
    <w:rsid w:val="005B583B"/>
    <w:rsid w:val="005B623C"/>
    <w:rsid w:val="005B72C2"/>
    <w:rsid w:val="005C00AD"/>
    <w:rsid w:val="005C0FDA"/>
    <w:rsid w:val="005C31CD"/>
    <w:rsid w:val="005C39E0"/>
    <w:rsid w:val="005C4A03"/>
    <w:rsid w:val="005C4DAB"/>
    <w:rsid w:val="005C4DE6"/>
    <w:rsid w:val="005C557E"/>
    <w:rsid w:val="005C785E"/>
    <w:rsid w:val="005C78F0"/>
    <w:rsid w:val="005D0B70"/>
    <w:rsid w:val="005D0ED9"/>
    <w:rsid w:val="005D1083"/>
    <w:rsid w:val="005D139A"/>
    <w:rsid w:val="005D1B51"/>
    <w:rsid w:val="005D2234"/>
    <w:rsid w:val="005D37EE"/>
    <w:rsid w:val="005D38FD"/>
    <w:rsid w:val="005D4B8D"/>
    <w:rsid w:val="005D4EE7"/>
    <w:rsid w:val="005D5BC0"/>
    <w:rsid w:val="005D6D2D"/>
    <w:rsid w:val="005D6E55"/>
    <w:rsid w:val="005E0A4B"/>
    <w:rsid w:val="005E108A"/>
    <w:rsid w:val="005E1212"/>
    <w:rsid w:val="005E12CC"/>
    <w:rsid w:val="005E1AEF"/>
    <w:rsid w:val="005E3D6A"/>
    <w:rsid w:val="005E495F"/>
    <w:rsid w:val="005E4E0A"/>
    <w:rsid w:val="005F0583"/>
    <w:rsid w:val="005F0FE8"/>
    <w:rsid w:val="005F10C7"/>
    <w:rsid w:val="005F1825"/>
    <w:rsid w:val="005F2242"/>
    <w:rsid w:val="005F2323"/>
    <w:rsid w:val="005F24F7"/>
    <w:rsid w:val="005F2A44"/>
    <w:rsid w:val="005F44B8"/>
    <w:rsid w:val="005F47AF"/>
    <w:rsid w:val="005F4E66"/>
    <w:rsid w:val="005F5BE0"/>
    <w:rsid w:val="005F6204"/>
    <w:rsid w:val="005F6393"/>
    <w:rsid w:val="005F6EA2"/>
    <w:rsid w:val="005F71A0"/>
    <w:rsid w:val="005F74E5"/>
    <w:rsid w:val="00600C18"/>
    <w:rsid w:val="006046CC"/>
    <w:rsid w:val="00604C5D"/>
    <w:rsid w:val="0060516A"/>
    <w:rsid w:val="00605521"/>
    <w:rsid w:val="006055D1"/>
    <w:rsid w:val="00605777"/>
    <w:rsid w:val="00605AF7"/>
    <w:rsid w:val="006069DB"/>
    <w:rsid w:val="00607060"/>
    <w:rsid w:val="006074F5"/>
    <w:rsid w:val="00607EE6"/>
    <w:rsid w:val="00607F08"/>
    <w:rsid w:val="00610305"/>
    <w:rsid w:val="00610BEB"/>
    <w:rsid w:val="006110BE"/>
    <w:rsid w:val="00611760"/>
    <w:rsid w:val="006117A1"/>
    <w:rsid w:val="00611854"/>
    <w:rsid w:val="006127F1"/>
    <w:rsid w:val="006137F7"/>
    <w:rsid w:val="006150D5"/>
    <w:rsid w:val="00615F98"/>
    <w:rsid w:val="00617B33"/>
    <w:rsid w:val="00617DD6"/>
    <w:rsid w:val="0062029E"/>
    <w:rsid w:val="00620A21"/>
    <w:rsid w:val="00620FB4"/>
    <w:rsid w:val="0062100B"/>
    <w:rsid w:val="0062118C"/>
    <w:rsid w:val="006212BA"/>
    <w:rsid w:val="006230EF"/>
    <w:rsid w:val="00623130"/>
    <w:rsid w:val="00625C53"/>
    <w:rsid w:val="00625F58"/>
    <w:rsid w:val="006267F3"/>
    <w:rsid w:val="00626C5F"/>
    <w:rsid w:val="00627250"/>
    <w:rsid w:val="00627F10"/>
    <w:rsid w:val="00632CB2"/>
    <w:rsid w:val="00633202"/>
    <w:rsid w:val="00633E58"/>
    <w:rsid w:val="0063430F"/>
    <w:rsid w:val="00636040"/>
    <w:rsid w:val="00636075"/>
    <w:rsid w:val="006367B0"/>
    <w:rsid w:val="00636F2F"/>
    <w:rsid w:val="00637F84"/>
    <w:rsid w:val="00640DF7"/>
    <w:rsid w:val="006410E5"/>
    <w:rsid w:val="00642525"/>
    <w:rsid w:val="0064258D"/>
    <w:rsid w:val="0064312C"/>
    <w:rsid w:val="00644084"/>
    <w:rsid w:val="0064465A"/>
    <w:rsid w:val="00644753"/>
    <w:rsid w:val="00647C04"/>
    <w:rsid w:val="0065001F"/>
    <w:rsid w:val="006502A9"/>
    <w:rsid w:val="00650844"/>
    <w:rsid w:val="00651924"/>
    <w:rsid w:val="0065250A"/>
    <w:rsid w:val="00652A1A"/>
    <w:rsid w:val="00653061"/>
    <w:rsid w:val="0065362B"/>
    <w:rsid w:val="00653B08"/>
    <w:rsid w:val="00655B25"/>
    <w:rsid w:val="006579AB"/>
    <w:rsid w:val="00657ACC"/>
    <w:rsid w:val="006622ED"/>
    <w:rsid w:val="00662B33"/>
    <w:rsid w:val="00663848"/>
    <w:rsid w:val="00663A45"/>
    <w:rsid w:val="00663E20"/>
    <w:rsid w:val="00663E52"/>
    <w:rsid w:val="00664412"/>
    <w:rsid w:val="00665BB6"/>
    <w:rsid w:val="00667F95"/>
    <w:rsid w:val="006701D0"/>
    <w:rsid w:val="00670395"/>
    <w:rsid w:val="006722F3"/>
    <w:rsid w:val="0067437C"/>
    <w:rsid w:val="006746FC"/>
    <w:rsid w:val="00674FC1"/>
    <w:rsid w:val="00675004"/>
    <w:rsid w:val="00675B56"/>
    <w:rsid w:val="00676BB2"/>
    <w:rsid w:val="006779B9"/>
    <w:rsid w:val="00681209"/>
    <w:rsid w:val="00683118"/>
    <w:rsid w:val="00684BC9"/>
    <w:rsid w:val="0068542E"/>
    <w:rsid w:val="006855C9"/>
    <w:rsid w:val="00686624"/>
    <w:rsid w:val="00687B5C"/>
    <w:rsid w:val="0069304D"/>
    <w:rsid w:val="006937A9"/>
    <w:rsid w:val="00694362"/>
    <w:rsid w:val="00694975"/>
    <w:rsid w:val="00695AB9"/>
    <w:rsid w:val="00696C93"/>
    <w:rsid w:val="00696E69"/>
    <w:rsid w:val="00696F97"/>
    <w:rsid w:val="00697CA3"/>
    <w:rsid w:val="006A0138"/>
    <w:rsid w:val="006A03F8"/>
    <w:rsid w:val="006A0425"/>
    <w:rsid w:val="006A04BB"/>
    <w:rsid w:val="006A3CE8"/>
    <w:rsid w:val="006A423B"/>
    <w:rsid w:val="006A51DA"/>
    <w:rsid w:val="006A5A3D"/>
    <w:rsid w:val="006B018B"/>
    <w:rsid w:val="006B0FC3"/>
    <w:rsid w:val="006B181A"/>
    <w:rsid w:val="006B2387"/>
    <w:rsid w:val="006B32C8"/>
    <w:rsid w:val="006B3C3E"/>
    <w:rsid w:val="006B4590"/>
    <w:rsid w:val="006B507A"/>
    <w:rsid w:val="006B532A"/>
    <w:rsid w:val="006B6668"/>
    <w:rsid w:val="006B675B"/>
    <w:rsid w:val="006C056A"/>
    <w:rsid w:val="006C0C2F"/>
    <w:rsid w:val="006C1CE1"/>
    <w:rsid w:val="006C1EF4"/>
    <w:rsid w:val="006C2275"/>
    <w:rsid w:val="006C28EB"/>
    <w:rsid w:val="006C4541"/>
    <w:rsid w:val="006C45AB"/>
    <w:rsid w:val="006C56B9"/>
    <w:rsid w:val="006C6016"/>
    <w:rsid w:val="006C6B2D"/>
    <w:rsid w:val="006C7ED9"/>
    <w:rsid w:val="006D0932"/>
    <w:rsid w:val="006D09E3"/>
    <w:rsid w:val="006D2107"/>
    <w:rsid w:val="006D21C8"/>
    <w:rsid w:val="006D39DF"/>
    <w:rsid w:val="006D46DD"/>
    <w:rsid w:val="006D4830"/>
    <w:rsid w:val="006D51B1"/>
    <w:rsid w:val="006D603B"/>
    <w:rsid w:val="006D6543"/>
    <w:rsid w:val="006D686E"/>
    <w:rsid w:val="006D766C"/>
    <w:rsid w:val="006E01F9"/>
    <w:rsid w:val="006E07CE"/>
    <w:rsid w:val="006E127F"/>
    <w:rsid w:val="006E2C9F"/>
    <w:rsid w:val="006E3293"/>
    <w:rsid w:val="006E32FF"/>
    <w:rsid w:val="006E4801"/>
    <w:rsid w:val="006F0480"/>
    <w:rsid w:val="006F049A"/>
    <w:rsid w:val="006F0B47"/>
    <w:rsid w:val="006F2EB0"/>
    <w:rsid w:val="006F34B5"/>
    <w:rsid w:val="006F365B"/>
    <w:rsid w:val="006F48F0"/>
    <w:rsid w:val="006F4D99"/>
    <w:rsid w:val="006F550A"/>
    <w:rsid w:val="006F5982"/>
    <w:rsid w:val="006F59CE"/>
    <w:rsid w:val="006F5B68"/>
    <w:rsid w:val="006F5FEC"/>
    <w:rsid w:val="006F65B7"/>
    <w:rsid w:val="006F679A"/>
    <w:rsid w:val="006F6DCA"/>
    <w:rsid w:val="006F7EF0"/>
    <w:rsid w:val="00700FAA"/>
    <w:rsid w:val="00701130"/>
    <w:rsid w:val="007023C4"/>
    <w:rsid w:val="00702E27"/>
    <w:rsid w:val="00704792"/>
    <w:rsid w:val="00706053"/>
    <w:rsid w:val="00706A2F"/>
    <w:rsid w:val="0070717E"/>
    <w:rsid w:val="007077A2"/>
    <w:rsid w:val="00711666"/>
    <w:rsid w:val="00711A23"/>
    <w:rsid w:val="00712CE6"/>
    <w:rsid w:val="0071650C"/>
    <w:rsid w:val="007204A4"/>
    <w:rsid w:val="00720BB1"/>
    <w:rsid w:val="00721FE0"/>
    <w:rsid w:val="007241D6"/>
    <w:rsid w:val="0072433D"/>
    <w:rsid w:val="00724DAC"/>
    <w:rsid w:val="0072547D"/>
    <w:rsid w:val="007257B2"/>
    <w:rsid w:val="007258D6"/>
    <w:rsid w:val="00727395"/>
    <w:rsid w:val="00727717"/>
    <w:rsid w:val="0073062A"/>
    <w:rsid w:val="007308B4"/>
    <w:rsid w:val="00731CE3"/>
    <w:rsid w:val="00732A9E"/>
    <w:rsid w:val="00732BAB"/>
    <w:rsid w:val="00732F75"/>
    <w:rsid w:val="007337FE"/>
    <w:rsid w:val="007350FE"/>
    <w:rsid w:val="00735958"/>
    <w:rsid w:val="00735FD9"/>
    <w:rsid w:val="0073614A"/>
    <w:rsid w:val="00736321"/>
    <w:rsid w:val="0073664C"/>
    <w:rsid w:val="00736975"/>
    <w:rsid w:val="00740366"/>
    <w:rsid w:val="00740823"/>
    <w:rsid w:val="00740E5D"/>
    <w:rsid w:val="007412A8"/>
    <w:rsid w:val="00741613"/>
    <w:rsid w:val="00743186"/>
    <w:rsid w:val="00743284"/>
    <w:rsid w:val="007439C5"/>
    <w:rsid w:val="00743E85"/>
    <w:rsid w:val="007449C3"/>
    <w:rsid w:val="0074566D"/>
    <w:rsid w:val="007469A1"/>
    <w:rsid w:val="007474DC"/>
    <w:rsid w:val="007478BB"/>
    <w:rsid w:val="007510CC"/>
    <w:rsid w:val="007532EA"/>
    <w:rsid w:val="00754959"/>
    <w:rsid w:val="00755735"/>
    <w:rsid w:val="00756E31"/>
    <w:rsid w:val="007571D0"/>
    <w:rsid w:val="007604E5"/>
    <w:rsid w:val="00761FA1"/>
    <w:rsid w:val="0076264A"/>
    <w:rsid w:val="007643A1"/>
    <w:rsid w:val="00765F33"/>
    <w:rsid w:val="00767281"/>
    <w:rsid w:val="00771EE3"/>
    <w:rsid w:val="007721F2"/>
    <w:rsid w:val="007723EF"/>
    <w:rsid w:val="00772DF9"/>
    <w:rsid w:val="007759A3"/>
    <w:rsid w:val="00777019"/>
    <w:rsid w:val="00777A38"/>
    <w:rsid w:val="007802A0"/>
    <w:rsid w:val="007806B1"/>
    <w:rsid w:val="0078074B"/>
    <w:rsid w:val="0078084B"/>
    <w:rsid w:val="00780B2D"/>
    <w:rsid w:val="007813EB"/>
    <w:rsid w:val="007826BC"/>
    <w:rsid w:val="007827D6"/>
    <w:rsid w:val="00782BC4"/>
    <w:rsid w:val="007832A3"/>
    <w:rsid w:val="007832AE"/>
    <w:rsid w:val="00783C8B"/>
    <w:rsid w:val="007845C3"/>
    <w:rsid w:val="00784EBF"/>
    <w:rsid w:val="0078707D"/>
    <w:rsid w:val="0078723F"/>
    <w:rsid w:val="00787848"/>
    <w:rsid w:val="00790628"/>
    <w:rsid w:val="0079123A"/>
    <w:rsid w:val="007924D8"/>
    <w:rsid w:val="00794337"/>
    <w:rsid w:val="00794C9B"/>
    <w:rsid w:val="00794D61"/>
    <w:rsid w:val="00794E20"/>
    <w:rsid w:val="00794EAF"/>
    <w:rsid w:val="007956FA"/>
    <w:rsid w:val="00796042"/>
    <w:rsid w:val="00796172"/>
    <w:rsid w:val="0079635D"/>
    <w:rsid w:val="00796733"/>
    <w:rsid w:val="007972EF"/>
    <w:rsid w:val="00797483"/>
    <w:rsid w:val="00797B1F"/>
    <w:rsid w:val="007A074A"/>
    <w:rsid w:val="007A1B23"/>
    <w:rsid w:val="007A1FED"/>
    <w:rsid w:val="007A2330"/>
    <w:rsid w:val="007A274F"/>
    <w:rsid w:val="007A2853"/>
    <w:rsid w:val="007A2930"/>
    <w:rsid w:val="007A3B68"/>
    <w:rsid w:val="007A3D45"/>
    <w:rsid w:val="007A5CDB"/>
    <w:rsid w:val="007B0CFC"/>
    <w:rsid w:val="007B4836"/>
    <w:rsid w:val="007B792A"/>
    <w:rsid w:val="007C014F"/>
    <w:rsid w:val="007C02BB"/>
    <w:rsid w:val="007C1564"/>
    <w:rsid w:val="007C3D6F"/>
    <w:rsid w:val="007C50D5"/>
    <w:rsid w:val="007C538D"/>
    <w:rsid w:val="007C5C47"/>
    <w:rsid w:val="007C631D"/>
    <w:rsid w:val="007C68EA"/>
    <w:rsid w:val="007C72B2"/>
    <w:rsid w:val="007C7A5E"/>
    <w:rsid w:val="007D03E5"/>
    <w:rsid w:val="007D056D"/>
    <w:rsid w:val="007D13A3"/>
    <w:rsid w:val="007D1C13"/>
    <w:rsid w:val="007D1FB1"/>
    <w:rsid w:val="007D1FB9"/>
    <w:rsid w:val="007D497B"/>
    <w:rsid w:val="007D6533"/>
    <w:rsid w:val="007D722B"/>
    <w:rsid w:val="007D7692"/>
    <w:rsid w:val="007D78F4"/>
    <w:rsid w:val="007D7BAE"/>
    <w:rsid w:val="007E179D"/>
    <w:rsid w:val="007E20BF"/>
    <w:rsid w:val="007E312B"/>
    <w:rsid w:val="007E464F"/>
    <w:rsid w:val="007E4E58"/>
    <w:rsid w:val="007E5C33"/>
    <w:rsid w:val="007E6536"/>
    <w:rsid w:val="007E74B0"/>
    <w:rsid w:val="007E757C"/>
    <w:rsid w:val="007E7CFD"/>
    <w:rsid w:val="007F0801"/>
    <w:rsid w:val="007F097A"/>
    <w:rsid w:val="007F103D"/>
    <w:rsid w:val="007F120B"/>
    <w:rsid w:val="007F14AD"/>
    <w:rsid w:val="007F18D2"/>
    <w:rsid w:val="007F1D2F"/>
    <w:rsid w:val="007F1E23"/>
    <w:rsid w:val="007F2527"/>
    <w:rsid w:val="007F27DB"/>
    <w:rsid w:val="007F2B89"/>
    <w:rsid w:val="007F33C3"/>
    <w:rsid w:val="007F4398"/>
    <w:rsid w:val="007F485F"/>
    <w:rsid w:val="007F4944"/>
    <w:rsid w:val="007F4C82"/>
    <w:rsid w:val="007F4CA3"/>
    <w:rsid w:val="007F5F56"/>
    <w:rsid w:val="007F632D"/>
    <w:rsid w:val="007F659A"/>
    <w:rsid w:val="007F6D0D"/>
    <w:rsid w:val="007F6F0F"/>
    <w:rsid w:val="007F777C"/>
    <w:rsid w:val="007F7D90"/>
    <w:rsid w:val="007F7F07"/>
    <w:rsid w:val="00800997"/>
    <w:rsid w:val="00800B8D"/>
    <w:rsid w:val="00800F4A"/>
    <w:rsid w:val="008018B9"/>
    <w:rsid w:val="00801F25"/>
    <w:rsid w:val="00802742"/>
    <w:rsid w:val="00802A0D"/>
    <w:rsid w:val="008037C0"/>
    <w:rsid w:val="00803CD7"/>
    <w:rsid w:val="00804D33"/>
    <w:rsid w:val="00805B04"/>
    <w:rsid w:val="00807CE4"/>
    <w:rsid w:val="008108E6"/>
    <w:rsid w:val="0081092F"/>
    <w:rsid w:val="00810D0B"/>
    <w:rsid w:val="0081290E"/>
    <w:rsid w:val="00813B73"/>
    <w:rsid w:val="00814593"/>
    <w:rsid w:val="008154C7"/>
    <w:rsid w:val="00816A34"/>
    <w:rsid w:val="008176A5"/>
    <w:rsid w:val="00817925"/>
    <w:rsid w:val="008179DA"/>
    <w:rsid w:val="0082062B"/>
    <w:rsid w:val="00820E64"/>
    <w:rsid w:val="00821473"/>
    <w:rsid w:val="00821D7B"/>
    <w:rsid w:val="00824F7D"/>
    <w:rsid w:val="0082654E"/>
    <w:rsid w:val="00826F21"/>
    <w:rsid w:val="00827150"/>
    <w:rsid w:val="0083018E"/>
    <w:rsid w:val="008305ED"/>
    <w:rsid w:val="00831C5E"/>
    <w:rsid w:val="00831C65"/>
    <w:rsid w:val="008327AF"/>
    <w:rsid w:val="008332A1"/>
    <w:rsid w:val="008343AB"/>
    <w:rsid w:val="00834422"/>
    <w:rsid w:val="00834932"/>
    <w:rsid w:val="00835077"/>
    <w:rsid w:val="008361BD"/>
    <w:rsid w:val="00836AB3"/>
    <w:rsid w:val="00836CBE"/>
    <w:rsid w:val="00837D77"/>
    <w:rsid w:val="00840810"/>
    <w:rsid w:val="00842C66"/>
    <w:rsid w:val="008440AA"/>
    <w:rsid w:val="00844799"/>
    <w:rsid w:val="00844FDF"/>
    <w:rsid w:val="0084527E"/>
    <w:rsid w:val="008452B0"/>
    <w:rsid w:val="0084664C"/>
    <w:rsid w:val="0084694C"/>
    <w:rsid w:val="008469A7"/>
    <w:rsid w:val="0084752F"/>
    <w:rsid w:val="008477DE"/>
    <w:rsid w:val="00847CE2"/>
    <w:rsid w:val="00850902"/>
    <w:rsid w:val="0085151E"/>
    <w:rsid w:val="00851E37"/>
    <w:rsid w:val="00852456"/>
    <w:rsid w:val="0085250F"/>
    <w:rsid w:val="008529BD"/>
    <w:rsid w:val="00852E45"/>
    <w:rsid w:val="008540F9"/>
    <w:rsid w:val="00854171"/>
    <w:rsid w:val="00854398"/>
    <w:rsid w:val="008543E4"/>
    <w:rsid w:val="00854646"/>
    <w:rsid w:val="008552D9"/>
    <w:rsid w:val="00857715"/>
    <w:rsid w:val="008602B4"/>
    <w:rsid w:val="008605B6"/>
    <w:rsid w:val="00861B8C"/>
    <w:rsid w:val="00862EC8"/>
    <w:rsid w:val="00863D05"/>
    <w:rsid w:val="008644ED"/>
    <w:rsid w:val="00865706"/>
    <w:rsid w:val="00865BBE"/>
    <w:rsid w:val="00866157"/>
    <w:rsid w:val="00866B35"/>
    <w:rsid w:val="00867609"/>
    <w:rsid w:val="00867DC2"/>
    <w:rsid w:val="00870318"/>
    <w:rsid w:val="00871BE4"/>
    <w:rsid w:val="0087222B"/>
    <w:rsid w:val="00873160"/>
    <w:rsid w:val="008743BA"/>
    <w:rsid w:val="00875838"/>
    <w:rsid w:val="00876D98"/>
    <w:rsid w:val="00877F0B"/>
    <w:rsid w:val="008804C4"/>
    <w:rsid w:val="00880F11"/>
    <w:rsid w:val="008811CF"/>
    <w:rsid w:val="00881590"/>
    <w:rsid w:val="0088183E"/>
    <w:rsid w:val="00883B32"/>
    <w:rsid w:val="0088484E"/>
    <w:rsid w:val="00885D63"/>
    <w:rsid w:val="0088683E"/>
    <w:rsid w:val="00887337"/>
    <w:rsid w:val="00887A2A"/>
    <w:rsid w:val="008916D6"/>
    <w:rsid w:val="00893483"/>
    <w:rsid w:val="00893A2D"/>
    <w:rsid w:val="00894572"/>
    <w:rsid w:val="00894D25"/>
    <w:rsid w:val="00894F3D"/>
    <w:rsid w:val="0089540A"/>
    <w:rsid w:val="00896124"/>
    <w:rsid w:val="0089796E"/>
    <w:rsid w:val="008A0977"/>
    <w:rsid w:val="008A09D6"/>
    <w:rsid w:val="008A19CB"/>
    <w:rsid w:val="008A2923"/>
    <w:rsid w:val="008A2C0F"/>
    <w:rsid w:val="008A44AE"/>
    <w:rsid w:val="008A5AC7"/>
    <w:rsid w:val="008A5FE2"/>
    <w:rsid w:val="008A62A1"/>
    <w:rsid w:val="008A6D03"/>
    <w:rsid w:val="008B12D5"/>
    <w:rsid w:val="008B2987"/>
    <w:rsid w:val="008B29B4"/>
    <w:rsid w:val="008B2BB1"/>
    <w:rsid w:val="008B2DAA"/>
    <w:rsid w:val="008B302F"/>
    <w:rsid w:val="008B37F3"/>
    <w:rsid w:val="008B407D"/>
    <w:rsid w:val="008B47C2"/>
    <w:rsid w:val="008B4D37"/>
    <w:rsid w:val="008B5024"/>
    <w:rsid w:val="008B5509"/>
    <w:rsid w:val="008B585F"/>
    <w:rsid w:val="008B759F"/>
    <w:rsid w:val="008C057A"/>
    <w:rsid w:val="008C0D65"/>
    <w:rsid w:val="008C191F"/>
    <w:rsid w:val="008C2BF9"/>
    <w:rsid w:val="008C32D6"/>
    <w:rsid w:val="008C39AB"/>
    <w:rsid w:val="008C4A22"/>
    <w:rsid w:val="008C4A93"/>
    <w:rsid w:val="008C4D23"/>
    <w:rsid w:val="008C4F4A"/>
    <w:rsid w:val="008C535F"/>
    <w:rsid w:val="008C6AB6"/>
    <w:rsid w:val="008C6DC4"/>
    <w:rsid w:val="008C73F3"/>
    <w:rsid w:val="008C7479"/>
    <w:rsid w:val="008C781B"/>
    <w:rsid w:val="008C7872"/>
    <w:rsid w:val="008D02FE"/>
    <w:rsid w:val="008D0690"/>
    <w:rsid w:val="008D0916"/>
    <w:rsid w:val="008D0B28"/>
    <w:rsid w:val="008D0C4B"/>
    <w:rsid w:val="008D25E0"/>
    <w:rsid w:val="008D299F"/>
    <w:rsid w:val="008D3546"/>
    <w:rsid w:val="008D3A9D"/>
    <w:rsid w:val="008D3B09"/>
    <w:rsid w:val="008D4121"/>
    <w:rsid w:val="008D5653"/>
    <w:rsid w:val="008D6E0E"/>
    <w:rsid w:val="008D773F"/>
    <w:rsid w:val="008E00D2"/>
    <w:rsid w:val="008E03EF"/>
    <w:rsid w:val="008E062E"/>
    <w:rsid w:val="008E0F46"/>
    <w:rsid w:val="008E1912"/>
    <w:rsid w:val="008E19BA"/>
    <w:rsid w:val="008E23BF"/>
    <w:rsid w:val="008E3766"/>
    <w:rsid w:val="008E3893"/>
    <w:rsid w:val="008E45CB"/>
    <w:rsid w:val="008E6AF5"/>
    <w:rsid w:val="008E75E1"/>
    <w:rsid w:val="008E77AC"/>
    <w:rsid w:val="008F004C"/>
    <w:rsid w:val="008F1E42"/>
    <w:rsid w:val="008F1F2F"/>
    <w:rsid w:val="008F20D7"/>
    <w:rsid w:val="008F384F"/>
    <w:rsid w:val="008F4604"/>
    <w:rsid w:val="008F5EA2"/>
    <w:rsid w:val="008F692E"/>
    <w:rsid w:val="00900B71"/>
    <w:rsid w:val="00900E95"/>
    <w:rsid w:val="0090166F"/>
    <w:rsid w:val="00901D48"/>
    <w:rsid w:val="009026BB"/>
    <w:rsid w:val="00902C5E"/>
    <w:rsid w:val="00903027"/>
    <w:rsid w:val="00903232"/>
    <w:rsid w:val="00903418"/>
    <w:rsid w:val="00903B14"/>
    <w:rsid w:val="0090418B"/>
    <w:rsid w:val="00904238"/>
    <w:rsid w:val="00904B6B"/>
    <w:rsid w:val="00904E5F"/>
    <w:rsid w:val="00905244"/>
    <w:rsid w:val="00905787"/>
    <w:rsid w:val="009075E8"/>
    <w:rsid w:val="0090799F"/>
    <w:rsid w:val="009104C4"/>
    <w:rsid w:val="00911663"/>
    <w:rsid w:val="00911784"/>
    <w:rsid w:val="0091199C"/>
    <w:rsid w:val="009121E7"/>
    <w:rsid w:val="00912C62"/>
    <w:rsid w:val="0091362E"/>
    <w:rsid w:val="009137D7"/>
    <w:rsid w:val="009141CB"/>
    <w:rsid w:val="00914978"/>
    <w:rsid w:val="00914B54"/>
    <w:rsid w:val="00914FE9"/>
    <w:rsid w:val="00915204"/>
    <w:rsid w:val="0091582B"/>
    <w:rsid w:val="009167E8"/>
    <w:rsid w:val="009217C5"/>
    <w:rsid w:val="00921E08"/>
    <w:rsid w:val="0092207B"/>
    <w:rsid w:val="009222DB"/>
    <w:rsid w:val="00922C8C"/>
    <w:rsid w:val="0092355F"/>
    <w:rsid w:val="00924742"/>
    <w:rsid w:val="00925194"/>
    <w:rsid w:val="00925E4E"/>
    <w:rsid w:val="009268AB"/>
    <w:rsid w:val="00926E6D"/>
    <w:rsid w:val="00926FC3"/>
    <w:rsid w:val="00927281"/>
    <w:rsid w:val="00927E5A"/>
    <w:rsid w:val="00930DED"/>
    <w:rsid w:val="00931600"/>
    <w:rsid w:val="00931959"/>
    <w:rsid w:val="00931ACC"/>
    <w:rsid w:val="0093343B"/>
    <w:rsid w:val="00935370"/>
    <w:rsid w:val="0093550D"/>
    <w:rsid w:val="009356D6"/>
    <w:rsid w:val="00935A88"/>
    <w:rsid w:val="00936683"/>
    <w:rsid w:val="009376C4"/>
    <w:rsid w:val="0093792D"/>
    <w:rsid w:val="0094006D"/>
    <w:rsid w:val="009414DB"/>
    <w:rsid w:val="0094319F"/>
    <w:rsid w:val="00944803"/>
    <w:rsid w:val="00944F0A"/>
    <w:rsid w:val="00947EF0"/>
    <w:rsid w:val="009503F3"/>
    <w:rsid w:val="00950D29"/>
    <w:rsid w:val="009512DE"/>
    <w:rsid w:val="00951809"/>
    <w:rsid w:val="00951AC9"/>
    <w:rsid w:val="00951C7D"/>
    <w:rsid w:val="009539DB"/>
    <w:rsid w:val="0095595D"/>
    <w:rsid w:val="00956926"/>
    <w:rsid w:val="00956F1C"/>
    <w:rsid w:val="00956FB6"/>
    <w:rsid w:val="00957400"/>
    <w:rsid w:val="00960879"/>
    <w:rsid w:val="00960E1C"/>
    <w:rsid w:val="0096144D"/>
    <w:rsid w:val="009614B5"/>
    <w:rsid w:val="00961587"/>
    <w:rsid w:val="009623EB"/>
    <w:rsid w:val="00962AB5"/>
    <w:rsid w:val="00963601"/>
    <w:rsid w:val="009644CD"/>
    <w:rsid w:val="009659D2"/>
    <w:rsid w:val="0097207D"/>
    <w:rsid w:val="00973C51"/>
    <w:rsid w:val="00973CC9"/>
    <w:rsid w:val="00974448"/>
    <w:rsid w:val="009750C7"/>
    <w:rsid w:val="009751AD"/>
    <w:rsid w:val="0097562D"/>
    <w:rsid w:val="009760C2"/>
    <w:rsid w:val="00976B06"/>
    <w:rsid w:val="00976FC2"/>
    <w:rsid w:val="0097702C"/>
    <w:rsid w:val="009770FE"/>
    <w:rsid w:val="00977DED"/>
    <w:rsid w:val="00980131"/>
    <w:rsid w:val="00980EE7"/>
    <w:rsid w:val="009814C1"/>
    <w:rsid w:val="00981A18"/>
    <w:rsid w:val="00981C07"/>
    <w:rsid w:val="00983B18"/>
    <w:rsid w:val="00983FA0"/>
    <w:rsid w:val="00984B61"/>
    <w:rsid w:val="009851E1"/>
    <w:rsid w:val="00985B85"/>
    <w:rsid w:val="00986BF4"/>
    <w:rsid w:val="00987C1F"/>
    <w:rsid w:val="00990DBC"/>
    <w:rsid w:val="009910DB"/>
    <w:rsid w:val="009921BB"/>
    <w:rsid w:val="00993C79"/>
    <w:rsid w:val="0099403A"/>
    <w:rsid w:val="009945A9"/>
    <w:rsid w:val="0099476B"/>
    <w:rsid w:val="009949D1"/>
    <w:rsid w:val="0099676F"/>
    <w:rsid w:val="00997579"/>
    <w:rsid w:val="009A0C1F"/>
    <w:rsid w:val="009A26D3"/>
    <w:rsid w:val="009A3275"/>
    <w:rsid w:val="009A3850"/>
    <w:rsid w:val="009A4350"/>
    <w:rsid w:val="009A4D0E"/>
    <w:rsid w:val="009A7355"/>
    <w:rsid w:val="009A73D5"/>
    <w:rsid w:val="009B02A3"/>
    <w:rsid w:val="009B0DB8"/>
    <w:rsid w:val="009B0DCB"/>
    <w:rsid w:val="009B1FB8"/>
    <w:rsid w:val="009B2060"/>
    <w:rsid w:val="009B3013"/>
    <w:rsid w:val="009B34E5"/>
    <w:rsid w:val="009B4455"/>
    <w:rsid w:val="009B5018"/>
    <w:rsid w:val="009B71DD"/>
    <w:rsid w:val="009B7888"/>
    <w:rsid w:val="009C0249"/>
    <w:rsid w:val="009C0651"/>
    <w:rsid w:val="009C0C9C"/>
    <w:rsid w:val="009C103B"/>
    <w:rsid w:val="009C17C2"/>
    <w:rsid w:val="009C1837"/>
    <w:rsid w:val="009C1A14"/>
    <w:rsid w:val="009C1ECB"/>
    <w:rsid w:val="009C294F"/>
    <w:rsid w:val="009C2D8E"/>
    <w:rsid w:val="009C3491"/>
    <w:rsid w:val="009C357D"/>
    <w:rsid w:val="009C421E"/>
    <w:rsid w:val="009C447D"/>
    <w:rsid w:val="009C4BE7"/>
    <w:rsid w:val="009C4EDA"/>
    <w:rsid w:val="009C63EA"/>
    <w:rsid w:val="009C63EB"/>
    <w:rsid w:val="009C75A6"/>
    <w:rsid w:val="009C7A3D"/>
    <w:rsid w:val="009C7F2D"/>
    <w:rsid w:val="009D0835"/>
    <w:rsid w:val="009D196A"/>
    <w:rsid w:val="009D29BA"/>
    <w:rsid w:val="009D2D41"/>
    <w:rsid w:val="009D3944"/>
    <w:rsid w:val="009D3E8A"/>
    <w:rsid w:val="009D4823"/>
    <w:rsid w:val="009D49D4"/>
    <w:rsid w:val="009D5386"/>
    <w:rsid w:val="009D6B1F"/>
    <w:rsid w:val="009D6F14"/>
    <w:rsid w:val="009D71FD"/>
    <w:rsid w:val="009D7925"/>
    <w:rsid w:val="009D7C64"/>
    <w:rsid w:val="009D7E9E"/>
    <w:rsid w:val="009E0412"/>
    <w:rsid w:val="009E09C3"/>
    <w:rsid w:val="009E0C0C"/>
    <w:rsid w:val="009E0E9E"/>
    <w:rsid w:val="009E1E14"/>
    <w:rsid w:val="009E2780"/>
    <w:rsid w:val="009E2C2B"/>
    <w:rsid w:val="009E647D"/>
    <w:rsid w:val="009F0CBE"/>
    <w:rsid w:val="009F1721"/>
    <w:rsid w:val="009F2171"/>
    <w:rsid w:val="009F2698"/>
    <w:rsid w:val="009F45DE"/>
    <w:rsid w:val="009F6532"/>
    <w:rsid w:val="009F6C73"/>
    <w:rsid w:val="009F6D7C"/>
    <w:rsid w:val="009F7992"/>
    <w:rsid w:val="00A00A68"/>
    <w:rsid w:val="00A04322"/>
    <w:rsid w:val="00A050BD"/>
    <w:rsid w:val="00A06E5A"/>
    <w:rsid w:val="00A0708C"/>
    <w:rsid w:val="00A07110"/>
    <w:rsid w:val="00A07227"/>
    <w:rsid w:val="00A0751B"/>
    <w:rsid w:val="00A079C7"/>
    <w:rsid w:val="00A10C7A"/>
    <w:rsid w:val="00A11D52"/>
    <w:rsid w:val="00A1278C"/>
    <w:rsid w:val="00A133B5"/>
    <w:rsid w:val="00A1394A"/>
    <w:rsid w:val="00A13A11"/>
    <w:rsid w:val="00A1407C"/>
    <w:rsid w:val="00A14EB8"/>
    <w:rsid w:val="00A152E5"/>
    <w:rsid w:val="00A17318"/>
    <w:rsid w:val="00A1743E"/>
    <w:rsid w:val="00A20699"/>
    <w:rsid w:val="00A218FA"/>
    <w:rsid w:val="00A21968"/>
    <w:rsid w:val="00A21D03"/>
    <w:rsid w:val="00A22155"/>
    <w:rsid w:val="00A221A7"/>
    <w:rsid w:val="00A22705"/>
    <w:rsid w:val="00A22796"/>
    <w:rsid w:val="00A24066"/>
    <w:rsid w:val="00A2502E"/>
    <w:rsid w:val="00A25073"/>
    <w:rsid w:val="00A2543D"/>
    <w:rsid w:val="00A26C45"/>
    <w:rsid w:val="00A3021B"/>
    <w:rsid w:val="00A323EB"/>
    <w:rsid w:val="00A32839"/>
    <w:rsid w:val="00A33794"/>
    <w:rsid w:val="00A34764"/>
    <w:rsid w:val="00A34F88"/>
    <w:rsid w:val="00A35DB7"/>
    <w:rsid w:val="00A4047A"/>
    <w:rsid w:val="00A40EEA"/>
    <w:rsid w:val="00A41531"/>
    <w:rsid w:val="00A4228B"/>
    <w:rsid w:val="00A4354A"/>
    <w:rsid w:val="00A43630"/>
    <w:rsid w:val="00A43FA5"/>
    <w:rsid w:val="00A45421"/>
    <w:rsid w:val="00A45E5B"/>
    <w:rsid w:val="00A470E1"/>
    <w:rsid w:val="00A50380"/>
    <w:rsid w:val="00A50557"/>
    <w:rsid w:val="00A50DC8"/>
    <w:rsid w:val="00A50F13"/>
    <w:rsid w:val="00A537D0"/>
    <w:rsid w:val="00A543F2"/>
    <w:rsid w:val="00A57241"/>
    <w:rsid w:val="00A57412"/>
    <w:rsid w:val="00A57B7B"/>
    <w:rsid w:val="00A60100"/>
    <w:rsid w:val="00A60220"/>
    <w:rsid w:val="00A60273"/>
    <w:rsid w:val="00A624D2"/>
    <w:rsid w:val="00A63C81"/>
    <w:rsid w:val="00A649C7"/>
    <w:rsid w:val="00A64A18"/>
    <w:rsid w:val="00A64A95"/>
    <w:rsid w:val="00A65D0E"/>
    <w:rsid w:val="00A66A54"/>
    <w:rsid w:val="00A675EB"/>
    <w:rsid w:val="00A677BA"/>
    <w:rsid w:val="00A67E64"/>
    <w:rsid w:val="00A70EC5"/>
    <w:rsid w:val="00A7182F"/>
    <w:rsid w:val="00A71A4B"/>
    <w:rsid w:val="00A72347"/>
    <w:rsid w:val="00A73611"/>
    <w:rsid w:val="00A74255"/>
    <w:rsid w:val="00A74306"/>
    <w:rsid w:val="00A7507B"/>
    <w:rsid w:val="00A75667"/>
    <w:rsid w:val="00A75A26"/>
    <w:rsid w:val="00A76450"/>
    <w:rsid w:val="00A76529"/>
    <w:rsid w:val="00A76A5B"/>
    <w:rsid w:val="00A80E1E"/>
    <w:rsid w:val="00A813F0"/>
    <w:rsid w:val="00A82402"/>
    <w:rsid w:val="00A82EC1"/>
    <w:rsid w:val="00A852EC"/>
    <w:rsid w:val="00A855D7"/>
    <w:rsid w:val="00A85D11"/>
    <w:rsid w:val="00A862D3"/>
    <w:rsid w:val="00A90031"/>
    <w:rsid w:val="00A900DF"/>
    <w:rsid w:val="00A90345"/>
    <w:rsid w:val="00A9156D"/>
    <w:rsid w:val="00A917CF"/>
    <w:rsid w:val="00A91D26"/>
    <w:rsid w:val="00A91DBC"/>
    <w:rsid w:val="00A91DE5"/>
    <w:rsid w:val="00A92BB0"/>
    <w:rsid w:val="00A94178"/>
    <w:rsid w:val="00A94552"/>
    <w:rsid w:val="00A94EA7"/>
    <w:rsid w:val="00A95926"/>
    <w:rsid w:val="00A95B33"/>
    <w:rsid w:val="00A96294"/>
    <w:rsid w:val="00A96A1D"/>
    <w:rsid w:val="00AA040A"/>
    <w:rsid w:val="00AA0467"/>
    <w:rsid w:val="00AA100E"/>
    <w:rsid w:val="00AA1056"/>
    <w:rsid w:val="00AA2143"/>
    <w:rsid w:val="00AA2381"/>
    <w:rsid w:val="00AA23E3"/>
    <w:rsid w:val="00AA277E"/>
    <w:rsid w:val="00AA2B7A"/>
    <w:rsid w:val="00AA35C7"/>
    <w:rsid w:val="00AA3D66"/>
    <w:rsid w:val="00AA4726"/>
    <w:rsid w:val="00AA4BA3"/>
    <w:rsid w:val="00AA5BB4"/>
    <w:rsid w:val="00AA6101"/>
    <w:rsid w:val="00AA795D"/>
    <w:rsid w:val="00AB1165"/>
    <w:rsid w:val="00AB148B"/>
    <w:rsid w:val="00AB22B9"/>
    <w:rsid w:val="00AB3423"/>
    <w:rsid w:val="00AB3894"/>
    <w:rsid w:val="00AB65B0"/>
    <w:rsid w:val="00AB7564"/>
    <w:rsid w:val="00AB7B5F"/>
    <w:rsid w:val="00AC06E2"/>
    <w:rsid w:val="00AC0DC9"/>
    <w:rsid w:val="00AC21CE"/>
    <w:rsid w:val="00AC27AA"/>
    <w:rsid w:val="00AC30B2"/>
    <w:rsid w:val="00AC3637"/>
    <w:rsid w:val="00AC3BC8"/>
    <w:rsid w:val="00AC4071"/>
    <w:rsid w:val="00AC4978"/>
    <w:rsid w:val="00AC5255"/>
    <w:rsid w:val="00AC5737"/>
    <w:rsid w:val="00AC57B7"/>
    <w:rsid w:val="00AC58E1"/>
    <w:rsid w:val="00AC5A68"/>
    <w:rsid w:val="00AC6330"/>
    <w:rsid w:val="00AC65F5"/>
    <w:rsid w:val="00AC759D"/>
    <w:rsid w:val="00AD01AD"/>
    <w:rsid w:val="00AD0742"/>
    <w:rsid w:val="00AD0B98"/>
    <w:rsid w:val="00AD1FF0"/>
    <w:rsid w:val="00AD22B9"/>
    <w:rsid w:val="00AD4040"/>
    <w:rsid w:val="00AD6BD2"/>
    <w:rsid w:val="00AD7621"/>
    <w:rsid w:val="00AD7DB6"/>
    <w:rsid w:val="00AE0143"/>
    <w:rsid w:val="00AE0AFE"/>
    <w:rsid w:val="00AE1771"/>
    <w:rsid w:val="00AE1DF4"/>
    <w:rsid w:val="00AE278F"/>
    <w:rsid w:val="00AE3384"/>
    <w:rsid w:val="00AE3641"/>
    <w:rsid w:val="00AE42FA"/>
    <w:rsid w:val="00AE523D"/>
    <w:rsid w:val="00AE5C2B"/>
    <w:rsid w:val="00AE5E6A"/>
    <w:rsid w:val="00AE6270"/>
    <w:rsid w:val="00AE7397"/>
    <w:rsid w:val="00AF11FA"/>
    <w:rsid w:val="00AF1431"/>
    <w:rsid w:val="00AF1633"/>
    <w:rsid w:val="00AF184D"/>
    <w:rsid w:val="00AF2911"/>
    <w:rsid w:val="00AF4AB5"/>
    <w:rsid w:val="00AF56A9"/>
    <w:rsid w:val="00AF5E4E"/>
    <w:rsid w:val="00AF6D57"/>
    <w:rsid w:val="00AF6E55"/>
    <w:rsid w:val="00AF79C9"/>
    <w:rsid w:val="00AF7EC9"/>
    <w:rsid w:val="00B0097B"/>
    <w:rsid w:val="00B038D9"/>
    <w:rsid w:val="00B04013"/>
    <w:rsid w:val="00B04401"/>
    <w:rsid w:val="00B06AD6"/>
    <w:rsid w:val="00B06AE9"/>
    <w:rsid w:val="00B06D54"/>
    <w:rsid w:val="00B0713E"/>
    <w:rsid w:val="00B105A5"/>
    <w:rsid w:val="00B107C4"/>
    <w:rsid w:val="00B10B6A"/>
    <w:rsid w:val="00B10EEB"/>
    <w:rsid w:val="00B1248E"/>
    <w:rsid w:val="00B126DF"/>
    <w:rsid w:val="00B14340"/>
    <w:rsid w:val="00B17032"/>
    <w:rsid w:val="00B17536"/>
    <w:rsid w:val="00B20DC5"/>
    <w:rsid w:val="00B229F8"/>
    <w:rsid w:val="00B23967"/>
    <w:rsid w:val="00B24917"/>
    <w:rsid w:val="00B256B2"/>
    <w:rsid w:val="00B257FE"/>
    <w:rsid w:val="00B25993"/>
    <w:rsid w:val="00B30C58"/>
    <w:rsid w:val="00B34888"/>
    <w:rsid w:val="00B34A54"/>
    <w:rsid w:val="00B3561F"/>
    <w:rsid w:val="00B35D8E"/>
    <w:rsid w:val="00B36BFF"/>
    <w:rsid w:val="00B36EE4"/>
    <w:rsid w:val="00B3723E"/>
    <w:rsid w:val="00B373E8"/>
    <w:rsid w:val="00B4063E"/>
    <w:rsid w:val="00B40FD7"/>
    <w:rsid w:val="00B41353"/>
    <w:rsid w:val="00B414D0"/>
    <w:rsid w:val="00B41B6D"/>
    <w:rsid w:val="00B41D2D"/>
    <w:rsid w:val="00B42AAB"/>
    <w:rsid w:val="00B42CA5"/>
    <w:rsid w:val="00B42EA3"/>
    <w:rsid w:val="00B42F23"/>
    <w:rsid w:val="00B4314C"/>
    <w:rsid w:val="00B432A2"/>
    <w:rsid w:val="00B4338D"/>
    <w:rsid w:val="00B442A0"/>
    <w:rsid w:val="00B4562D"/>
    <w:rsid w:val="00B45B7F"/>
    <w:rsid w:val="00B46382"/>
    <w:rsid w:val="00B46597"/>
    <w:rsid w:val="00B4691C"/>
    <w:rsid w:val="00B46AA9"/>
    <w:rsid w:val="00B47FD8"/>
    <w:rsid w:val="00B50BA0"/>
    <w:rsid w:val="00B51E11"/>
    <w:rsid w:val="00B545FD"/>
    <w:rsid w:val="00B549A4"/>
    <w:rsid w:val="00B54F30"/>
    <w:rsid w:val="00B55904"/>
    <w:rsid w:val="00B577E4"/>
    <w:rsid w:val="00B604CA"/>
    <w:rsid w:val="00B60F68"/>
    <w:rsid w:val="00B61455"/>
    <w:rsid w:val="00B62596"/>
    <w:rsid w:val="00B6298C"/>
    <w:rsid w:val="00B63B63"/>
    <w:rsid w:val="00B63E15"/>
    <w:rsid w:val="00B65619"/>
    <w:rsid w:val="00B65F7D"/>
    <w:rsid w:val="00B663DF"/>
    <w:rsid w:val="00B67BE9"/>
    <w:rsid w:val="00B70532"/>
    <w:rsid w:val="00B71105"/>
    <w:rsid w:val="00B724F3"/>
    <w:rsid w:val="00B739C4"/>
    <w:rsid w:val="00B73F25"/>
    <w:rsid w:val="00B741B2"/>
    <w:rsid w:val="00B744A2"/>
    <w:rsid w:val="00B74CCB"/>
    <w:rsid w:val="00B74F96"/>
    <w:rsid w:val="00B74FE8"/>
    <w:rsid w:val="00B75047"/>
    <w:rsid w:val="00B75E1A"/>
    <w:rsid w:val="00B7667E"/>
    <w:rsid w:val="00B768AB"/>
    <w:rsid w:val="00B7773B"/>
    <w:rsid w:val="00B77843"/>
    <w:rsid w:val="00B77934"/>
    <w:rsid w:val="00B80413"/>
    <w:rsid w:val="00B8151D"/>
    <w:rsid w:val="00B81D08"/>
    <w:rsid w:val="00B83D45"/>
    <w:rsid w:val="00B84363"/>
    <w:rsid w:val="00B864DE"/>
    <w:rsid w:val="00B868E3"/>
    <w:rsid w:val="00B86D3C"/>
    <w:rsid w:val="00B86D85"/>
    <w:rsid w:val="00B86E1A"/>
    <w:rsid w:val="00B879BD"/>
    <w:rsid w:val="00B90B25"/>
    <w:rsid w:val="00B91D73"/>
    <w:rsid w:val="00B947A5"/>
    <w:rsid w:val="00B95D31"/>
    <w:rsid w:val="00B9626B"/>
    <w:rsid w:val="00B97E08"/>
    <w:rsid w:val="00BA12B1"/>
    <w:rsid w:val="00BA1611"/>
    <w:rsid w:val="00BA1D5E"/>
    <w:rsid w:val="00BA23E6"/>
    <w:rsid w:val="00BA29F7"/>
    <w:rsid w:val="00BA2F17"/>
    <w:rsid w:val="00BA514D"/>
    <w:rsid w:val="00BA567B"/>
    <w:rsid w:val="00BA61A3"/>
    <w:rsid w:val="00BA6B74"/>
    <w:rsid w:val="00BA7E4E"/>
    <w:rsid w:val="00BB05C3"/>
    <w:rsid w:val="00BB181D"/>
    <w:rsid w:val="00BB1DD5"/>
    <w:rsid w:val="00BB1E16"/>
    <w:rsid w:val="00BB37BE"/>
    <w:rsid w:val="00BB559A"/>
    <w:rsid w:val="00BB7E44"/>
    <w:rsid w:val="00BC0116"/>
    <w:rsid w:val="00BC2269"/>
    <w:rsid w:val="00BC33FC"/>
    <w:rsid w:val="00BC4CB2"/>
    <w:rsid w:val="00BC4F6A"/>
    <w:rsid w:val="00BC509B"/>
    <w:rsid w:val="00BC64AE"/>
    <w:rsid w:val="00BC698E"/>
    <w:rsid w:val="00BC6BDB"/>
    <w:rsid w:val="00BC7EB4"/>
    <w:rsid w:val="00BD0ABB"/>
    <w:rsid w:val="00BD0CB7"/>
    <w:rsid w:val="00BD0EDA"/>
    <w:rsid w:val="00BD2391"/>
    <w:rsid w:val="00BD4A08"/>
    <w:rsid w:val="00BD5700"/>
    <w:rsid w:val="00BD691D"/>
    <w:rsid w:val="00BD7F9B"/>
    <w:rsid w:val="00BE0493"/>
    <w:rsid w:val="00BE0544"/>
    <w:rsid w:val="00BE0849"/>
    <w:rsid w:val="00BE143A"/>
    <w:rsid w:val="00BE1FB9"/>
    <w:rsid w:val="00BE2799"/>
    <w:rsid w:val="00BE28FC"/>
    <w:rsid w:val="00BE394C"/>
    <w:rsid w:val="00BE3F99"/>
    <w:rsid w:val="00BE4745"/>
    <w:rsid w:val="00BE49C7"/>
    <w:rsid w:val="00BE6464"/>
    <w:rsid w:val="00BE6D77"/>
    <w:rsid w:val="00BE70CE"/>
    <w:rsid w:val="00BF1092"/>
    <w:rsid w:val="00BF344B"/>
    <w:rsid w:val="00BF4CB2"/>
    <w:rsid w:val="00BF5099"/>
    <w:rsid w:val="00BF5A7B"/>
    <w:rsid w:val="00BF5BEA"/>
    <w:rsid w:val="00BF6A1B"/>
    <w:rsid w:val="00BF70F0"/>
    <w:rsid w:val="00BF7A5D"/>
    <w:rsid w:val="00BF7BAC"/>
    <w:rsid w:val="00C00EEA"/>
    <w:rsid w:val="00C01CAD"/>
    <w:rsid w:val="00C03FB9"/>
    <w:rsid w:val="00C044AA"/>
    <w:rsid w:val="00C04660"/>
    <w:rsid w:val="00C050D9"/>
    <w:rsid w:val="00C0585F"/>
    <w:rsid w:val="00C07472"/>
    <w:rsid w:val="00C07C8E"/>
    <w:rsid w:val="00C1063D"/>
    <w:rsid w:val="00C10AA7"/>
    <w:rsid w:val="00C111A7"/>
    <w:rsid w:val="00C115FA"/>
    <w:rsid w:val="00C12736"/>
    <w:rsid w:val="00C13399"/>
    <w:rsid w:val="00C143D4"/>
    <w:rsid w:val="00C1455C"/>
    <w:rsid w:val="00C14EB0"/>
    <w:rsid w:val="00C169C4"/>
    <w:rsid w:val="00C16B46"/>
    <w:rsid w:val="00C16FE3"/>
    <w:rsid w:val="00C1740D"/>
    <w:rsid w:val="00C20175"/>
    <w:rsid w:val="00C214FE"/>
    <w:rsid w:val="00C21AE1"/>
    <w:rsid w:val="00C21EAA"/>
    <w:rsid w:val="00C2233F"/>
    <w:rsid w:val="00C23BD7"/>
    <w:rsid w:val="00C24C63"/>
    <w:rsid w:val="00C268EB"/>
    <w:rsid w:val="00C26DCF"/>
    <w:rsid w:val="00C3159F"/>
    <w:rsid w:val="00C318C5"/>
    <w:rsid w:val="00C31AB3"/>
    <w:rsid w:val="00C31BDC"/>
    <w:rsid w:val="00C332A4"/>
    <w:rsid w:val="00C3330D"/>
    <w:rsid w:val="00C33324"/>
    <w:rsid w:val="00C337BF"/>
    <w:rsid w:val="00C3396C"/>
    <w:rsid w:val="00C34080"/>
    <w:rsid w:val="00C3471E"/>
    <w:rsid w:val="00C34859"/>
    <w:rsid w:val="00C34E76"/>
    <w:rsid w:val="00C34F80"/>
    <w:rsid w:val="00C35097"/>
    <w:rsid w:val="00C351AF"/>
    <w:rsid w:val="00C37F71"/>
    <w:rsid w:val="00C40A89"/>
    <w:rsid w:val="00C41D0F"/>
    <w:rsid w:val="00C41DAC"/>
    <w:rsid w:val="00C42352"/>
    <w:rsid w:val="00C42758"/>
    <w:rsid w:val="00C42E5D"/>
    <w:rsid w:val="00C44009"/>
    <w:rsid w:val="00C44241"/>
    <w:rsid w:val="00C44F79"/>
    <w:rsid w:val="00C451CA"/>
    <w:rsid w:val="00C4550B"/>
    <w:rsid w:val="00C4598F"/>
    <w:rsid w:val="00C459EE"/>
    <w:rsid w:val="00C468B6"/>
    <w:rsid w:val="00C46A29"/>
    <w:rsid w:val="00C46B0E"/>
    <w:rsid w:val="00C46D3E"/>
    <w:rsid w:val="00C51942"/>
    <w:rsid w:val="00C521BF"/>
    <w:rsid w:val="00C54857"/>
    <w:rsid w:val="00C55533"/>
    <w:rsid w:val="00C557D1"/>
    <w:rsid w:val="00C55883"/>
    <w:rsid w:val="00C55A68"/>
    <w:rsid w:val="00C55F06"/>
    <w:rsid w:val="00C56CBE"/>
    <w:rsid w:val="00C60517"/>
    <w:rsid w:val="00C61166"/>
    <w:rsid w:val="00C61720"/>
    <w:rsid w:val="00C61FD7"/>
    <w:rsid w:val="00C62202"/>
    <w:rsid w:val="00C6231F"/>
    <w:rsid w:val="00C631BD"/>
    <w:rsid w:val="00C65189"/>
    <w:rsid w:val="00C6604F"/>
    <w:rsid w:val="00C7138B"/>
    <w:rsid w:val="00C71798"/>
    <w:rsid w:val="00C71D0B"/>
    <w:rsid w:val="00C7402B"/>
    <w:rsid w:val="00C74031"/>
    <w:rsid w:val="00C740DD"/>
    <w:rsid w:val="00C7425E"/>
    <w:rsid w:val="00C74521"/>
    <w:rsid w:val="00C74EC2"/>
    <w:rsid w:val="00C7546E"/>
    <w:rsid w:val="00C759B6"/>
    <w:rsid w:val="00C77D70"/>
    <w:rsid w:val="00C81800"/>
    <w:rsid w:val="00C82A84"/>
    <w:rsid w:val="00C82D1B"/>
    <w:rsid w:val="00C869E6"/>
    <w:rsid w:val="00C872B9"/>
    <w:rsid w:val="00C91147"/>
    <w:rsid w:val="00C91CDF"/>
    <w:rsid w:val="00C922E1"/>
    <w:rsid w:val="00C92499"/>
    <w:rsid w:val="00C9486D"/>
    <w:rsid w:val="00C95123"/>
    <w:rsid w:val="00C954A9"/>
    <w:rsid w:val="00C962AF"/>
    <w:rsid w:val="00C96F30"/>
    <w:rsid w:val="00CA007E"/>
    <w:rsid w:val="00CA142C"/>
    <w:rsid w:val="00CA1601"/>
    <w:rsid w:val="00CA1EBD"/>
    <w:rsid w:val="00CA2078"/>
    <w:rsid w:val="00CA2802"/>
    <w:rsid w:val="00CA4312"/>
    <w:rsid w:val="00CA4D79"/>
    <w:rsid w:val="00CA539D"/>
    <w:rsid w:val="00CA57F7"/>
    <w:rsid w:val="00CA595A"/>
    <w:rsid w:val="00CA5A26"/>
    <w:rsid w:val="00CA5FFA"/>
    <w:rsid w:val="00CA6A8B"/>
    <w:rsid w:val="00CA72E1"/>
    <w:rsid w:val="00CA7820"/>
    <w:rsid w:val="00CB0739"/>
    <w:rsid w:val="00CB1974"/>
    <w:rsid w:val="00CB2852"/>
    <w:rsid w:val="00CB2C6A"/>
    <w:rsid w:val="00CB3A88"/>
    <w:rsid w:val="00CB4C79"/>
    <w:rsid w:val="00CB4FD5"/>
    <w:rsid w:val="00CB5B9C"/>
    <w:rsid w:val="00CB5CE0"/>
    <w:rsid w:val="00CB6466"/>
    <w:rsid w:val="00CB70FE"/>
    <w:rsid w:val="00CC0001"/>
    <w:rsid w:val="00CC14F2"/>
    <w:rsid w:val="00CC333B"/>
    <w:rsid w:val="00CC6F3D"/>
    <w:rsid w:val="00CC7CF1"/>
    <w:rsid w:val="00CD0520"/>
    <w:rsid w:val="00CD2934"/>
    <w:rsid w:val="00CD346A"/>
    <w:rsid w:val="00CD62F6"/>
    <w:rsid w:val="00CD7682"/>
    <w:rsid w:val="00CD7840"/>
    <w:rsid w:val="00CD7C92"/>
    <w:rsid w:val="00CE08FC"/>
    <w:rsid w:val="00CE1D9C"/>
    <w:rsid w:val="00CE2FB3"/>
    <w:rsid w:val="00CE353E"/>
    <w:rsid w:val="00CE389B"/>
    <w:rsid w:val="00CE3AB1"/>
    <w:rsid w:val="00CE552F"/>
    <w:rsid w:val="00CE68F5"/>
    <w:rsid w:val="00CE6D03"/>
    <w:rsid w:val="00CE7286"/>
    <w:rsid w:val="00CF0026"/>
    <w:rsid w:val="00CF09D3"/>
    <w:rsid w:val="00CF0D24"/>
    <w:rsid w:val="00CF10E6"/>
    <w:rsid w:val="00CF12D8"/>
    <w:rsid w:val="00CF29C1"/>
    <w:rsid w:val="00CF3612"/>
    <w:rsid w:val="00CF45A1"/>
    <w:rsid w:val="00CF4F52"/>
    <w:rsid w:val="00CF5FC5"/>
    <w:rsid w:val="00CF6A03"/>
    <w:rsid w:val="00CF6DEA"/>
    <w:rsid w:val="00CF73FB"/>
    <w:rsid w:val="00D01084"/>
    <w:rsid w:val="00D016BB"/>
    <w:rsid w:val="00D026EF"/>
    <w:rsid w:val="00D029F1"/>
    <w:rsid w:val="00D02B2D"/>
    <w:rsid w:val="00D02D31"/>
    <w:rsid w:val="00D04640"/>
    <w:rsid w:val="00D06455"/>
    <w:rsid w:val="00D1127D"/>
    <w:rsid w:val="00D11E8B"/>
    <w:rsid w:val="00D12381"/>
    <w:rsid w:val="00D16629"/>
    <w:rsid w:val="00D1720C"/>
    <w:rsid w:val="00D216AA"/>
    <w:rsid w:val="00D21C8C"/>
    <w:rsid w:val="00D224B9"/>
    <w:rsid w:val="00D23452"/>
    <w:rsid w:val="00D23812"/>
    <w:rsid w:val="00D24EBD"/>
    <w:rsid w:val="00D2599F"/>
    <w:rsid w:val="00D25D4F"/>
    <w:rsid w:val="00D263E5"/>
    <w:rsid w:val="00D269ED"/>
    <w:rsid w:val="00D26A90"/>
    <w:rsid w:val="00D26E3D"/>
    <w:rsid w:val="00D2716C"/>
    <w:rsid w:val="00D301D6"/>
    <w:rsid w:val="00D31078"/>
    <w:rsid w:val="00D31651"/>
    <w:rsid w:val="00D324A1"/>
    <w:rsid w:val="00D324EC"/>
    <w:rsid w:val="00D3254F"/>
    <w:rsid w:val="00D34BD4"/>
    <w:rsid w:val="00D351CE"/>
    <w:rsid w:val="00D35FF6"/>
    <w:rsid w:val="00D41089"/>
    <w:rsid w:val="00D410B3"/>
    <w:rsid w:val="00D41CB3"/>
    <w:rsid w:val="00D421C4"/>
    <w:rsid w:val="00D42736"/>
    <w:rsid w:val="00D43BC8"/>
    <w:rsid w:val="00D440B6"/>
    <w:rsid w:val="00D44698"/>
    <w:rsid w:val="00D4494F"/>
    <w:rsid w:val="00D46BA8"/>
    <w:rsid w:val="00D4792F"/>
    <w:rsid w:val="00D50307"/>
    <w:rsid w:val="00D506A3"/>
    <w:rsid w:val="00D50C80"/>
    <w:rsid w:val="00D510BD"/>
    <w:rsid w:val="00D523DB"/>
    <w:rsid w:val="00D524B5"/>
    <w:rsid w:val="00D5293D"/>
    <w:rsid w:val="00D5307A"/>
    <w:rsid w:val="00D53DB6"/>
    <w:rsid w:val="00D551FF"/>
    <w:rsid w:val="00D55486"/>
    <w:rsid w:val="00D56A92"/>
    <w:rsid w:val="00D56DA3"/>
    <w:rsid w:val="00D57689"/>
    <w:rsid w:val="00D6089C"/>
    <w:rsid w:val="00D62CA1"/>
    <w:rsid w:val="00D63C89"/>
    <w:rsid w:val="00D647AA"/>
    <w:rsid w:val="00D64926"/>
    <w:rsid w:val="00D64F5A"/>
    <w:rsid w:val="00D65795"/>
    <w:rsid w:val="00D7117D"/>
    <w:rsid w:val="00D71DEC"/>
    <w:rsid w:val="00D737D1"/>
    <w:rsid w:val="00D748C7"/>
    <w:rsid w:val="00D7531B"/>
    <w:rsid w:val="00D754FF"/>
    <w:rsid w:val="00D75935"/>
    <w:rsid w:val="00D7600F"/>
    <w:rsid w:val="00D76670"/>
    <w:rsid w:val="00D76DBD"/>
    <w:rsid w:val="00D76EDA"/>
    <w:rsid w:val="00D77015"/>
    <w:rsid w:val="00D7762A"/>
    <w:rsid w:val="00D802B8"/>
    <w:rsid w:val="00D84F8F"/>
    <w:rsid w:val="00D851F3"/>
    <w:rsid w:val="00D855EC"/>
    <w:rsid w:val="00D85C1E"/>
    <w:rsid w:val="00D85C65"/>
    <w:rsid w:val="00D8775A"/>
    <w:rsid w:val="00D87E69"/>
    <w:rsid w:val="00D87EA6"/>
    <w:rsid w:val="00D9067A"/>
    <w:rsid w:val="00D90A17"/>
    <w:rsid w:val="00D91DEF"/>
    <w:rsid w:val="00D92138"/>
    <w:rsid w:val="00D925FB"/>
    <w:rsid w:val="00D928F0"/>
    <w:rsid w:val="00D92A90"/>
    <w:rsid w:val="00D93225"/>
    <w:rsid w:val="00D93B3A"/>
    <w:rsid w:val="00D9403F"/>
    <w:rsid w:val="00D9454D"/>
    <w:rsid w:val="00D94F07"/>
    <w:rsid w:val="00D94F0F"/>
    <w:rsid w:val="00D9514C"/>
    <w:rsid w:val="00D96014"/>
    <w:rsid w:val="00D97CD8"/>
    <w:rsid w:val="00D97F24"/>
    <w:rsid w:val="00DA0BA1"/>
    <w:rsid w:val="00DA152C"/>
    <w:rsid w:val="00DA1E29"/>
    <w:rsid w:val="00DA4D0D"/>
    <w:rsid w:val="00DA7164"/>
    <w:rsid w:val="00DA7FD0"/>
    <w:rsid w:val="00DB0B31"/>
    <w:rsid w:val="00DB13AB"/>
    <w:rsid w:val="00DB1414"/>
    <w:rsid w:val="00DB14B6"/>
    <w:rsid w:val="00DB19B9"/>
    <w:rsid w:val="00DB1A6A"/>
    <w:rsid w:val="00DB1B89"/>
    <w:rsid w:val="00DB2651"/>
    <w:rsid w:val="00DB3AD5"/>
    <w:rsid w:val="00DB3DC6"/>
    <w:rsid w:val="00DB4AB3"/>
    <w:rsid w:val="00DB55E4"/>
    <w:rsid w:val="00DB5D81"/>
    <w:rsid w:val="00DB6065"/>
    <w:rsid w:val="00DB6535"/>
    <w:rsid w:val="00DB65C9"/>
    <w:rsid w:val="00DB6F97"/>
    <w:rsid w:val="00DB7239"/>
    <w:rsid w:val="00DC0041"/>
    <w:rsid w:val="00DC0597"/>
    <w:rsid w:val="00DC119F"/>
    <w:rsid w:val="00DC126D"/>
    <w:rsid w:val="00DC163B"/>
    <w:rsid w:val="00DC1CFB"/>
    <w:rsid w:val="00DC24BC"/>
    <w:rsid w:val="00DC2789"/>
    <w:rsid w:val="00DC3287"/>
    <w:rsid w:val="00DC3FCF"/>
    <w:rsid w:val="00DC4979"/>
    <w:rsid w:val="00DC4A70"/>
    <w:rsid w:val="00DC590F"/>
    <w:rsid w:val="00DC60AA"/>
    <w:rsid w:val="00DC6CFE"/>
    <w:rsid w:val="00DC6F44"/>
    <w:rsid w:val="00DD0140"/>
    <w:rsid w:val="00DD139F"/>
    <w:rsid w:val="00DD1ADB"/>
    <w:rsid w:val="00DD201D"/>
    <w:rsid w:val="00DD2672"/>
    <w:rsid w:val="00DD2B7D"/>
    <w:rsid w:val="00DD300F"/>
    <w:rsid w:val="00DD33C5"/>
    <w:rsid w:val="00DD3681"/>
    <w:rsid w:val="00DD3AB7"/>
    <w:rsid w:val="00DD3C9D"/>
    <w:rsid w:val="00DD4A68"/>
    <w:rsid w:val="00DD5D2A"/>
    <w:rsid w:val="00DD695C"/>
    <w:rsid w:val="00DE0696"/>
    <w:rsid w:val="00DE2383"/>
    <w:rsid w:val="00DE4F0B"/>
    <w:rsid w:val="00DE4FCA"/>
    <w:rsid w:val="00DE5230"/>
    <w:rsid w:val="00DE5A22"/>
    <w:rsid w:val="00DE6078"/>
    <w:rsid w:val="00DE638E"/>
    <w:rsid w:val="00DF0622"/>
    <w:rsid w:val="00DF16B0"/>
    <w:rsid w:val="00DF1F89"/>
    <w:rsid w:val="00DF21F0"/>
    <w:rsid w:val="00DF40E6"/>
    <w:rsid w:val="00DF48FC"/>
    <w:rsid w:val="00DF5584"/>
    <w:rsid w:val="00DF5846"/>
    <w:rsid w:val="00DF6750"/>
    <w:rsid w:val="00DF75FD"/>
    <w:rsid w:val="00E00E10"/>
    <w:rsid w:val="00E00F34"/>
    <w:rsid w:val="00E01132"/>
    <w:rsid w:val="00E02078"/>
    <w:rsid w:val="00E0335F"/>
    <w:rsid w:val="00E034C5"/>
    <w:rsid w:val="00E0370E"/>
    <w:rsid w:val="00E03E4E"/>
    <w:rsid w:val="00E04058"/>
    <w:rsid w:val="00E0421F"/>
    <w:rsid w:val="00E04EBD"/>
    <w:rsid w:val="00E05836"/>
    <w:rsid w:val="00E063E7"/>
    <w:rsid w:val="00E06933"/>
    <w:rsid w:val="00E06C3C"/>
    <w:rsid w:val="00E07136"/>
    <w:rsid w:val="00E07524"/>
    <w:rsid w:val="00E07910"/>
    <w:rsid w:val="00E1016C"/>
    <w:rsid w:val="00E103DA"/>
    <w:rsid w:val="00E10825"/>
    <w:rsid w:val="00E10A9B"/>
    <w:rsid w:val="00E12064"/>
    <w:rsid w:val="00E12C7C"/>
    <w:rsid w:val="00E13118"/>
    <w:rsid w:val="00E1423D"/>
    <w:rsid w:val="00E1549C"/>
    <w:rsid w:val="00E15792"/>
    <w:rsid w:val="00E16BC4"/>
    <w:rsid w:val="00E17C26"/>
    <w:rsid w:val="00E20BA3"/>
    <w:rsid w:val="00E20CC2"/>
    <w:rsid w:val="00E225E8"/>
    <w:rsid w:val="00E2266D"/>
    <w:rsid w:val="00E22C14"/>
    <w:rsid w:val="00E24688"/>
    <w:rsid w:val="00E24A7E"/>
    <w:rsid w:val="00E25798"/>
    <w:rsid w:val="00E258D2"/>
    <w:rsid w:val="00E26128"/>
    <w:rsid w:val="00E2671C"/>
    <w:rsid w:val="00E27F89"/>
    <w:rsid w:val="00E3016A"/>
    <w:rsid w:val="00E306D7"/>
    <w:rsid w:val="00E31A29"/>
    <w:rsid w:val="00E3298B"/>
    <w:rsid w:val="00E32D81"/>
    <w:rsid w:val="00E330D7"/>
    <w:rsid w:val="00E342FA"/>
    <w:rsid w:val="00E35332"/>
    <w:rsid w:val="00E35AFA"/>
    <w:rsid w:val="00E36082"/>
    <w:rsid w:val="00E3716C"/>
    <w:rsid w:val="00E37D47"/>
    <w:rsid w:val="00E405CE"/>
    <w:rsid w:val="00E4242D"/>
    <w:rsid w:val="00E4365E"/>
    <w:rsid w:val="00E43A85"/>
    <w:rsid w:val="00E43EEF"/>
    <w:rsid w:val="00E43F22"/>
    <w:rsid w:val="00E4475A"/>
    <w:rsid w:val="00E44C00"/>
    <w:rsid w:val="00E46651"/>
    <w:rsid w:val="00E467E5"/>
    <w:rsid w:val="00E46F5D"/>
    <w:rsid w:val="00E50402"/>
    <w:rsid w:val="00E51C8F"/>
    <w:rsid w:val="00E53C4E"/>
    <w:rsid w:val="00E54D63"/>
    <w:rsid w:val="00E5533B"/>
    <w:rsid w:val="00E55747"/>
    <w:rsid w:val="00E56CBF"/>
    <w:rsid w:val="00E5788D"/>
    <w:rsid w:val="00E579BA"/>
    <w:rsid w:val="00E609F6"/>
    <w:rsid w:val="00E6183C"/>
    <w:rsid w:val="00E6281D"/>
    <w:rsid w:val="00E6413E"/>
    <w:rsid w:val="00E65343"/>
    <w:rsid w:val="00E655A8"/>
    <w:rsid w:val="00E66A30"/>
    <w:rsid w:val="00E673B7"/>
    <w:rsid w:val="00E70634"/>
    <w:rsid w:val="00E70B8D"/>
    <w:rsid w:val="00E71C40"/>
    <w:rsid w:val="00E726E8"/>
    <w:rsid w:val="00E7436A"/>
    <w:rsid w:val="00E75046"/>
    <w:rsid w:val="00E75A8A"/>
    <w:rsid w:val="00E7738C"/>
    <w:rsid w:val="00E7772E"/>
    <w:rsid w:val="00E80375"/>
    <w:rsid w:val="00E80F2D"/>
    <w:rsid w:val="00E81E9F"/>
    <w:rsid w:val="00E82D5D"/>
    <w:rsid w:val="00E83CBF"/>
    <w:rsid w:val="00E8474D"/>
    <w:rsid w:val="00E84967"/>
    <w:rsid w:val="00E8514E"/>
    <w:rsid w:val="00E8523A"/>
    <w:rsid w:val="00E85591"/>
    <w:rsid w:val="00E8730C"/>
    <w:rsid w:val="00E87585"/>
    <w:rsid w:val="00E9037E"/>
    <w:rsid w:val="00E91230"/>
    <w:rsid w:val="00E91CD4"/>
    <w:rsid w:val="00E92718"/>
    <w:rsid w:val="00E93579"/>
    <w:rsid w:val="00E93E14"/>
    <w:rsid w:val="00E94C4A"/>
    <w:rsid w:val="00E94F01"/>
    <w:rsid w:val="00E94F8A"/>
    <w:rsid w:val="00E94FE3"/>
    <w:rsid w:val="00E96203"/>
    <w:rsid w:val="00E968B3"/>
    <w:rsid w:val="00E96989"/>
    <w:rsid w:val="00E97495"/>
    <w:rsid w:val="00E977E2"/>
    <w:rsid w:val="00E97C1A"/>
    <w:rsid w:val="00EA02E6"/>
    <w:rsid w:val="00EA0DAE"/>
    <w:rsid w:val="00EA1918"/>
    <w:rsid w:val="00EA3A82"/>
    <w:rsid w:val="00EA43CA"/>
    <w:rsid w:val="00EA467C"/>
    <w:rsid w:val="00EA5EA3"/>
    <w:rsid w:val="00EA643B"/>
    <w:rsid w:val="00EA6485"/>
    <w:rsid w:val="00EA6E53"/>
    <w:rsid w:val="00EA74DA"/>
    <w:rsid w:val="00EA7C02"/>
    <w:rsid w:val="00EA7FDB"/>
    <w:rsid w:val="00EB0898"/>
    <w:rsid w:val="00EB1162"/>
    <w:rsid w:val="00EB17F4"/>
    <w:rsid w:val="00EB2587"/>
    <w:rsid w:val="00EB32D4"/>
    <w:rsid w:val="00EB39AE"/>
    <w:rsid w:val="00EB4F9F"/>
    <w:rsid w:val="00EB78B3"/>
    <w:rsid w:val="00EB7D96"/>
    <w:rsid w:val="00EC01B2"/>
    <w:rsid w:val="00EC03D5"/>
    <w:rsid w:val="00EC068B"/>
    <w:rsid w:val="00EC07D7"/>
    <w:rsid w:val="00EC154A"/>
    <w:rsid w:val="00EC1D9C"/>
    <w:rsid w:val="00EC1DD5"/>
    <w:rsid w:val="00EC1EB8"/>
    <w:rsid w:val="00EC22AA"/>
    <w:rsid w:val="00EC2CBF"/>
    <w:rsid w:val="00EC362E"/>
    <w:rsid w:val="00EC472D"/>
    <w:rsid w:val="00EC47E5"/>
    <w:rsid w:val="00EC526C"/>
    <w:rsid w:val="00EC5DB7"/>
    <w:rsid w:val="00EC6D57"/>
    <w:rsid w:val="00EC6D7A"/>
    <w:rsid w:val="00EC7229"/>
    <w:rsid w:val="00EC7ADA"/>
    <w:rsid w:val="00EC7E39"/>
    <w:rsid w:val="00ED03EE"/>
    <w:rsid w:val="00ED0992"/>
    <w:rsid w:val="00ED0C4E"/>
    <w:rsid w:val="00ED0CFA"/>
    <w:rsid w:val="00ED2193"/>
    <w:rsid w:val="00ED423A"/>
    <w:rsid w:val="00ED44FA"/>
    <w:rsid w:val="00ED692B"/>
    <w:rsid w:val="00ED78D3"/>
    <w:rsid w:val="00ED7F21"/>
    <w:rsid w:val="00EE06B0"/>
    <w:rsid w:val="00EE1005"/>
    <w:rsid w:val="00EE10B1"/>
    <w:rsid w:val="00EE1BD0"/>
    <w:rsid w:val="00EE21C3"/>
    <w:rsid w:val="00EE31A9"/>
    <w:rsid w:val="00EE7736"/>
    <w:rsid w:val="00EF111F"/>
    <w:rsid w:val="00EF1B3B"/>
    <w:rsid w:val="00EF230A"/>
    <w:rsid w:val="00EF2BA8"/>
    <w:rsid w:val="00EF3793"/>
    <w:rsid w:val="00EF413D"/>
    <w:rsid w:val="00EF49BE"/>
    <w:rsid w:val="00EF51A1"/>
    <w:rsid w:val="00EF609E"/>
    <w:rsid w:val="00EF68A3"/>
    <w:rsid w:val="00EF69AB"/>
    <w:rsid w:val="00EF6F02"/>
    <w:rsid w:val="00EF77DA"/>
    <w:rsid w:val="00F01081"/>
    <w:rsid w:val="00F01A8E"/>
    <w:rsid w:val="00F02562"/>
    <w:rsid w:val="00F0258E"/>
    <w:rsid w:val="00F0402D"/>
    <w:rsid w:val="00F04141"/>
    <w:rsid w:val="00F04762"/>
    <w:rsid w:val="00F049C5"/>
    <w:rsid w:val="00F04AC3"/>
    <w:rsid w:val="00F05350"/>
    <w:rsid w:val="00F055F6"/>
    <w:rsid w:val="00F057FA"/>
    <w:rsid w:val="00F068FF"/>
    <w:rsid w:val="00F07423"/>
    <w:rsid w:val="00F078C4"/>
    <w:rsid w:val="00F10A66"/>
    <w:rsid w:val="00F11514"/>
    <w:rsid w:val="00F12190"/>
    <w:rsid w:val="00F12396"/>
    <w:rsid w:val="00F133BA"/>
    <w:rsid w:val="00F13908"/>
    <w:rsid w:val="00F13D46"/>
    <w:rsid w:val="00F143B8"/>
    <w:rsid w:val="00F144A4"/>
    <w:rsid w:val="00F16F2C"/>
    <w:rsid w:val="00F17BC1"/>
    <w:rsid w:val="00F17E02"/>
    <w:rsid w:val="00F203A4"/>
    <w:rsid w:val="00F23803"/>
    <w:rsid w:val="00F23FBF"/>
    <w:rsid w:val="00F244ED"/>
    <w:rsid w:val="00F24B51"/>
    <w:rsid w:val="00F26406"/>
    <w:rsid w:val="00F26717"/>
    <w:rsid w:val="00F27256"/>
    <w:rsid w:val="00F2745D"/>
    <w:rsid w:val="00F279D6"/>
    <w:rsid w:val="00F30C1F"/>
    <w:rsid w:val="00F32A2B"/>
    <w:rsid w:val="00F34F61"/>
    <w:rsid w:val="00F35051"/>
    <w:rsid w:val="00F35A89"/>
    <w:rsid w:val="00F36081"/>
    <w:rsid w:val="00F36A86"/>
    <w:rsid w:val="00F3716E"/>
    <w:rsid w:val="00F37329"/>
    <w:rsid w:val="00F37D93"/>
    <w:rsid w:val="00F37EF7"/>
    <w:rsid w:val="00F40013"/>
    <w:rsid w:val="00F410BF"/>
    <w:rsid w:val="00F41B59"/>
    <w:rsid w:val="00F4350C"/>
    <w:rsid w:val="00F43F9E"/>
    <w:rsid w:val="00F4489E"/>
    <w:rsid w:val="00F45D9C"/>
    <w:rsid w:val="00F47A7A"/>
    <w:rsid w:val="00F520D7"/>
    <w:rsid w:val="00F52694"/>
    <w:rsid w:val="00F527F2"/>
    <w:rsid w:val="00F536EC"/>
    <w:rsid w:val="00F53C03"/>
    <w:rsid w:val="00F54B2D"/>
    <w:rsid w:val="00F5538C"/>
    <w:rsid w:val="00F55A3C"/>
    <w:rsid w:val="00F56527"/>
    <w:rsid w:val="00F6062B"/>
    <w:rsid w:val="00F619B1"/>
    <w:rsid w:val="00F640E0"/>
    <w:rsid w:val="00F6462A"/>
    <w:rsid w:val="00F65775"/>
    <w:rsid w:val="00F65E92"/>
    <w:rsid w:val="00F66C9E"/>
    <w:rsid w:val="00F66DFB"/>
    <w:rsid w:val="00F672FE"/>
    <w:rsid w:val="00F70434"/>
    <w:rsid w:val="00F72E09"/>
    <w:rsid w:val="00F73E2B"/>
    <w:rsid w:val="00F75DCB"/>
    <w:rsid w:val="00F76145"/>
    <w:rsid w:val="00F76A42"/>
    <w:rsid w:val="00F77E7F"/>
    <w:rsid w:val="00F80C2C"/>
    <w:rsid w:val="00F84337"/>
    <w:rsid w:val="00F843EE"/>
    <w:rsid w:val="00F848B9"/>
    <w:rsid w:val="00F85102"/>
    <w:rsid w:val="00F8604D"/>
    <w:rsid w:val="00F8647A"/>
    <w:rsid w:val="00F87176"/>
    <w:rsid w:val="00F87C8E"/>
    <w:rsid w:val="00F90819"/>
    <w:rsid w:val="00F90C6C"/>
    <w:rsid w:val="00F91E2C"/>
    <w:rsid w:val="00F9283E"/>
    <w:rsid w:val="00F929FB"/>
    <w:rsid w:val="00F92A1E"/>
    <w:rsid w:val="00F92D95"/>
    <w:rsid w:val="00F930D5"/>
    <w:rsid w:val="00F93794"/>
    <w:rsid w:val="00F93A6E"/>
    <w:rsid w:val="00F9472A"/>
    <w:rsid w:val="00F94D66"/>
    <w:rsid w:val="00F95780"/>
    <w:rsid w:val="00F96130"/>
    <w:rsid w:val="00F977B7"/>
    <w:rsid w:val="00F97AD6"/>
    <w:rsid w:val="00F97BBA"/>
    <w:rsid w:val="00FA08EA"/>
    <w:rsid w:val="00FA17C5"/>
    <w:rsid w:val="00FA1D03"/>
    <w:rsid w:val="00FA6E4D"/>
    <w:rsid w:val="00FA6EA1"/>
    <w:rsid w:val="00FB0E18"/>
    <w:rsid w:val="00FB0E98"/>
    <w:rsid w:val="00FB0FA6"/>
    <w:rsid w:val="00FB1692"/>
    <w:rsid w:val="00FB19CD"/>
    <w:rsid w:val="00FB3C97"/>
    <w:rsid w:val="00FB4223"/>
    <w:rsid w:val="00FB4C2E"/>
    <w:rsid w:val="00FB5AA3"/>
    <w:rsid w:val="00FB6525"/>
    <w:rsid w:val="00FB6CB9"/>
    <w:rsid w:val="00FB7226"/>
    <w:rsid w:val="00FB784C"/>
    <w:rsid w:val="00FC1356"/>
    <w:rsid w:val="00FC221A"/>
    <w:rsid w:val="00FC2E5F"/>
    <w:rsid w:val="00FC34C3"/>
    <w:rsid w:val="00FC3CCC"/>
    <w:rsid w:val="00FC3D5B"/>
    <w:rsid w:val="00FC4C40"/>
    <w:rsid w:val="00FC5058"/>
    <w:rsid w:val="00FC694C"/>
    <w:rsid w:val="00FC6D35"/>
    <w:rsid w:val="00FD0467"/>
    <w:rsid w:val="00FD0843"/>
    <w:rsid w:val="00FD0F72"/>
    <w:rsid w:val="00FD34F6"/>
    <w:rsid w:val="00FD40DA"/>
    <w:rsid w:val="00FD44CC"/>
    <w:rsid w:val="00FD4E7F"/>
    <w:rsid w:val="00FD57E2"/>
    <w:rsid w:val="00FD5A20"/>
    <w:rsid w:val="00FD5FC7"/>
    <w:rsid w:val="00FD69C7"/>
    <w:rsid w:val="00FD6FCC"/>
    <w:rsid w:val="00FD74B1"/>
    <w:rsid w:val="00FE211A"/>
    <w:rsid w:val="00FE2563"/>
    <w:rsid w:val="00FE2683"/>
    <w:rsid w:val="00FE288E"/>
    <w:rsid w:val="00FE3720"/>
    <w:rsid w:val="00FE4030"/>
    <w:rsid w:val="00FE40F6"/>
    <w:rsid w:val="00FE443D"/>
    <w:rsid w:val="00FE4734"/>
    <w:rsid w:val="00FE5D5A"/>
    <w:rsid w:val="00FE6CAD"/>
    <w:rsid w:val="00FE7B57"/>
    <w:rsid w:val="00FF1D84"/>
    <w:rsid w:val="00FF2F71"/>
    <w:rsid w:val="00FF30C1"/>
    <w:rsid w:val="00FF3D04"/>
    <w:rsid w:val="00FF47E0"/>
    <w:rsid w:val="00FF54C6"/>
    <w:rsid w:val="00FF687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C3CCD94"/>
  <w15:docId w15:val="{64D37519-9E90-452E-9B02-60D297F43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uiPriority w:val="99"/>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uiPriority w:val="99"/>
    <w:rsid w:val="0036725F"/>
  </w:style>
  <w:style w:type="character" w:styleId="Refdenotaalpie">
    <w:name w:val="footnote reference"/>
    <w:basedOn w:val="Fuentedeprrafopredeter"/>
    <w:uiPriority w:val="99"/>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uiPriority w:val="99"/>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styleId="Hipervnculovisitado">
    <w:name w:val="FollowedHyperlink"/>
    <w:basedOn w:val="Fuentedeprrafopredeter"/>
    <w:semiHidden/>
    <w:unhideWhenUsed/>
    <w:rsid w:val="00573E5B"/>
    <w:rPr>
      <w:color w:val="800080" w:themeColor="followedHyperlink"/>
      <w:u w:val="single"/>
    </w:rPr>
  </w:style>
  <w:style w:type="character" w:customStyle="1" w:styleId="Mencinsinresolver1">
    <w:name w:val="Mención sin resolver1"/>
    <w:basedOn w:val="Fuentedeprrafopredeter"/>
    <w:uiPriority w:val="99"/>
    <w:semiHidden/>
    <w:unhideWhenUsed/>
    <w:rsid w:val="001A31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9477011">
      <w:bodyDiv w:val="1"/>
      <w:marLeft w:val="0"/>
      <w:marRight w:val="0"/>
      <w:marTop w:val="0"/>
      <w:marBottom w:val="0"/>
      <w:divBdr>
        <w:top w:val="none" w:sz="0" w:space="0" w:color="auto"/>
        <w:left w:val="none" w:sz="0" w:space="0" w:color="auto"/>
        <w:bottom w:val="none" w:sz="0" w:space="0" w:color="auto"/>
        <w:right w:val="none" w:sz="0" w:space="0" w:color="auto"/>
      </w:divBdr>
    </w:div>
    <w:div w:id="486745596">
      <w:bodyDiv w:val="1"/>
      <w:marLeft w:val="0"/>
      <w:marRight w:val="0"/>
      <w:marTop w:val="0"/>
      <w:marBottom w:val="0"/>
      <w:divBdr>
        <w:top w:val="none" w:sz="0" w:space="0" w:color="auto"/>
        <w:left w:val="none" w:sz="0" w:space="0" w:color="auto"/>
        <w:bottom w:val="none" w:sz="0" w:space="0" w:color="auto"/>
        <w:right w:val="none" w:sz="0" w:space="0" w:color="auto"/>
      </w:divBdr>
    </w:div>
    <w:div w:id="623537239">
      <w:bodyDiv w:val="1"/>
      <w:marLeft w:val="0"/>
      <w:marRight w:val="0"/>
      <w:marTop w:val="0"/>
      <w:marBottom w:val="0"/>
      <w:divBdr>
        <w:top w:val="none" w:sz="0" w:space="0" w:color="auto"/>
        <w:left w:val="none" w:sz="0" w:space="0" w:color="auto"/>
        <w:bottom w:val="none" w:sz="0" w:space="0" w:color="auto"/>
        <w:right w:val="none" w:sz="0" w:space="0" w:color="auto"/>
      </w:divBdr>
    </w:div>
    <w:div w:id="771439630">
      <w:bodyDiv w:val="1"/>
      <w:marLeft w:val="0"/>
      <w:marRight w:val="0"/>
      <w:marTop w:val="0"/>
      <w:marBottom w:val="0"/>
      <w:divBdr>
        <w:top w:val="none" w:sz="0" w:space="0" w:color="auto"/>
        <w:left w:val="none" w:sz="0" w:space="0" w:color="auto"/>
        <w:bottom w:val="none" w:sz="0" w:space="0" w:color="auto"/>
        <w:right w:val="none" w:sz="0" w:space="0" w:color="auto"/>
      </w:divBdr>
    </w:div>
    <w:div w:id="853347473">
      <w:bodyDiv w:val="1"/>
      <w:marLeft w:val="0"/>
      <w:marRight w:val="0"/>
      <w:marTop w:val="0"/>
      <w:marBottom w:val="0"/>
      <w:divBdr>
        <w:top w:val="none" w:sz="0" w:space="0" w:color="auto"/>
        <w:left w:val="none" w:sz="0" w:space="0" w:color="auto"/>
        <w:bottom w:val="none" w:sz="0" w:space="0" w:color="auto"/>
        <w:right w:val="none" w:sz="0" w:space="0" w:color="auto"/>
      </w:divBdr>
    </w:div>
    <w:div w:id="882442417">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279483548">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883444619">
      <w:bodyDiv w:val="1"/>
      <w:marLeft w:val="0"/>
      <w:marRight w:val="0"/>
      <w:marTop w:val="0"/>
      <w:marBottom w:val="0"/>
      <w:divBdr>
        <w:top w:val="none" w:sz="0" w:space="0" w:color="auto"/>
        <w:left w:val="none" w:sz="0" w:space="0" w:color="auto"/>
        <w:bottom w:val="none" w:sz="0" w:space="0" w:color="auto"/>
        <w:right w:val="none" w:sz="0" w:space="0" w:color="auto"/>
      </w:divBdr>
    </w:div>
    <w:div w:id="1926264804">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witter.com/INEGI_INFORMA" TargetMode="External"/><Relationship Id="rId18" Type="http://schemas.openxmlformats.org/officeDocument/2006/relationships/image" Target="media/image5.png"/><Relationship Id="rId26"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chart" Target="charts/chart1.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www.inegi.org.mx/" TargetMode="External"/><Relationship Id="rId25" Type="http://schemas.openxmlformats.org/officeDocument/2006/relationships/chart" Target="charts/chart5.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footer" Target="footer1.xml"/><Relationship Id="rId29" Type="http://schemas.openxmlformats.org/officeDocument/2006/relationships/image" Target="media/image7.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stagram.com/inegi_informa/" TargetMode="External"/><Relationship Id="rId24" Type="http://schemas.openxmlformats.org/officeDocument/2006/relationships/chart" Target="charts/chart4.xm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youtube.com/user/INEGIInforma" TargetMode="External"/><Relationship Id="rId23" Type="http://schemas.openxmlformats.org/officeDocument/2006/relationships/chart" Target="charts/chart3.xml"/><Relationship Id="rId28" Type="http://schemas.openxmlformats.org/officeDocument/2006/relationships/hyperlink" Target="javascript:AddMetaDato('2951','Sistema%20de%20indicadores%20c&#237;clicos','');" TargetMode="External"/><Relationship Id="rId10" Type="http://schemas.openxmlformats.org/officeDocument/2006/relationships/image" Target="media/image1.jpeg"/><Relationship Id="rId19" Type="http://schemas.openxmlformats.org/officeDocument/2006/relationships/header" Target="header1.xm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facebook.com/INEGIInforma/" TargetMode="External"/><Relationship Id="rId14" Type="http://schemas.openxmlformats.org/officeDocument/2006/relationships/image" Target="media/image3.jpeg"/><Relationship Id="rId22" Type="http://schemas.openxmlformats.org/officeDocument/2006/relationships/chart" Target="charts/chart2.xml"/><Relationship Id="rId27" Type="http://schemas.openxmlformats.org/officeDocument/2006/relationships/hyperlink" Target="http://www.inegi.org.mx/app/biblioteca/ficha.html?upc=702825099060" TargetMode="External"/><Relationship Id="rId30" Type="http://schemas.openxmlformats.org/officeDocument/2006/relationships/hyperlink" Target="http://www.inegi.org.mx/sistemas/bie/default.aspx" TargetMode="External"/><Relationship Id="rId8" Type="http://schemas.openxmlformats.org/officeDocument/2006/relationships/hyperlink" Target="mailto:comunicacionsocial@inegi.org.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51E-2"/>
          <c:y val="3.0836814819635145E-2"/>
          <c:w val="0.9152601893408342"/>
          <c:h val="0.78564416333204257"/>
        </c:manualLayout>
      </c:layout>
      <c:barChart>
        <c:barDir val="col"/>
        <c:grouping val="stacked"/>
        <c:varyColors val="0"/>
        <c:ser>
          <c:idx val="0"/>
          <c:order val="0"/>
          <c:tx>
            <c:strRef>
              <c:f>datos!$D$4</c:f>
              <c:strCache>
                <c:ptCount val="1"/>
                <c:pt idx="0">
                  <c:v>Serie Desestacionalizada</c:v>
                </c:pt>
              </c:strCache>
            </c:strRef>
          </c:tx>
          <c:spPr>
            <a:solidFill>
              <a:schemeClr val="accent3"/>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datos!$D$29:$D$81</c:f>
              <c:numCache>
                <c:formatCode>0.0</c:formatCode>
                <c:ptCount val="53"/>
                <c:pt idx="0">
                  <c:v>84.406471348658002</c:v>
                </c:pt>
                <c:pt idx="1">
                  <c:v>87.391228623490207</c:v>
                </c:pt>
                <c:pt idx="2">
                  <c:v>87.727992853942297</c:v>
                </c:pt>
                <c:pt idx="3">
                  <c:v>89.852391544740101</c:v>
                </c:pt>
                <c:pt idx="4">
                  <c:v>90.354479046543602</c:v>
                </c:pt>
                <c:pt idx="5">
                  <c:v>90.687530655079797</c:v>
                </c:pt>
                <c:pt idx="6">
                  <c:v>91.404028157575596</c:v>
                </c:pt>
                <c:pt idx="7">
                  <c:v>91.898422149309198</c:v>
                </c:pt>
                <c:pt idx="8">
                  <c:v>95.104261136478399</c:v>
                </c:pt>
                <c:pt idx="9">
                  <c:v>94.902118006918599</c:v>
                </c:pt>
                <c:pt idx="10">
                  <c:v>94.286453611013499</c:v>
                </c:pt>
                <c:pt idx="11">
                  <c:v>97.054739367325595</c:v>
                </c:pt>
                <c:pt idx="12">
                  <c:v>92.813875692480806</c:v>
                </c:pt>
                <c:pt idx="13">
                  <c:v>85.710150068433194</c:v>
                </c:pt>
                <c:pt idx="14">
                  <c:v>90.679942733364399</c:v>
                </c:pt>
                <c:pt idx="15">
                  <c:v>91.231999476243004</c:v>
                </c:pt>
                <c:pt idx="16">
                  <c:v>92.552417797540997</c:v>
                </c:pt>
                <c:pt idx="17">
                  <c:v>91.849577594609499</c:v>
                </c:pt>
                <c:pt idx="18">
                  <c:v>92.4713173366017</c:v>
                </c:pt>
                <c:pt idx="19">
                  <c:v>91.629902076384596</c:v>
                </c:pt>
                <c:pt idx="20">
                  <c:v>92.183487363778397</c:v>
                </c:pt>
                <c:pt idx="21">
                  <c:v>94.167783876611594</c:v>
                </c:pt>
                <c:pt idx="22">
                  <c:v>95.290580996850906</c:v>
                </c:pt>
                <c:pt idx="23">
                  <c:v>97.621344682810701</c:v>
                </c:pt>
                <c:pt idx="24">
                  <c:v>96.216981948277507</c:v>
                </c:pt>
                <c:pt idx="25">
                  <c:v>98.476877768016095</c:v>
                </c:pt>
                <c:pt idx="26">
                  <c:v>98.767046543785497</c:v>
                </c:pt>
                <c:pt idx="27">
                  <c:v>98.0403583935516</c:v>
                </c:pt>
                <c:pt idx="28">
                  <c:v>98.401586494668095</c:v>
                </c:pt>
                <c:pt idx="29">
                  <c:v>98.935979042053305</c:v>
                </c:pt>
                <c:pt idx="30">
                  <c:v>101.121495676129</c:v>
                </c:pt>
                <c:pt idx="31">
                  <c:v>101.451521279524</c:v>
                </c:pt>
                <c:pt idx="32">
                  <c:v>100.707885172248</c:v>
                </c:pt>
                <c:pt idx="33">
                  <c:v>101.643388043971</c:v>
                </c:pt>
                <c:pt idx="34">
                  <c:v>101.78035716653901</c:v>
                </c:pt>
                <c:pt idx="35">
                  <c:v>103.324419164258</c:v>
                </c:pt>
                <c:pt idx="36">
                  <c:v>103.762796882225</c:v>
                </c:pt>
                <c:pt idx="37">
                  <c:v>105.525393549057</c:v>
                </c:pt>
                <c:pt idx="38">
                  <c:v>108.54217791810299</c:v>
                </c:pt>
                <c:pt idx="39">
                  <c:v>110.532946325723</c:v>
                </c:pt>
                <c:pt idx="40">
                  <c:v>110.744297598599</c:v>
                </c:pt>
                <c:pt idx="41">
                  <c:v>110.681305874358</c:v>
                </c:pt>
                <c:pt idx="42">
                  <c:v>111.41013454646701</c:v>
                </c:pt>
                <c:pt idx="43">
                  <c:v>112.63498888736299</c:v>
                </c:pt>
                <c:pt idx="44">
                  <c:v>115.619870903928</c:v>
                </c:pt>
                <c:pt idx="45">
                  <c:v>114.66732153374601</c:v>
                </c:pt>
                <c:pt idx="46">
                  <c:v>112.978199695082</c:v>
                </c:pt>
                <c:pt idx="47">
                  <c:v>115.01005265429301</c:v>
                </c:pt>
                <c:pt idx="48">
                  <c:v>117.417935911353</c:v>
                </c:pt>
                <c:pt idx="49">
                  <c:v>116.999162815109</c:v>
                </c:pt>
                <c:pt idx="50">
                  <c:v>116.61928735798099</c:v>
                </c:pt>
                <c:pt idx="51">
                  <c:v>116.62930573864099</c:v>
                </c:pt>
                <c:pt idx="52">
                  <c:v>116.522150866708</c:v>
                </c:pt>
              </c:numCache>
            </c:numRef>
          </c:val>
          <c:extLst>
            <c:ext xmlns:c16="http://schemas.microsoft.com/office/drawing/2014/chart" uri="{C3380CC4-5D6E-409C-BE32-E72D297353CC}">
              <c16:uniqueId val="{00000000-9060-486E-BBBA-DF158885C2CE}"/>
            </c:ext>
          </c:extLst>
        </c:ser>
        <c:dLbls>
          <c:showLegendKey val="0"/>
          <c:showVal val="0"/>
          <c:showCatName val="0"/>
          <c:showSerName val="0"/>
          <c:showPercent val="0"/>
          <c:showBubbleSize val="0"/>
        </c:dLbls>
        <c:gapWidth val="40"/>
        <c:overlap val="100"/>
        <c:axId val="187158976"/>
        <c:axId val="187159760"/>
      </c:barChart>
      <c:lineChart>
        <c:grouping val="standard"/>
        <c:varyColors val="0"/>
        <c:ser>
          <c:idx val="1"/>
          <c:order val="1"/>
          <c:tx>
            <c:v>Tendencia-Ciclo</c:v>
          </c:tx>
          <c:spPr>
            <a:ln w="15875">
              <a:solidFill>
                <a:srgbClr val="C00000"/>
              </a:solidFill>
              <a:prstDash val="solid"/>
            </a:ln>
          </c:spPr>
          <c:marker>
            <c:symbol val="none"/>
          </c:marker>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datos!$E$29:$E$81</c:f>
              <c:numCache>
                <c:formatCode>0.0</c:formatCode>
                <c:ptCount val="53"/>
                <c:pt idx="0">
                  <c:v>84.629311510786593</c:v>
                </c:pt>
                <c:pt idx="1">
                  <c:v>86.743579729894194</c:v>
                </c:pt>
                <c:pt idx="2">
                  <c:v>88.294619573884702</c:v>
                </c:pt>
                <c:pt idx="3">
                  <c:v>89.497663603259497</c:v>
                </c:pt>
                <c:pt idx="4">
                  <c:v>90.420621227237703</c:v>
                </c:pt>
                <c:pt idx="5">
                  <c:v>90.768844682449199</c:v>
                </c:pt>
                <c:pt idx="6">
                  <c:v>91.161043476208704</c:v>
                </c:pt>
                <c:pt idx="7">
                  <c:v>92.583408454141093</c:v>
                </c:pt>
                <c:pt idx="8">
                  <c:v>94.434578140532594</c:v>
                </c:pt>
                <c:pt idx="9">
                  <c:v>94.981808239222403</c:v>
                </c:pt>
                <c:pt idx="10">
                  <c:v>94.677244876406107</c:v>
                </c:pt>
                <c:pt idx="11">
                  <c:v>94.475339032329401</c:v>
                </c:pt>
                <c:pt idx="12">
                  <c:v>93.897269237993498</c:v>
                </c:pt>
                <c:pt idx="13">
                  <c:v>93.467021404361603</c:v>
                </c:pt>
                <c:pt idx="14">
                  <c:v>93.110674946408807</c:v>
                </c:pt>
                <c:pt idx="15">
                  <c:v>92.664492648940197</c:v>
                </c:pt>
                <c:pt idx="16">
                  <c:v>92.387219949377297</c:v>
                </c:pt>
                <c:pt idx="17">
                  <c:v>92.398892652199393</c:v>
                </c:pt>
                <c:pt idx="18">
                  <c:v>92.090197648341402</c:v>
                </c:pt>
                <c:pt idx="19">
                  <c:v>91.848694344456106</c:v>
                </c:pt>
                <c:pt idx="20">
                  <c:v>92.358351127875395</c:v>
                </c:pt>
                <c:pt idx="21">
                  <c:v>93.848906490281905</c:v>
                </c:pt>
                <c:pt idx="22">
                  <c:v>95.700614791367499</c:v>
                </c:pt>
                <c:pt idx="23">
                  <c:v>97.136697389287207</c:v>
                </c:pt>
                <c:pt idx="24">
                  <c:v>97.9767971137817</c:v>
                </c:pt>
                <c:pt idx="25">
                  <c:v>98.4146967630235</c:v>
                </c:pt>
                <c:pt idx="26">
                  <c:v>98.577110879209499</c:v>
                </c:pt>
                <c:pt idx="27">
                  <c:v>98.262074126685903</c:v>
                </c:pt>
                <c:pt idx="28">
                  <c:v>98.225898696339797</c:v>
                </c:pt>
                <c:pt idx="29">
                  <c:v>99.301979566467907</c:v>
                </c:pt>
                <c:pt idx="30">
                  <c:v>100.80194109281901</c:v>
                </c:pt>
                <c:pt idx="31">
                  <c:v>101.325475242061</c:v>
                </c:pt>
                <c:pt idx="32">
                  <c:v>101.127513500275</c:v>
                </c:pt>
                <c:pt idx="33">
                  <c:v>101.32222410220299</c:v>
                </c:pt>
                <c:pt idx="34">
                  <c:v>102.105988186229</c:v>
                </c:pt>
                <c:pt idx="35">
                  <c:v>102.93072117085801</c:v>
                </c:pt>
                <c:pt idx="36">
                  <c:v>103.930202202071</c:v>
                </c:pt>
                <c:pt idx="37">
                  <c:v>105.691718012032</c:v>
                </c:pt>
                <c:pt idx="38">
                  <c:v>108.43007004296</c:v>
                </c:pt>
                <c:pt idx="39">
                  <c:v>110.367114222479</c:v>
                </c:pt>
                <c:pt idx="40">
                  <c:v>110.776525310585</c:v>
                </c:pt>
                <c:pt idx="41">
                  <c:v>110.781309792337</c:v>
                </c:pt>
                <c:pt idx="42">
                  <c:v>111.38019236089301</c:v>
                </c:pt>
                <c:pt idx="43">
                  <c:v>112.807791744215</c:v>
                </c:pt>
                <c:pt idx="44">
                  <c:v>114.236107664873</c:v>
                </c:pt>
                <c:pt idx="45">
                  <c:v>114.580324320798</c:v>
                </c:pt>
                <c:pt idx="46">
                  <c:v>114.333390460431</c:v>
                </c:pt>
                <c:pt idx="47">
                  <c:v>115.170605886621</c:v>
                </c:pt>
                <c:pt idx="48">
                  <c:v>116.557635805876</c:v>
                </c:pt>
                <c:pt idx="49">
                  <c:v>117.01116643447401</c:v>
                </c:pt>
                <c:pt idx="50">
                  <c:v>116.725449940858</c:v>
                </c:pt>
                <c:pt idx="51">
                  <c:v>116.54918194120999</c:v>
                </c:pt>
                <c:pt idx="52">
                  <c:v>116.56078202314001</c:v>
                </c:pt>
              </c:numCache>
            </c:numRef>
          </c:val>
          <c:smooth val="0"/>
          <c:extLst>
            <c:ext xmlns:c16="http://schemas.microsoft.com/office/drawing/2014/chart" uri="{C3380CC4-5D6E-409C-BE32-E72D297353CC}">
              <c16:uniqueId val="{00000001-9060-486E-BBBA-DF158885C2CE}"/>
            </c:ext>
          </c:extLst>
        </c:ser>
        <c:dLbls>
          <c:showLegendKey val="0"/>
          <c:showVal val="0"/>
          <c:showCatName val="0"/>
          <c:showSerName val="0"/>
          <c:showPercent val="0"/>
          <c:showBubbleSize val="0"/>
        </c:dLbls>
        <c:marker val="1"/>
        <c:smooth val="0"/>
        <c:axId val="187158976"/>
        <c:axId val="187159760"/>
      </c:lineChart>
      <c:catAx>
        <c:axId val="187158976"/>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187159760"/>
        <c:crosses val="autoZero"/>
        <c:auto val="1"/>
        <c:lblAlgn val="ctr"/>
        <c:lblOffset val="0"/>
        <c:tickLblSkip val="1"/>
        <c:tickMarkSkip val="12"/>
        <c:noMultiLvlLbl val="0"/>
      </c:catAx>
      <c:valAx>
        <c:axId val="187159760"/>
        <c:scaling>
          <c:orientation val="minMax"/>
          <c:max val="130"/>
          <c:min val="7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87158976"/>
        <c:crosses val="autoZero"/>
        <c:crossBetween val="between"/>
      </c:valAx>
      <c:spPr>
        <a:noFill/>
        <a:ln w="12700">
          <a:solidFill>
            <a:srgbClr val="808080"/>
          </a:solidFill>
          <a:prstDash val="solid"/>
        </a:ln>
      </c:spPr>
    </c:plotArea>
    <c:legend>
      <c:legendPos val="r"/>
      <c:layout>
        <c:manualLayout>
          <c:xMode val="edge"/>
          <c:yMode val="edge"/>
          <c:x val="0"/>
          <c:y val="0.92656262484374396"/>
          <c:w val="0.99555061179087878"/>
          <c:h val="7.2249589490968796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65E-2"/>
          <c:y val="3.0836814819635152E-2"/>
          <c:w val="0.91526018934083408"/>
          <c:h val="0.78347268269097947"/>
        </c:manualLayout>
      </c:layout>
      <c:barChart>
        <c:barDir val="col"/>
        <c:grouping val="clustered"/>
        <c:varyColors val="0"/>
        <c:ser>
          <c:idx val="0"/>
          <c:order val="0"/>
          <c:tx>
            <c:strRef>
              <c:f>datos!$H$4</c:f>
              <c:strCache>
                <c:ptCount val="1"/>
                <c:pt idx="0">
                  <c:v>Serie Desestacionalizada</c:v>
                </c:pt>
              </c:strCache>
            </c:strRef>
          </c:tx>
          <c:spPr>
            <a:solidFill>
              <a:schemeClr val="accent3"/>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datos!$H$29:$H$81</c:f>
              <c:numCache>
                <c:formatCode>0.0</c:formatCode>
                <c:ptCount val="53"/>
                <c:pt idx="0">
                  <c:v>83.623368268757602</c:v>
                </c:pt>
                <c:pt idx="1">
                  <c:v>86.290762567137193</c:v>
                </c:pt>
                <c:pt idx="2">
                  <c:v>86.480842226202597</c:v>
                </c:pt>
                <c:pt idx="3">
                  <c:v>88.368190477844095</c:v>
                </c:pt>
                <c:pt idx="4">
                  <c:v>88.883797995544995</c:v>
                </c:pt>
                <c:pt idx="5">
                  <c:v>89.556987294032595</c:v>
                </c:pt>
                <c:pt idx="6">
                  <c:v>90.152928311340503</c:v>
                </c:pt>
                <c:pt idx="7">
                  <c:v>90.608463531727395</c:v>
                </c:pt>
                <c:pt idx="8">
                  <c:v>93.651973230933393</c:v>
                </c:pt>
                <c:pt idx="9">
                  <c:v>93.2109855025722</c:v>
                </c:pt>
                <c:pt idx="10">
                  <c:v>92.857272500072597</c:v>
                </c:pt>
                <c:pt idx="11">
                  <c:v>95.321202842164297</c:v>
                </c:pt>
                <c:pt idx="12">
                  <c:v>91.260829995658199</c:v>
                </c:pt>
                <c:pt idx="13">
                  <c:v>85.057660990188097</c:v>
                </c:pt>
                <c:pt idx="14">
                  <c:v>89.808906251302403</c:v>
                </c:pt>
                <c:pt idx="15">
                  <c:v>90.100535054476296</c:v>
                </c:pt>
                <c:pt idx="16">
                  <c:v>91.820638802985997</c:v>
                </c:pt>
                <c:pt idx="17">
                  <c:v>91.1431968186955</c:v>
                </c:pt>
                <c:pt idx="18">
                  <c:v>91.865772497560599</c:v>
                </c:pt>
                <c:pt idx="19">
                  <c:v>91.758633620144593</c:v>
                </c:pt>
                <c:pt idx="20">
                  <c:v>91.838527622718303</c:v>
                </c:pt>
                <c:pt idx="21">
                  <c:v>93.876790865222105</c:v>
                </c:pt>
                <c:pt idx="22">
                  <c:v>94.843863367194899</c:v>
                </c:pt>
                <c:pt idx="23">
                  <c:v>97.048035823269601</c:v>
                </c:pt>
                <c:pt idx="24">
                  <c:v>95.563474189837294</c:v>
                </c:pt>
                <c:pt idx="25">
                  <c:v>97.907736174592699</c:v>
                </c:pt>
                <c:pt idx="26">
                  <c:v>98.492819300541996</c:v>
                </c:pt>
                <c:pt idx="27">
                  <c:v>97.614468188061593</c:v>
                </c:pt>
                <c:pt idx="28">
                  <c:v>98.465832059513701</c:v>
                </c:pt>
                <c:pt idx="29">
                  <c:v>98.563956708093201</c:v>
                </c:pt>
                <c:pt idx="30">
                  <c:v>101.23318711194101</c:v>
                </c:pt>
                <c:pt idx="31">
                  <c:v>101.662681204962</c:v>
                </c:pt>
                <c:pt idx="32">
                  <c:v>101.59902703549901</c:v>
                </c:pt>
                <c:pt idx="33">
                  <c:v>102.55062435462899</c:v>
                </c:pt>
                <c:pt idx="34">
                  <c:v>102.60248902671199</c:v>
                </c:pt>
                <c:pt idx="35">
                  <c:v>104.495846854053</c:v>
                </c:pt>
                <c:pt idx="36">
                  <c:v>105.44594236872</c:v>
                </c:pt>
                <c:pt idx="37">
                  <c:v>107.264196264856</c:v>
                </c:pt>
                <c:pt idx="38">
                  <c:v>109.977412410166</c:v>
                </c:pt>
                <c:pt idx="39">
                  <c:v>111.994420686585</c:v>
                </c:pt>
                <c:pt idx="40">
                  <c:v>112.088126999252</c:v>
                </c:pt>
                <c:pt idx="41">
                  <c:v>112.453634794503</c:v>
                </c:pt>
                <c:pt idx="42">
                  <c:v>113.310409939216</c:v>
                </c:pt>
                <c:pt idx="43">
                  <c:v>114.43017597198499</c:v>
                </c:pt>
                <c:pt idx="44">
                  <c:v>117.689902601919</c:v>
                </c:pt>
                <c:pt idx="45">
                  <c:v>117.540634098095</c:v>
                </c:pt>
                <c:pt idx="46">
                  <c:v>115.991490862897</c:v>
                </c:pt>
                <c:pt idx="47">
                  <c:v>117.862896253144</c:v>
                </c:pt>
                <c:pt idx="48">
                  <c:v>120.044010225406</c:v>
                </c:pt>
                <c:pt idx="49">
                  <c:v>119.14952708137299</c:v>
                </c:pt>
                <c:pt idx="50">
                  <c:v>119.70071439936299</c:v>
                </c:pt>
                <c:pt idx="51">
                  <c:v>119.5633515026</c:v>
                </c:pt>
                <c:pt idx="52">
                  <c:v>119.04385477286201</c:v>
                </c:pt>
              </c:numCache>
            </c:numRef>
          </c:val>
          <c:extLst>
            <c:ext xmlns:c16="http://schemas.microsoft.com/office/drawing/2014/chart" uri="{C3380CC4-5D6E-409C-BE32-E72D297353CC}">
              <c16:uniqueId val="{00000000-6D9E-4E1D-BF3A-5421F9B49039}"/>
            </c:ext>
          </c:extLst>
        </c:ser>
        <c:dLbls>
          <c:showLegendKey val="0"/>
          <c:showVal val="0"/>
          <c:showCatName val="0"/>
          <c:showSerName val="0"/>
          <c:showPercent val="0"/>
          <c:showBubbleSize val="0"/>
        </c:dLbls>
        <c:gapWidth val="40"/>
        <c:axId val="187158584"/>
        <c:axId val="607991920"/>
      </c:barChart>
      <c:lineChart>
        <c:grouping val="standard"/>
        <c:varyColors val="0"/>
        <c:ser>
          <c:idx val="1"/>
          <c:order val="1"/>
          <c:tx>
            <c:v>Tendencia-Ciclo</c:v>
          </c:tx>
          <c:spPr>
            <a:ln w="15875">
              <a:solidFill>
                <a:srgbClr val="C00000"/>
              </a:solidFill>
              <a:prstDash val="solid"/>
            </a:ln>
          </c:spPr>
          <c:marker>
            <c:symbol val="none"/>
          </c:marker>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datos!$I$29:$I$81</c:f>
              <c:numCache>
                <c:formatCode>0.0</c:formatCode>
                <c:ptCount val="53"/>
                <c:pt idx="0">
                  <c:v>83.7539010996163</c:v>
                </c:pt>
                <c:pt idx="1">
                  <c:v>85.733482837349797</c:v>
                </c:pt>
                <c:pt idx="2">
                  <c:v>87.012714407064607</c:v>
                </c:pt>
                <c:pt idx="3">
                  <c:v>88.030550727263204</c:v>
                </c:pt>
                <c:pt idx="4">
                  <c:v>89.013333674253303</c:v>
                </c:pt>
                <c:pt idx="5">
                  <c:v>89.542520207369407</c:v>
                </c:pt>
                <c:pt idx="6">
                  <c:v>89.960563955299804</c:v>
                </c:pt>
                <c:pt idx="7">
                  <c:v>91.248218150755307</c:v>
                </c:pt>
                <c:pt idx="8">
                  <c:v>92.911949548397601</c:v>
                </c:pt>
                <c:pt idx="9">
                  <c:v>93.385576611769395</c:v>
                </c:pt>
                <c:pt idx="10">
                  <c:v>93.156064648885007</c:v>
                </c:pt>
                <c:pt idx="11">
                  <c:v>92.967280278666294</c:v>
                </c:pt>
                <c:pt idx="12">
                  <c:v>92.373761156743001</c:v>
                </c:pt>
                <c:pt idx="13">
                  <c:v>92.137624412825403</c:v>
                </c:pt>
                <c:pt idx="14">
                  <c:v>91.908525298554494</c:v>
                </c:pt>
                <c:pt idx="15">
                  <c:v>91.585584155983398</c:v>
                </c:pt>
                <c:pt idx="16">
                  <c:v>91.521421540906204</c:v>
                </c:pt>
                <c:pt idx="17">
                  <c:v>91.676464788369003</c:v>
                </c:pt>
                <c:pt idx="18">
                  <c:v>91.658052744175805</c:v>
                </c:pt>
                <c:pt idx="19">
                  <c:v>91.713872790657405</c:v>
                </c:pt>
                <c:pt idx="20">
                  <c:v>92.194679484427894</c:v>
                </c:pt>
                <c:pt idx="21">
                  <c:v>93.486119627561095</c:v>
                </c:pt>
                <c:pt idx="22">
                  <c:v>95.275029254712095</c:v>
                </c:pt>
                <c:pt idx="23">
                  <c:v>96.536352448675999</c:v>
                </c:pt>
                <c:pt idx="24">
                  <c:v>97.291228638617497</c:v>
                </c:pt>
                <c:pt idx="25">
                  <c:v>97.877568259240704</c:v>
                </c:pt>
                <c:pt idx="26">
                  <c:v>98.179619902103894</c:v>
                </c:pt>
                <c:pt idx="27">
                  <c:v>98.005074375804696</c:v>
                </c:pt>
                <c:pt idx="28">
                  <c:v>98.144113964940701</c:v>
                </c:pt>
                <c:pt idx="29">
                  <c:v>99.360707771489999</c:v>
                </c:pt>
                <c:pt idx="30">
                  <c:v>100.856388823342</c:v>
                </c:pt>
                <c:pt idx="31">
                  <c:v>101.653997775748</c:v>
                </c:pt>
                <c:pt idx="32">
                  <c:v>101.85039439453</c:v>
                </c:pt>
                <c:pt idx="33">
                  <c:v>102.208734817411</c:v>
                </c:pt>
                <c:pt idx="34">
                  <c:v>103.00824289748201</c:v>
                </c:pt>
                <c:pt idx="35">
                  <c:v>104.158365388048</c:v>
                </c:pt>
                <c:pt idx="36">
                  <c:v>105.57698066731901</c:v>
                </c:pt>
                <c:pt idx="37">
                  <c:v>107.38299855057799</c:v>
                </c:pt>
                <c:pt idx="38">
                  <c:v>109.95067955533401</c:v>
                </c:pt>
                <c:pt idx="39">
                  <c:v>111.743140447553</c:v>
                </c:pt>
                <c:pt idx="40">
                  <c:v>112.233191297047</c:v>
                </c:pt>
                <c:pt idx="41">
                  <c:v>112.486510979448</c:v>
                </c:pt>
                <c:pt idx="42">
                  <c:v>113.212670990752</c:v>
                </c:pt>
                <c:pt idx="43">
                  <c:v>114.748067975341</c:v>
                </c:pt>
                <c:pt idx="44">
                  <c:v>116.63652923939701</c:v>
                </c:pt>
                <c:pt idx="45">
                  <c:v>117.368150849233</c:v>
                </c:pt>
                <c:pt idx="46">
                  <c:v>117.19831517642299</c:v>
                </c:pt>
                <c:pt idx="47">
                  <c:v>117.86482003796399</c:v>
                </c:pt>
                <c:pt idx="48">
                  <c:v>118.865675756207</c:v>
                </c:pt>
                <c:pt idx="49">
                  <c:v>119.358678140511</c:v>
                </c:pt>
                <c:pt idx="50">
                  <c:v>119.59139144265301</c:v>
                </c:pt>
                <c:pt idx="51">
                  <c:v>119.471119154029</c:v>
                </c:pt>
                <c:pt idx="52">
                  <c:v>119.220507665691</c:v>
                </c:pt>
              </c:numCache>
            </c:numRef>
          </c:val>
          <c:smooth val="0"/>
          <c:extLst>
            <c:ext xmlns:c16="http://schemas.microsoft.com/office/drawing/2014/chart" uri="{C3380CC4-5D6E-409C-BE32-E72D297353CC}">
              <c16:uniqueId val="{00000001-6D9E-4E1D-BF3A-5421F9B49039}"/>
            </c:ext>
          </c:extLst>
        </c:ser>
        <c:dLbls>
          <c:showLegendKey val="0"/>
          <c:showVal val="0"/>
          <c:showCatName val="0"/>
          <c:showSerName val="0"/>
          <c:showPercent val="0"/>
          <c:showBubbleSize val="0"/>
        </c:dLbls>
        <c:marker val="1"/>
        <c:smooth val="0"/>
        <c:axId val="187158584"/>
        <c:axId val="607991920"/>
      </c:lineChart>
      <c:catAx>
        <c:axId val="187158584"/>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607991920"/>
        <c:crosses val="autoZero"/>
        <c:auto val="1"/>
        <c:lblAlgn val="ctr"/>
        <c:lblOffset val="0"/>
        <c:tickLblSkip val="1"/>
        <c:tickMarkSkip val="12"/>
        <c:noMultiLvlLbl val="0"/>
      </c:catAx>
      <c:valAx>
        <c:axId val="607991920"/>
        <c:scaling>
          <c:orientation val="minMax"/>
          <c:min val="7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87158584"/>
        <c:crosses val="autoZero"/>
        <c:crossBetween val="between"/>
      </c:valAx>
      <c:spPr>
        <a:noFill/>
        <a:ln w="12700">
          <a:solidFill>
            <a:schemeClr val="bg1">
              <a:lumMod val="65000"/>
            </a:schemeClr>
          </a:solidFill>
        </a:ln>
      </c:spPr>
    </c:plotArea>
    <c:legend>
      <c:legendPos val="r"/>
      <c:layout>
        <c:manualLayout>
          <c:xMode val="edge"/>
          <c:yMode val="edge"/>
          <c:x val="3.8913892700149205E-3"/>
          <c:y val="0.93179976889140914"/>
          <c:w val="0.99610861072998502"/>
          <c:h val="6.6023858310673519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4253098436496176E-2"/>
          <c:y val="2.5852478720533766E-2"/>
          <c:w val="0.91526018934083408"/>
          <c:h val="0.78127257863258892"/>
        </c:manualLayout>
      </c:layout>
      <c:barChart>
        <c:barDir val="col"/>
        <c:grouping val="clustered"/>
        <c:varyColors val="0"/>
        <c:ser>
          <c:idx val="0"/>
          <c:order val="0"/>
          <c:tx>
            <c:strRef>
              <c:f>datos!$F$4</c:f>
              <c:strCache>
                <c:ptCount val="1"/>
                <c:pt idx="0">
                  <c:v>Serie Desestacionalizada</c:v>
                </c:pt>
              </c:strCache>
            </c:strRef>
          </c:tx>
          <c:spPr>
            <a:solidFill>
              <a:schemeClr val="accent3"/>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datos!$F$29:$F$81</c:f>
              <c:numCache>
                <c:formatCode>0.0</c:formatCode>
                <c:ptCount val="53"/>
                <c:pt idx="0">
                  <c:v>88.116262834977803</c:v>
                </c:pt>
                <c:pt idx="1">
                  <c:v>91.934369837731893</c:v>
                </c:pt>
                <c:pt idx="2">
                  <c:v>92.843429694971206</c:v>
                </c:pt>
                <c:pt idx="3">
                  <c:v>95.735059878132304</c:v>
                </c:pt>
                <c:pt idx="4">
                  <c:v>96.641748515812097</c:v>
                </c:pt>
                <c:pt idx="5">
                  <c:v>95.615881470112996</c:v>
                </c:pt>
                <c:pt idx="6">
                  <c:v>96.397809683878904</c:v>
                </c:pt>
                <c:pt idx="7">
                  <c:v>96.943523128840795</c:v>
                </c:pt>
                <c:pt idx="8">
                  <c:v>101.314348965148</c:v>
                </c:pt>
                <c:pt idx="9">
                  <c:v>102.31398752427999</c:v>
                </c:pt>
                <c:pt idx="10">
                  <c:v>100.046575911476</c:v>
                </c:pt>
                <c:pt idx="11">
                  <c:v>103.703763425196</c:v>
                </c:pt>
                <c:pt idx="12">
                  <c:v>99.543274050133903</c:v>
                </c:pt>
                <c:pt idx="13">
                  <c:v>88.730078409594398</c:v>
                </c:pt>
                <c:pt idx="14">
                  <c:v>94.178310341441602</c:v>
                </c:pt>
                <c:pt idx="15">
                  <c:v>95.284146659918903</c:v>
                </c:pt>
                <c:pt idx="16">
                  <c:v>96.056145958875106</c:v>
                </c:pt>
                <c:pt idx="17">
                  <c:v>94.980149301537196</c:v>
                </c:pt>
                <c:pt idx="18">
                  <c:v>95.016255291259796</c:v>
                </c:pt>
                <c:pt idx="19">
                  <c:v>90.3864938430671</c:v>
                </c:pt>
                <c:pt idx="20">
                  <c:v>94.239206971225599</c:v>
                </c:pt>
                <c:pt idx="21">
                  <c:v>95.322527152896498</c:v>
                </c:pt>
                <c:pt idx="22">
                  <c:v>97.216939721691901</c:v>
                </c:pt>
                <c:pt idx="23">
                  <c:v>99.485638658914397</c:v>
                </c:pt>
                <c:pt idx="24">
                  <c:v>99.447050143872005</c:v>
                </c:pt>
                <c:pt idx="25">
                  <c:v>100.589177746912</c:v>
                </c:pt>
                <c:pt idx="26">
                  <c:v>100.02298333354</c:v>
                </c:pt>
                <c:pt idx="27">
                  <c:v>99.602173450241096</c:v>
                </c:pt>
                <c:pt idx="28">
                  <c:v>98.423203169680406</c:v>
                </c:pt>
                <c:pt idx="29">
                  <c:v>100.17608087683099</c:v>
                </c:pt>
                <c:pt idx="30">
                  <c:v>100.816056028529</c:v>
                </c:pt>
                <c:pt idx="31">
                  <c:v>100.669657244956</c:v>
                </c:pt>
                <c:pt idx="32">
                  <c:v>96.924354038348199</c:v>
                </c:pt>
                <c:pt idx="33">
                  <c:v>97.708776934317598</c:v>
                </c:pt>
                <c:pt idx="34">
                  <c:v>98.563241609201697</c:v>
                </c:pt>
                <c:pt idx="35">
                  <c:v>98.684830538733607</c:v>
                </c:pt>
                <c:pt idx="36">
                  <c:v>96.443243772735201</c:v>
                </c:pt>
                <c:pt idx="37">
                  <c:v>98.2332981795752</c:v>
                </c:pt>
                <c:pt idx="38">
                  <c:v>102.95865457971399</c:v>
                </c:pt>
                <c:pt idx="39">
                  <c:v>104.625101549943</c:v>
                </c:pt>
                <c:pt idx="40">
                  <c:v>104.618382855641</c:v>
                </c:pt>
                <c:pt idx="41">
                  <c:v>103.36525292281701</c:v>
                </c:pt>
                <c:pt idx="42">
                  <c:v>103.870954169554</c:v>
                </c:pt>
                <c:pt idx="43">
                  <c:v>105.342154287056</c:v>
                </c:pt>
                <c:pt idx="44">
                  <c:v>106.54989786013699</c:v>
                </c:pt>
                <c:pt idx="45">
                  <c:v>102.82268951580799</c:v>
                </c:pt>
                <c:pt idx="46">
                  <c:v>100.632295946919</c:v>
                </c:pt>
                <c:pt idx="47">
                  <c:v>103.15493399725899</c:v>
                </c:pt>
                <c:pt idx="48">
                  <c:v>106.289697103827</c:v>
                </c:pt>
                <c:pt idx="49">
                  <c:v>108.041455509158</c:v>
                </c:pt>
                <c:pt idx="50">
                  <c:v>103.71269933156699</c:v>
                </c:pt>
                <c:pt idx="51">
                  <c:v>104.587611714142</c:v>
                </c:pt>
                <c:pt idx="52">
                  <c:v>105.933814810689</c:v>
                </c:pt>
              </c:numCache>
            </c:numRef>
          </c:val>
          <c:extLst>
            <c:ext xmlns:c16="http://schemas.microsoft.com/office/drawing/2014/chart" uri="{C3380CC4-5D6E-409C-BE32-E72D297353CC}">
              <c16:uniqueId val="{00000000-7805-4786-B7B5-4046E07EA140}"/>
            </c:ext>
          </c:extLst>
        </c:ser>
        <c:dLbls>
          <c:showLegendKey val="0"/>
          <c:showVal val="0"/>
          <c:showCatName val="0"/>
          <c:showSerName val="0"/>
          <c:showPercent val="0"/>
          <c:showBubbleSize val="0"/>
        </c:dLbls>
        <c:gapWidth val="40"/>
        <c:axId val="607992312"/>
        <c:axId val="607988784"/>
      </c:barChart>
      <c:lineChart>
        <c:grouping val="standard"/>
        <c:varyColors val="0"/>
        <c:ser>
          <c:idx val="1"/>
          <c:order val="1"/>
          <c:tx>
            <c:v>Tendencia-Ciclo</c:v>
          </c:tx>
          <c:spPr>
            <a:ln w="15875">
              <a:solidFill>
                <a:srgbClr val="C00000"/>
              </a:solidFill>
              <a:prstDash val="solid"/>
            </a:ln>
          </c:spPr>
          <c:marker>
            <c:symbol val="none"/>
          </c:marker>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datos!$G$29:$G$81</c:f>
              <c:numCache>
                <c:formatCode>0.0</c:formatCode>
                <c:ptCount val="53"/>
                <c:pt idx="0">
                  <c:v>88.492106833484698</c:v>
                </c:pt>
                <c:pt idx="1">
                  <c:v>91.180657396383495</c:v>
                </c:pt>
                <c:pt idx="2">
                  <c:v>93.493925206158707</c:v>
                </c:pt>
                <c:pt idx="3">
                  <c:v>95.439892562035695</c:v>
                </c:pt>
                <c:pt idx="4">
                  <c:v>96.370953877016404</c:v>
                </c:pt>
                <c:pt idx="5">
                  <c:v>96.040607275684295</c:v>
                </c:pt>
                <c:pt idx="6">
                  <c:v>95.949515694519604</c:v>
                </c:pt>
                <c:pt idx="7">
                  <c:v>97.770132091785101</c:v>
                </c:pt>
                <c:pt idx="8">
                  <c:v>100.651774981215</c:v>
                </c:pt>
                <c:pt idx="9">
                  <c:v>102.23812762835701</c:v>
                </c:pt>
                <c:pt idx="10">
                  <c:v>102.35338465663899</c:v>
                </c:pt>
                <c:pt idx="11">
                  <c:v>101.762379996455</c:v>
                </c:pt>
                <c:pt idx="12">
                  <c:v>100.043434731418</c:v>
                </c:pt>
                <c:pt idx="13">
                  <c:v>98.272028336790697</c:v>
                </c:pt>
                <c:pt idx="14">
                  <c:v>97.378381846334904</c:v>
                </c:pt>
                <c:pt idx="15">
                  <c:v>96.729714176684794</c:v>
                </c:pt>
                <c:pt idx="16">
                  <c:v>96.096758516093104</c:v>
                </c:pt>
                <c:pt idx="17">
                  <c:v>95.501325430433994</c:v>
                </c:pt>
                <c:pt idx="18">
                  <c:v>94.198321223330197</c:v>
                </c:pt>
                <c:pt idx="19">
                  <c:v>93.395429110049804</c:v>
                </c:pt>
                <c:pt idx="20">
                  <c:v>93.843075392018093</c:v>
                </c:pt>
                <c:pt idx="21">
                  <c:v>95.451652848182704</c:v>
                </c:pt>
                <c:pt idx="22">
                  <c:v>97.382346851257594</c:v>
                </c:pt>
                <c:pt idx="23">
                  <c:v>99.032832279469901</c:v>
                </c:pt>
                <c:pt idx="24">
                  <c:v>99.915365305184096</c:v>
                </c:pt>
                <c:pt idx="25">
                  <c:v>100.240958319971</c:v>
                </c:pt>
                <c:pt idx="26">
                  <c:v>100.220869244719</c:v>
                </c:pt>
                <c:pt idx="27">
                  <c:v>99.283199097780198</c:v>
                </c:pt>
                <c:pt idx="28">
                  <c:v>99.026020446355702</c:v>
                </c:pt>
                <c:pt idx="29">
                  <c:v>99.873424880540796</c:v>
                </c:pt>
                <c:pt idx="30">
                  <c:v>100.932941445162</c:v>
                </c:pt>
                <c:pt idx="31">
                  <c:v>100.302393811082</c:v>
                </c:pt>
                <c:pt idx="32">
                  <c:v>98.679353712729593</c:v>
                </c:pt>
                <c:pt idx="33">
                  <c:v>97.883881640115902</c:v>
                </c:pt>
                <c:pt idx="34">
                  <c:v>98.484966072557896</c:v>
                </c:pt>
                <c:pt idx="35">
                  <c:v>98.038430334046495</c:v>
                </c:pt>
                <c:pt idx="36">
                  <c:v>96.963293420175603</c:v>
                </c:pt>
                <c:pt idx="37">
                  <c:v>98.600432223656</c:v>
                </c:pt>
                <c:pt idx="38">
                  <c:v>102.41676975819701</c:v>
                </c:pt>
                <c:pt idx="39">
                  <c:v>104.695516851094</c:v>
                </c:pt>
                <c:pt idx="40">
                  <c:v>104.429053317764</c:v>
                </c:pt>
                <c:pt idx="41">
                  <c:v>103.644169248918</c:v>
                </c:pt>
                <c:pt idx="42">
                  <c:v>103.919830629424</c:v>
                </c:pt>
                <c:pt idx="43">
                  <c:v>105.527367608593</c:v>
                </c:pt>
                <c:pt idx="44">
                  <c:v>105.602999468993</c:v>
                </c:pt>
                <c:pt idx="45">
                  <c:v>102.99710985733201</c:v>
                </c:pt>
                <c:pt idx="46">
                  <c:v>101.18352033094401</c:v>
                </c:pt>
                <c:pt idx="47">
                  <c:v>103.056265226954</c:v>
                </c:pt>
                <c:pt idx="48">
                  <c:v>106.10713421278101</c:v>
                </c:pt>
                <c:pt idx="49">
                  <c:v>107.070417993939</c:v>
                </c:pt>
                <c:pt idx="50">
                  <c:v>105.862532533525</c:v>
                </c:pt>
                <c:pt idx="51">
                  <c:v>105.000795168544</c:v>
                </c:pt>
                <c:pt idx="52">
                  <c:v>105.842218967739</c:v>
                </c:pt>
              </c:numCache>
            </c:numRef>
          </c:val>
          <c:smooth val="0"/>
          <c:extLst>
            <c:ext xmlns:c16="http://schemas.microsoft.com/office/drawing/2014/chart" uri="{C3380CC4-5D6E-409C-BE32-E72D297353CC}">
              <c16:uniqueId val="{00000001-7805-4786-B7B5-4046E07EA140}"/>
            </c:ext>
          </c:extLst>
        </c:ser>
        <c:dLbls>
          <c:showLegendKey val="0"/>
          <c:showVal val="0"/>
          <c:showCatName val="0"/>
          <c:showSerName val="0"/>
          <c:showPercent val="0"/>
          <c:showBubbleSize val="0"/>
        </c:dLbls>
        <c:marker val="1"/>
        <c:smooth val="0"/>
        <c:axId val="607992312"/>
        <c:axId val="607988784"/>
      </c:lineChart>
      <c:catAx>
        <c:axId val="607992312"/>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607988784"/>
        <c:crosses val="autoZero"/>
        <c:auto val="1"/>
        <c:lblAlgn val="ctr"/>
        <c:lblOffset val="0"/>
        <c:tickLblSkip val="1"/>
        <c:tickMarkSkip val="12"/>
        <c:noMultiLvlLbl val="0"/>
      </c:catAx>
      <c:valAx>
        <c:axId val="607988784"/>
        <c:scaling>
          <c:orientation val="minMax"/>
          <c:max val="115"/>
          <c:min val="8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07992312"/>
        <c:crosses val="autoZero"/>
        <c:crossBetween val="between"/>
      </c:valAx>
      <c:spPr>
        <a:noFill/>
        <a:ln w="12700">
          <a:solidFill>
            <a:srgbClr val="808080"/>
          </a:solidFill>
          <a:prstDash val="solid"/>
        </a:ln>
      </c:spPr>
    </c:plotArea>
    <c:legend>
      <c:legendPos val="r"/>
      <c:layout>
        <c:manualLayout>
          <c:xMode val="edge"/>
          <c:yMode val="edge"/>
          <c:x val="0"/>
          <c:y val="0.93103448275862066"/>
          <c:w val="1"/>
          <c:h val="6.5681444991789822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3"/>
            </a:solidFill>
            <a:ln w="12700">
              <a:noFill/>
              <a:prstDash val="solid"/>
            </a:ln>
            <a:scene3d>
              <a:camera prst="orthographicFront"/>
              <a:lightRig rig="threePt" dir="t"/>
            </a:scene3d>
            <a:sp3d>
              <a:bevelT w="50800"/>
            </a:sp3d>
          </c:spPr>
          <c:invertIfNegative val="0"/>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datos!$J$29:$J$81</c:f>
              <c:numCache>
                <c:formatCode>0.0</c:formatCode>
                <c:ptCount val="53"/>
                <c:pt idx="0">
                  <c:v>83.642713297452801</c:v>
                </c:pt>
                <c:pt idx="1">
                  <c:v>86.687464461025897</c:v>
                </c:pt>
                <c:pt idx="2">
                  <c:v>87.227472556687601</c:v>
                </c:pt>
                <c:pt idx="3">
                  <c:v>89.135495221830496</c:v>
                </c:pt>
                <c:pt idx="4">
                  <c:v>90.111073429475397</c:v>
                </c:pt>
                <c:pt idx="5">
                  <c:v>90.874796322322297</c:v>
                </c:pt>
                <c:pt idx="6">
                  <c:v>91.348178100939506</c:v>
                </c:pt>
                <c:pt idx="7">
                  <c:v>92.166433117787307</c:v>
                </c:pt>
                <c:pt idx="8">
                  <c:v>94.193713235381097</c:v>
                </c:pt>
                <c:pt idx="9">
                  <c:v>94.159963344749698</c:v>
                </c:pt>
                <c:pt idx="10">
                  <c:v>93.111394475442694</c:v>
                </c:pt>
                <c:pt idx="11">
                  <c:v>94.844096300838302</c:v>
                </c:pt>
                <c:pt idx="12">
                  <c:v>90.557776620369197</c:v>
                </c:pt>
                <c:pt idx="13">
                  <c:v>84.031055172769598</c:v>
                </c:pt>
                <c:pt idx="14">
                  <c:v>89.3658926001564</c:v>
                </c:pt>
                <c:pt idx="15">
                  <c:v>90.933587989199793</c:v>
                </c:pt>
                <c:pt idx="16">
                  <c:v>91.630327672709299</c:v>
                </c:pt>
                <c:pt idx="17">
                  <c:v>90.776086624249004</c:v>
                </c:pt>
                <c:pt idx="18">
                  <c:v>90.9206197243209</c:v>
                </c:pt>
                <c:pt idx="19">
                  <c:v>89.880067589541099</c:v>
                </c:pt>
                <c:pt idx="20">
                  <c:v>91.268450872340097</c:v>
                </c:pt>
                <c:pt idx="21">
                  <c:v>92.909965024781599</c:v>
                </c:pt>
                <c:pt idx="22">
                  <c:v>94.156855570895004</c:v>
                </c:pt>
                <c:pt idx="23">
                  <c:v>96.1783639432808</c:v>
                </c:pt>
                <c:pt idx="24">
                  <c:v>95.176138328400199</c:v>
                </c:pt>
                <c:pt idx="25">
                  <c:v>96.680197576345805</c:v>
                </c:pt>
                <c:pt idx="26">
                  <c:v>97.157132627771105</c:v>
                </c:pt>
                <c:pt idx="27">
                  <c:v>96.954422449195704</c:v>
                </c:pt>
                <c:pt idx="28">
                  <c:v>98.044192180682302</c:v>
                </c:pt>
                <c:pt idx="29">
                  <c:v>99.200103370568598</c:v>
                </c:pt>
                <c:pt idx="30">
                  <c:v>101.10637498539499</c:v>
                </c:pt>
                <c:pt idx="31">
                  <c:v>101.592433960509</c:v>
                </c:pt>
                <c:pt idx="32">
                  <c:v>99.287509299802096</c:v>
                </c:pt>
                <c:pt idx="33">
                  <c:v>100.50480707781701</c:v>
                </c:pt>
                <c:pt idx="34">
                  <c:v>100.448495556244</c:v>
                </c:pt>
                <c:pt idx="35">
                  <c:v>101.69659747953401</c:v>
                </c:pt>
                <c:pt idx="36">
                  <c:v>101.949937708487</c:v>
                </c:pt>
                <c:pt idx="37">
                  <c:v>103.666353997523</c:v>
                </c:pt>
                <c:pt idx="38">
                  <c:v>106.767429057736</c:v>
                </c:pt>
                <c:pt idx="39">
                  <c:v>108.400328124533</c:v>
                </c:pt>
                <c:pt idx="40">
                  <c:v>109.02899293379799</c:v>
                </c:pt>
                <c:pt idx="41">
                  <c:v>108.87074477805</c:v>
                </c:pt>
                <c:pt idx="42">
                  <c:v>109.557807032314</c:v>
                </c:pt>
                <c:pt idx="43">
                  <c:v>110.924785428877</c:v>
                </c:pt>
                <c:pt idx="44">
                  <c:v>112.11464385007</c:v>
                </c:pt>
                <c:pt idx="45">
                  <c:v>112.747014529453</c:v>
                </c:pt>
                <c:pt idx="46">
                  <c:v>110.72108008755001</c:v>
                </c:pt>
                <c:pt idx="47">
                  <c:v>112.696033136556</c:v>
                </c:pt>
                <c:pt idx="48">
                  <c:v>115.39638018956001</c:v>
                </c:pt>
                <c:pt idx="49">
                  <c:v>115.587322840824</c:v>
                </c:pt>
                <c:pt idx="50">
                  <c:v>114.682352990751</c:v>
                </c:pt>
                <c:pt idx="51">
                  <c:v>114.732211425839</c:v>
                </c:pt>
                <c:pt idx="52">
                  <c:v>114.743237036181</c:v>
                </c:pt>
              </c:numCache>
            </c:numRef>
          </c:val>
          <c:extLst>
            <c:ext xmlns:c16="http://schemas.microsoft.com/office/drawing/2014/chart" uri="{C3380CC4-5D6E-409C-BE32-E72D297353CC}">
              <c16:uniqueId val="{00000000-5A93-43B3-AE79-EB47A4B65B15}"/>
            </c:ext>
          </c:extLst>
        </c:ser>
        <c:dLbls>
          <c:showLegendKey val="0"/>
          <c:showVal val="0"/>
          <c:showCatName val="0"/>
          <c:showSerName val="0"/>
          <c:showPercent val="0"/>
          <c:showBubbleSize val="0"/>
        </c:dLbls>
        <c:gapWidth val="40"/>
        <c:axId val="607991136"/>
        <c:axId val="607989568"/>
      </c:barChart>
      <c:lineChart>
        <c:grouping val="standard"/>
        <c:varyColors val="0"/>
        <c:ser>
          <c:idx val="1"/>
          <c:order val="1"/>
          <c:tx>
            <c:v>Tendencia-Ciclo</c:v>
          </c:tx>
          <c:spPr>
            <a:ln w="15875">
              <a:solidFill>
                <a:srgbClr val="C00000"/>
              </a:solidFill>
              <a:prstDash val="solid"/>
            </a:ln>
          </c:spPr>
          <c:marker>
            <c:symbol val="none"/>
          </c:marker>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datos!$K$29:$K$81</c:f>
              <c:numCache>
                <c:formatCode>0.0</c:formatCode>
                <c:ptCount val="53"/>
                <c:pt idx="0">
                  <c:v>83.831669619473203</c:v>
                </c:pt>
                <c:pt idx="1">
                  <c:v>85.642833819757598</c:v>
                </c:pt>
                <c:pt idx="2">
                  <c:v>87.466113164733798</c:v>
                </c:pt>
                <c:pt idx="3">
                  <c:v>88.967329391233903</c:v>
                </c:pt>
                <c:pt idx="4">
                  <c:v>90.169746764387199</c:v>
                </c:pt>
                <c:pt idx="5">
                  <c:v>90.822391765714897</c:v>
                </c:pt>
                <c:pt idx="6">
                  <c:v>91.331368004047306</c:v>
                </c:pt>
                <c:pt idx="7">
                  <c:v>92.469993769539798</c:v>
                </c:pt>
                <c:pt idx="8">
                  <c:v>93.876784602832402</c:v>
                </c:pt>
                <c:pt idx="9">
                  <c:v>94.094859376348097</c:v>
                </c:pt>
                <c:pt idx="10">
                  <c:v>93.386204936031106</c:v>
                </c:pt>
                <c:pt idx="11">
                  <c:v>92.731066773168806</c:v>
                </c:pt>
                <c:pt idx="12">
                  <c:v>92.072147513614297</c:v>
                </c:pt>
                <c:pt idx="13">
                  <c:v>91.740706181091099</c:v>
                </c:pt>
                <c:pt idx="14">
                  <c:v>91.894942037443201</c:v>
                </c:pt>
                <c:pt idx="15">
                  <c:v>92.036994869125607</c:v>
                </c:pt>
                <c:pt idx="16">
                  <c:v>91.677682649915099</c:v>
                </c:pt>
                <c:pt idx="17">
                  <c:v>91.220510320056604</c:v>
                </c:pt>
                <c:pt idx="18">
                  <c:v>90.527658633115095</c:v>
                </c:pt>
                <c:pt idx="19">
                  <c:v>90.316462654646202</c:v>
                </c:pt>
                <c:pt idx="20">
                  <c:v>91.160114363086606</c:v>
                </c:pt>
                <c:pt idx="21">
                  <c:v>92.777921850859499</c:v>
                </c:pt>
                <c:pt idx="22">
                  <c:v>94.4970280434203</c:v>
                </c:pt>
                <c:pt idx="23">
                  <c:v>95.593819794615499</c:v>
                </c:pt>
                <c:pt idx="24">
                  <c:v>96.032625084167805</c:v>
                </c:pt>
                <c:pt idx="25">
                  <c:v>96.495496439630898</c:v>
                </c:pt>
                <c:pt idx="26">
                  <c:v>97.012787316884399</c:v>
                </c:pt>
                <c:pt idx="27">
                  <c:v>97.189276998809007</c:v>
                </c:pt>
                <c:pt idx="28">
                  <c:v>97.903907296789598</c:v>
                </c:pt>
                <c:pt idx="29">
                  <c:v>99.409721247915201</c:v>
                </c:pt>
                <c:pt idx="30">
                  <c:v>100.948014477953</c:v>
                </c:pt>
                <c:pt idx="31">
                  <c:v>101.426761407707</c:v>
                </c:pt>
                <c:pt idx="32">
                  <c:v>100.862323167798</c:v>
                </c:pt>
                <c:pt idx="33">
                  <c:v>100.361905733908</c:v>
                </c:pt>
                <c:pt idx="34">
                  <c:v>100.706977606149</c:v>
                </c:pt>
                <c:pt idx="35">
                  <c:v>101.34730632347301</c:v>
                </c:pt>
                <c:pt idx="36">
                  <c:v>102.136166225816</c:v>
                </c:pt>
                <c:pt idx="37">
                  <c:v>103.870069966073</c:v>
                </c:pt>
                <c:pt idx="38">
                  <c:v>106.523889524504</c:v>
                </c:pt>
                <c:pt idx="39">
                  <c:v>108.418436618634</c:v>
                </c:pt>
                <c:pt idx="40">
                  <c:v>108.925101522148</c:v>
                </c:pt>
                <c:pt idx="41">
                  <c:v>109.00273768188799</c:v>
                </c:pt>
                <c:pt idx="42">
                  <c:v>109.608591923394</c:v>
                </c:pt>
                <c:pt idx="43">
                  <c:v>110.94492902778001</c:v>
                </c:pt>
                <c:pt idx="44">
                  <c:v>111.936733310878</c:v>
                </c:pt>
                <c:pt idx="45">
                  <c:v>112.01830383884</c:v>
                </c:pt>
                <c:pt idx="46">
                  <c:v>111.90806840037</c:v>
                </c:pt>
                <c:pt idx="47">
                  <c:v>112.920175536562</c:v>
                </c:pt>
                <c:pt idx="48">
                  <c:v>114.661576083201</c:v>
                </c:pt>
                <c:pt idx="49">
                  <c:v>115.377869141874</c:v>
                </c:pt>
                <c:pt idx="50">
                  <c:v>114.946558664343</c:v>
                </c:pt>
                <c:pt idx="51">
                  <c:v>114.629684485113</c:v>
                </c:pt>
                <c:pt idx="52">
                  <c:v>114.792873443407</c:v>
                </c:pt>
              </c:numCache>
            </c:numRef>
          </c:val>
          <c:smooth val="0"/>
          <c:extLst>
            <c:ext xmlns:c16="http://schemas.microsoft.com/office/drawing/2014/chart" uri="{C3380CC4-5D6E-409C-BE32-E72D297353CC}">
              <c16:uniqueId val="{00000001-5A93-43B3-AE79-EB47A4B65B15}"/>
            </c:ext>
          </c:extLst>
        </c:ser>
        <c:dLbls>
          <c:showLegendKey val="0"/>
          <c:showVal val="0"/>
          <c:showCatName val="0"/>
          <c:showSerName val="0"/>
          <c:showPercent val="0"/>
          <c:showBubbleSize val="0"/>
        </c:dLbls>
        <c:marker val="1"/>
        <c:smooth val="0"/>
        <c:axId val="607991136"/>
        <c:axId val="607989568"/>
      </c:lineChart>
      <c:catAx>
        <c:axId val="607991136"/>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607989568"/>
        <c:crosses val="autoZero"/>
        <c:auto val="1"/>
        <c:lblAlgn val="ctr"/>
        <c:lblOffset val="0"/>
        <c:tickLblSkip val="1"/>
        <c:tickMarkSkip val="12"/>
        <c:noMultiLvlLbl val="0"/>
      </c:catAx>
      <c:valAx>
        <c:axId val="607989568"/>
        <c:scaling>
          <c:orientation val="minMax"/>
          <c:max val="130"/>
          <c:min val="70"/>
        </c:scaling>
        <c:delete val="0"/>
        <c:axPos val="l"/>
        <c:numFmt formatCode="0" sourceLinked="0"/>
        <c:majorTickMark val="out"/>
        <c:minorTickMark val="none"/>
        <c:tickLblPos val="nextTo"/>
        <c:spPr>
          <a:ln w="3175">
            <a:no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07991136"/>
        <c:crosses val="autoZero"/>
        <c:crossBetween val="between"/>
      </c:valAx>
      <c:spPr>
        <a:noFill/>
        <a:ln w="12700">
          <a:solidFill>
            <a:srgbClr val="808080"/>
          </a:solidFill>
          <a:prstDash val="solid"/>
        </a:ln>
        <a:effectLst>
          <a:outerShdw blurRad="50800" dist="12700" dir="5400000" algn="ctr" rotWithShape="0">
            <a:srgbClr val="000000">
              <a:alpha val="43137"/>
            </a:srgbClr>
          </a:outerShdw>
        </a:effectLst>
      </c:spPr>
    </c:plotArea>
    <c:legend>
      <c:legendPos val="r"/>
      <c:layout>
        <c:manualLayout>
          <c:xMode val="edge"/>
          <c:yMode val="edge"/>
          <c:x val="3.4106169581188655E-3"/>
          <c:y val="0.93520247775901977"/>
          <c:w val="0.98475068529863286"/>
          <c:h val="6.3582870471796588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3"/>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datos!$N$29:$N$81</c:f>
              <c:numCache>
                <c:formatCode>0.0</c:formatCode>
                <c:ptCount val="53"/>
                <c:pt idx="0">
                  <c:v>76.826593841944103</c:v>
                </c:pt>
                <c:pt idx="1">
                  <c:v>86.878005266311206</c:v>
                </c:pt>
                <c:pt idx="2">
                  <c:v>85.108748120906199</c:v>
                </c:pt>
                <c:pt idx="3">
                  <c:v>90.165288607674796</c:v>
                </c:pt>
                <c:pt idx="4">
                  <c:v>86.8951452867543</c:v>
                </c:pt>
                <c:pt idx="5">
                  <c:v>85.750736740690499</c:v>
                </c:pt>
                <c:pt idx="6">
                  <c:v>90.195383449456301</c:v>
                </c:pt>
                <c:pt idx="7">
                  <c:v>88.631898226728794</c:v>
                </c:pt>
                <c:pt idx="8">
                  <c:v>87.815995615655893</c:v>
                </c:pt>
                <c:pt idx="9">
                  <c:v>86.448950475306702</c:v>
                </c:pt>
                <c:pt idx="10">
                  <c:v>87.191020940692596</c:v>
                </c:pt>
                <c:pt idx="11">
                  <c:v>97.220806604028994</c:v>
                </c:pt>
                <c:pt idx="12">
                  <c:v>103.65413115101499</c:v>
                </c:pt>
                <c:pt idx="13">
                  <c:v>79.198429697389798</c:v>
                </c:pt>
                <c:pt idx="14">
                  <c:v>91.707592654402802</c:v>
                </c:pt>
                <c:pt idx="15">
                  <c:v>90.299034871302297</c:v>
                </c:pt>
                <c:pt idx="16">
                  <c:v>97.983261817990496</c:v>
                </c:pt>
                <c:pt idx="17">
                  <c:v>85.283280095164002</c:v>
                </c:pt>
                <c:pt idx="18">
                  <c:v>90.913857164922305</c:v>
                </c:pt>
                <c:pt idx="19">
                  <c:v>84.300256345073294</c:v>
                </c:pt>
                <c:pt idx="20">
                  <c:v>80.185152829666805</c:v>
                </c:pt>
                <c:pt idx="21">
                  <c:v>80.138902363200003</c:v>
                </c:pt>
                <c:pt idx="22">
                  <c:v>85.385744002127794</c:v>
                </c:pt>
                <c:pt idx="23">
                  <c:v>95.670229156358801</c:v>
                </c:pt>
                <c:pt idx="24">
                  <c:v>92.391405666146099</c:v>
                </c:pt>
                <c:pt idx="25">
                  <c:v>97.812352558350696</c:v>
                </c:pt>
                <c:pt idx="26">
                  <c:v>95.522432600647605</c:v>
                </c:pt>
                <c:pt idx="27">
                  <c:v>91.002628487108794</c:v>
                </c:pt>
                <c:pt idx="28">
                  <c:v>95.399222653850401</c:v>
                </c:pt>
                <c:pt idx="29">
                  <c:v>96.352499380794001</c:v>
                </c:pt>
                <c:pt idx="30">
                  <c:v>102.607091528978</c:v>
                </c:pt>
                <c:pt idx="31">
                  <c:v>106.39879688611801</c:v>
                </c:pt>
                <c:pt idx="32">
                  <c:v>107.20969080221499</c:v>
                </c:pt>
                <c:pt idx="33">
                  <c:v>109.99571055551399</c:v>
                </c:pt>
                <c:pt idx="34">
                  <c:v>111.696806343681</c:v>
                </c:pt>
                <c:pt idx="35">
                  <c:v>120.124597317267</c:v>
                </c:pt>
                <c:pt idx="36">
                  <c:v>124.394246729225</c:v>
                </c:pt>
                <c:pt idx="37">
                  <c:v>134.12504579240201</c:v>
                </c:pt>
                <c:pt idx="38">
                  <c:v>141.777838323547</c:v>
                </c:pt>
                <c:pt idx="39">
                  <c:v>145.538439108831</c:v>
                </c:pt>
                <c:pt idx="40">
                  <c:v>157.131151958038</c:v>
                </c:pt>
                <c:pt idx="41">
                  <c:v>167.30148226613099</c:v>
                </c:pt>
                <c:pt idx="42">
                  <c:v>176.26609637402399</c:v>
                </c:pt>
                <c:pt idx="43">
                  <c:v>180.48566692241999</c:v>
                </c:pt>
                <c:pt idx="44">
                  <c:v>183.02668515217101</c:v>
                </c:pt>
                <c:pt idx="45">
                  <c:v>174.36796842954101</c:v>
                </c:pt>
                <c:pt idx="46">
                  <c:v>174.48856600427499</c:v>
                </c:pt>
                <c:pt idx="47">
                  <c:v>178.390272048475</c:v>
                </c:pt>
                <c:pt idx="48">
                  <c:v>176.31354482114699</c:v>
                </c:pt>
                <c:pt idx="49">
                  <c:v>184.67645997529999</c:v>
                </c:pt>
                <c:pt idx="50">
                  <c:v>183.79223594039999</c:v>
                </c:pt>
                <c:pt idx="51">
                  <c:v>187.07500706123801</c:v>
                </c:pt>
                <c:pt idx="52">
                  <c:v>193.044107794003</c:v>
                </c:pt>
              </c:numCache>
            </c:numRef>
          </c:val>
          <c:extLst>
            <c:ext xmlns:c16="http://schemas.microsoft.com/office/drawing/2014/chart" uri="{C3380CC4-5D6E-409C-BE32-E72D297353CC}">
              <c16:uniqueId val="{00000000-42F7-4553-B46D-E9EA9324444E}"/>
            </c:ext>
          </c:extLst>
        </c:ser>
        <c:dLbls>
          <c:showLegendKey val="0"/>
          <c:showVal val="0"/>
          <c:showCatName val="0"/>
          <c:showSerName val="0"/>
          <c:showPercent val="0"/>
          <c:showBubbleSize val="0"/>
        </c:dLbls>
        <c:gapWidth val="40"/>
        <c:axId val="607991528"/>
        <c:axId val="607989176"/>
      </c:barChart>
      <c:lineChart>
        <c:grouping val="standard"/>
        <c:varyColors val="0"/>
        <c:ser>
          <c:idx val="1"/>
          <c:order val="1"/>
          <c:tx>
            <c:v>Tendencia-Ciclo</c:v>
          </c:tx>
          <c:spPr>
            <a:ln w="15875">
              <a:solidFill>
                <a:srgbClr val="C00000"/>
              </a:solidFill>
              <a:prstDash val="solid"/>
            </a:ln>
          </c:spPr>
          <c:marker>
            <c:symbol val="none"/>
          </c:marker>
          <c:cat>
            <c:multiLvlStrRef>
              <c:f>datos!$B$25:$C$81</c:f>
              <c:multiLvlStrCache>
                <c:ptCount val="5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pt idx="56">
                    <c:v>I</c:v>
                  </c:pt>
                </c:lvl>
                <c:lvl>
                  <c:pt idx="0">
                    <c:v>2005</c:v>
                  </c:pt>
                  <c:pt idx="4">
                    <c:v>2006</c:v>
                  </c:pt>
                  <c:pt idx="8">
                    <c:v>2007</c:v>
                  </c:pt>
                  <c:pt idx="12">
                    <c:v>2008</c:v>
                  </c:pt>
                  <c:pt idx="16">
                    <c:v>2009</c:v>
                  </c:pt>
                  <c:pt idx="20">
                    <c:v>2010</c:v>
                  </c:pt>
                  <c:pt idx="24">
                    <c:v>2011</c:v>
                  </c:pt>
                  <c:pt idx="28">
                    <c:v>2012</c:v>
                  </c:pt>
                  <c:pt idx="32">
                    <c:v>2013</c:v>
                  </c:pt>
                  <c:pt idx="36">
                    <c:v>2014</c:v>
                  </c:pt>
                  <c:pt idx="40">
                    <c:v>2015</c:v>
                  </c:pt>
                  <c:pt idx="44">
                    <c:v>2016</c:v>
                  </c:pt>
                  <c:pt idx="48">
                    <c:v>2017</c:v>
                  </c:pt>
                  <c:pt idx="52">
                    <c:v>2018</c:v>
                  </c:pt>
                  <c:pt idx="56">
                    <c:v>2019</c:v>
                  </c:pt>
                </c:lvl>
              </c:multiLvlStrCache>
            </c:multiLvlStrRef>
          </c:cat>
          <c:val>
            <c:numRef>
              <c:f>datos!$O$29:$O$81</c:f>
              <c:numCache>
                <c:formatCode>0.0</c:formatCode>
                <c:ptCount val="53"/>
                <c:pt idx="0">
                  <c:v>77.2564802505091</c:v>
                </c:pt>
                <c:pt idx="1">
                  <c:v>81.340113535258396</c:v>
                </c:pt>
                <c:pt idx="2">
                  <c:v>86.249945906726197</c:v>
                </c:pt>
                <c:pt idx="3">
                  <c:v>88.600035579192806</c:v>
                </c:pt>
                <c:pt idx="4">
                  <c:v>87.398905762022906</c:v>
                </c:pt>
                <c:pt idx="5">
                  <c:v>86.858934475127597</c:v>
                </c:pt>
                <c:pt idx="6">
                  <c:v>88.847792763026604</c:v>
                </c:pt>
                <c:pt idx="7">
                  <c:v>89.223308133601705</c:v>
                </c:pt>
                <c:pt idx="8">
                  <c:v>87.525301039450397</c:v>
                </c:pt>
                <c:pt idx="9">
                  <c:v>86.117184144532999</c:v>
                </c:pt>
                <c:pt idx="10">
                  <c:v>88.664161828933302</c:v>
                </c:pt>
                <c:pt idx="11">
                  <c:v>96.760448031518905</c:v>
                </c:pt>
                <c:pt idx="12">
                  <c:v>102.741121660185</c:v>
                </c:pt>
                <c:pt idx="13">
                  <c:v>99.484973086662805</c:v>
                </c:pt>
                <c:pt idx="14">
                  <c:v>92.747903126899104</c:v>
                </c:pt>
                <c:pt idx="15">
                  <c:v>90.625507982118904</c:v>
                </c:pt>
                <c:pt idx="16">
                  <c:v>91.736346966741905</c:v>
                </c:pt>
                <c:pt idx="17">
                  <c:v>92.138254409904604</c:v>
                </c:pt>
                <c:pt idx="18">
                  <c:v>89.731729192609606</c:v>
                </c:pt>
                <c:pt idx="19">
                  <c:v>84.829300607120601</c:v>
                </c:pt>
                <c:pt idx="20">
                  <c:v>80.210566992075499</c:v>
                </c:pt>
                <c:pt idx="21">
                  <c:v>80.444764518565904</c:v>
                </c:pt>
                <c:pt idx="22">
                  <c:v>85.943936420079197</c:v>
                </c:pt>
                <c:pt idx="23">
                  <c:v>91.167142328113499</c:v>
                </c:pt>
                <c:pt idx="24">
                  <c:v>94.442229085776304</c:v>
                </c:pt>
                <c:pt idx="25">
                  <c:v>96.402139682136905</c:v>
                </c:pt>
                <c:pt idx="26">
                  <c:v>95.106449053154904</c:v>
                </c:pt>
                <c:pt idx="27">
                  <c:v>92.728593386689596</c:v>
                </c:pt>
                <c:pt idx="28">
                  <c:v>93.849602653139101</c:v>
                </c:pt>
                <c:pt idx="29">
                  <c:v>97.564686571492501</c:v>
                </c:pt>
                <c:pt idx="30">
                  <c:v>102.075022197481</c:v>
                </c:pt>
                <c:pt idx="31">
                  <c:v>105.996869961317</c:v>
                </c:pt>
                <c:pt idx="32">
                  <c:v>107.798277266174</c:v>
                </c:pt>
                <c:pt idx="33">
                  <c:v>109.197441156876</c:v>
                </c:pt>
                <c:pt idx="34">
                  <c:v>113.069623035463</c:v>
                </c:pt>
                <c:pt idx="35">
                  <c:v>118.61904946007201</c:v>
                </c:pt>
                <c:pt idx="36">
                  <c:v>125.65413272684</c:v>
                </c:pt>
                <c:pt idx="37">
                  <c:v>133.70468079115</c:v>
                </c:pt>
                <c:pt idx="38">
                  <c:v>140.78375346517001</c:v>
                </c:pt>
                <c:pt idx="39">
                  <c:v>147.078840391038</c:v>
                </c:pt>
                <c:pt idx="40">
                  <c:v>156.435717063406</c:v>
                </c:pt>
                <c:pt idx="41">
                  <c:v>167.57727201334899</c:v>
                </c:pt>
                <c:pt idx="42">
                  <c:v>175.82531571768101</c:v>
                </c:pt>
                <c:pt idx="43">
                  <c:v>181.23288880986701</c:v>
                </c:pt>
                <c:pt idx="44">
                  <c:v>180.52335016667601</c:v>
                </c:pt>
                <c:pt idx="45">
                  <c:v>176.02491481091801</c:v>
                </c:pt>
                <c:pt idx="46">
                  <c:v>174.84677744099</c:v>
                </c:pt>
                <c:pt idx="47">
                  <c:v>176.73948418674999</c:v>
                </c:pt>
                <c:pt idx="48">
                  <c:v>178.721455510439</c:v>
                </c:pt>
                <c:pt idx="49">
                  <c:v>181.40797390347601</c:v>
                </c:pt>
                <c:pt idx="50">
                  <c:v>184.33541720905399</c:v>
                </c:pt>
                <c:pt idx="51">
                  <c:v>187.51675243947199</c:v>
                </c:pt>
                <c:pt idx="52">
                  <c:v>192.20479426060001</c:v>
                </c:pt>
              </c:numCache>
            </c:numRef>
          </c:val>
          <c:smooth val="0"/>
          <c:extLst>
            <c:ext xmlns:c16="http://schemas.microsoft.com/office/drawing/2014/chart" uri="{C3380CC4-5D6E-409C-BE32-E72D297353CC}">
              <c16:uniqueId val="{00000001-42F7-4553-B46D-E9EA9324444E}"/>
            </c:ext>
          </c:extLst>
        </c:ser>
        <c:dLbls>
          <c:showLegendKey val="0"/>
          <c:showVal val="0"/>
          <c:showCatName val="0"/>
          <c:showSerName val="0"/>
          <c:showPercent val="0"/>
          <c:showBubbleSize val="0"/>
        </c:dLbls>
        <c:marker val="1"/>
        <c:smooth val="0"/>
        <c:axId val="607991528"/>
        <c:axId val="607989176"/>
      </c:lineChart>
      <c:catAx>
        <c:axId val="607991528"/>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607989176"/>
        <c:crosses val="autoZero"/>
        <c:auto val="1"/>
        <c:lblAlgn val="ctr"/>
        <c:lblOffset val="0"/>
        <c:tickLblSkip val="1"/>
        <c:tickMarkSkip val="12"/>
        <c:noMultiLvlLbl val="0"/>
      </c:catAx>
      <c:valAx>
        <c:axId val="607989176"/>
        <c:scaling>
          <c:orientation val="minMax"/>
          <c:max val="215"/>
          <c:min val="55"/>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07991528"/>
        <c:crosses val="autoZero"/>
        <c:crossBetween val="between"/>
      </c:valAx>
      <c:spPr>
        <a:noFill/>
        <a:ln w="12700">
          <a:solidFill>
            <a:schemeClr val="bg1">
              <a:lumMod val="65000"/>
            </a:schemeClr>
          </a:solidFill>
        </a:ln>
      </c:spPr>
    </c:plotArea>
    <c:legend>
      <c:legendPos val="r"/>
      <c:layout>
        <c:manualLayout>
          <c:xMode val="edge"/>
          <c:yMode val="edge"/>
          <c:x val="2.2938642103699316E-3"/>
          <c:y val="0.93360636794377794"/>
          <c:w val="0.99621651067201489"/>
          <c:h val="6.5681444991789822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3"/>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datos!$B$29:$C$81</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datos!$L$29:$L$81</c:f>
              <c:numCache>
                <c:formatCode>0.0</c:formatCode>
                <c:ptCount val="53"/>
                <c:pt idx="0">
                  <c:v>84.624037328872504</c:v>
                </c:pt>
                <c:pt idx="1">
                  <c:v>86.607125565323301</c:v>
                </c:pt>
                <c:pt idx="2">
                  <c:v>87.535991738816307</c:v>
                </c:pt>
                <c:pt idx="3">
                  <c:v>88.895707532392706</c:v>
                </c:pt>
                <c:pt idx="4">
                  <c:v>90.652589507299894</c:v>
                </c:pt>
                <c:pt idx="5">
                  <c:v>91.426313989572293</c:v>
                </c:pt>
                <c:pt idx="6">
                  <c:v>91.586574047288707</c:v>
                </c:pt>
                <c:pt idx="7">
                  <c:v>92.400605152243401</c:v>
                </c:pt>
                <c:pt idx="8">
                  <c:v>95.317275862230602</c:v>
                </c:pt>
                <c:pt idx="9">
                  <c:v>94.925338477534098</c:v>
                </c:pt>
                <c:pt idx="10">
                  <c:v>93.900898142046898</c:v>
                </c:pt>
                <c:pt idx="11">
                  <c:v>94.292114979877098</c:v>
                </c:pt>
                <c:pt idx="12">
                  <c:v>88.918952627583295</c:v>
                </c:pt>
                <c:pt idx="13">
                  <c:v>84.410825568513204</c:v>
                </c:pt>
                <c:pt idx="14">
                  <c:v>89.299577072665798</c:v>
                </c:pt>
                <c:pt idx="15">
                  <c:v>90.793850709721099</c:v>
                </c:pt>
                <c:pt idx="16">
                  <c:v>90.999097406341093</c:v>
                </c:pt>
                <c:pt idx="17">
                  <c:v>91.166919920848102</c:v>
                </c:pt>
                <c:pt idx="18">
                  <c:v>91.077814481010705</c:v>
                </c:pt>
                <c:pt idx="19">
                  <c:v>90.484617686589004</c:v>
                </c:pt>
                <c:pt idx="20">
                  <c:v>93.021082064244197</c:v>
                </c:pt>
                <c:pt idx="21">
                  <c:v>94.252858412976295</c:v>
                </c:pt>
                <c:pt idx="22">
                  <c:v>95.131411459004795</c:v>
                </c:pt>
                <c:pt idx="23">
                  <c:v>96.254458678199001</c:v>
                </c:pt>
                <c:pt idx="24">
                  <c:v>95.702067457168596</c:v>
                </c:pt>
                <c:pt idx="25">
                  <c:v>96.411397961931101</c:v>
                </c:pt>
                <c:pt idx="26">
                  <c:v>97.241133066902805</c:v>
                </c:pt>
                <c:pt idx="27">
                  <c:v>97.819858715582399</c:v>
                </c:pt>
                <c:pt idx="28">
                  <c:v>98.529195648874193</c:v>
                </c:pt>
                <c:pt idx="29">
                  <c:v>99.489905698034505</c:v>
                </c:pt>
                <c:pt idx="30">
                  <c:v>100.692092728139</c:v>
                </c:pt>
                <c:pt idx="31">
                  <c:v>101.13034931364299</c:v>
                </c:pt>
                <c:pt idx="32">
                  <c:v>98.415258704073693</c:v>
                </c:pt>
                <c:pt idx="33">
                  <c:v>99.294689840799194</c:v>
                </c:pt>
                <c:pt idx="34">
                  <c:v>98.858082434296406</c:v>
                </c:pt>
                <c:pt idx="35">
                  <c:v>99.465976012339098</c:v>
                </c:pt>
                <c:pt idx="36">
                  <c:v>99.248936548900005</c:v>
                </c:pt>
                <c:pt idx="37">
                  <c:v>99.932434449639899</c:v>
                </c:pt>
                <c:pt idx="38">
                  <c:v>102.378079325671</c:v>
                </c:pt>
                <c:pt idx="39">
                  <c:v>103.756550916609</c:v>
                </c:pt>
                <c:pt idx="40">
                  <c:v>103.02550506164199</c:v>
                </c:pt>
                <c:pt idx="41">
                  <c:v>101.754429238727</c:v>
                </c:pt>
                <c:pt idx="42">
                  <c:v>101.51438875043701</c:v>
                </c:pt>
                <c:pt idx="43">
                  <c:v>102.152459416792</c:v>
                </c:pt>
                <c:pt idx="44">
                  <c:v>103.126032878199</c:v>
                </c:pt>
                <c:pt idx="45">
                  <c:v>105.31425561025</c:v>
                </c:pt>
                <c:pt idx="46">
                  <c:v>102.787738281711</c:v>
                </c:pt>
                <c:pt idx="47">
                  <c:v>104.361502579298</c:v>
                </c:pt>
                <c:pt idx="48">
                  <c:v>108.015632328059</c:v>
                </c:pt>
                <c:pt idx="49">
                  <c:v>107.28379887899101</c:v>
                </c:pt>
                <c:pt idx="50">
                  <c:v>106.01579961323201</c:v>
                </c:pt>
                <c:pt idx="51">
                  <c:v>105.542235164091</c:v>
                </c:pt>
                <c:pt idx="52">
                  <c:v>104.96224751563101</c:v>
                </c:pt>
              </c:numCache>
            </c:numRef>
          </c:val>
          <c:extLst>
            <c:ext xmlns:c16="http://schemas.microsoft.com/office/drawing/2014/chart" uri="{C3380CC4-5D6E-409C-BE32-E72D297353CC}">
              <c16:uniqueId val="{00000000-2FDC-4783-9F7D-58683DF0B58B}"/>
            </c:ext>
          </c:extLst>
        </c:ser>
        <c:dLbls>
          <c:showLegendKey val="0"/>
          <c:showVal val="0"/>
          <c:showCatName val="0"/>
          <c:showSerName val="0"/>
          <c:showPercent val="0"/>
          <c:showBubbleSize val="0"/>
        </c:dLbls>
        <c:gapWidth val="40"/>
        <c:axId val="614451592"/>
        <c:axId val="614451984"/>
      </c:barChart>
      <c:lineChart>
        <c:grouping val="standard"/>
        <c:varyColors val="0"/>
        <c:ser>
          <c:idx val="1"/>
          <c:order val="1"/>
          <c:tx>
            <c:v>Tendencia-Ciclo</c:v>
          </c:tx>
          <c:spPr>
            <a:ln w="15875">
              <a:solidFill>
                <a:srgbClr val="C00000"/>
              </a:solidFill>
              <a:prstDash val="solid"/>
            </a:ln>
          </c:spPr>
          <c:marker>
            <c:symbol val="none"/>
          </c:marker>
          <c:cat>
            <c:multiLvlStrRef>
              <c:f>datos!$B$29:$C$80</c:f>
              <c:multiLvlStrCache>
                <c:ptCount val="52"/>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lvl>
              </c:multiLvlStrCache>
            </c:multiLvlStrRef>
          </c:cat>
          <c:val>
            <c:numRef>
              <c:f>datos!$M$29:$M$81</c:f>
              <c:numCache>
                <c:formatCode>0.0</c:formatCode>
                <c:ptCount val="53"/>
                <c:pt idx="0">
                  <c:v>84.781628946171196</c:v>
                </c:pt>
                <c:pt idx="1">
                  <c:v>86.350343957842995</c:v>
                </c:pt>
                <c:pt idx="2">
                  <c:v>87.647508723283707</c:v>
                </c:pt>
                <c:pt idx="3">
                  <c:v>88.994586710502801</c:v>
                </c:pt>
                <c:pt idx="4">
                  <c:v>90.524091774492405</c:v>
                </c:pt>
                <c:pt idx="5">
                  <c:v>91.3256844981657</c:v>
                </c:pt>
                <c:pt idx="6">
                  <c:v>91.757388144391399</c:v>
                </c:pt>
                <c:pt idx="7">
                  <c:v>92.987912527024903</c:v>
                </c:pt>
                <c:pt idx="8">
                  <c:v>94.517616762349704</c:v>
                </c:pt>
                <c:pt idx="9">
                  <c:v>94.885996934513898</c:v>
                </c:pt>
                <c:pt idx="10">
                  <c:v>93.972354389830599</c:v>
                </c:pt>
                <c:pt idx="11">
                  <c:v>92.373889807031205</c:v>
                </c:pt>
                <c:pt idx="12">
                  <c:v>90.829893589423605</c:v>
                </c:pt>
                <c:pt idx="13">
                  <c:v>90.489362827571696</c:v>
                </c:pt>
                <c:pt idx="14">
                  <c:v>91.173176733797504</c:v>
                </c:pt>
                <c:pt idx="15">
                  <c:v>91.510087296686507</c:v>
                </c:pt>
                <c:pt idx="16">
                  <c:v>91.328027104200302</c:v>
                </c:pt>
                <c:pt idx="17">
                  <c:v>91.215701514670897</c:v>
                </c:pt>
                <c:pt idx="18">
                  <c:v>90.9329080959739</c:v>
                </c:pt>
                <c:pt idx="19">
                  <c:v>91.303461002345202</c:v>
                </c:pt>
                <c:pt idx="20">
                  <c:v>92.742930678570602</c:v>
                </c:pt>
                <c:pt idx="21">
                  <c:v>94.251367941964702</c:v>
                </c:pt>
                <c:pt idx="22">
                  <c:v>95.316649992831898</c:v>
                </c:pt>
                <c:pt idx="23">
                  <c:v>95.897948843709202</c:v>
                </c:pt>
                <c:pt idx="24">
                  <c:v>96.001580694451604</c:v>
                </c:pt>
                <c:pt idx="25">
                  <c:v>96.354881798961998</c:v>
                </c:pt>
                <c:pt idx="26">
                  <c:v>97.185845599447305</c:v>
                </c:pt>
                <c:pt idx="27">
                  <c:v>97.839014522265899</c:v>
                </c:pt>
                <c:pt idx="28">
                  <c:v>98.538790046917597</c:v>
                </c:pt>
                <c:pt idx="29">
                  <c:v>99.624830143956999</c:v>
                </c:pt>
                <c:pt idx="30">
                  <c:v>100.457152483135</c:v>
                </c:pt>
                <c:pt idx="31">
                  <c:v>100.34538266758599</c:v>
                </c:pt>
                <c:pt idx="32">
                  <c:v>99.704021816835905</c:v>
                </c:pt>
                <c:pt idx="33">
                  <c:v>99.179642768225193</c:v>
                </c:pt>
                <c:pt idx="34">
                  <c:v>99.079420492865594</c:v>
                </c:pt>
                <c:pt idx="35">
                  <c:v>99.202014498477297</c:v>
                </c:pt>
                <c:pt idx="36">
                  <c:v>99.3123668870834</c:v>
                </c:pt>
                <c:pt idx="37">
                  <c:v>100.203446782904</c:v>
                </c:pt>
                <c:pt idx="38">
                  <c:v>102.246867793899</c:v>
                </c:pt>
                <c:pt idx="39">
                  <c:v>103.56477306901201</c:v>
                </c:pt>
                <c:pt idx="40">
                  <c:v>103.025389207388</c:v>
                </c:pt>
                <c:pt idx="41">
                  <c:v>101.881015879055</c:v>
                </c:pt>
                <c:pt idx="42">
                  <c:v>101.543001924465</c:v>
                </c:pt>
                <c:pt idx="43">
                  <c:v>102.157648331415</c:v>
                </c:pt>
                <c:pt idx="44">
                  <c:v>103.106601934</c:v>
                </c:pt>
                <c:pt idx="45">
                  <c:v>103.720799711431</c:v>
                </c:pt>
                <c:pt idx="46">
                  <c:v>103.86534133088701</c:v>
                </c:pt>
                <c:pt idx="47">
                  <c:v>104.70952468925</c:v>
                </c:pt>
                <c:pt idx="48">
                  <c:v>106.39209431741</c:v>
                </c:pt>
                <c:pt idx="49">
                  <c:v>107.05663105408</c:v>
                </c:pt>
                <c:pt idx="50">
                  <c:v>106.28268392806299</c:v>
                </c:pt>
                <c:pt idx="51">
                  <c:v>105.440421968333</c:v>
                </c:pt>
                <c:pt idx="52">
                  <c:v>104.97806170853799</c:v>
                </c:pt>
              </c:numCache>
            </c:numRef>
          </c:val>
          <c:smooth val="0"/>
          <c:extLst>
            <c:ext xmlns:c16="http://schemas.microsoft.com/office/drawing/2014/chart" uri="{C3380CC4-5D6E-409C-BE32-E72D297353CC}">
              <c16:uniqueId val="{00000001-2FDC-4783-9F7D-58683DF0B58B}"/>
            </c:ext>
          </c:extLst>
        </c:ser>
        <c:dLbls>
          <c:showLegendKey val="0"/>
          <c:showVal val="0"/>
          <c:showCatName val="0"/>
          <c:showSerName val="0"/>
          <c:showPercent val="0"/>
          <c:showBubbleSize val="0"/>
        </c:dLbls>
        <c:marker val="1"/>
        <c:smooth val="0"/>
        <c:axId val="614451592"/>
        <c:axId val="614451984"/>
      </c:lineChart>
      <c:catAx>
        <c:axId val="614451592"/>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614451984"/>
        <c:crosses val="autoZero"/>
        <c:auto val="1"/>
        <c:lblAlgn val="ctr"/>
        <c:lblOffset val="0"/>
        <c:tickLblSkip val="1"/>
        <c:tickMarkSkip val="12"/>
        <c:noMultiLvlLbl val="0"/>
      </c:catAx>
      <c:valAx>
        <c:axId val="614451984"/>
        <c:scaling>
          <c:orientation val="minMax"/>
          <c:max val="115"/>
          <c:min val="75"/>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14451592"/>
        <c:crosses val="autoZero"/>
        <c:crossBetween val="between"/>
      </c:valAx>
      <c:spPr>
        <a:noFill/>
        <a:ln w="12700">
          <a:solidFill>
            <a:srgbClr val="808080"/>
          </a:solidFill>
          <a:prstDash val="solid"/>
        </a:ln>
      </c:spPr>
    </c:plotArea>
    <c:legend>
      <c:legendPos val="r"/>
      <c:layout>
        <c:manualLayout>
          <c:xMode val="edge"/>
          <c:yMode val="edge"/>
          <c:x val="2.2246497767135381E-3"/>
          <c:y val="0.93042978465662329"/>
          <c:w val="0.99777530589543939"/>
          <c:h val="6.5681444991789822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C54493-1F3F-483D-89C6-9DE3F9C76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TotalTime>
  <Pages>9</Pages>
  <Words>1335</Words>
  <Characters>7346</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Comunicado de Prensa. Indicadores Trimestrales de la Actividad Turística. Primer Trimestre de 2019</vt:lpstr>
    </vt:vector>
  </TitlesOfParts>
  <Company>DGCNES y P.  "INEGI"</Company>
  <LinksUpToDate>false</LinksUpToDate>
  <CharactersWithSpaces>8664</CharactersWithSpaces>
  <SharedDoc>false</SharedDoc>
  <HLinks>
    <vt:vector size="24" baseType="variant">
      <vt:variant>
        <vt:i4>262227</vt:i4>
      </vt:variant>
      <vt:variant>
        <vt:i4>0</vt:i4>
      </vt:variant>
      <vt:variant>
        <vt:i4>0</vt:i4>
      </vt:variant>
      <vt:variant>
        <vt:i4>5</vt:i4>
      </vt:variant>
      <vt:variant>
        <vt:lpwstr>http://www.inegi.org.mx/</vt:lpwstr>
      </vt:variant>
      <vt:variant>
        <vt:lpwstr/>
      </vt:variant>
      <vt:variant>
        <vt:i4>196687</vt:i4>
      </vt:variant>
      <vt:variant>
        <vt:i4>0</vt:i4>
      </vt:variant>
      <vt:variant>
        <vt:i4>0</vt:i4>
      </vt:variant>
      <vt:variant>
        <vt:i4>5</vt:i4>
      </vt:variant>
      <vt:variant>
        <vt:lpwstr>http://www.censo2010.org.mx/</vt:lpwstr>
      </vt:variant>
      <vt:variant>
        <vt:lpwstr/>
      </vt:variant>
      <vt:variant>
        <vt:i4>196687</vt:i4>
      </vt:variant>
      <vt:variant>
        <vt:i4>-1</vt:i4>
      </vt:variant>
      <vt:variant>
        <vt:i4>9217</vt:i4>
      </vt:variant>
      <vt:variant>
        <vt:i4>4</vt:i4>
      </vt:variant>
      <vt:variant>
        <vt:lpwstr>http://www.censo2010.org.mx/</vt:lpwstr>
      </vt:variant>
      <vt:variant>
        <vt:lpwstr/>
      </vt:variant>
      <vt:variant>
        <vt:i4>196687</vt:i4>
      </vt:variant>
      <vt:variant>
        <vt:i4>-1</vt:i4>
      </vt:variant>
      <vt:variant>
        <vt:i4>1026</vt:i4>
      </vt:variant>
      <vt:variant>
        <vt:i4>4</vt:i4>
      </vt:variant>
      <vt:variant>
        <vt:lpwstr>http://www.censo2010.org.mx/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Trimestrales de la Actividad Turística. Primer Trimestre de 2019</dc:title>
  <dc:creator>Laura Calles</dc:creator>
  <cp:lastModifiedBy>SALA DE PRENSA</cp:lastModifiedBy>
  <cp:revision>117</cp:revision>
  <cp:lastPrinted>2019-08-07T20:21:00Z</cp:lastPrinted>
  <dcterms:created xsi:type="dcterms:W3CDTF">2019-02-12T16:24:00Z</dcterms:created>
  <dcterms:modified xsi:type="dcterms:W3CDTF">2019-08-12T23:02:00Z</dcterms:modified>
</cp:coreProperties>
</file>