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40F8" w14:textId="4A65995B" w:rsidR="00D02F23" w:rsidRDefault="00D02F23"/>
    <w:p w14:paraId="0B30A27E" w14:textId="77777777" w:rsidR="00B62A57" w:rsidRDefault="00B62A57" w:rsidP="00E056E7">
      <w:pPr>
        <w:ind w:left="-567" w:right="-518"/>
        <w:jc w:val="center"/>
        <w:rPr>
          <w:rFonts w:ascii="Arial" w:hAnsi="Arial" w:cs="Arial"/>
          <w:b/>
          <w:bCs/>
          <w:sz w:val="24"/>
          <w:szCs w:val="24"/>
        </w:rPr>
      </w:pPr>
    </w:p>
    <w:p w14:paraId="3A806D5C" w14:textId="77777777" w:rsidR="00385B9E" w:rsidRDefault="00E056E7" w:rsidP="002209BF">
      <w:pPr>
        <w:ind w:left="-993" w:right="-1227" w:firstLine="142"/>
        <w:jc w:val="center"/>
        <w:rPr>
          <w:rFonts w:ascii="Arial" w:hAnsi="Arial" w:cs="Arial"/>
          <w:b/>
          <w:sz w:val="20"/>
          <w:szCs w:val="20"/>
        </w:rPr>
      </w:pPr>
      <w:r w:rsidRPr="009A259B">
        <w:rPr>
          <w:rFonts w:ascii="Arial" w:hAnsi="Arial" w:cs="Arial"/>
          <w:b/>
          <w:bCs/>
          <w:sz w:val="20"/>
          <w:szCs w:val="20"/>
        </w:rPr>
        <w:t xml:space="preserve">EL INEGI </w:t>
      </w:r>
      <w:r w:rsidR="00731413" w:rsidRPr="009A259B">
        <w:rPr>
          <w:rFonts w:ascii="Arial" w:hAnsi="Arial" w:cs="Arial"/>
          <w:b/>
          <w:bCs/>
          <w:sz w:val="20"/>
          <w:szCs w:val="20"/>
        </w:rPr>
        <w:t xml:space="preserve">PRESENTA EL CALENDARIO </w:t>
      </w:r>
      <w:r w:rsidRPr="009A259B">
        <w:rPr>
          <w:rFonts w:ascii="Arial" w:hAnsi="Arial" w:cs="Arial"/>
          <w:b/>
          <w:sz w:val="20"/>
          <w:szCs w:val="20"/>
        </w:rPr>
        <w:t xml:space="preserve">DE DIFUSIÓN DE INFORMACIÓN ESTADÍSTICA, GEOGRÁFICA </w:t>
      </w:r>
    </w:p>
    <w:p w14:paraId="7A4D479F" w14:textId="77777777" w:rsidR="00385B9E" w:rsidRDefault="00E056E7" w:rsidP="002209BF">
      <w:pPr>
        <w:ind w:left="-993" w:right="-1227" w:firstLine="142"/>
        <w:jc w:val="center"/>
        <w:rPr>
          <w:rFonts w:ascii="Arial" w:hAnsi="Arial" w:cs="Arial"/>
          <w:b/>
          <w:sz w:val="20"/>
          <w:szCs w:val="20"/>
        </w:rPr>
      </w:pPr>
      <w:r w:rsidRPr="009A259B">
        <w:rPr>
          <w:rFonts w:ascii="Arial" w:hAnsi="Arial" w:cs="Arial"/>
          <w:b/>
          <w:sz w:val="20"/>
          <w:szCs w:val="20"/>
        </w:rPr>
        <w:t xml:space="preserve">Y DE INTERÉS NACIONAL </w:t>
      </w:r>
      <w:r w:rsidR="00731413" w:rsidRPr="009A259B">
        <w:rPr>
          <w:rFonts w:ascii="Arial" w:hAnsi="Arial" w:cs="Arial"/>
          <w:b/>
          <w:sz w:val="20"/>
          <w:szCs w:val="20"/>
        </w:rPr>
        <w:t>DEL PRIMER SEMESTRE DE 2021 Y LAS MODIFICACIONES</w:t>
      </w:r>
      <w:r w:rsidR="009A259B">
        <w:rPr>
          <w:rFonts w:ascii="Arial" w:hAnsi="Arial" w:cs="Arial"/>
          <w:b/>
          <w:sz w:val="20"/>
          <w:szCs w:val="20"/>
        </w:rPr>
        <w:t xml:space="preserve"> </w:t>
      </w:r>
    </w:p>
    <w:p w14:paraId="669FCB39" w14:textId="6C17E36A" w:rsidR="00E056E7" w:rsidRPr="009A259B" w:rsidRDefault="00731413" w:rsidP="002209BF">
      <w:pPr>
        <w:ind w:left="-993" w:right="-1227" w:firstLine="142"/>
        <w:jc w:val="center"/>
        <w:rPr>
          <w:rFonts w:ascii="Arial" w:hAnsi="Arial" w:cs="Arial"/>
          <w:b/>
          <w:sz w:val="20"/>
          <w:szCs w:val="20"/>
        </w:rPr>
      </w:pPr>
      <w:r w:rsidRPr="009A259B">
        <w:rPr>
          <w:rFonts w:ascii="Arial" w:hAnsi="Arial" w:cs="Arial"/>
          <w:b/>
          <w:sz w:val="20"/>
          <w:szCs w:val="20"/>
        </w:rPr>
        <w:t xml:space="preserve">CORRESPONDIENTES AL </w:t>
      </w:r>
      <w:r w:rsidR="00E056E7" w:rsidRPr="009A259B">
        <w:rPr>
          <w:rFonts w:ascii="Arial" w:hAnsi="Arial" w:cs="Arial"/>
          <w:b/>
          <w:sz w:val="20"/>
          <w:szCs w:val="20"/>
        </w:rPr>
        <w:t>SEGUNDO SEMESTRE DE 2020</w:t>
      </w:r>
      <w:r w:rsidR="00F0265E">
        <w:rPr>
          <w:rStyle w:val="Refdenotaalpie"/>
          <w:rFonts w:ascii="Arial" w:hAnsi="Arial" w:cs="Arial"/>
          <w:b/>
          <w:sz w:val="20"/>
          <w:szCs w:val="20"/>
        </w:rPr>
        <w:footnoteReference w:id="1"/>
      </w:r>
      <w:r w:rsidR="00E056E7" w:rsidRPr="009A259B">
        <w:rPr>
          <w:rFonts w:ascii="Arial" w:hAnsi="Arial" w:cs="Arial"/>
          <w:b/>
          <w:sz w:val="20"/>
          <w:szCs w:val="20"/>
        </w:rPr>
        <w:t xml:space="preserve"> </w:t>
      </w:r>
    </w:p>
    <w:p w14:paraId="6D9ECD8E" w14:textId="77777777" w:rsidR="00E056E7" w:rsidRPr="002209BF" w:rsidRDefault="00E056E7" w:rsidP="002209BF">
      <w:pPr>
        <w:ind w:left="-993" w:right="-1227" w:firstLine="426"/>
        <w:jc w:val="both"/>
        <w:rPr>
          <w:rFonts w:ascii="Arial" w:hAnsi="Arial" w:cs="Arial"/>
          <w:b/>
          <w:bCs/>
        </w:rPr>
      </w:pPr>
    </w:p>
    <w:p w14:paraId="748EFECE" w14:textId="2B7F6E93" w:rsidR="00E1387B" w:rsidRPr="004712BF" w:rsidRDefault="001F1C0F" w:rsidP="004712BF">
      <w:pPr>
        <w:pStyle w:val="Prrafodelista"/>
        <w:numPr>
          <w:ilvl w:val="0"/>
          <w:numId w:val="1"/>
        </w:numPr>
        <w:ind w:left="142" w:right="49" w:hanging="284"/>
        <w:jc w:val="both"/>
        <w:rPr>
          <w:rFonts w:ascii="Arial" w:hAnsi="Arial" w:cs="Arial"/>
          <w:color w:val="000000" w:themeColor="text1"/>
          <w:sz w:val="24"/>
          <w:szCs w:val="24"/>
        </w:rPr>
      </w:pPr>
      <w:r w:rsidRPr="004712BF">
        <w:rPr>
          <w:rFonts w:ascii="Arial" w:hAnsi="Arial" w:cs="Arial"/>
          <w:color w:val="000000" w:themeColor="text1"/>
          <w:sz w:val="24"/>
          <w:szCs w:val="24"/>
        </w:rPr>
        <w:t xml:space="preserve">La </w:t>
      </w:r>
      <w:r w:rsidR="00E056E7" w:rsidRPr="004712BF">
        <w:rPr>
          <w:rFonts w:ascii="Arial" w:hAnsi="Arial" w:cs="Arial"/>
          <w:color w:val="000000" w:themeColor="text1"/>
          <w:sz w:val="24"/>
          <w:szCs w:val="24"/>
        </w:rPr>
        <w:t>Junta de Gobierno del Instituto aprobó</w:t>
      </w:r>
      <w:r w:rsidR="00845F71" w:rsidRPr="004712BF">
        <w:rPr>
          <w:rFonts w:ascii="Arial" w:hAnsi="Arial" w:cs="Arial"/>
          <w:color w:val="000000" w:themeColor="text1"/>
          <w:sz w:val="24"/>
          <w:szCs w:val="24"/>
        </w:rPr>
        <w:t xml:space="preserve"> el calendario de difusión del primer semestre del 2021 y las </w:t>
      </w:r>
      <w:r w:rsidR="00E056E7" w:rsidRPr="004712BF">
        <w:rPr>
          <w:rFonts w:ascii="Arial" w:hAnsi="Arial" w:cs="Arial"/>
          <w:color w:val="000000" w:themeColor="text1"/>
          <w:sz w:val="24"/>
          <w:szCs w:val="24"/>
        </w:rPr>
        <w:t xml:space="preserve">modificaciones al calendario </w:t>
      </w:r>
      <w:r w:rsidR="003E3389" w:rsidRPr="004712BF">
        <w:rPr>
          <w:rFonts w:ascii="Arial" w:hAnsi="Arial" w:cs="Arial"/>
          <w:color w:val="000000" w:themeColor="text1"/>
          <w:sz w:val="24"/>
          <w:szCs w:val="24"/>
        </w:rPr>
        <w:t xml:space="preserve">del </w:t>
      </w:r>
      <w:r w:rsidR="00B50232" w:rsidRPr="004712BF">
        <w:rPr>
          <w:rFonts w:ascii="Arial" w:hAnsi="Arial" w:cs="Arial"/>
          <w:color w:val="000000" w:themeColor="text1"/>
          <w:sz w:val="24"/>
          <w:szCs w:val="24"/>
        </w:rPr>
        <w:t xml:space="preserve">segundo semestre de ese año, </w:t>
      </w:r>
      <w:r w:rsidR="00E1387B" w:rsidRPr="004712BF">
        <w:rPr>
          <w:rFonts w:ascii="Arial" w:hAnsi="Arial" w:cs="Arial"/>
          <w:color w:val="000000" w:themeColor="text1"/>
          <w:sz w:val="24"/>
          <w:szCs w:val="24"/>
        </w:rPr>
        <w:t>derivado de las afectaciones generadas por la emergencia sanitaria que impiden la movilidad de su personal</w:t>
      </w:r>
      <w:r w:rsidR="004712BF" w:rsidRPr="004712BF">
        <w:rPr>
          <w:rFonts w:ascii="Arial" w:hAnsi="Arial" w:cs="Arial"/>
          <w:color w:val="000000" w:themeColor="text1"/>
          <w:sz w:val="24"/>
          <w:szCs w:val="24"/>
        </w:rPr>
        <w:t xml:space="preserve"> y</w:t>
      </w:r>
      <w:r w:rsidR="00E1387B" w:rsidRPr="004712BF">
        <w:rPr>
          <w:rFonts w:ascii="Arial" w:hAnsi="Arial" w:cs="Arial"/>
          <w:color w:val="000000" w:themeColor="text1"/>
          <w:sz w:val="24"/>
          <w:szCs w:val="24"/>
        </w:rPr>
        <w:t xml:space="preserve"> las entrevistas cara a cara</w:t>
      </w:r>
      <w:r w:rsidR="004712BF" w:rsidRPr="004712BF">
        <w:rPr>
          <w:rFonts w:ascii="Arial" w:hAnsi="Arial" w:cs="Arial"/>
          <w:color w:val="000000" w:themeColor="text1"/>
          <w:sz w:val="24"/>
          <w:szCs w:val="24"/>
        </w:rPr>
        <w:t xml:space="preserve">, </w:t>
      </w:r>
      <w:r w:rsidR="004712BF" w:rsidRPr="004712BF">
        <w:rPr>
          <w:rFonts w:ascii="Arial" w:hAnsi="Arial" w:cs="Arial"/>
          <w:sz w:val="24"/>
          <w:szCs w:val="24"/>
        </w:rPr>
        <w:t>así como el pleno funcionamiento de las unidades de gobierno.</w:t>
      </w:r>
      <w:r w:rsidR="00E1387B" w:rsidRPr="004712BF">
        <w:rPr>
          <w:rFonts w:ascii="Arial" w:hAnsi="Arial" w:cs="Arial"/>
          <w:color w:val="000000" w:themeColor="text1"/>
          <w:sz w:val="24"/>
          <w:szCs w:val="24"/>
        </w:rPr>
        <w:t xml:space="preserve">   </w:t>
      </w:r>
    </w:p>
    <w:p w14:paraId="4C84B5E9" w14:textId="49D1AFA0" w:rsidR="00E056E7" w:rsidRPr="004712BF" w:rsidRDefault="004E24EE" w:rsidP="004712BF">
      <w:pPr>
        <w:pStyle w:val="Prrafodelista"/>
        <w:numPr>
          <w:ilvl w:val="0"/>
          <w:numId w:val="1"/>
        </w:numPr>
        <w:ind w:left="142" w:right="49" w:hanging="284"/>
        <w:jc w:val="both"/>
        <w:rPr>
          <w:rFonts w:ascii="Arial" w:hAnsi="Arial" w:cs="Arial"/>
          <w:color w:val="000000" w:themeColor="text1"/>
          <w:sz w:val="24"/>
          <w:szCs w:val="24"/>
        </w:rPr>
      </w:pPr>
      <w:r w:rsidRPr="004712BF">
        <w:rPr>
          <w:rFonts w:ascii="Arial" w:hAnsi="Arial" w:cs="Arial"/>
          <w:color w:val="000000" w:themeColor="text1"/>
          <w:sz w:val="24"/>
          <w:szCs w:val="24"/>
        </w:rPr>
        <w:t xml:space="preserve">Se reprogramó </w:t>
      </w:r>
      <w:r w:rsidR="00400571" w:rsidRPr="004712BF">
        <w:rPr>
          <w:rFonts w:ascii="Arial" w:hAnsi="Arial" w:cs="Arial"/>
          <w:color w:val="000000" w:themeColor="text1"/>
          <w:sz w:val="24"/>
          <w:szCs w:val="24"/>
        </w:rPr>
        <w:t xml:space="preserve">la fecha de publicación de once programas </w:t>
      </w:r>
      <w:r w:rsidR="00FB12C1" w:rsidRPr="004712BF">
        <w:rPr>
          <w:rFonts w:ascii="Arial" w:hAnsi="Arial" w:cs="Arial"/>
          <w:color w:val="000000" w:themeColor="text1"/>
          <w:sz w:val="24"/>
          <w:szCs w:val="24"/>
        </w:rPr>
        <w:t>de información</w:t>
      </w:r>
      <w:r w:rsidR="00A13E5E" w:rsidRPr="004712BF">
        <w:rPr>
          <w:rFonts w:ascii="Arial" w:hAnsi="Arial" w:cs="Arial"/>
          <w:color w:val="000000" w:themeColor="text1"/>
          <w:sz w:val="24"/>
          <w:szCs w:val="24"/>
        </w:rPr>
        <w:t xml:space="preserve">; </w:t>
      </w:r>
      <w:r w:rsidR="00400571" w:rsidRPr="004712BF">
        <w:rPr>
          <w:rFonts w:ascii="Arial" w:hAnsi="Arial" w:cs="Arial"/>
          <w:color w:val="000000" w:themeColor="text1"/>
          <w:sz w:val="24"/>
          <w:szCs w:val="24"/>
        </w:rPr>
        <w:t xml:space="preserve">se </w:t>
      </w:r>
      <w:r w:rsidR="00E056E7" w:rsidRPr="004712BF">
        <w:rPr>
          <w:rFonts w:ascii="Arial" w:hAnsi="Arial" w:cs="Arial"/>
          <w:color w:val="000000" w:themeColor="text1"/>
          <w:sz w:val="24"/>
          <w:szCs w:val="24"/>
        </w:rPr>
        <w:t>cancel</w:t>
      </w:r>
      <w:r w:rsidR="00FB12C1" w:rsidRPr="004712BF">
        <w:rPr>
          <w:rFonts w:ascii="Arial" w:hAnsi="Arial" w:cs="Arial"/>
          <w:color w:val="000000" w:themeColor="text1"/>
          <w:sz w:val="24"/>
          <w:szCs w:val="24"/>
        </w:rPr>
        <w:t>ó</w:t>
      </w:r>
      <w:r w:rsidR="00E056E7" w:rsidRPr="004712BF">
        <w:rPr>
          <w:rFonts w:ascii="Arial" w:hAnsi="Arial" w:cs="Arial"/>
          <w:color w:val="000000" w:themeColor="text1"/>
          <w:sz w:val="24"/>
          <w:szCs w:val="24"/>
        </w:rPr>
        <w:t xml:space="preserve"> la publicación de resultados de</w:t>
      </w:r>
      <w:r w:rsidR="000E573A" w:rsidRPr="004712BF">
        <w:rPr>
          <w:rFonts w:ascii="Arial" w:hAnsi="Arial" w:cs="Arial"/>
          <w:color w:val="000000" w:themeColor="text1"/>
          <w:sz w:val="24"/>
          <w:szCs w:val="24"/>
        </w:rPr>
        <w:t xml:space="preserve"> </w:t>
      </w:r>
      <w:r w:rsidR="00FB12C1" w:rsidRPr="004712BF">
        <w:rPr>
          <w:rFonts w:ascii="Arial" w:hAnsi="Arial" w:cs="Arial"/>
          <w:color w:val="000000" w:themeColor="text1"/>
          <w:sz w:val="24"/>
          <w:szCs w:val="24"/>
        </w:rPr>
        <w:t xml:space="preserve">cinco </w:t>
      </w:r>
      <w:r w:rsidR="000E573A" w:rsidRPr="004712BF">
        <w:rPr>
          <w:rFonts w:ascii="Arial" w:hAnsi="Arial" w:cs="Arial"/>
          <w:color w:val="000000" w:themeColor="text1"/>
          <w:sz w:val="24"/>
          <w:szCs w:val="24"/>
        </w:rPr>
        <w:t>programas de información que tendrían lugar en</w:t>
      </w:r>
      <w:r w:rsidR="00EB7832" w:rsidRPr="004712BF">
        <w:rPr>
          <w:rFonts w:ascii="Arial" w:hAnsi="Arial" w:cs="Arial"/>
          <w:color w:val="000000" w:themeColor="text1"/>
          <w:sz w:val="24"/>
          <w:szCs w:val="24"/>
        </w:rPr>
        <w:t>tre</w:t>
      </w:r>
      <w:r w:rsidR="000E573A" w:rsidRPr="004712BF">
        <w:rPr>
          <w:rFonts w:ascii="Arial" w:hAnsi="Arial" w:cs="Arial"/>
          <w:color w:val="000000" w:themeColor="text1"/>
          <w:sz w:val="24"/>
          <w:szCs w:val="24"/>
        </w:rPr>
        <w:t xml:space="preserve"> julio y agosto</w:t>
      </w:r>
      <w:r w:rsidR="00A17D14" w:rsidRPr="004712BF">
        <w:rPr>
          <w:rFonts w:ascii="Arial" w:hAnsi="Arial" w:cs="Arial"/>
          <w:color w:val="000000" w:themeColor="text1"/>
          <w:sz w:val="24"/>
          <w:szCs w:val="24"/>
        </w:rPr>
        <w:t xml:space="preserve"> de este año</w:t>
      </w:r>
      <w:r w:rsidR="00FB12C1" w:rsidRPr="004712BF">
        <w:rPr>
          <w:rFonts w:ascii="Arial" w:hAnsi="Arial" w:cs="Arial"/>
          <w:color w:val="000000" w:themeColor="text1"/>
          <w:sz w:val="24"/>
          <w:szCs w:val="24"/>
        </w:rPr>
        <w:t xml:space="preserve">, así como la difusión </w:t>
      </w:r>
      <w:r w:rsidR="00FB12C1" w:rsidRPr="004712BF">
        <w:rPr>
          <w:rFonts w:ascii="Arial" w:hAnsi="Arial" w:cs="Arial"/>
          <w:sz w:val="24"/>
          <w:szCs w:val="24"/>
        </w:rPr>
        <w:t xml:space="preserve">de resultados preliminares de dos programas adicionales. </w:t>
      </w:r>
    </w:p>
    <w:p w14:paraId="1A437B5F" w14:textId="46012D77" w:rsidR="00E056E7" w:rsidRPr="004712BF" w:rsidRDefault="009C654D" w:rsidP="004712BF">
      <w:pPr>
        <w:pStyle w:val="Prrafodelista"/>
        <w:numPr>
          <w:ilvl w:val="0"/>
          <w:numId w:val="1"/>
        </w:numPr>
        <w:ind w:left="142" w:right="49" w:hanging="284"/>
        <w:jc w:val="both"/>
        <w:rPr>
          <w:rFonts w:ascii="Arial" w:hAnsi="Arial" w:cs="Arial"/>
          <w:color w:val="000000" w:themeColor="text1"/>
          <w:sz w:val="24"/>
          <w:szCs w:val="24"/>
        </w:rPr>
      </w:pPr>
      <w:r w:rsidRPr="004712BF">
        <w:rPr>
          <w:rFonts w:ascii="Arial" w:hAnsi="Arial" w:cs="Arial"/>
          <w:color w:val="000000" w:themeColor="text1"/>
          <w:sz w:val="24"/>
          <w:szCs w:val="24"/>
        </w:rPr>
        <w:t>Por primera vez, el INEGI difundirá</w:t>
      </w:r>
      <w:r w:rsidR="000E573A" w:rsidRPr="004712BF">
        <w:rPr>
          <w:rFonts w:ascii="Arial" w:hAnsi="Arial" w:cs="Arial"/>
          <w:color w:val="000000" w:themeColor="text1"/>
          <w:sz w:val="24"/>
          <w:szCs w:val="24"/>
        </w:rPr>
        <w:t xml:space="preserve"> trimestral</w:t>
      </w:r>
      <w:r w:rsidRPr="004712BF">
        <w:rPr>
          <w:rFonts w:ascii="Arial" w:hAnsi="Arial" w:cs="Arial"/>
          <w:color w:val="000000" w:themeColor="text1"/>
          <w:sz w:val="24"/>
          <w:szCs w:val="24"/>
        </w:rPr>
        <w:t xml:space="preserve">mente los </w:t>
      </w:r>
      <w:r w:rsidR="000E573A" w:rsidRPr="004712BF">
        <w:rPr>
          <w:rFonts w:ascii="Arial" w:hAnsi="Arial" w:cs="Arial"/>
          <w:color w:val="000000" w:themeColor="text1"/>
          <w:sz w:val="24"/>
          <w:szCs w:val="24"/>
        </w:rPr>
        <w:t>resultados de las Cuentas por Sectores Institucionales</w:t>
      </w:r>
      <w:r w:rsidR="00B62A57" w:rsidRPr="004712BF">
        <w:rPr>
          <w:rFonts w:ascii="Arial" w:hAnsi="Arial" w:cs="Arial"/>
          <w:color w:val="000000" w:themeColor="text1"/>
          <w:sz w:val="24"/>
          <w:szCs w:val="24"/>
        </w:rPr>
        <w:t xml:space="preserve">; además, adiciona </w:t>
      </w:r>
      <w:r w:rsidR="000E573A" w:rsidRPr="004712BF">
        <w:rPr>
          <w:rFonts w:ascii="Arial" w:hAnsi="Arial" w:cs="Arial"/>
          <w:sz w:val="24"/>
          <w:szCs w:val="24"/>
          <w:shd w:val="clear" w:color="auto" w:fill="FFFFFF"/>
        </w:rPr>
        <w:t>información sobre remuneraciones a</w:t>
      </w:r>
      <w:r w:rsidRPr="004712BF">
        <w:rPr>
          <w:rFonts w:ascii="Arial" w:hAnsi="Arial" w:cs="Arial"/>
          <w:sz w:val="24"/>
          <w:szCs w:val="24"/>
          <w:shd w:val="clear" w:color="auto" w:fill="FFFFFF"/>
        </w:rPr>
        <w:t>l programa</w:t>
      </w:r>
      <w:r w:rsidR="000E573A" w:rsidRPr="004712BF">
        <w:rPr>
          <w:rFonts w:ascii="Arial" w:hAnsi="Arial" w:cs="Arial"/>
          <w:sz w:val="24"/>
          <w:szCs w:val="24"/>
          <w:shd w:val="clear" w:color="auto" w:fill="FFFFFF"/>
        </w:rPr>
        <w:t xml:space="preserve"> Índices Globales de Personal y Remuneraciones de los Sectores Económicos (IGP</w:t>
      </w:r>
      <w:r w:rsidR="00F0265E">
        <w:rPr>
          <w:rFonts w:ascii="Arial" w:hAnsi="Arial" w:cs="Arial"/>
          <w:sz w:val="24"/>
          <w:szCs w:val="24"/>
          <w:shd w:val="clear" w:color="auto" w:fill="FFFFFF"/>
        </w:rPr>
        <w:t>E</w:t>
      </w:r>
      <w:r w:rsidR="000E573A" w:rsidRPr="004712BF">
        <w:rPr>
          <w:rFonts w:ascii="Arial" w:hAnsi="Arial" w:cs="Arial"/>
          <w:sz w:val="24"/>
          <w:szCs w:val="24"/>
          <w:shd w:val="clear" w:color="auto" w:fill="FFFFFF"/>
        </w:rPr>
        <w:t>RSE</w:t>
      </w:r>
      <w:r w:rsidRPr="004712BF">
        <w:rPr>
          <w:rFonts w:ascii="Arial" w:hAnsi="Arial" w:cs="Arial"/>
          <w:sz w:val="24"/>
          <w:szCs w:val="24"/>
          <w:shd w:val="clear" w:color="auto" w:fill="FFFFFF"/>
        </w:rPr>
        <w:t>,</w:t>
      </w:r>
      <w:r w:rsidR="000E573A" w:rsidRPr="004712BF">
        <w:rPr>
          <w:rFonts w:ascii="Arial" w:hAnsi="Arial" w:cs="Arial"/>
          <w:sz w:val="24"/>
          <w:szCs w:val="24"/>
          <w:shd w:val="clear" w:color="auto" w:fill="FFFFFF"/>
        </w:rPr>
        <w:t xml:space="preserve"> </w:t>
      </w:r>
      <w:r w:rsidRPr="004712BF">
        <w:rPr>
          <w:rFonts w:ascii="Arial" w:hAnsi="Arial" w:cs="Arial"/>
          <w:sz w:val="24"/>
          <w:szCs w:val="24"/>
          <w:shd w:val="clear" w:color="auto" w:fill="FFFFFF"/>
        </w:rPr>
        <w:t xml:space="preserve">antes </w:t>
      </w:r>
      <w:r w:rsidR="000E573A" w:rsidRPr="004712BF">
        <w:rPr>
          <w:rFonts w:ascii="Arial" w:hAnsi="Arial" w:cs="Arial"/>
          <w:sz w:val="24"/>
          <w:szCs w:val="24"/>
          <w:shd w:val="clear" w:color="auto" w:fill="FFFFFF"/>
        </w:rPr>
        <w:t>IGPOSE</w:t>
      </w:r>
      <w:r w:rsidRPr="004712BF">
        <w:rPr>
          <w:rFonts w:ascii="Arial" w:hAnsi="Arial" w:cs="Arial"/>
          <w:sz w:val="24"/>
          <w:szCs w:val="24"/>
          <w:shd w:val="clear" w:color="auto" w:fill="FFFFFF"/>
        </w:rPr>
        <w:t>)</w:t>
      </w:r>
      <w:r w:rsidR="00E056E7" w:rsidRPr="004712BF">
        <w:rPr>
          <w:rFonts w:ascii="Arial" w:hAnsi="Arial" w:cs="Arial"/>
          <w:sz w:val="24"/>
          <w:szCs w:val="24"/>
          <w:shd w:val="clear" w:color="auto" w:fill="FFFFFF"/>
        </w:rPr>
        <w:t xml:space="preserve">. </w:t>
      </w:r>
    </w:p>
    <w:p w14:paraId="3BB0B19F" w14:textId="049AF4FC" w:rsidR="00E056E7" w:rsidRPr="004712BF" w:rsidRDefault="00E056E7" w:rsidP="002209BF">
      <w:pPr>
        <w:ind w:left="-993" w:right="-1227" w:firstLine="426"/>
        <w:rPr>
          <w:rFonts w:ascii="Arial" w:hAnsi="Arial" w:cs="Arial"/>
          <w:sz w:val="24"/>
          <w:szCs w:val="24"/>
        </w:rPr>
      </w:pPr>
    </w:p>
    <w:p w14:paraId="6AFD54E3" w14:textId="6BBCC7C8" w:rsidR="00D17FD9" w:rsidRPr="004712BF" w:rsidRDefault="00CA06D5" w:rsidP="00CA06D5">
      <w:pPr>
        <w:ind w:left="-567" w:right="-518"/>
        <w:jc w:val="both"/>
        <w:rPr>
          <w:rFonts w:ascii="Arial" w:hAnsi="Arial" w:cs="Arial"/>
          <w:color w:val="000000"/>
          <w:sz w:val="24"/>
          <w:szCs w:val="24"/>
        </w:rPr>
      </w:pPr>
      <w:r w:rsidRPr="004712BF">
        <w:rPr>
          <w:rFonts w:ascii="Arial" w:hAnsi="Arial" w:cs="Arial"/>
          <w:color w:val="000000"/>
          <w:sz w:val="24"/>
          <w:szCs w:val="24"/>
        </w:rPr>
        <w:t xml:space="preserve">Para brindar mayor oportunidad </w:t>
      </w:r>
      <w:r w:rsidR="00E62B79" w:rsidRPr="004712BF">
        <w:rPr>
          <w:rFonts w:ascii="Arial" w:hAnsi="Arial" w:cs="Arial"/>
          <w:color w:val="000000"/>
          <w:sz w:val="24"/>
          <w:szCs w:val="24"/>
        </w:rPr>
        <w:t xml:space="preserve">de información </w:t>
      </w:r>
      <w:r w:rsidRPr="004712BF">
        <w:rPr>
          <w:rFonts w:ascii="Arial" w:hAnsi="Arial" w:cs="Arial"/>
          <w:color w:val="000000"/>
          <w:sz w:val="24"/>
          <w:szCs w:val="24"/>
        </w:rPr>
        <w:t xml:space="preserve">a los usuarios </w:t>
      </w:r>
      <w:r w:rsidRPr="004712BF">
        <w:rPr>
          <w:rFonts w:ascii="Arial" w:hAnsi="Arial" w:cs="Arial"/>
          <w:sz w:val="24"/>
          <w:szCs w:val="24"/>
          <w:lang w:val="es-ES_tradnl"/>
        </w:rPr>
        <w:t>y en atención a las mejores prácticas internacionales</w:t>
      </w:r>
      <w:r w:rsidRPr="004712BF">
        <w:rPr>
          <w:rFonts w:ascii="Arial" w:hAnsi="Arial" w:cs="Arial"/>
          <w:color w:val="000000"/>
          <w:sz w:val="24"/>
          <w:szCs w:val="24"/>
        </w:rPr>
        <w:t xml:space="preserve">, </w:t>
      </w:r>
      <w:r w:rsidRPr="004712BF">
        <w:rPr>
          <w:rFonts w:ascii="Arial" w:hAnsi="Arial" w:cs="Arial"/>
          <w:sz w:val="24"/>
          <w:szCs w:val="24"/>
          <w:lang w:val="es-ES_tradnl"/>
        </w:rPr>
        <w:t xml:space="preserve">la Junta de Gobierno del </w:t>
      </w:r>
      <w:r w:rsidR="004712BF" w:rsidRPr="004712BF">
        <w:rPr>
          <w:rFonts w:ascii="Arial" w:hAnsi="Arial" w:cs="Arial"/>
          <w:color w:val="000000" w:themeColor="text1"/>
          <w:sz w:val="24"/>
          <w:szCs w:val="24"/>
          <w:lang w:val="es-ES"/>
        </w:rPr>
        <w:t>Instituto Nacional de Estadística y Geografía</w:t>
      </w:r>
      <w:r w:rsidR="004712BF" w:rsidRPr="004712BF">
        <w:rPr>
          <w:rFonts w:ascii="Arial" w:hAnsi="Arial" w:cs="Arial"/>
          <w:sz w:val="24"/>
          <w:szCs w:val="24"/>
          <w:lang w:val="es-ES_tradnl"/>
        </w:rPr>
        <w:t xml:space="preserve"> (</w:t>
      </w:r>
      <w:r w:rsidRPr="004712BF">
        <w:rPr>
          <w:rFonts w:ascii="Arial" w:hAnsi="Arial" w:cs="Arial"/>
          <w:sz w:val="24"/>
          <w:szCs w:val="24"/>
          <w:lang w:val="es-ES_tradnl"/>
        </w:rPr>
        <w:t>INEGI</w:t>
      </w:r>
      <w:r w:rsidR="004712BF" w:rsidRPr="004712BF">
        <w:rPr>
          <w:rFonts w:ascii="Arial" w:hAnsi="Arial" w:cs="Arial"/>
          <w:sz w:val="24"/>
          <w:szCs w:val="24"/>
          <w:lang w:val="es-ES_tradnl"/>
        </w:rPr>
        <w:t>)</w:t>
      </w:r>
      <w:r w:rsidRPr="004712BF">
        <w:rPr>
          <w:rFonts w:ascii="Arial" w:hAnsi="Arial" w:cs="Arial"/>
          <w:sz w:val="24"/>
          <w:szCs w:val="24"/>
          <w:lang w:val="es-ES_tradnl"/>
        </w:rPr>
        <w:t xml:space="preserve"> aprobó </w:t>
      </w:r>
      <w:r w:rsidRPr="004712BF">
        <w:rPr>
          <w:rFonts w:ascii="Arial" w:hAnsi="Arial" w:cs="Arial"/>
          <w:color w:val="000000"/>
          <w:sz w:val="24"/>
          <w:szCs w:val="24"/>
        </w:rPr>
        <w:t xml:space="preserve">el Calendario de Difusión de Información Estadística, Geográfica y de Interés Nacional para el primer semestre de 2021. </w:t>
      </w:r>
    </w:p>
    <w:p w14:paraId="26D846C6" w14:textId="77777777" w:rsidR="00D17FD9" w:rsidRPr="004712BF" w:rsidRDefault="00D17FD9" w:rsidP="00CA06D5">
      <w:pPr>
        <w:ind w:left="-567" w:right="-518"/>
        <w:jc w:val="both"/>
        <w:rPr>
          <w:rFonts w:ascii="Arial" w:hAnsi="Arial" w:cs="Arial"/>
          <w:color w:val="000000"/>
          <w:sz w:val="24"/>
          <w:szCs w:val="24"/>
        </w:rPr>
      </w:pPr>
    </w:p>
    <w:p w14:paraId="13E55D61" w14:textId="7C3E94EC" w:rsidR="00CA06D5" w:rsidRPr="004712BF" w:rsidRDefault="009C654D" w:rsidP="00CA06D5">
      <w:pPr>
        <w:ind w:left="-567" w:right="-518"/>
        <w:jc w:val="both"/>
        <w:rPr>
          <w:rFonts w:ascii="Arial" w:hAnsi="Arial" w:cs="Arial"/>
          <w:sz w:val="24"/>
          <w:szCs w:val="24"/>
        </w:rPr>
      </w:pPr>
      <w:r w:rsidRPr="004712BF">
        <w:rPr>
          <w:rFonts w:ascii="Arial" w:hAnsi="Arial" w:cs="Arial"/>
          <w:sz w:val="24"/>
          <w:szCs w:val="24"/>
        </w:rPr>
        <w:t>Debido a la</w:t>
      </w:r>
      <w:r w:rsidR="00E056E7" w:rsidRPr="004712BF">
        <w:rPr>
          <w:rFonts w:ascii="Arial" w:hAnsi="Arial" w:cs="Arial"/>
          <w:color w:val="000000" w:themeColor="text1"/>
          <w:sz w:val="24"/>
          <w:szCs w:val="24"/>
        </w:rPr>
        <w:t xml:space="preserve"> emergencia sanitaria </w:t>
      </w:r>
      <w:r w:rsidR="00400571" w:rsidRPr="004712BF">
        <w:rPr>
          <w:rFonts w:ascii="Arial" w:hAnsi="Arial" w:cs="Arial"/>
          <w:color w:val="000000" w:themeColor="text1"/>
          <w:sz w:val="24"/>
          <w:szCs w:val="24"/>
        </w:rPr>
        <w:t xml:space="preserve">que </w:t>
      </w:r>
      <w:r w:rsidR="00E056E7" w:rsidRPr="004712BF">
        <w:rPr>
          <w:rFonts w:ascii="Arial" w:hAnsi="Arial" w:cs="Arial"/>
          <w:color w:val="000000" w:themeColor="text1"/>
          <w:sz w:val="24"/>
          <w:szCs w:val="24"/>
          <w:lang w:val="es-ES"/>
        </w:rPr>
        <w:t>impide</w:t>
      </w:r>
      <w:r w:rsidR="00400571" w:rsidRPr="004712BF">
        <w:rPr>
          <w:rFonts w:ascii="Arial" w:hAnsi="Arial" w:cs="Arial"/>
          <w:color w:val="000000" w:themeColor="text1"/>
          <w:sz w:val="24"/>
          <w:szCs w:val="24"/>
          <w:lang w:val="es-ES"/>
        </w:rPr>
        <w:t xml:space="preserve"> </w:t>
      </w:r>
      <w:r w:rsidR="00E056E7" w:rsidRPr="004712BF">
        <w:rPr>
          <w:rFonts w:ascii="Arial" w:hAnsi="Arial" w:cs="Arial"/>
          <w:color w:val="000000" w:themeColor="text1"/>
          <w:sz w:val="24"/>
          <w:szCs w:val="24"/>
          <w:lang w:val="es-ES"/>
        </w:rPr>
        <w:t>la movilidad</w:t>
      </w:r>
      <w:r w:rsidRPr="004712BF">
        <w:rPr>
          <w:rFonts w:ascii="Arial" w:hAnsi="Arial" w:cs="Arial"/>
          <w:color w:val="000000" w:themeColor="text1"/>
          <w:sz w:val="24"/>
          <w:szCs w:val="24"/>
          <w:lang w:val="es-ES"/>
        </w:rPr>
        <w:t xml:space="preserve"> </w:t>
      </w:r>
      <w:r w:rsidR="00E056E7" w:rsidRPr="004712BF">
        <w:rPr>
          <w:rFonts w:ascii="Arial" w:hAnsi="Arial" w:cs="Arial"/>
          <w:color w:val="000000" w:themeColor="text1"/>
          <w:sz w:val="24"/>
          <w:szCs w:val="24"/>
          <w:lang w:val="es-ES"/>
        </w:rPr>
        <w:t>del personal del INEGI</w:t>
      </w:r>
      <w:r w:rsidRPr="004712BF">
        <w:rPr>
          <w:rFonts w:ascii="Arial" w:hAnsi="Arial" w:cs="Arial"/>
          <w:color w:val="000000" w:themeColor="text1"/>
          <w:sz w:val="24"/>
          <w:szCs w:val="24"/>
          <w:lang w:val="es-ES"/>
        </w:rPr>
        <w:t xml:space="preserve"> y </w:t>
      </w:r>
      <w:r w:rsidR="00E056E7" w:rsidRPr="004712BF">
        <w:rPr>
          <w:rFonts w:ascii="Arial" w:hAnsi="Arial" w:cs="Arial"/>
          <w:color w:val="000000" w:themeColor="text1"/>
          <w:sz w:val="24"/>
          <w:szCs w:val="24"/>
          <w:lang w:val="es-ES"/>
        </w:rPr>
        <w:t>las entrevistas</w:t>
      </w:r>
      <w:r w:rsidRPr="004712BF">
        <w:rPr>
          <w:rFonts w:ascii="Arial" w:hAnsi="Arial" w:cs="Arial"/>
          <w:color w:val="000000" w:themeColor="text1"/>
          <w:sz w:val="24"/>
          <w:szCs w:val="24"/>
          <w:lang w:val="es-ES"/>
        </w:rPr>
        <w:t xml:space="preserve"> </w:t>
      </w:r>
      <w:r w:rsidR="00E056E7" w:rsidRPr="004712BF">
        <w:rPr>
          <w:rFonts w:ascii="Arial" w:hAnsi="Arial" w:cs="Arial"/>
          <w:color w:val="000000" w:themeColor="text1"/>
          <w:sz w:val="24"/>
          <w:szCs w:val="24"/>
          <w:lang w:val="es-ES"/>
        </w:rPr>
        <w:t>cara a cara,</w:t>
      </w:r>
      <w:r w:rsidR="004712BF" w:rsidRPr="004712BF">
        <w:rPr>
          <w:rFonts w:ascii="Arial" w:hAnsi="Arial" w:cs="Arial"/>
          <w:color w:val="000000" w:themeColor="text1"/>
          <w:sz w:val="24"/>
          <w:szCs w:val="24"/>
          <w:lang w:val="es-ES"/>
        </w:rPr>
        <w:t xml:space="preserve"> así como </w:t>
      </w:r>
      <w:r w:rsidR="004712BF" w:rsidRPr="004712BF">
        <w:rPr>
          <w:rFonts w:ascii="Arial" w:hAnsi="Arial" w:cs="Arial"/>
          <w:sz w:val="24"/>
          <w:szCs w:val="24"/>
        </w:rPr>
        <w:t>el pleno funcionamiento de las unidades de gobierno</w:t>
      </w:r>
      <w:r w:rsidR="004712BF" w:rsidRPr="004712BF">
        <w:rPr>
          <w:rFonts w:ascii="Arial" w:hAnsi="Arial" w:cs="Arial"/>
          <w:color w:val="000000" w:themeColor="text1"/>
          <w:sz w:val="24"/>
          <w:szCs w:val="24"/>
          <w:lang w:val="es-ES"/>
        </w:rPr>
        <w:t>,</w:t>
      </w:r>
      <w:r w:rsidR="00E056E7" w:rsidRPr="004712BF">
        <w:rPr>
          <w:rFonts w:ascii="Arial" w:hAnsi="Arial" w:cs="Arial"/>
          <w:color w:val="000000" w:themeColor="text1"/>
          <w:sz w:val="24"/>
          <w:szCs w:val="24"/>
          <w:lang w:val="es-ES"/>
        </w:rPr>
        <w:t xml:space="preserve"> </w:t>
      </w:r>
      <w:r w:rsidR="00CA06D5" w:rsidRPr="004712BF">
        <w:rPr>
          <w:rFonts w:ascii="Arial" w:hAnsi="Arial" w:cs="Arial"/>
          <w:color w:val="000000" w:themeColor="text1"/>
          <w:sz w:val="24"/>
          <w:szCs w:val="24"/>
          <w:lang w:val="es-ES"/>
        </w:rPr>
        <w:t xml:space="preserve">autorizó también </w:t>
      </w:r>
      <w:r w:rsidR="00E056E7" w:rsidRPr="004712BF">
        <w:rPr>
          <w:rFonts w:ascii="Arial" w:hAnsi="Arial" w:cs="Arial"/>
          <w:sz w:val="24"/>
          <w:szCs w:val="24"/>
        </w:rPr>
        <w:t xml:space="preserve">modificaciones al </w:t>
      </w:r>
      <w:r w:rsidR="00CA06D5" w:rsidRPr="004712BF">
        <w:rPr>
          <w:rFonts w:ascii="Arial" w:hAnsi="Arial" w:cs="Arial"/>
          <w:sz w:val="24"/>
          <w:szCs w:val="24"/>
        </w:rPr>
        <w:t xml:space="preserve">calendario de difusión </w:t>
      </w:r>
      <w:r w:rsidR="00E056E7" w:rsidRPr="004712BF">
        <w:rPr>
          <w:rFonts w:ascii="Arial" w:hAnsi="Arial" w:cs="Arial"/>
          <w:sz w:val="24"/>
          <w:szCs w:val="24"/>
        </w:rPr>
        <w:t xml:space="preserve">para el </w:t>
      </w:r>
      <w:r w:rsidRPr="004712BF">
        <w:rPr>
          <w:rFonts w:ascii="Arial" w:hAnsi="Arial" w:cs="Arial"/>
          <w:sz w:val="24"/>
          <w:szCs w:val="24"/>
        </w:rPr>
        <w:t>segundo</w:t>
      </w:r>
      <w:r w:rsidR="00E056E7" w:rsidRPr="004712BF">
        <w:rPr>
          <w:rFonts w:ascii="Arial" w:hAnsi="Arial" w:cs="Arial"/>
          <w:sz w:val="24"/>
          <w:szCs w:val="24"/>
        </w:rPr>
        <w:t xml:space="preserve"> semestre de 2020</w:t>
      </w:r>
      <w:r w:rsidR="00C35E80" w:rsidRPr="004712BF">
        <w:rPr>
          <w:rFonts w:ascii="Arial" w:hAnsi="Arial" w:cs="Arial"/>
          <w:sz w:val="24"/>
          <w:szCs w:val="24"/>
        </w:rPr>
        <w:t xml:space="preserve">. </w:t>
      </w:r>
    </w:p>
    <w:p w14:paraId="3577F0A7" w14:textId="55580DF5" w:rsidR="00E056E7" w:rsidRPr="004712BF" w:rsidRDefault="00E056E7" w:rsidP="002209BF">
      <w:pPr>
        <w:ind w:left="-567" w:right="-518"/>
        <w:rPr>
          <w:rFonts w:ascii="Arial" w:hAnsi="Arial" w:cs="Arial"/>
          <w:sz w:val="24"/>
          <w:szCs w:val="24"/>
        </w:rPr>
      </w:pPr>
    </w:p>
    <w:p w14:paraId="29E28D7A" w14:textId="574BE3FD" w:rsidR="00400571" w:rsidRPr="004712BF" w:rsidRDefault="00400571" w:rsidP="002209BF">
      <w:pPr>
        <w:ind w:left="-567" w:right="-518"/>
        <w:jc w:val="both"/>
        <w:rPr>
          <w:rFonts w:ascii="Arial" w:hAnsi="Arial" w:cs="Arial"/>
          <w:sz w:val="24"/>
          <w:szCs w:val="24"/>
        </w:rPr>
      </w:pPr>
      <w:r w:rsidRPr="004712BF">
        <w:rPr>
          <w:rFonts w:ascii="Arial" w:hAnsi="Arial" w:cs="Arial"/>
          <w:sz w:val="24"/>
          <w:szCs w:val="24"/>
        </w:rPr>
        <w:t xml:space="preserve">Derivado de esta situación, se reprogramó la fecha de difusión de once programas de información que son: </w:t>
      </w:r>
    </w:p>
    <w:p w14:paraId="735A5071" w14:textId="77777777" w:rsidR="00400571" w:rsidRPr="004712BF" w:rsidRDefault="00400571" w:rsidP="002209BF">
      <w:pPr>
        <w:ind w:left="-567" w:right="-518"/>
        <w:jc w:val="both"/>
        <w:rPr>
          <w:rFonts w:ascii="Arial" w:hAnsi="Arial" w:cs="Arial"/>
          <w:sz w:val="24"/>
          <w:szCs w:val="24"/>
        </w:rPr>
      </w:pPr>
    </w:p>
    <w:p w14:paraId="0F721984" w14:textId="77777777" w:rsidR="001139DB" w:rsidRPr="004712BF" w:rsidRDefault="001139DB" w:rsidP="001139DB">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Relaciones Laborales de Jurisdicción Local, 2019.</w:t>
      </w:r>
      <w:r w:rsidRPr="004712BF">
        <w:rPr>
          <w:rFonts w:ascii="Arial" w:hAnsi="Arial" w:cs="Arial"/>
          <w:sz w:val="24"/>
          <w:szCs w:val="24"/>
        </w:rPr>
        <w:t xml:space="preserve"> Cambia del 30 de junio al 29 de septiembre.</w:t>
      </w:r>
    </w:p>
    <w:p w14:paraId="3CF1A405" w14:textId="77777777" w:rsidR="001139DB" w:rsidRPr="004712BF" w:rsidRDefault="001139DB" w:rsidP="001139DB">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Módulo sobre Eventos Culturales Seleccionados</w:t>
      </w:r>
      <w:r w:rsidRPr="004712BF">
        <w:rPr>
          <w:rFonts w:ascii="Arial" w:hAnsi="Arial" w:cs="Arial"/>
          <w:sz w:val="24"/>
          <w:szCs w:val="24"/>
        </w:rPr>
        <w:t>. Cambia del 21 de julio al 10 de diciembre.</w:t>
      </w:r>
    </w:p>
    <w:p w14:paraId="3CA3ADED" w14:textId="77777777" w:rsidR="001139DB" w:rsidRPr="004712BF" w:rsidRDefault="001139DB" w:rsidP="001139DB">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Estadísticas de Mortalidad. Defunciones por homicidio, 2019. Preliminar</w:t>
      </w:r>
      <w:r w:rsidRPr="004712BF">
        <w:rPr>
          <w:rFonts w:ascii="Arial" w:hAnsi="Arial" w:cs="Arial"/>
          <w:sz w:val="24"/>
          <w:szCs w:val="24"/>
        </w:rPr>
        <w:t>. Cambia del 28 de julio al 23 de septiembre.</w:t>
      </w:r>
    </w:p>
    <w:p w14:paraId="5E50747E" w14:textId="77777777" w:rsidR="00400571" w:rsidRPr="004712BF" w:rsidRDefault="00400571"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Encuesta Nacional de Victimización y Percepción sobre Seguridad Pública, 2020</w:t>
      </w:r>
      <w:r w:rsidRPr="004712BF">
        <w:rPr>
          <w:rFonts w:ascii="Arial" w:hAnsi="Arial" w:cs="Arial"/>
          <w:sz w:val="24"/>
          <w:szCs w:val="24"/>
        </w:rPr>
        <w:t>. Cambia del 24 de septiembre al 10 de diciembre.</w:t>
      </w:r>
    </w:p>
    <w:p w14:paraId="0B95E54C" w14:textId="77777777" w:rsidR="001139DB" w:rsidRPr="004712BF" w:rsidRDefault="001139DB" w:rsidP="001139DB">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Censo Nacional de Transparencia, Acceso a la Información Pública y Protección de Datos Personales Federal, 2020</w:t>
      </w:r>
      <w:r w:rsidRPr="004712BF">
        <w:rPr>
          <w:rFonts w:ascii="Arial" w:hAnsi="Arial" w:cs="Arial"/>
          <w:sz w:val="24"/>
          <w:szCs w:val="24"/>
        </w:rPr>
        <w:t>. Cambia del 28 de septiembre al 3 de diciembre.</w:t>
      </w:r>
    </w:p>
    <w:p w14:paraId="5FCD81D3" w14:textId="77777777" w:rsidR="00F0265E" w:rsidRPr="00F0265E" w:rsidRDefault="00F0265E" w:rsidP="00F0265E">
      <w:pPr>
        <w:pStyle w:val="Prrafodelista"/>
        <w:ind w:left="-284" w:right="-518"/>
        <w:jc w:val="both"/>
        <w:rPr>
          <w:rFonts w:ascii="Arial" w:hAnsi="Arial" w:cs="Arial"/>
          <w:sz w:val="24"/>
          <w:szCs w:val="24"/>
        </w:rPr>
      </w:pPr>
    </w:p>
    <w:p w14:paraId="4826A0F9" w14:textId="77777777" w:rsidR="00F0265E" w:rsidRPr="00F0265E" w:rsidRDefault="00F0265E" w:rsidP="00F0265E">
      <w:pPr>
        <w:pStyle w:val="Prrafodelista"/>
        <w:ind w:left="-284" w:right="-518"/>
        <w:jc w:val="both"/>
        <w:rPr>
          <w:rFonts w:ascii="Arial" w:hAnsi="Arial" w:cs="Arial"/>
          <w:sz w:val="24"/>
          <w:szCs w:val="24"/>
        </w:rPr>
      </w:pPr>
    </w:p>
    <w:p w14:paraId="47C66F5F" w14:textId="69FA7350" w:rsidR="001139DB" w:rsidRPr="004712BF" w:rsidRDefault="001139DB" w:rsidP="001139DB">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Censo Nacional de Transparencia, Acceso a la Información Pública y Protección de Datos Personales Estatal, 2020</w:t>
      </w:r>
      <w:r w:rsidRPr="004712BF">
        <w:rPr>
          <w:rFonts w:ascii="Arial" w:hAnsi="Arial" w:cs="Arial"/>
          <w:sz w:val="24"/>
          <w:szCs w:val="24"/>
        </w:rPr>
        <w:t>. Cambia del 28 de septiembre al 3 de diciembre.</w:t>
      </w:r>
    </w:p>
    <w:p w14:paraId="4F92012E" w14:textId="76F52E61" w:rsidR="00400571" w:rsidRDefault="00400571"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Encuesta Nacional de Victimización de Empresas, 2020</w:t>
      </w:r>
      <w:r w:rsidRPr="004712BF">
        <w:rPr>
          <w:rFonts w:ascii="Arial" w:hAnsi="Arial" w:cs="Arial"/>
          <w:sz w:val="24"/>
          <w:szCs w:val="24"/>
        </w:rPr>
        <w:t>.Cambia del 27 de octubre al 15 de diciembre.</w:t>
      </w:r>
    </w:p>
    <w:p w14:paraId="19ACF69D" w14:textId="77777777" w:rsidR="001139DB" w:rsidRPr="004712BF" w:rsidRDefault="001139DB" w:rsidP="001139DB">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Resultados definitivos del Censo de Población y Vivienda 2020</w:t>
      </w:r>
      <w:r w:rsidRPr="004712BF">
        <w:rPr>
          <w:rFonts w:ascii="Arial" w:hAnsi="Arial" w:cs="Arial"/>
          <w:sz w:val="24"/>
          <w:szCs w:val="24"/>
        </w:rPr>
        <w:t>. Cambia del 4 de noviembre al 2 de diciembre.</w:t>
      </w:r>
    </w:p>
    <w:p w14:paraId="0EC9D92A" w14:textId="5D21C763" w:rsidR="00863DA0" w:rsidRPr="004712BF" w:rsidRDefault="00863DA0"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Marco Geoestadístico. Censo de Población y Vivienda 2020.</w:t>
      </w:r>
      <w:r w:rsidRPr="004712BF">
        <w:rPr>
          <w:rFonts w:ascii="Arial" w:hAnsi="Arial" w:cs="Arial"/>
          <w:sz w:val="24"/>
          <w:szCs w:val="24"/>
        </w:rPr>
        <w:t xml:space="preserve"> Cambia del 4 de noviembre al 2 de diciembre.</w:t>
      </w:r>
    </w:p>
    <w:p w14:paraId="4AAC9C81" w14:textId="77777777" w:rsidR="00400571" w:rsidRPr="004712BF" w:rsidRDefault="00400571"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Censo Nacional de Procuración de Justicia Federal, 2020</w:t>
      </w:r>
      <w:r w:rsidRPr="004712BF">
        <w:rPr>
          <w:rFonts w:ascii="Arial" w:hAnsi="Arial" w:cs="Arial"/>
          <w:sz w:val="24"/>
          <w:szCs w:val="24"/>
        </w:rPr>
        <w:t>. Cambia del 2 de diciembre de 2020 al 28 de enero de 2021.</w:t>
      </w:r>
    </w:p>
    <w:p w14:paraId="5AFCEE2F" w14:textId="2D5CA2ED" w:rsidR="00400571" w:rsidRPr="004712BF" w:rsidRDefault="00400571" w:rsidP="00DF71ED">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Censo Nacional de Sistema Penitenciario Federal, 2020</w:t>
      </w:r>
      <w:r w:rsidRPr="004712BF">
        <w:rPr>
          <w:rFonts w:ascii="Arial" w:hAnsi="Arial" w:cs="Arial"/>
          <w:sz w:val="24"/>
          <w:szCs w:val="24"/>
        </w:rPr>
        <w:t>. Cambia del 2 de diciembre de 2020 al 28 de enero de 2021.</w:t>
      </w:r>
    </w:p>
    <w:p w14:paraId="45B22F77" w14:textId="77777777" w:rsidR="00827A42" w:rsidRPr="004712BF" w:rsidRDefault="00827A42" w:rsidP="002209BF">
      <w:pPr>
        <w:ind w:left="-567" w:right="-518"/>
        <w:jc w:val="both"/>
        <w:rPr>
          <w:rFonts w:ascii="Arial" w:hAnsi="Arial" w:cs="Arial"/>
          <w:sz w:val="24"/>
          <w:szCs w:val="24"/>
        </w:rPr>
      </w:pPr>
    </w:p>
    <w:p w14:paraId="0A0EE880" w14:textId="61E15C68" w:rsidR="0041722B" w:rsidRPr="004712BF" w:rsidRDefault="00827A42" w:rsidP="002209BF">
      <w:pPr>
        <w:ind w:left="-567" w:right="-518"/>
        <w:jc w:val="both"/>
        <w:rPr>
          <w:rFonts w:ascii="Arial" w:hAnsi="Arial" w:cs="Arial"/>
          <w:sz w:val="24"/>
          <w:szCs w:val="24"/>
        </w:rPr>
      </w:pPr>
      <w:r w:rsidRPr="004712BF">
        <w:rPr>
          <w:rFonts w:ascii="Arial" w:hAnsi="Arial" w:cs="Arial"/>
          <w:sz w:val="24"/>
          <w:szCs w:val="24"/>
        </w:rPr>
        <w:t xml:space="preserve">Se cancelarán los resultados de cinco </w:t>
      </w:r>
      <w:r w:rsidR="00516463" w:rsidRPr="004712BF">
        <w:rPr>
          <w:rFonts w:ascii="Arial" w:hAnsi="Arial" w:cs="Arial"/>
          <w:sz w:val="24"/>
          <w:szCs w:val="24"/>
        </w:rPr>
        <w:t xml:space="preserve">programas </w:t>
      </w:r>
      <w:r w:rsidR="008C3B13" w:rsidRPr="004712BF">
        <w:rPr>
          <w:rFonts w:ascii="Arial" w:hAnsi="Arial" w:cs="Arial"/>
          <w:sz w:val="24"/>
          <w:szCs w:val="24"/>
        </w:rPr>
        <w:t xml:space="preserve">de información </w:t>
      </w:r>
      <w:r w:rsidR="001F1C0F" w:rsidRPr="004712BF">
        <w:rPr>
          <w:rFonts w:ascii="Arial" w:hAnsi="Arial" w:cs="Arial"/>
          <w:sz w:val="24"/>
          <w:szCs w:val="24"/>
        </w:rPr>
        <w:t xml:space="preserve">que tendrían lugar entre julio y agosto de este año, así como la </w:t>
      </w:r>
      <w:r w:rsidRPr="004712BF">
        <w:rPr>
          <w:rFonts w:ascii="Arial" w:hAnsi="Arial" w:cs="Arial"/>
          <w:sz w:val="24"/>
          <w:szCs w:val="24"/>
        </w:rPr>
        <w:t xml:space="preserve">difusión </w:t>
      </w:r>
      <w:r w:rsidR="001F1C0F" w:rsidRPr="004712BF">
        <w:rPr>
          <w:rFonts w:ascii="Arial" w:hAnsi="Arial" w:cs="Arial"/>
          <w:sz w:val="24"/>
          <w:szCs w:val="24"/>
        </w:rPr>
        <w:t>de resultados preliminares de dos programas adicionales</w:t>
      </w:r>
      <w:r w:rsidR="0041722B" w:rsidRPr="004712BF">
        <w:rPr>
          <w:rFonts w:ascii="Arial" w:hAnsi="Arial" w:cs="Arial"/>
          <w:sz w:val="24"/>
          <w:szCs w:val="24"/>
        </w:rPr>
        <w:t>:</w:t>
      </w:r>
    </w:p>
    <w:p w14:paraId="2794946D" w14:textId="77777777" w:rsidR="0041722B" w:rsidRPr="004712BF" w:rsidRDefault="0041722B" w:rsidP="002209BF">
      <w:pPr>
        <w:ind w:left="-567" w:right="-518"/>
        <w:jc w:val="both"/>
        <w:rPr>
          <w:rFonts w:ascii="Arial" w:hAnsi="Arial" w:cs="Arial"/>
          <w:sz w:val="24"/>
          <w:szCs w:val="24"/>
        </w:rPr>
      </w:pPr>
    </w:p>
    <w:p w14:paraId="5A7ED56B" w14:textId="42C02AC7" w:rsidR="00EC1DC4" w:rsidRPr="004712BF" w:rsidRDefault="00EC1DC4"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Indicad</w:t>
      </w:r>
      <w:r w:rsidR="006548CD" w:rsidRPr="004712BF">
        <w:rPr>
          <w:rFonts w:ascii="Arial" w:hAnsi="Arial" w:cs="Arial"/>
          <w:b/>
          <w:bCs/>
          <w:sz w:val="24"/>
          <w:szCs w:val="24"/>
        </w:rPr>
        <w:t>o</w:t>
      </w:r>
      <w:r w:rsidRPr="004712BF">
        <w:rPr>
          <w:rFonts w:ascii="Arial" w:hAnsi="Arial" w:cs="Arial"/>
          <w:b/>
          <w:bCs/>
          <w:sz w:val="24"/>
          <w:szCs w:val="24"/>
        </w:rPr>
        <w:t>res de Ocupación y Empleo</w:t>
      </w:r>
      <w:r w:rsidR="006548CD" w:rsidRPr="004712BF">
        <w:rPr>
          <w:rFonts w:ascii="Arial" w:hAnsi="Arial" w:cs="Arial"/>
          <w:sz w:val="24"/>
          <w:szCs w:val="24"/>
        </w:rPr>
        <w:t>. No se difundirán resultados el 27 de julio (con información referente a junio) y 25 de agosto (con información referente a julio)</w:t>
      </w:r>
      <w:r w:rsidR="00166450" w:rsidRPr="004712BF">
        <w:rPr>
          <w:rFonts w:ascii="Arial" w:hAnsi="Arial" w:cs="Arial"/>
          <w:sz w:val="24"/>
          <w:szCs w:val="24"/>
        </w:rPr>
        <w:t>.</w:t>
      </w:r>
    </w:p>
    <w:p w14:paraId="48B21456" w14:textId="0D0005A2" w:rsidR="006548CD" w:rsidRPr="004712BF" w:rsidRDefault="006548CD"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Encuesta Nacional de Ocupación y Empleo</w:t>
      </w:r>
      <w:r w:rsidRPr="004712BF">
        <w:rPr>
          <w:rFonts w:ascii="Arial" w:hAnsi="Arial" w:cs="Arial"/>
          <w:sz w:val="24"/>
          <w:szCs w:val="24"/>
        </w:rPr>
        <w:t>. No se difundirán resultados el 17 de agosto (con información referente al segundo trimestre de 2020).</w:t>
      </w:r>
    </w:p>
    <w:p w14:paraId="2194CB91" w14:textId="098BB8EB" w:rsidR="006548CD" w:rsidRPr="004712BF" w:rsidRDefault="006548CD"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Encuesta Nacional sobre Confianza del Consumidor</w:t>
      </w:r>
      <w:r w:rsidRPr="004712BF">
        <w:rPr>
          <w:rFonts w:ascii="Arial" w:hAnsi="Arial" w:cs="Arial"/>
          <w:sz w:val="24"/>
          <w:szCs w:val="24"/>
        </w:rPr>
        <w:t>. No se difundirán resultados el 3 de julio (con información referente a junio)</w:t>
      </w:r>
      <w:r w:rsidR="007240A4" w:rsidRPr="004712BF">
        <w:rPr>
          <w:rFonts w:ascii="Arial" w:hAnsi="Arial" w:cs="Arial"/>
          <w:sz w:val="24"/>
          <w:szCs w:val="24"/>
        </w:rPr>
        <w:t xml:space="preserve"> y 5 de agosto (con información referente </w:t>
      </w:r>
      <w:r w:rsidR="00A20053" w:rsidRPr="004712BF">
        <w:rPr>
          <w:rFonts w:ascii="Arial" w:hAnsi="Arial" w:cs="Arial"/>
          <w:sz w:val="24"/>
          <w:szCs w:val="24"/>
        </w:rPr>
        <w:t>a julio).</w:t>
      </w:r>
    </w:p>
    <w:p w14:paraId="05AED294" w14:textId="77777777" w:rsidR="00B027E9" w:rsidRPr="004712BF" w:rsidRDefault="00B027E9" w:rsidP="00B027E9">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Encuesta Nacional de Seguridad Pública Urbana</w:t>
      </w:r>
      <w:r w:rsidRPr="004712BF">
        <w:rPr>
          <w:rFonts w:ascii="Arial" w:hAnsi="Arial" w:cs="Arial"/>
          <w:sz w:val="24"/>
          <w:szCs w:val="24"/>
        </w:rPr>
        <w:t>. No se difundirán resultados el 15 de julio (información del segundo trimestre de 2020).</w:t>
      </w:r>
    </w:p>
    <w:p w14:paraId="09F0CBE4" w14:textId="7C95DF00" w:rsidR="006548CD" w:rsidRPr="004712BF" w:rsidRDefault="006548CD"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 xml:space="preserve">Indicadores de Bienestar </w:t>
      </w:r>
      <w:proofErr w:type="spellStart"/>
      <w:r w:rsidRPr="004712BF">
        <w:rPr>
          <w:rFonts w:ascii="Arial" w:hAnsi="Arial" w:cs="Arial"/>
          <w:b/>
          <w:bCs/>
          <w:sz w:val="24"/>
          <w:szCs w:val="24"/>
        </w:rPr>
        <w:t>Autorreportado</w:t>
      </w:r>
      <w:proofErr w:type="spellEnd"/>
      <w:r w:rsidRPr="004712BF">
        <w:rPr>
          <w:rFonts w:ascii="Arial" w:hAnsi="Arial" w:cs="Arial"/>
          <w:b/>
          <w:bCs/>
          <w:sz w:val="24"/>
          <w:szCs w:val="24"/>
        </w:rPr>
        <w:t xml:space="preserve"> de la Población Urbana.</w:t>
      </w:r>
      <w:r w:rsidRPr="004712BF">
        <w:rPr>
          <w:rFonts w:ascii="Arial" w:hAnsi="Arial" w:cs="Arial"/>
          <w:sz w:val="24"/>
          <w:szCs w:val="24"/>
        </w:rPr>
        <w:t xml:space="preserve"> No se difundirán resultados el 27 de agosto (con información referente a ju</w:t>
      </w:r>
      <w:r w:rsidR="00A20053" w:rsidRPr="004712BF">
        <w:rPr>
          <w:rFonts w:ascii="Arial" w:hAnsi="Arial" w:cs="Arial"/>
          <w:sz w:val="24"/>
          <w:szCs w:val="24"/>
        </w:rPr>
        <w:t>l</w:t>
      </w:r>
      <w:r w:rsidRPr="004712BF">
        <w:rPr>
          <w:rFonts w:ascii="Arial" w:hAnsi="Arial" w:cs="Arial"/>
          <w:sz w:val="24"/>
          <w:szCs w:val="24"/>
        </w:rPr>
        <w:t>io).</w:t>
      </w:r>
    </w:p>
    <w:p w14:paraId="41FE25E5" w14:textId="1B1ED5E9" w:rsidR="006548CD" w:rsidRPr="004712BF" w:rsidRDefault="006548CD"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Censo Nacional de Gobierno, Seguridad Pública y Sistema Penitenciario Estatales,</w:t>
      </w:r>
      <w:r w:rsidRPr="004712BF">
        <w:rPr>
          <w:rFonts w:ascii="Arial" w:hAnsi="Arial" w:cs="Arial"/>
          <w:sz w:val="24"/>
          <w:szCs w:val="24"/>
        </w:rPr>
        <w:t xml:space="preserve"> </w:t>
      </w:r>
      <w:r w:rsidRPr="004712BF">
        <w:rPr>
          <w:rFonts w:ascii="Arial" w:hAnsi="Arial" w:cs="Arial"/>
          <w:b/>
          <w:bCs/>
          <w:sz w:val="24"/>
          <w:szCs w:val="24"/>
        </w:rPr>
        <w:t>2020</w:t>
      </w:r>
      <w:r w:rsidRPr="004712BF">
        <w:rPr>
          <w:rFonts w:ascii="Arial" w:hAnsi="Arial" w:cs="Arial"/>
          <w:sz w:val="24"/>
          <w:szCs w:val="24"/>
        </w:rPr>
        <w:t>. No se difundirá la información preliminar el 13 de agosto.</w:t>
      </w:r>
    </w:p>
    <w:p w14:paraId="3E1E2E00" w14:textId="68BA6712" w:rsidR="006548CD" w:rsidRPr="004712BF" w:rsidRDefault="006548CD" w:rsidP="002209BF">
      <w:pPr>
        <w:pStyle w:val="Prrafodelista"/>
        <w:numPr>
          <w:ilvl w:val="0"/>
          <w:numId w:val="4"/>
        </w:numPr>
        <w:ind w:left="-284" w:right="-518" w:hanging="283"/>
        <w:jc w:val="both"/>
        <w:rPr>
          <w:rFonts w:ascii="Arial" w:hAnsi="Arial" w:cs="Arial"/>
          <w:sz w:val="24"/>
          <w:szCs w:val="24"/>
        </w:rPr>
      </w:pPr>
      <w:r w:rsidRPr="004712BF">
        <w:rPr>
          <w:rFonts w:ascii="Arial" w:hAnsi="Arial" w:cs="Arial"/>
          <w:b/>
          <w:bCs/>
          <w:sz w:val="24"/>
          <w:szCs w:val="24"/>
        </w:rPr>
        <w:t>Censo Nacional de Impartición de Justicia Estatal, 2020</w:t>
      </w:r>
      <w:r w:rsidRPr="004712BF">
        <w:rPr>
          <w:rFonts w:ascii="Arial" w:hAnsi="Arial" w:cs="Arial"/>
          <w:sz w:val="24"/>
          <w:szCs w:val="24"/>
        </w:rPr>
        <w:t>. No se difundirá la información preliminar el 13 de agosto.</w:t>
      </w:r>
    </w:p>
    <w:p w14:paraId="3E347B52" w14:textId="77777777" w:rsidR="002209BF" w:rsidRPr="004712BF" w:rsidRDefault="002209BF" w:rsidP="002209BF">
      <w:pPr>
        <w:pStyle w:val="Default"/>
      </w:pPr>
    </w:p>
    <w:p w14:paraId="08915F17" w14:textId="77777777" w:rsidR="004978E2" w:rsidRPr="004712BF" w:rsidRDefault="002209BF" w:rsidP="004978E2">
      <w:pPr>
        <w:ind w:left="-567" w:right="-518"/>
        <w:jc w:val="both"/>
        <w:rPr>
          <w:rFonts w:ascii="Arial" w:hAnsi="Arial" w:cs="Arial"/>
          <w:color w:val="000000" w:themeColor="text1"/>
          <w:sz w:val="24"/>
          <w:szCs w:val="24"/>
        </w:rPr>
      </w:pPr>
      <w:r w:rsidRPr="004712BF">
        <w:rPr>
          <w:rFonts w:ascii="Arial" w:hAnsi="Arial" w:cs="Arial"/>
          <w:color w:val="000000" w:themeColor="text1"/>
          <w:sz w:val="24"/>
          <w:szCs w:val="24"/>
        </w:rPr>
        <w:t xml:space="preserve">Por la relevancia que tiene para el país la información que proporcionan la Encuesta Nacional de Ocupación y Empleo </w:t>
      </w:r>
      <w:r w:rsidR="00390A88" w:rsidRPr="004712BF">
        <w:rPr>
          <w:rFonts w:ascii="Arial" w:hAnsi="Arial" w:cs="Arial"/>
          <w:color w:val="000000" w:themeColor="text1"/>
          <w:sz w:val="24"/>
          <w:szCs w:val="24"/>
        </w:rPr>
        <w:t xml:space="preserve">(ENOE) </w:t>
      </w:r>
      <w:r w:rsidRPr="004712BF">
        <w:rPr>
          <w:rFonts w:ascii="Arial" w:hAnsi="Arial" w:cs="Arial"/>
          <w:color w:val="000000" w:themeColor="text1"/>
          <w:sz w:val="24"/>
          <w:szCs w:val="24"/>
        </w:rPr>
        <w:t>y la Encuesta Nacional sobre Confianza del Consumidor</w:t>
      </w:r>
      <w:r w:rsidR="00390A88" w:rsidRPr="004712BF">
        <w:rPr>
          <w:rFonts w:ascii="Arial" w:hAnsi="Arial" w:cs="Arial"/>
          <w:color w:val="000000" w:themeColor="text1"/>
          <w:sz w:val="24"/>
          <w:szCs w:val="24"/>
        </w:rPr>
        <w:t xml:space="preserve"> (ENCO)</w:t>
      </w:r>
      <w:r w:rsidRPr="004712BF">
        <w:rPr>
          <w:rFonts w:ascii="Arial" w:hAnsi="Arial" w:cs="Arial"/>
          <w:color w:val="000000" w:themeColor="text1"/>
          <w:sz w:val="24"/>
          <w:szCs w:val="24"/>
        </w:rPr>
        <w:t xml:space="preserve">, el Instituto seguirá trabajando en el levantamiento de la Encuesta Telefónica de Ocupación y Empleo (ETOE), así como de la Encuesta Telefónica sobre Confianza del Consumidor (ETCO), para </w:t>
      </w:r>
      <w:r w:rsidR="00390A88" w:rsidRPr="004712BF">
        <w:rPr>
          <w:rFonts w:ascii="Arial" w:hAnsi="Arial" w:cs="Arial"/>
          <w:color w:val="000000" w:themeColor="text1"/>
          <w:sz w:val="24"/>
          <w:szCs w:val="24"/>
        </w:rPr>
        <w:t xml:space="preserve">ofrecer a los usuarios una aproximación a los indicadores </w:t>
      </w:r>
      <w:r w:rsidR="004151D3" w:rsidRPr="004712BF">
        <w:rPr>
          <w:rFonts w:ascii="Arial" w:hAnsi="Arial" w:cs="Arial"/>
          <w:color w:val="000000" w:themeColor="text1"/>
          <w:sz w:val="24"/>
          <w:szCs w:val="24"/>
        </w:rPr>
        <w:t>sobre empleo y confianza del consumidor</w:t>
      </w:r>
      <w:r w:rsidR="00390A88" w:rsidRPr="004712BF">
        <w:rPr>
          <w:rFonts w:ascii="Arial" w:hAnsi="Arial" w:cs="Arial"/>
          <w:color w:val="000000" w:themeColor="text1"/>
          <w:sz w:val="24"/>
          <w:szCs w:val="24"/>
        </w:rPr>
        <w:t>.</w:t>
      </w:r>
    </w:p>
    <w:p w14:paraId="44EE381E" w14:textId="77777777" w:rsidR="004978E2" w:rsidRPr="004712BF" w:rsidRDefault="004978E2" w:rsidP="004978E2">
      <w:pPr>
        <w:ind w:left="-567" w:right="-518"/>
        <w:jc w:val="both"/>
        <w:rPr>
          <w:rFonts w:ascii="Arial" w:hAnsi="Arial" w:cs="Arial"/>
          <w:color w:val="000000" w:themeColor="text1"/>
          <w:sz w:val="24"/>
          <w:szCs w:val="24"/>
        </w:rPr>
      </w:pPr>
    </w:p>
    <w:p w14:paraId="2B37B9A6" w14:textId="72BF5A9D" w:rsidR="004978E2" w:rsidRPr="004712BF" w:rsidRDefault="0091765D" w:rsidP="004978E2">
      <w:pPr>
        <w:ind w:left="-567" w:right="-518"/>
        <w:jc w:val="both"/>
        <w:rPr>
          <w:rFonts w:ascii="Arial" w:hAnsi="Arial" w:cs="Arial"/>
          <w:color w:val="000000" w:themeColor="text1"/>
          <w:sz w:val="24"/>
          <w:szCs w:val="24"/>
        </w:rPr>
      </w:pPr>
      <w:r w:rsidRPr="004712BF">
        <w:rPr>
          <w:rFonts w:ascii="Arial" w:hAnsi="Arial" w:cs="Arial"/>
          <w:color w:val="000000" w:themeColor="text1"/>
          <w:sz w:val="24"/>
          <w:szCs w:val="24"/>
        </w:rPr>
        <w:t xml:space="preserve">En temas de seguridad, en el </w:t>
      </w:r>
      <w:r w:rsidR="004978E2" w:rsidRPr="004712BF">
        <w:rPr>
          <w:rFonts w:ascii="Arial" w:hAnsi="Arial" w:cs="Arial"/>
          <w:color w:val="000000" w:themeColor="text1"/>
          <w:sz w:val="24"/>
          <w:szCs w:val="24"/>
        </w:rPr>
        <w:t xml:space="preserve">cuestionario del tercer trimestre </w:t>
      </w:r>
      <w:r w:rsidRPr="004712BF">
        <w:rPr>
          <w:rFonts w:ascii="Arial" w:hAnsi="Arial" w:cs="Arial"/>
          <w:color w:val="000000" w:themeColor="text1"/>
          <w:sz w:val="24"/>
          <w:szCs w:val="24"/>
        </w:rPr>
        <w:t xml:space="preserve">de la Encuesta Nacional de Seguridad Pública (ENSU) </w:t>
      </w:r>
      <w:r w:rsidR="004978E2" w:rsidRPr="004712BF">
        <w:rPr>
          <w:rFonts w:ascii="Arial" w:hAnsi="Arial" w:cs="Arial"/>
          <w:color w:val="000000" w:themeColor="text1"/>
          <w:sz w:val="24"/>
          <w:szCs w:val="24"/>
        </w:rPr>
        <w:t>se incluirán los temas de victimización, robos y extorsión, así como las experiencias de corrupción con autoridades de seguridad pública, los cuales regularmente se captan en el segundo trimestre.</w:t>
      </w:r>
      <w:r w:rsidRPr="004712BF">
        <w:rPr>
          <w:rFonts w:ascii="Arial" w:hAnsi="Arial" w:cs="Arial"/>
          <w:color w:val="000000" w:themeColor="text1"/>
          <w:sz w:val="24"/>
          <w:szCs w:val="24"/>
        </w:rPr>
        <w:t xml:space="preserve"> </w:t>
      </w:r>
      <w:r w:rsidR="004978E2" w:rsidRPr="004712BF">
        <w:rPr>
          <w:rFonts w:ascii="Arial" w:hAnsi="Arial" w:cs="Arial"/>
          <w:color w:val="000000" w:themeColor="text1"/>
          <w:sz w:val="24"/>
          <w:szCs w:val="24"/>
        </w:rPr>
        <w:t>Se identificará el mes en que ocurrieron dichas conductas, a efecto de obtener las estimaciones correspondientes al primer semestre de 2020.</w:t>
      </w:r>
    </w:p>
    <w:p w14:paraId="64CA454A" w14:textId="02E3EF98" w:rsidR="0091765D" w:rsidRDefault="0091765D" w:rsidP="002209BF">
      <w:pPr>
        <w:ind w:left="-567" w:right="-518"/>
        <w:jc w:val="both"/>
        <w:rPr>
          <w:rFonts w:ascii="Arial" w:hAnsi="Arial" w:cs="Arial"/>
          <w:color w:val="000000" w:themeColor="text1"/>
          <w:sz w:val="24"/>
          <w:szCs w:val="24"/>
        </w:rPr>
      </w:pPr>
    </w:p>
    <w:p w14:paraId="7D6B4DC4" w14:textId="18935736" w:rsidR="004712BF" w:rsidRDefault="004712BF" w:rsidP="002209BF">
      <w:pPr>
        <w:ind w:left="-567" w:right="-518"/>
        <w:jc w:val="both"/>
        <w:rPr>
          <w:rFonts w:ascii="Arial" w:hAnsi="Arial" w:cs="Arial"/>
          <w:color w:val="000000" w:themeColor="text1"/>
          <w:sz w:val="24"/>
          <w:szCs w:val="24"/>
        </w:rPr>
      </w:pPr>
    </w:p>
    <w:p w14:paraId="350B77FA" w14:textId="24B512F9" w:rsidR="00C45C73" w:rsidRPr="00C45C73" w:rsidRDefault="00C45C73" w:rsidP="002209BF">
      <w:pPr>
        <w:ind w:left="-567" w:right="-518"/>
        <w:jc w:val="both"/>
        <w:rPr>
          <w:rFonts w:ascii="Arial" w:hAnsi="Arial" w:cs="Arial"/>
          <w:color w:val="000000" w:themeColor="text1"/>
          <w:sz w:val="24"/>
          <w:szCs w:val="24"/>
        </w:rPr>
      </w:pPr>
      <w:r w:rsidRPr="00385B9E">
        <w:rPr>
          <w:rFonts w:ascii="Arial" w:hAnsi="Arial" w:cs="Arial"/>
          <w:color w:val="000000" w:themeColor="text1"/>
          <w:sz w:val="24"/>
          <w:szCs w:val="24"/>
        </w:rPr>
        <w:t xml:space="preserve">El INEGI </w:t>
      </w:r>
      <w:r w:rsidR="00385B9E">
        <w:rPr>
          <w:rFonts w:ascii="Arial" w:hAnsi="Arial" w:cs="Arial"/>
          <w:color w:val="000000" w:themeColor="text1"/>
          <w:sz w:val="24"/>
          <w:szCs w:val="24"/>
        </w:rPr>
        <w:t xml:space="preserve">refrenda su compromiso de </w:t>
      </w:r>
      <w:r w:rsidR="001675C3" w:rsidRPr="00385B9E">
        <w:rPr>
          <w:rFonts w:ascii="Arial" w:hAnsi="Arial" w:cs="Arial"/>
          <w:color w:val="000000" w:themeColor="text1"/>
          <w:sz w:val="24"/>
          <w:szCs w:val="24"/>
        </w:rPr>
        <w:t>contin</w:t>
      </w:r>
      <w:r w:rsidR="00385B9E">
        <w:rPr>
          <w:rFonts w:ascii="Arial" w:hAnsi="Arial" w:cs="Arial"/>
          <w:color w:val="000000" w:themeColor="text1"/>
          <w:sz w:val="24"/>
          <w:szCs w:val="24"/>
        </w:rPr>
        <w:t>uar</w:t>
      </w:r>
      <w:r w:rsidR="001675C3" w:rsidRPr="00385B9E">
        <w:rPr>
          <w:rFonts w:ascii="Arial" w:hAnsi="Arial" w:cs="Arial"/>
          <w:color w:val="000000" w:themeColor="text1"/>
          <w:sz w:val="24"/>
          <w:szCs w:val="24"/>
        </w:rPr>
        <w:t xml:space="preserve"> trabajando </w:t>
      </w:r>
      <w:r w:rsidRPr="00385B9E">
        <w:rPr>
          <w:rFonts w:ascii="Arial" w:hAnsi="Arial" w:cs="Arial"/>
          <w:color w:val="000000" w:themeColor="text1"/>
          <w:sz w:val="24"/>
          <w:szCs w:val="24"/>
        </w:rPr>
        <w:t xml:space="preserve">para ampliar, en la medida de lo posible, </w:t>
      </w:r>
      <w:r w:rsidR="00385B9E">
        <w:rPr>
          <w:rFonts w:ascii="Arial" w:hAnsi="Arial" w:cs="Arial"/>
          <w:color w:val="000000" w:themeColor="text1"/>
          <w:sz w:val="24"/>
          <w:szCs w:val="24"/>
        </w:rPr>
        <w:t>su</w:t>
      </w:r>
      <w:r w:rsidRPr="00385B9E">
        <w:rPr>
          <w:rFonts w:ascii="Arial" w:hAnsi="Arial" w:cs="Arial"/>
          <w:color w:val="000000" w:themeColor="text1"/>
          <w:sz w:val="24"/>
          <w:szCs w:val="24"/>
        </w:rPr>
        <w:t xml:space="preserve"> oferta informativa y así seguir proveyendo al Estado y a la sociedad de información pertinente, veraz, oportuna y de calidad, que permita cubrir necesidades para la toma de decisiones en una coyuntura difícil como la actual.</w:t>
      </w:r>
      <w:r w:rsidRPr="00C45C73">
        <w:rPr>
          <w:rFonts w:ascii="Arial" w:hAnsi="Arial" w:cs="Arial"/>
          <w:color w:val="000000" w:themeColor="text1"/>
          <w:sz w:val="24"/>
          <w:szCs w:val="24"/>
        </w:rPr>
        <w:t xml:space="preserve"> </w:t>
      </w:r>
    </w:p>
    <w:p w14:paraId="59EF26A7" w14:textId="77777777" w:rsidR="00C45C73" w:rsidRDefault="00C45C73" w:rsidP="002209BF">
      <w:pPr>
        <w:ind w:left="-567" w:right="-518"/>
        <w:jc w:val="both"/>
        <w:rPr>
          <w:rFonts w:ascii="Helvetica" w:hAnsi="Helvetica" w:cs="Arial"/>
          <w:color w:val="333333"/>
          <w:sz w:val="21"/>
          <w:szCs w:val="21"/>
        </w:rPr>
      </w:pPr>
    </w:p>
    <w:p w14:paraId="0FA43959" w14:textId="14068A2A" w:rsidR="00EB7832" w:rsidRPr="004712BF" w:rsidRDefault="009C654D" w:rsidP="002209BF">
      <w:pPr>
        <w:ind w:left="-567" w:right="-518"/>
        <w:jc w:val="both"/>
        <w:rPr>
          <w:rFonts w:ascii="Arial" w:hAnsi="Arial" w:cs="Arial"/>
          <w:color w:val="000000" w:themeColor="text1"/>
          <w:sz w:val="24"/>
          <w:szCs w:val="24"/>
        </w:rPr>
      </w:pPr>
      <w:r w:rsidRPr="004712BF">
        <w:rPr>
          <w:rFonts w:ascii="Arial" w:hAnsi="Arial" w:cs="Arial"/>
          <w:color w:val="000000" w:themeColor="text1"/>
          <w:sz w:val="24"/>
          <w:szCs w:val="24"/>
        </w:rPr>
        <w:t>Por primera vez</w:t>
      </w:r>
      <w:r w:rsidR="00EB7832" w:rsidRPr="004712BF">
        <w:rPr>
          <w:rFonts w:ascii="Arial" w:hAnsi="Arial" w:cs="Arial"/>
          <w:color w:val="000000" w:themeColor="text1"/>
          <w:sz w:val="24"/>
          <w:szCs w:val="24"/>
        </w:rPr>
        <w:t xml:space="preserve"> y</w:t>
      </w:r>
      <w:r w:rsidR="00166450" w:rsidRPr="004712BF">
        <w:rPr>
          <w:rFonts w:ascii="Arial" w:hAnsi="Arial" w:cs="Arial"/>
          <w:color w:val="000000" w:themeColor="text1"/>
          <w:sz w:val="24"/>
          <w:szCs w:val="24"/>
        </w:rPr>
        <w:t xml:space="preserve">, </w:t>
      </w:r>
      <w:r w:rsidR="00EB7832" w:rsidRPr="004712BF">
        <w:rPr>
          <w:rFonts w:ascii="Arial" w:hAnsi="Arial" w:cs="Arial"/>
          <w:color w:val="000000" w:themeColor="text1"/>
          <w:sz w:val="24"/>
          <w:szCs w:val="24"/>
        </w:rPr>
        <w:t>en</w:t>
      </w:r>
      <w:r w:rsidR="00EB7832" w:rsidRPr="004712BF">
        <w:rPr>
          <w:rFonts w:ascii="Arial" w:eastAsia="Times New Roman" w:hAnsi="Arial" w:cs="Arial"/>
          <w:sz w:val="24"/>
          <w:szCs w:val="24"/>
          <w:lang w:val="es-419"/>
        </w:rPr>
        <w:t xml:space="preserve"> cumplimiento </w:t>
      </w:r>
      <w:r w:rsidR="00166450" w:rsidRPr="004712BF">
        <w:rPr>
          <w:rFonts w:ascii="Arial" w:eastAsia="Times New Roman" w:hAnsi="Arial" w:cs="Arial"/>
          <w:sz w:val="24"/>
          <w:szCs w:val="24"/>
          <w:lang w:val="es-419"/>
        </w:rPr>
        <w:t xml:space="preserve">de </w:t>
      </w:r>
      <w:r w:rsidR="00EB7832" w:rsidRPr="004712BF">
        <w:rPr>
          <w:rFonts w:ascii="Arial" w:eastAsia="Times New Roman" w:hAnsi="Arial" w:cs="Arial"/>
          <w:sz w:val="24"/>
          <w:szCs w:val="24"/>
          <w:lang w:val="es-419"/>
        </w:rPr>
        <w:t xml:space="preserve">las recomendaciones internacionales en materia de mejores prácticas estadísticas, </w:t>
      </w:r>
      <w:r w:rsidRPr="004712BF">
        <w:rPr>
          <w:rFonts w:ascii="Arial" w:hAnsi="Arial" w:cs="Arial"/>
          <w:color w:val="000000" w:themeColor="text1"/>
          <w:sz w:val="24"/>
          <w:szCs w:val="24"/>
        </w:rPr>
        <w:t>el INEGI difundirá trimestralmente los resultados de las Cuentas por Sectores Institucionales</w:t>
      </w:r>
      <w:r w:rsidR="00EB7832" w:rsidRPr="004712BF">
        <w:rPr>
          <w:rFonts w:ascii="Arial" w:hAnsi="Arial" w:cs="Arial"/>
          <w:color w:val="000000" w:themeColor="text1"/>
          <w:sz w:val="24"/>
          <w:szCs w:val="24"/>
        </w:rPr>
        <w:t xml:space="preserve"> con lo que se mejora la oportunidad de</w:t>
      </w:r>
      <w:r w:rsidR="00166450" w:rsidRPr="004712BF">
        <w:rPr>
          <w:rFonts w:ascii="Arial" w:hAnsi="Arial" w:cs="Arial"/>
          <w:color w:val="000000" w:themeColor="text1"/>
          <w:sz w:val="24"/>
          <w:szCs w:val="24"/>
        </w:rPr>
        <w:t>l</w:t>
      </w:r>
      <w:r w:rsidR="00EB7832" w:rsidRPr="004712BF">
        <w:rPr>
          <w:rFonts w:ascii="Arial" w:hAnsi="Arial" w:cs="Arial"/>
          <w:color w:val="000000" w:themeColor="text1"/>
          <w:sz w:val="24"/>
          <w:szCs w:val="24"/>
        </w:rPr>
        <w:t xml:space="preserve"> reporte de esta información.</w:t>
      </w:r>
      <w:r w:rsidR="009D6F1A" w:rsidRPr="004712BF">
        <w:rPr>
          <w:rFonts w:ascii="Arial" w:hAnsi="Arial" w:cs="Arial"/>
          <w:color w:val="000000" w:themeColor="text1"/>
          <w:sz w:val="24"/>
          <w:szCs w:val="24"/>
        </w:rPr>
        <w:t xml:space="preserve"> </w:t>
      </w:r>
      <w:r w:rsidR="00EB7832" w:rsidRPr="004712BF">
        <w:rPr>
          <w:rFonts w:ascii="Arial" w:hAnsi="Arial" w:cs="Arial"/>
          <w:color w:val="000000" w:themeColor="text1"/>
          <w:sz w:val="24"/>
          <w:szCs w:val="24"/>
        </w:rPr>
        <w:t>Las fechas de difusión serán el 2 de septiembre (con resultados del primer trimestre d</w:t>
      </w:r>
      <w:r w:rsidR="00BD7E3A" w:rsidRPr="004712BF">
        <w:rPr>
          <w:rFonts w:ascii="Arial" w:hAnsi="Arial" w:cs="Arial"/>
          <w:color w:val="000000" w:themeColor="text1"/>
          <w:sz w:val="24"/>
          <w:szCs w:val="24"/>
        </w:rPr>
        <w:t>e</w:t>
      </w:r>
      <w:r w:rsidR="00EB7832" w:rsidRPr="004712BF">
        <w:rPr>
          <w:rFonts w:ascii="Arial" w:hAnsi="Arial" w:cs="Arial"/>
          <w:color w:val="000000" w:themeColor="text1"/>
          <w:sz w:val="24"/>
          <w:szCs w:val="24"/>
        </w:rPr>
        <w:t xml:space="preserve"> 2020</w:t>
      </w:r>
      <w:r w:rsidR="00DD0E7F" w:rsidRPr="004712BF">
        <w:rPr>
          <w:rFonts w:ascii="Arial" w:hAnsi="Arial" w:cs="Arial"/>
          <w:color w:val="000000" w:themeColor="text1"/>
          <w:sz w:val="24"/>
          <w:szCs w:val="24"/>
        </w:rPr>
        <w:t>)</w:t>
      </w:r>
      <w:r w:rsidR="00EB7832" w:rsidRPr="004712BF">
        <w:rPr>
          <w:rFonts w:ascii="Arial" w:hAnsi="Arial" w:cs="Arial"/>
          <w:color w:val="000000" w:themeColor="text1"/>
          <w:sz w:val="24"/>
          <w:szCs w:val="24"/>
        </w:rPr>
        <w:t xml:space="preserve"> y 3 de diciembre (con resultados del segundo trimestre de 2020)</w:t>
      </w:r>
      <w:r w:rsidR="005547CC" w:rsidRPr="004712BF">
        <w:rPr>
          <w:rFonts w:ascii="Arial" w:hAnsi="Arial" w:cs="Arial"/>
          <w:color w:val="000000" w:themeColor="text1"/>
          <w:sz w:val="24"/>
          <w:szCs w:val="24"/>
        </w:rPr>
        <w:t>.</w:t>
      </w:r>
    </w:p>
    <w:p w14:paraId="4026CA03" w14:textId="77777777" w:rsidR="00EB7832" w:rsidRPr="004712BF" w:rsidRDefault="00EB7832" w:rsidP="002209BF">
      <w:pPr>
        <w:ind w:left="-567" w:right="-518"/>
        <w:jc w:val="both"/>
        <w:rPr>
          <w:rFonts w:ascii="Arial" w:hAnsi="Arial" w:cs="Arial"/>
          <w:color w:val="000000" w:themeColor="text1"/>
          <w:sz w:val="24"/>
          <w:szCs w:val="24"/>
        </w:rPr>
      </w:pPr>
    </w:p>
    <w:p w14:paraId="5831D48C" w14:textId="3DA0E8E7" w:rsidR="00EC1DC4" w:rsidRPr="004712BF" w:rsidRDefault="00EC1DC4" w:rsidP="002209BF">
      <w:pPr>
        <w:ind w:left="-567" w:right="-518"/>
        <w:jc w:val="both"/>
        <w:rPr>
          <w:rFonts w:ascii="Arial" w:hAnsi="Arial" w:cs="Arial"/>
          <w:color w:val="000000" w:themeColor="text1"/>
          <w:sz w:val="24"/>
          <w:szCs w:val="24"/>
        </w:rPr>
      </w:pPr>
      <w:r w:rsidRPr="004712BF">
        <w:rPr>
          <w:rFonts w:ascii="Arial" w:hAnsi="Arial" w:cs="Arial"/>
          <w:color w:val="000000" w:themeColor="text1"/>
          <w:sz w:val="24"/>
          <w:szCs w:val="24"/>
        </w:rPr>
        <w:t>El INEGI da a conocer que cambia la denominación del Índice Global de Personal Ocupado de los Sectores Económicos (IGPOSE). Base 2013, debido a que adiciona a este programa la difusión del Índice Global de Remuneraciones de los Sectores Económicos. Base 2013 y del Índice Global de Remuneraciones medias reales de los Sectores Económicos. Base 2013.</w:t>
      </w:r>
    </w:p>
    <w:p w14:paraId="3B264897" w14:textId="46BBA1CC" w:rsidR="00EC1DC4" w:rsidRPr="004712BF" w:rsidRDefault="00EC1DC4" w:rsidP="002209BF">
      <w:pPr>
        <w:ind w:left="-567" w:right="-518"/>
        <w:rPr>
          <w:rFonts w:ascii="Arial" w:hAnsi="Arial" w:cs="Arial"/>
          <w:color w:val="000000" w:themeColor="text1"/>
          <w:sz w:val="24"/>
          <w:szCs w:val="24"/>
        </w:rPr>
      </w:pPr>
    </w:p>
    <w:p w14:paraId="0DDF84F7" w14:textId="37A4BD5B" w:rsidR="00ED6D75" w:rsidRDefault="00EC1DC4" w:rsidP="00ED6D75">
      <w:pPr>
        <w:ind w:left="-567" w:right="-518"/>
        <w:jc w:val="both"/>
        <w:rPr>
          <w:rFonts w:ascii="Arial" w:hAnsi="Arial" w:cs="Arial"/>
          <w:sz w:val="24"/>
          <w:szCs w:val="24"/>
          <w:shd w:val="clear" w:color="auto" w:fill="FFFFFF"/>
        </w:rPr>
      </w:pPr>
      <w:r w:rsidRPr="004712BF">
        <w:rPr>
          <w:rFonts w:ascii="Arial" w:hAnsi="Arial" w:cs="Arial"/>
          <w:color w:val="000000" w:themeColor="text1"/>
          <w:sz w:val="24"/>
          <w:szCs w:val="24"/>
        </w:rPr>
        <w:t xml:space="preserve">A partir de julio </w:t>
      </w:r>
      <w:r w:rsidR="0041722B" w:rsidRPr="004712BF">
        <w:rPr>
          <w:rFonts w:ascii="Arial" w:hAnsi="Arial" w:cs="Arial"/>
          <w:color w:val="000000" w:themeColor="text1"/>
          <w:sz w:val="24"/>
          <w:szCs w:val="24"/>
        </w:rPr>
        <w:t xml:space="preserve">el IGPOSE </w:t>
      </w:r>
      <w:r w:rsidRPr="004712BF">
        <w:rPr>
          <w:rFonts w:ascii="Arial" w:hAnsi="Arial" w:cs="Arial"/>
          <w:color w:val="000000" w:themeColor="text1"/>
          <w:sz w:val="24"/>
          <w:szCs w:val="24"/>
        </w:rPr>
        <w:t xml:space="preserve">se denominará </w:t>
      </w:r>
      <w:r w:rsidR="009C654D" w:rsidRPr="004712BF">
        <w:rPr>
          <w:rFonts w:ascii="Arial" w:hAnsi="Arial" w:cs="Arial"/>
          <w:sz w:val="24"/>
          <w:szCs w:val="24"/>
          <w:shd w:val="clear" w:color="auto" w:fill="FFFFFF"/>
        </w:rPr>
        <w:t>Índices Globales de Personal y Remuneraciones de los Sectores Económicos</w:t>
      </w:r>
      <w:r w:rsidR="0041722B" w:rsidRPr="004712BF">
        <w:rPr>
          <w:rFonts w:ascii="Arial" w:hAnsi="Arial" w:cs="Arial"/>
          <w:sz w:val="24"/>
          <w:szCs w:val="24"/>
          <w:shd w:val="clear" w:color="auto" w:fill="FFFFFF"/>
        </w:rPr>
        <w:t xml:space="preserve"> (IGP</w:t>
      </w:r>
      <w:r w:rsidR="00F0265E">
        <w:rPr>
          <w:rFonts w:ascii="Arial" w:hAnsi="Arial" w:cs="Arial"/>
          <w:sz w:val="24"/>
          <w:szCs w:val="24"/>
          <w:shd w:val="clear" w:color="auto" w:fill="FFFFFF"/>
        </w:rPr>
        <w:t>E</w:t>
      </w:r>
      <w:r w:rsidR="0041722B" w:rsidRPr="004712BF">
        <w:rPr>
          <w:rFonts w:ascii="Arial" w:hAnsi="Arial" w:cs="Arial"/>
          <w:sz w:val="24"/>
          <w:szCs w:val="24"/>
          <w:shd w:val="clear" w:color="auto" w:fill="FFFFFF"/>
        </w:rPr>
        <w:t xml:space="preserve">RSE) </w:t>
      </w:r>
      <w:r w:rsidRPr="004712BF">
        <w:rPr>
          <w:rFonts w:ascii="Arial" w:hAnsi="Arial" w:cs="Arial"/>
          <w:sz w:val="24"/>
          <w:szCs w:val="24"/>
          <w:shd w:val="clear" w:color="auto" w:fill="FFFFFF"/>
        </w:rPr>
        <w:t>y mantendrá las mismas fechas de difusión que se habían establecido para el IGPOSE.</w:t>
      </w:r>
    </w:p>
    <w:p w14:paraId="442C6BD0" w14:textId="77777777" w:rsidR="00ED6D75" w:rsidRDefault="00ED6D75" w:rsidP="00ED6D75">
      <w:pPr>
        <w:ind w:left="-567" w:right="-518"/>
        <w:jc w:val="both"/>
        <w:rPr>
          <w:rFonts w:ascii="Arial" w:hAnsi="Arial" w:cs="Arial"/>
          <w:sz w:val="24"/>
          <w:szCs w:val="24"/>
          <w:shd w:val="clear" w:color="auto" w:fill="FFFFFF"/>
        </w:rPr>
      </w:pPr>
    </w:p>
    <w:p w14:paraId="778A8241" w14:textId="1193DE8A" w:rsidR="00DD1C3C" w:rsidRPr="00ED6D75" w:rsidRDefault="00DD1C3C" w:rsidP="00ED6D75">
      <w:pPr>
        <w:ind w:left="-567" w:right="-518"/>
        <w:jc w:val="both"/>
        <w:rPr>
          <w:rFonts w:ascii="Arial" w:hAnsi="Arial" w:cs="Arial"/>
          <w:color w:val="000000" w:themeColor="text1"/>
          <w:sz w:val="24"/>
          <w:szCs w:val="24"/>
        </w:rPr>
      </w:pPr>
      <w:r w:rsidRPr="00385B9E">
        <w:rPr>
          <w:rFonts w:ascii="Arial" w:hAnsi="Arial" w:cs="Arial"/>
          <w:color w:val="000000" w:themeColor="text1"/>
          <w:sz w:val="24"/>
          <w:szCs w:val="24"/>
          <w:shd w:val="clear" w:color="auto" w:fill="FFFFFF"/>
        </w:rPr>
        <w:t xml:space="preserve">Cabe destacar que las medidas derivadas de la emergencia sanitaria </w:t>
      </w:r>
      <w:r w:rsidR="00ED6D75" w:rsidRPr="00385B9E">
        <w:rPr>
          <w:rFonts w:ascii="Arial" w:eastAsia="Times New Roman" w:hAnsi="Arial" w:cs="Arial"/>
          <w:color w:val="000000" w:themeColor="text1"/>
          <w:sz w:val="24"/>
          <w:szCs w:val="24"/>
        </w:rPr>
        <w:t xml:space="preserve">generan alteraciones en las operaciones de campo del Instituto y, por lo tanto, incrementan la incertidumbre en las fechas establecidas para la difusión de la información. Por lo tanto, podría haber nuevas modificaciones al calendario que ahora se presenta. También existe la posibilidad de que se afecten </w:t>
      </w:r>
      <w:r w:rsidRPr="00385B9E">
        <w:rPr>
          <w:rFonts w:ascii="Arial" w:hAnsi="Arial" w:cs="Arial"/>
          <w:color w:val="000000" w:themeColor="text1"/>
          <w:sz w:val="24"/>
          <w:szCs w:val="24"/>
          <w:shd w:val="clear" w:color="auto" w:fill="FFFFFF"/>
        </w:rPr>
        <w:t>otros programas de información del INEGI por lo que</w:t>
      </w:r>
      <w:r w:rsidR="00390A88" w:rsidRPr="00385B9E">
        <w:rPr>
          <w:rFonts w:ascii="Arial" w:hAnsi="Arial" w:cs="Arial"/>
          <w:color w:val="000000" w:themeColor="text1"/>
          <w:sz w:val="24"/>
          <w:szCs w:val="24"/>
          <w:shd w:val="clear" w:color="auto" w:fill="FFFFFF"/>
        </w:rPr>
        <w:t>,</w:t>
      </w:r>
      <w:r w:rsidRPr="00385B9E">
        <w:rPr>
          <w:rFonts w:ascii="Arial" w:hAnsi="Arial" w:cs="Arial"/>
          <w:color w:val="000000" w:themeColor="text1"/>
          <w:sz w:val="24"/>
          <w:szCs w:val="24"/>
          <w:shd w:val="clear" w:color="auto" w:fill="FFFFFF"/>
        </w:rPr>
        <w:t xml:space="preserve"> de existir impactos en calidad, cobertura o de otra índole, se darán a conocer de manera puntual en las Notas Técnicas que acompañan su publicación</w:t>
      </w:r>
      <w:r w:rsidR="009D6F1A" w:rsidRPr="00385B9E">
        <w:rPr>
          <w:rFonts w:ascii="Arial" w:hAnsi="Arial" w:cs="Arial"/>
          <w:color w:val="000000" w:themeColor="text1"/>
          <w:sz w:val="24"/>
          <w:szCs w:val="24"/>
          <w:shd w:val="clear" w:color="auto" w:fill="FFFFFF"/>
        </w:rPr>
        <w:t xml:space="preserve">, </w:t>
      </w:r>
      <w:r w:rsidR="00752E67" w:rsidRPr="00385B9E">
        <w:rPr>
          <w:rFonts w:ascii="Arial" w:hAnsi="Arial" w:cs="Arial"/>
          <w:color w:val="000000" w:themeColor="text1"/>
          <w:sz w:val="24"/>
          <w:szCs w:val="24"/>
          <w:shd w:val="clear" w:color="auto" w:fill="FFFFFF"/>
        </w:rPr>
        <w:t xml:space="preserve">así como </w:t>
      </w:r>
      <w:r w:rsidR="009D6F1A" w:rsidRPr="00385B9E">
        <w:rPr>
          <w:rFonts w:ascii="Arial" w:hAnsi="Arial" w:cs="Arial"/>
          <w:color w:val="000000" w:themeColor="text1"/>
          <w:sz w:val="24"/>
          <w:szCs w:val="24"/>
          <w:shd w:val="clear" w:color="auto" w:fill="FFFFFF"/>
        </w:rPr>
        <w:t>en la sección de “Perspectiva en cifras Covid-19” del sitio del INEGI en internet.</w:t>
      </w:r>
      <w:r w:rsidR="009D6F1A" w:rsidRPr="00ED6D75">
        <w:rPr>
          <w:rFonts w:ascii="Arial" w:hAnsi="Arial" w:cs="Arial"/>
          <w:color w:val="000000" w:themeColor="text1"/>
          <w:sz w:val="24"/>
          <w:szCs w:val="24"/>
          <w:shd w:val="clear" w:color="auto" w:fill="FFFFFF"/>
        </w:rPr>
        <w:t xml:space="preserve">  </w:t>
      </w:r>
    </w:p>
    <w:p w14:paraId="0322F469" w14:textId="77777777" w:rsidR="00DD1C3C" w:rsidRPr="004712BF" w:rsidRDefault="00DD1C3C" w:rsidP="002209BF">
      <w:pPr>
        <w:ind w:left="-567" w:right="-518"/>
        <w:jc w:val="both"/>
        <w:rPr>
          <w:rFonts w:ascii="Arial" w:hAnsi="Arial" w:cs="Arial"/>
          <w:sz w:val="24"/>
          <w:szCs w:val="24"/>
          <w:shd w:val="clear" w:color="auto" w:fill="FFFFFF"/>
        </w:rPr>
      </w:pPr>
    </w:p>
    <w:p w14:paraId="6145ADF2" w14:textId="78064B2B" w:rsidR="00D97A6C" w:rsidRDefault="00D97A6C" w:rsidP="00D97A6C">
      <w:pPr>
        <w:ind w:left="-567" w:right="-518"/>
        <w:jc w:val="both"/>
        <w:rPr>
          <w:rFonts w:ascii="Arial" w:hAnsi="Arial" w:cs="Arial"/>
          <w:sz w:val="24"/>
          <w:szCs w:val="24"/>
        </w:rPr>
      </w:pPr>
      <w:r>
        <w:rPr>
          <w:rFonts w:ascii="Arial" w:hAnsi="Arial" w:cs="Arial"/>
          <w:sz w:val="24"/>
          <w:szCs w:val="24"/>
        </w:rPr>
        <w:t>La consulta del calendario de Difusión de Información Estadística, Geográfica y de Interés Nacional puede realizarse en:</w:t>
      </w:r>
    </w:p>
    <w:p w14:paraId="6FE92F67" w14:textId="16D40CAE" w:rsidR="00E056E7" w:rsidRDefault="00970D92" w:rsidP="00D97A6C">
      <w:pPr>
        <w:ind w:left="-567" w:right="-518"/>
        <w:jc w:val="both"/>
        <w:rPr>
          <w:rFonts w:ascii="Arial" w:hAnsi="Arial" w:cs="Arial"/>
          <w:sz w:val="24"/>
          <w:szCs w:val="24"/>
        </w:rPr>
      </w:pPr>
      <w:hyperlink r:id="rId11" w:history="1">
        <w:r w:rsidR="00D97A6C" w:rsidRPr="00B8567C">
          <w:rPr>
            <w:rStyle w:val="Hipervnculo"/>
            <w:rFonts w:ascii="Arial" w:hAnsi="Arial" w:cs="Arial"/>
            <w:sz w:val="24"/>
            <w:szCs w:val="24"/>
          </w:rPr>
          <w:t>https://www.inegi.org.mx/app/saladeprensa/calendario/default.html</w:t>
        </w:r>
      </w:hyperlink>
    </w:p>
    <w:p w14:paraId="7A526A00" w14:textId="77777777" w:rsidR="00D97A6C" w:rsidRDefault="00D97A6C" w:rsidP="00D97A6C">
      <w:pPr>
        <w:ind w:left="-567" w:right="-518"/>
        <w:jc w:val="both"/>
        <w:rPr>
          <w:rFonts w:ascii="Arial" w:hAnsi="Arial" w:cs="Arial"/>
          <w:sz w:val="24"/>
          <w:szCs w:val="24"/>
        </w:rPr>
      </w:pPr>
    </w:p>
    <w:p w14:paraId="5ADD4256" w14:textId="49E11037" w:rsidR="00F94011" w:rsidRDefault="00F94011" w:rsidP="00F94011">
      <w:pPr>
        <w:ind w:right="-518" w:hanging="567"/>
        <w:jc w:val="center"/>
        <w:rPr>
          <w:rFonts w:ascii="Arial" w:hAnsi="Arial" w:cs="Arial"/>
          <w:b/>
          <w:bCs/>
          <w:sz w:val="24"/>
          <w:szCs w:val="24"/>
        </w:rPr>
      </w:pPr>
      <w:r w:rsidRPr="00F94011">
        <w:rPr>
          <w:rFonts w:ascii="Arial" w:hAnsi="Arial" w:cs="Arial"/>
          <w:b/>
          <w:bCs/>
          <w:sz w:val="24"/>
          <w:szCs w:val="24"/>
        </w:rPr>
        <w:t>-</w:t>
      </w:r>
      <w:proofErr w:type="spellStart"/>
      <w:r w:rsidRPr="00F94011">
        <w:rPr>
          <w:rFonts w:ascii="Arial" w:hAnsi="Arial" w:cs="Arial"/>
          <w:b/>
          <w:bCs/>
          <w:sz w:val="24"/>
          <w:szCs w:val="24"/>
        </w:rPr>
        <w:t>oOo</w:t>
      </w:r>
      <w:proofErr w:type="spellEnd"/>
      <w:r w:rsidRPr="00F94011">
        <w:rPr>
          <w:rFonts w:ascii="Arial" w:hAnsi="Arial" w:cs="Arial"/>
          <w:b/>
          <w:bCs/>
          <w:sz w:val="24"/>
          <w:szCs w:val="24"/>
        </w:rPr>
        <w:t>-</w:t>
      </w:r>
    </w:p>
    <w:p w14:paraId="682252F2" w14:textId="07D4FEFC" w:rsidR="00DD0692" w:rsidRDefault="00DD0692" w:rsidP="005A2CAE">
      <w:pPr>
        <w:ind w:right="-518"/>
        <w:rPr>
          <w:rFonts w:ascii="Arial" w:hAnsi="Arial" w:cs="Arial"/>
          <w:b/>
          <w:bCs/>
          <w:sz w:val="24"/>
          <w:szCs w:val="24"/>
        </w:rPr>
      </w:pPr>
    </w:p>
    <w:p w14:paraId="1146C0B3" w14:textId="625B3A83" w:rsidR="00DD0692" w:rsidRDefault="00DD0692" w:rsidP="00F94011">
      <w:pPr>
        <w:ind w:right="-518" w:hanging="567"/>
        <w:jc w:val="center"/>
        <w:rPr>
          <w:rFonts w:ascii="Arial" w:hAnsi="Arial" w:cs="Arial"/>
          <w:b/>
          <w:bCs/>
          <w:sz w:val="24"/>
          <w:szCs w:val="24"/>
        </w:rPr>
      </w:pPr>
    </w:p>
    <w:p w14:paraId="60E0A93A" w14:textId="25C8F6A8" w:rsidR="00DD0692" w:rsidRDefault="00DD0692" w:rsidP="00F94011">
      <w:pPr>
        <w:ind w:right="-518" w:hanging="567"/>
        <w:jc w:val="center"/>
        <w:rPr>
          <w:rFonts w:ascii="Arial" w:hAnsi="Arial" w:cs="Arial"/>
          <w:b/>
          <w:bCs/>
          <w:sz w:val="24"/>
          <w:szCs w:val="24"/>
        </w:rPr>
      </w:pPr>
    </w:p>
    <w:p w14:paraId="29AB43AE" w14:textId="77777777" w:rsidR="00DD0692" w:rsidRPr="00F94011" w:rsidRDefault="00DD0692" w:rsidP="00F94011">
      <w:pPr>
        <w:ind w:right="-518" w:hanging="567"/>
        <w:jc w:val="center"/>
        <w:rPr>
          <w:rFonts w:ascii="Arial" w:hAnsi="Arial" w:cs="Arial"/>
          <w:b/>
          <w:bCs/>
          <w:sz w:val="24"/>
          <w:szCs w:val="24"/>
        </w:rPr>
      </w:pPr>
    </w:p>
    <w:p w14:paraId="2A5DDD95" w14:textId="2A5029FA" w:rsidR="00E056E7" w:rsidRDefault="00E056E7" w:rsidP="00F94011">
      <w:pPr>
        <w:ind w:left="-426" w:right="-518"/>
        <w:jc w:val="center"/>
        <w:rPr>
          <w:rFonts w:ascii="Arial" w:hAnsi="Arial" w:cs="Arial"/>
        </w:rPr>
      </w:pPr>
      <w:r w:rsidRPr="00DD0692">
        <w:rPr>
          <w:rFonts w:ascii="Arial" w:hAnsi="Arial" w:cs="Arial"/>
        </w:rPr>
        <w:t xml:space="preserve">Para consultas de medios de comunicación, contactar a: </w:t>
      </w:r>
      <w:hyperlink r:id="rId12" w:history="1">
        <w:r w:rsidRPr="00DD0692">
          <w:rPr>
            <w:rStyle w:val="Hipervnculo"/>
            <w:rFonts w:ascii="Arial" w:hAnsi="Arial" w:cs="Arial"/>
          </w:rPr>
          <w:t>comunicacionsocial@inegi.org.mx</w:t>
        </w:r>
      </w:hyperlink>
      <w:r w:rsidRPr="00DD0692">
        <w:rPr>
          <w:rFonts w:ascii="Arial" w:hAnsi="Arial" w:cs="Arial"/>
        </w:rPr>
        <w:t xml:space="preserve"> </w:t>
      </w:r>
    </w:p>
    <w:p w14:paraId="60672566" w14:textId="77777777" w:rsidR="00DD0692" w:rsidRPr="00DD0692" w:rsidRDefault="00DD0692" w:rsidP="00F94011">
      <w:pPr>
        <w:ind w:left="-426" w:right="-518"/>
        <w:jc w:val="center"/>
        <w:rPr>
          <w:rFonts w:ascii="Arial" w:hAnsi="Arial" w:cs="Arial"/>
        </w:rPr>
      </w:pPr>
    </w:p>
    <w:p w14:paraId="22A55837" w14:textId="7012A221" w:rsidR="00E056E7" w:rsidRDefault="00E056E7" w:rsidP="00F94011">
      <w:pPr>
        <w:ind w:left="-426" w:right="-518"/>
        <w:jc w:val="center"/>
        <w:rPr>
          <w:rFonts w:ascii="Arial" w:hAnsi="Arial" w:cs="Arial"/>
        </w:rPr>
      </w:pPr>
      <w:r w:rsidRPr="00DD0692">
        <w:rPr>
          <w:rFonts w:ascii="Arial" w:hAnsi="Arial" w:cs="Arial"/>
        </w:rPr>
        <w:t xml:space="preserve">o llamar al teléfono (55) 52-78-10-00, </w:t>
      </w:r>
      <w:proofErr w:type="spellStart"/>
      <w:r w:rsidRPr="00DD0692">
        <w:rPr>
          <w:rFonts w:ascii="Arial" w:hAnsi="Arial" w:cs="Arial"/>
        </w:rPr>
        <w:t>exts</w:t>
      </w:r>
      <w:proofErr w:type="spellEnd"/>
      <w:r w:rsidRPr="00DD0692">
        <w:rPr>
          <w:rFonts w:ascii="Arial" w:hAnsi="Arial" w:cs="Arial"/>
        </w:rPr>
        <w:t>. 1134, 1260 y 1241.</w:t>
      </w:r>
    </w:p>
    <w:p w14:paraId="15E2B14B" w14:textId="77777777" w:rsidR="00DD0692" w:rsidRPr="00DD0692" w:rsidRDefault="00DD0692" w:rsidP="00F94011">
      <w:pPr>
        <w:ind w:left="-426" w:right="-518"/>
        <w:jc w:val="center"/>
        <w:rPr>
          <w:rFonts w:ascii="Arial" w:hAnsi="Arial" w:cs="Arial"/>
        </w:rPr>
      </w:pPr>
    </w:p>
    <w:p w14:paraId="3C36046E" w14:textId="77777777" w:rsidR="00E056E7" w:rsidRPr="00DD0692" w:rsidRDefault="00E056E7" w:rsidP="00E056E7">
      <w:pPr>
        <w:ind w:left="-426" w:right="-518"/>
        <w:jc w:val="center"/>
        <w:rPr>
          <w:rFonts w:ascii="Arial" w:hAnsi="Arial" w:cs="Arial"/>
        </w:rPr>
      </w:pPr>
      <w:r w:rsidRPr="00DD0692">
        <w:rPr>
          <w:rFonts w:ascii="Arial" w:hAnsi="Arial" w:cs="Arial"/>
        </w:rPr>
        <w:t>Dirección de Atención a Medios/ Dirección General Adjunta de Comunicación.</w:t>
      </w:r>
    </w:p>
    <w:p w14:paraId="7F54D09D" w14:textId="77777777" w:rsidR="00E056E7" w:rsidRPr="00BE1AE6" w:rsidRDefault="00E056E7" w:rsidP="00E056E7">
      <w:pPr>
        <w:ind w:left="-426" w:right="-518"/>
        <w:jc w:val="center"/>
        <w:rPr>
          <w:sz w:val="20"/>
          <w:szCs w:val="20"/>
        </w:rPr>
      </w:pPr>
    </w:p>
    <w:p w14:paraId="413DBC38" w14:textId="065053AF" w:rsidR="00E056E7" w:rsidRDefault="00E056E7" w:rsidP="007240A4">
      <w:pPr>
        <w:ind w:right="-516"/>
        <w:contextualSpacing/>
        <w:jc w:val="center"/>
      </w:pPr>
      <w:r w:rsidRPr="00FF1218">
        <w:rPr>
          <w:noProof/>
          <w:lang w:val="en-US"/>
        </w:rPr>
        <w:drawing>
          <wp:inline distT="0" distB="0" distL="0" distR="0" wp14:anchorId="2C97B701" wp14:editId="53546266">
            <wp:extent cx="310356" cy="323850"/>
            <wp:effectExtent l="0" t="0" r="0" b="0"/>
            <wp:docPr id="18" name="Imagen 18"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328" cy="325908"/>
                    </a:xfrm>
                    <a:prstGeom prst="rect">
                      <a:avLst/>
                    </a:prstGeom>
                    <a:noFill/>
                    <a:ln>
                      <a:noFill/>
                    </a:ln>
                  </pic:spPr>
                </pic:pic>
              </a:graphicData>
            </a:graphic>
          </wp:inline>
        </w:drawing>
      </w:r>
      <w:r>
        <w:rPr>
          <w:noProof/>
          <w:lang w:eastAsia="es-MX"/>
        </w:rPr>
        <w:t xml:space="preserve"> </w:t>
      </w:r>
      <w:r w:rsidRPr="00FF1218">
        <w:rPr>
          <w:noProof/>
          <w:lang w:val="en-US"/>
        </w:rPr>
        <w:drawing>
          <wp:inline distT="0" distB="0" distL="0" distR="0" wp14:anchorId="674FD65E" wp14:editId="7CDFC2E4">
            <wp:extent cx="314325" cy="314325"/>
            <wp:effectExtent l="0" t="0" r="9525" b="9525"/>
            <wp:docPr id="24" name="Imagen 24"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lang w:eastAsia="es-MX"/>
        </w:rPr>
        <w:t xml:space="preserve"> </w:t>
      </w:r>
      <w:r w:rsidRPr="00FF1218">
        <w:rPr>
          <w:noProof/>
          <w:lang w:val="en-US"/>
        </w:rPr>
        <w:drawing>
          <wp:inline distT="0" distB="0" distL="0" distR="0" wp14:anchorId="2F449080" wp14:editId="74685916">
            <wp:extent cx="323850" cy="323850"/>
            <wp:effectExtent l="0" t="0" r="0" b="0"/>
            <wp:docPr id="16" name="Imagen 16"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lang w:val="en-US"/>
        </w:rPr>
        <w:drawing>
          <wp:inline distT="0" distB="0" distL="0" distR="0" wp14:anchorId="622E91FB" wp14:editId="2FA34717">
            <wp:extent cx="323850" cy="323850"/>
            <wp:effectExtent l="0" t="0" r="0" b="0"/>
            <wp:docPr id="12" name="Imagen 12"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sz w:val="14"/>
          <w:szCs w:val="18"/>
          <w:lang w:val="en-US"/>
        </w:rPr>
        <w:drawing>
          <wp:inline distT="0" distB="0" distL="0" distR="0" wp14:anchorId="25EB0F54" wp14:editId="45B7D86A">
            <wp:extent cx="2286000" cy="274320"/>
            <wp:effectExtent l="0" t="0" r="0" b="0"/>
            <wp:docPr id="17" name="Imagen 1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sectPr w:rsidR="00E056E7" w:rsidSect="00F0265E">
      <w:headerReference w:type="default" r:id="rId23"/>
      <w:footerReference w:type="default" r:id="rId24"/>
      <w:pgSz w:w="12240" w:h="15840"/>
      <w:pgMar w:top="1417" w:right="1701" w:bottom="1276" w:left="1701" w:header="708"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6AE08" w14:textId="77777777" w:rsidR="00970D92" w:rsidRDefault="00970D92" w:rsidP="00E056E7">
      <w:r>
        <w:separator/>
      </w:r>
    </w:p>
  </w:endnote>
  <w:endnote w:type="continuationSeparator" w:id="0">
    <w:p w14:paraId="766D5105" w14:textId="77777777" w:rsidR="00970D92" w:rsidRDefault="00970D92" w:rsidP="00E0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F921" w14:textId="77777777" w:rsidR="00E056E7" w:rsidRPr="00B85B04" w:rsidRDefault="00E056E7" w:rsidP="00E056E7">
    <w:pPr>
      <w:pStyle w:val="Piedepgina"/>
      <w:jc w:val="center"/>
      <w:rPr>
        <w:rFonts w:ascii="Arial" w:hAnsi="Arial" w:cs="Arial"/>
        <w:b/>
        <w:bCs/>
        <w:color w:val="002060"/>
        <w:sz w:val="20"/>
        <w:szCs w:val="20"/>
      </w:rPr>
    </w:pPr>
    <w:r w:rsidRPr="00B85B04">
      <w:rPr>
        <w:rFonts w:ascii="Arial" w:hAnsi="Arial" w:cs="Arial"/>
        <w:b/>
        <w:bCs/>
        <w:color w:val="002060"/>
        <w:sz w:val="20"/>
        <w:szCs w:val="20"/>
      </w:rPr>
      <w:t>COMUNICACIÓN SOCIAL</w:t>
    </w:r>
  </w:p>
  <w:p w14:paraId="3951D03E" w14:textId="77777777" w:rsidR="00E056E7" w:rsidRDefault="00E05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AB4EE" w14:textId="77777777" w:rsidR="00970D92" w:rsidRDefault="00970D92" w:rsidP="00E056E7">
      <w:r>
        <w:separator/>
      </w:r>
    </w:p>
  </w:footnote>
  <w:footnote w:type="continuationSeparator" w:id="0">
    <w:p w14:paraId="7ACD4EB1" w14:textId="77777777" w:rsidR="00970D92" w:rsidRDefault="00970D92" w:rsidP="00E056E7">
      <w:r>
        <w:continuationSeparator/>
      </w:r>
    </w:p>
  </w:footnote>
  <w:footnote w:id="1">
    <w:p w14:paraId="6B7C4D92" w14:textId="0566A470" w:rsidR="00F0265E" w:rsidRDefault="00F0265E" w:rsidP="00F0265E">
      <w:pPr>
        <w:pStyle w:val="Textonotapie"/>
        <w:ind w:left="-567" w:right="-518"/>
        <w:jc w:val="both"/>
      </w:pPr>
      <w:r w:rsidRPr="00F0265E">
        <w:rPr>
          <w:rStyle w:val="Refdenotaalpie"/>
          <w:rFonts w:ascii="Arial" w:hAnsi="Arial" w:cs="Arial"/>
          <w:sz w:val="16"/>
          <w:szCs w:val="16"/>
        </w:rPr>
        <w:footnoteRef/>
      </w:r>
      <w:r w:rsidRPr="00F0265E">
        <w:rPr>
          <w:rFonts w:ascii="Arial" w:hAnsi="Arial" w:cs="Arial"/>
          <w:sz w:val="16"/>
          <w:szCs w:val="16"/>
        </w:rPr>
        <w:t xml:space="preserve"> El 7 de julio de 2020 se sustituyó el archivo de este comunicado, difundido el </w:t>
      </w:r>
      <w:r w:rsidR="005356C7">
        <w:rPr>
          <w:rFonts w:ascii="Arial" w:hAnsi="Arial" w:cs="Arial"/>
          <w:sz w:val="16"/>
          <w:szCs w:val="16"/>
        </w:rPr>
        <w:t>1</w:t>
      </w:r>
      <w:r w:rsidRPr="00F0265E">
        <w:rPr>
          <w:rFonts w:ascii="Arial" w:hAnsi="Arial" w:cs="Arial"/>
          <w:sz w:val="16"/>
          <w:szCs w:val="16"/>
        </w:rPr>
        <w:t xml:space="preserve"> de ju</w:t>
      </w:r>
      <w:r w:rsidR="005356C7">
        <w:rPr>
          <w:rFonts w:ascii="Arial" w:hAnsi="Arial" w:cs="Arial"/>
          <w:sz w:val="16"/>
          <w:szCs w:val="16"/>
        </w:rPr>
        <w:t>l</w:t>
      </w:r>
      <w:r w:rsidRPr="00F0265E">
        <w:rPr>
          <w:rFonts w:ascii="Arial" w:hAnsi="Arial" w:cs="Arial"/>
          <w:sz w:val="16"/>
          <w:szCs w:val="16"/>
        </w:rPr>
        <w:t>io del mismo año</w:t>
      </w:r>
      <w:r>
        <w:rPr>
          <w:rFonts w:ascii="Arial" w:hAnsi="Arial" w:cs="Arial"/>
          <w:sz w:val="16"/>
          <w:szCs w:val="16"/>
        </w:rPr>
        <w:t>,</w:t>
      </w:r>
      <w:r w:rsidRPr="00F0265E">
        <w:rPr>
          <w:rFonts w:ascii="Arial" w:hAnsi="Arial" w:cs="Arial"/>
          <w:sz w:val="16"/>
          <w:szCs w:val="16"/>
        </w:rPr>
        <w:t xml:space="preserve"> debido a que los Índices Globales de Personal y Remuneraciones de los Sectores Económicos se incluyeron con el acrónimo de IGPRSE. Sin embargo, para un mejor sentido fonético, se identificará</w:t>
      </w:r>
      <w:r>
        <w:rPr>
          <w:rFonts w:ascii="Arial" w:hAnsi="Arial" w:cs="Arial"/>
          <w:sz w:val="16"/>
          <w:szCs w:val="16"/>
        </w:rPr>
        <w:t>n</w:t>
      </w:r>
      <w:r w:rsidRPr="00F0265E">
        <w:rPr>
          <w:rFonts w:ascii="Arial" w:hAnsi="Arial" w:cs="Arial"/>
          <w:sz w:val="16"/>
          <w:szCs w:val="16"/>
        </w:rPr>
        <w:t xml:space="preserve"> como IGPERSE. Est</w:t>
      </w:r>
      <w:r>
        <w:rPr>
          <w:rFonts w:ascii="Arial" w:hAnsi="Arial" w:cs="Arial"/>
          <w:sz w:val="16"/>
          <w:szCs w:val="16"/>
        </w:rPr>
        <w:t>e</w:t>
      </w:r>
      <w:r w:rsidRPr="00F0265E">
        <w:rPr>
          <w:rFonts w:ascii="Arial" w:hAnsi="Arial" w:cs="Arial"/>
          <w:sz w:val="16"/>
          <w:szCs w:val="16"/>
        </w:rPr>
        <w:t xml:space="preserve"> mismo ajuste se aplicó en el Calendario de difusión de información estadística, geográfica y de Interés Nacional del segundo semestre de 2020 y primer semestre de 2021</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22DE0" w14:textId="4638B995" w:rsidR="00E056E7" w:rsidRPr="00E76B2B" w:rsidRDefault="00E056E7" w:rsidP="00E056E7">
    <w:pPr>
      <w:pStyle w:val="Encabezado"/>
      <w:tabs>
        <w:tab w:val="clear" w:pos="4419"/>
        <w:tab w:val="clear" w:pos="8838"/>
      </w:tabs>
      <w:ind w:left="567" w:right="-518" w:hanging="11"/>
      <w:jc w:val="right"/>
      <w:rPr>
        <w:rFonts w:ascii="Arial" w:hAnsi="Arial" w:cs="Arial"/>
        <w:b/>
        <w:color w:val="002060"/>
        <w:sz w:val="24"/>
      </w:rPr>
    </w:pPr>
    <w:r w:rsidRPr="00E76B2B">
      <w:rPr>
        <w:rFonts w:ascii="Arial" w:hAnsi="Arial" w:cs="Arial"/>
        <w:noProof/>
        <w:lang w:val="en-US"/>
      </w:rPr>
      <w:drawing>
        <wp:anchor distT="0" distB="0" distL="114300" distR="114300" simplePos="0" relativeHeight="251659264" behindDoc="0" locked="0" layoutInCell="1" allowOverlap="1" wp14:anchorId="41F6293A" wp14:editId="1B985CE1">
          <wp:simplePos x="0" y="0"/>
          <wp:positionH relativeFrom="margin">
            <wp:posOffset>-130628</wp:posOffset>
          </wp:positionH>
          <wp:positionV relativeFrom="margin">
            <wp:posOffset>-712519</wp:posOffset>
          </wp:positionV>
          <wp:extent cx="712470" cy="737870"/>
          <wp:effectExtent l="0" t="0" r="0" b="508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6B2B">
      <w:rPr>
        <w:rFonts w:ascii="Arial" w:hAnsi="Arial" w:cs="Arial"/>
        <w:b/>
        <w:color w:val="002060"/>
        <w:sz w:val="24"/>
      </w:rPr>
      <w:t xml:space="preserve">COMUNICADO DE PRENSA NÚM. </w:t>
    </w:r>
    <w:r w:rsidR="00385B9E">
      <w:rPr>
        <w:rFonts w:ascii="Arial" w:hAnsi="Arial" w:cs="Arial"/>
        <w:b/>
        <w:color w:val="002060"/>
        <w:sz w:val="24"/>
      </w:rPr>
      <w:t>295</w:t>
    </w:r>
    <w:r w:rsidRPr="00E76B2B">
      <w:rPr>
        <w:rFonts w:ascii="Arial" w:hAnsi="Arial" w:cs="Arial"/>
        <w:b/>
        <w:color w:val="002060"/>
        <w:sz w:val="24"/>
      </w:rPr>
      <w:t>/20</w:t>
    </w:r>
  </w:p>
  <w:p w14:paraId="68469C5A" w14:textId="5BFCFBE0" w:rsidR="00E056E7" w:rsidRPr="00E76B2B" w:rsidRDefault="00E056E7" w:rsidP="00E056E7">
    <w:pPr>
      <w:pStyle w:val="Encabezado"/>
      <w:tabs>
        <w:tab w:val="clear" w:pos="4419"/>
        <w:tab w:val="clear" w:pos="8838"/>
      </w:tabs>
      <w:ind w:left="567" w:right="-518" w:hanging="11"/>
      <w:jc w:val="right"/>
      <w:rPr>
        <w:rFonts w:ascii="Arial" w:hAnsi="Arial" w:cs="Arial"/>
        <w:b/>
        <w:color w:val="002060"/>
        <w:sz w:val="24"/>
        <w:lang w:val="pt-BR"/>
      </w:rPr>
    </w:pPr>
    <w:r>
      <w:rPr>
        <w:rFonts w:ascii="Arial" w:hAnsi="Arial" w:cs="Arial"/>
        <w:b/>
        <w:color w:val="002060"/>
        <w:sz w:val="24"/>
        <w:lang w:val="pt-BR"/>
      </w:rPr>
      <w:t>1 DE JULIO</w:t>
    </w:r>
    <w:r w:rsidRPr="00E76B2B">
      <w:rPr>
        <w:rFonts w:ascii="Arial" w:hAnsi="Arial" w:cs="Arial"/>
        <w:b/>
        <w:color w:val="002060"/>
        <w:sz w:val="24"/>
        <w:lang w:val="pt-BR"/>
      </w:rPr>
      <w:t xml:space="preserve"> DE 2020</w:t>
    </w:r>
  </w:p>
  <w:p w14:paraId="77E90873" w14:textId="709DA5CC" w:rsidR="00E056E7" w:rsidRPr="00E76B2B" w:rsidRDefault="00E056E7" w:rsidP="00E056E7">
    <w:pPr>
      <w:pStyle w:val="Encabezado"/>
      <w:tabs>
        <w:tab w:val="clear" w:pos="4419"/>
        <w:tab w:val="clear" w:pos="8838"/>
      </w:tabs>
      <w:ind w:left="567" w:right="-518" w:hanging="11"/>
      <w:jc w:val="right"/>
      <w:rPr>
        <w:rFonts w:ascii="Arial" w:hAnsi="Arial" w:cs="Arial"/>
        <w:b/>
        <w:color w:val="002060"/>
        <w:sz w:val="24"/>
        <w:lang w:val="pt-BR"/>
      </w:rPr>
    </w:pPr>
    <w:r w:rsidRPr="00E76B2B">
      <w:rPr>
        <w:rFonts w:ascii="Arial" w:hAnsi="Arial" w:cs="Arial"/>
        <w:b/>
        <w:color w:val="002060"/>
        <w:sz w:val="24"/>
        <w:lang w:val="pt-BR"/>
      </w:rPr>
      <w:t xml:space="preserve">PÁGINA </w:t>
    </w:r>
    <w:r w:rsidRPr="00E76B2B">
      <w:rPr>
        <w:rFonts w:ascii="Arial" w:hAnsi="Arial" w:cs="Arial"/>
        <w:b/>
        <w:color w:val="002060"/>
        <w:sz w:val="24"/>
      </w:rPr>
      <w:fldChar w:fldCharType="begin"/>
    </w:r>
    <w:r w:rsidRPr="00E76B2B">
      <w:rPr>
        <w:rFonts w:ascii="Arial" w:hAnsi="Arial" w:cs="Arial"/>
        <w:b/>
        <w:color w:val="002060"/>
        <w:sz w:val="24"/>
        <w:lang w:val="pt-BR"/>
      </w:rPr>
      <w:instrText xml:space="preserve">\PAGE </w:instrText>
    </w:r>
    <w:r w:rsidRPr="00E76B2B">
      <w:rPr>
        <w:rFonts w:ascii="Arial" w:hAnsi="Arial" w:cs="Arial"/>
        <w:b/>
        <w:color w:val="002060"/>
        <w:sz w:val="24"/>
      </w:rPr>
      <w:fldChar w:fldCharType="separate"/>
    </w:r>
    <w:r w:rsidR="007F2708">
      <w:rPr>
        <w:rFonts w:ascii="Arial" w:hAnsi="Arial" w:cs="Arial"/>
        <w:b/>
        <w:noProof/>
        <w:color w:val="002060"/>
        <w:sz w:val="24"/>
        <w:lang w:val="pt-BR"/>
      </w:rPr>
      <w:t>1</w:t>
    </w:r>
    <w:r w:rsidRPr="00E76B2B">
      <w:rPr>
        <w:rFonts w:ascii="Arial" w:hAnsi="Arial" w:cs="Arial"/>
        <w:color w:val="002060"/>
        <w:sz w:val="24"/>
      </w:rPr>
      <w:fldChar w:fldCharType="end"/>
    </w:r>
    <w:r w:rsidRPr="00E76B2B">
      <w:rPr>
        <w:rFonts w:ascii="Arial" w:hAnsi="Arial" w:cs="Arial"/>
        <w:b/>
        <w:color w:val="002060"/>
        <w:sz w:val="24"/>
        <w:lang w:val="pt-BR"/>
      </w:rPr>
      <w:t>/</w:t>
    </w:r>
    <w:r w:rsidR="00ED74FE">
      <w:rPr>
        <w:rFonts w:ascii="Arial" w:hAnsi="Arial" w:cs="Arial"/>
        <w:b/>
        <w:color w:val="002060"/>
        <w:sz w:val="24"/>
        <w:lang w:val="pt-BR"/>
      </w:rPr>
      <w:t>3</w:t>
    </w:r>
  </w:p>
  <w:p w14:paraId="14EB1D8E" w14:textId="77777777" w:rsidR="00E056E7" w:rsidRDefault="00E056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872BD"/>
    <w:multiLevelType w:val="hybridMultilevel"/>
    <w:tmpl w:val="307695FE"/>
    <w:lvl w:ilvl="0" w:tplc="A1B639C6">
      <w:start w:val="1"/>
      <w:numFmt w:val="bullet"/>
      <w:lvlText w:val="•"/>
      <w:lvlJc w:val="left"/>
      <w:pPr>
        <w:tabs>
          <w:tab w:val="num" w:pos="720"/>
        </w:tabs>
        <w:ind w:left="720" w:hanging="360"/>
      </w:pPr>
      <w:rPr>
        <w:rFonts w:ascii="Arial" w:hAnsi="Arial" w:hint="default"/>
      </w:rPr>
    </w:lvl>
    <w:lvl w:ilvl="1" w:tplc="D2C2E87C" w:tentative="1">
      <w:start w:val="1"/>
      <w:numFmt w:val="bullet"/>
      <w:lvlText w:val="•"/>
      <w:lvlJc w:val="left"/>
      <w:pPr>
        <w:tabs>
          <w:tab w:val="num" w:pos="1440"/>
        </w:tabs>
        <w:ind w:left="1440" w:hanging="360"/>
      </w:pPr>
      <w:rPr>
        <w:rFonts w:ascii="Arial" w:hAnsi="Arial" w:hint="default"/>
      </w:rPr>
    </w:lvl>
    <w:lvl w:ilvl="2" w:tplc="9EDA8E4E" w:tentative="1">
      <w:start w:val="1"/>
      <w:numFmt w:val="bullet"/>
      <w:lvlText w:val="•"/>
      <w:lvlJc w:val="left"/>
      <w:pPr>
        <w:tabs>
          <w:tab w:val="num" w:pos="2160"/>
        </w:tabs>
        <w:ind w:left="2160" w:hanging="360"/>
      </w:pPr>
      <w:rPr>
        <w:rFonts w:ascii="Arial" w:hAnsi="Arial" w:hint="default"/>
      </w:rPr>
    </w:lvl>
    <w:lvl w:ilvl="3" w:tplc="C0ECC6F6" w:tentative="1">
      <w:start w:val="1"/>
      <w:numFmt w:val="bullet"/>
      <w:lvlText w:val="•"/>
      <w:lvlJc w:val="left"/>
      <w:pPr>
        <w:tabs>
          <w:tab w:val="num" w:pos="2880"/>
        </w:tabs>
        <w:ind w:left="2880" w:hanging="360"/>
      </w:pPr>
      <w:rPr>
        <w:rFonts w:ascii="Arial" w:hAnsi="Arial" w:hint="default"/>
      </w:rPr>
    </w:lvl>
    <w:lvl w:ilvl="4" w:tplc="7A245724" w:tentative="1">
      <w:start w:val="1"/>
      <w:numFmt w:val="bullet"/>
      <w:lvlText w:val="•"/>
      <w:lvlJc w:val="left"/>
      <w:pPr>
        <w:tabs>
          <w:tab w:val="num" w:pos="3600"/>
        </w:tabs>
        <w:ind w:left="3600" w:hanging="360"/>
      </w:pPr>
      <w:rPr>
        <w:rFonts w:ascii="Arial" w:hAnsi="Arial" w:hint="default"/>
      </w:rPr>
    </w:lvl>
    <w:lvl w:ilvl="5" w:tplc="79BA5128" w:tentative="1">
      <w:start w:val="1"/>
      <w:numFmt w:val="bullet"/>
      <w:lvlText w:val="•"/>
      <w:lvlJc w:val="left"/>
      <w:pPr>
        <w:tabs>
          <w:tab w:val="num" w:pos="4320"/>
        </w:tabs>
        <w:ind w:left="4320" w:hanging="360"/>
      </w:pPr>
      <w:rPr>
        <w:rFonts w:ascii="Arial" w:hAnsi="Arial" w:hint="default"/>
      </w:rPr>
    </w:lvl>
    <w:lvl w:ilvl="6" w:tplc="FD6E2A5E" w:tentative="1">
      <w:start w:val="1"/>
      <w:numFmt w:val="bullet"/>
      <w:lvlText w:val="•"/>
      <w:lvlJc w:val="left"/>
      <w:pPr>
        <w:tabs>
          <w:tab w:val="num" w:pos="5040"/>
        </w:tabs>
        <w:ind w:left="5040" w:hanging="360"/>
      </w:pPr>
      <w:rPr>
        <w:rFonts w:ascii="Arial" w:hAnsi="Arial" w:hint="default"/>
      </w:rPr>
    </w:lvl>
    <w:lvl w:ilvl="7" w:tplc="CD165C54" w:tentative="1">
      <w:start w:val="1"/>
      <w:numFmt w:val="bullet"/>
      <w:lvlText w:val="•"/>
      <w:lvlJc w:val="left"/>
      <w:pPr>
        <w:tabs>
          <w:tab w:val="num" w:pos="5760"/>
        </w:tabs>
        <w:ind w:left="5760" w:hanging="360"/>
      </w:pPr>
      <w:rPr>
        <w:rFonts w:ascii="Arial" w:hAnsi="Arial" w:hint="default"/>
      </w:rPr>
    </w:lvl>
    <w:lvl w:ilvl="8" w:tplc="71C872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2659CA"/>
    <w:multiLevelType w:val="hybridMultilevel"/>
    <w:tmpl w:val="C222097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43491062"/>
    <w:multiLevelType w:val="hybridMultilevel"/>
    <w:tmpl w:val="6988E02A"/>
    <w:lvl w:ilvl="0" w:tplc="607A896E">
      <w:start w:val="1"/>
      <w:numFmt w:val="bullet"/>
      <w:lvlText w:val=""/>
      <w:lvlJc w:val="left"/>
      <w:pPr>
        <w:tabs>
          <w:tab w:val="num" w:pos="720"/>
        </w:tabs>
        <w:ind w:left="720" w:hanging="360"/>
      </w:pPr>
      <w:rPr>
        <w:rFonts w:ascii="Wingdings" w:hAnsi="Wingdings" w:hint="default"/>
      </w:rPr>
    </w:lvl>
    <w:lvl w:ilvl="1" w:tplc="B84E34A6" w:tentative="1">
      <w:start w:val="1"/>
      <w:numFmt w:val="bullet"/>
      <w:lvlText w:val=""/>
      <w:lvlJc w:val="left"/>
      <w:pPr>
        <w:tabs>
          <w:tab w:val="num" w:pos="1440"/>
        </w:tabs>
        <w:ind w:left="1440" w:hanging="360"/>
      </w:pPr>
      <w:rPr>
        <w:rFonts w:ascii="Wingdings" w:hAnsi="Wingdings" w:hint="default"/>
      </w:rPr>
    </w:lvl>
    <w:lvl w:ilvl="2" w:tplc="3724DFEE">
      <w:start w:val="1"/>
      <w:numFmt w:val="bullet"/>
      <w:lvlText w:val=""/>
      <w:lvlJc w:val="left"/>
      <w:pPr>
        <w:tabs>
          <w:tab w:val="num" w:pos="2160"/>
        </w:tabs>
        <w:ind w:left="2160" w:hanging="360"/>
      </w:pPr>
      <w:rPr>
        <w:rFonts w:ascii="Wingdings" w:hAnsi="Wingdings" w:hint="default"/>
      </w:rPr>
    </w:lvl>
    <w:lvl w:ilvl="3" w:tplc="521EDD5C" w:tentative="1">
      <w:start w:val="1"/>
      <w:numFmt w:val="bullet"/>
      <w:lvlText w:val=""/>
      <w:lvlJc w:val="left"/>
      <w:pPr>
        <w:tabs>
          <w:tab w:val="num" w:pos="2880"/>
        </w:tabs>
        <w:ind w:left="2880" w:hanging="360"/>
      </w:pPr>
      <w:rPr>
        <w:rFonts w:ascii="Wingdings" w:hAnsi="Wingdings" w:hint="default"/>
      </w:rPr>
    </w:lvl>
    <w:lvl w:ilvl="4" w:tplc="99888A06" w:tentative="1">
      <w:start w:val="1"/>
      <w:numFmt w:val="bullet"/>
      <w:lvlText w:val=""/>
      <w:lvlJc w:val="left"/>
      <w:pPr>
        <w:tabs>
          <w:tab w:val="num" w:pos="3600"/>
        </w:tabs>
        <w:ind w:left="3600" w:hanging="360"/>
      </w:pPr>
      <w:rPr>
        <w:rFonts w:ascii="Wingdings" w:hAnsi="Wingdings" w:hint="default"/>
      </w:rPr>
    </w:lvl>
    <w:lvl w:ilvl="5" w:tplc="A1301C14" w:tentative="1">
      <w:start w:val="1"/>
      <w:numFmt w:val="bullet"/>
      <w:lvlText w:val=""/>
      <w:lvlJc w:val="left"/>
      <w:pPr>
        <w:tabs>
          <w:tab w:val="num" w:pos="4320"/>
        </w:tabs>
        <w:ind w:left="4320" w:hanging="360"/>
      </w:pPr>
      <w:rPr>
        <w:rFonts w:ascii="Wingdings" w:hAnsi="Wingdings" w:hint="default"/>
      </w:rPr>
    </w:lvl>
    <w:lvl w:ilvl="6" w:tplc="7F1CDF1E" w:tentative="1">
      <w:start w:val="1"/>
      <w:numFmt w:val="bullet"/>
      <w:lvlText w:val=""/>
      <w:lvlJc w:val="left"/>
      <w:pPr>
        <w:tabs>
          <w:tab w:val="num" w:pos="5040"/>
        </w:tabs>
        <w:ind w:left="5040" w:hanging="360"/>
      </w:pPr>
      <w:rPr>
        <w:rFonts w:ascii="Wingdings" w:hAnsi="Wingdings" w:hint="default"/>
      </w:rPr>
    </w:lvl>
    <w:lvl w:ilvl="7" w:tplc="3D4AD48C" w:tentative="1">
      <w:start w:val="1"/>
      <w:numFmt w:val="bullet"/>
      <w:lvlText w:val=""/>
      <w:lvlJc w:val="left"/>
      <w:pPr>
        <w:tabs>
          <w:tab w:val="num" w:pos="5760"/>
        </w:tabs>
        <w:ind w:left="5760" w:hanging="360"/>
      </w:pPr>
      <w:rPr>
        <w:rFonts w:ascii="Wingdings" w:hAnsi="Wingdings" w:hint="default"/>
      </w:rPr>
    </w:lvl>
    <w:lvl w:ilvl="8" w:tplc="7A64D9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D837E6"/>
    <w:multiLevelType w:val="hybridMultilevel"/>
    <w:tmpl w:val="C9DC7AEC"/>
    <w:lvl w:ilvl="0" w:tplc="E1E83BC2">
      <w:start w:val="1"/>
      <w:numFmt w:val="bullet"/>
      <w:lvlText w:val="-"/>
      <w:lvlJc w:val="left"/>
      <w:pPr>
        <w:ind w:left="-207" w:hanging="360"/>
      </w:pPr>
      <w:rPr>
        <w:rFonts w:ascii="Arial" w:eastAsiaTheme="minorHAnsi" w:hAnsi="Arial" w:cs="Aria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4" w15:restartNumberingAfterBreak="0">
    <w:nsid w:val="723D6BEC"/>
    <w:multiLevelType w:val="multilevel"/>
    <w:tmpl w:val="057CC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6F31322"/>
    <w:multiLevelType w:val="hybridMultilevel"/>
    <w:tmpl w:val="348C5DD2"/>
    <w:lvl w:ilvl="0" w:tplc="4504153E">
      <w:start w:val="1"/>
      <w:numFmt w:val="bullet"/>
      <w:lvlText w:val="-"/>
      <w:lvlJc w:val="left"/>
      <w:pPr>
        <w:ind w:left="-207" w:hanging="360"/>
      </w:pPr>
      <w:rPr>
        <w:rFonts w:ascii="Arial" w:eastAsiaTheme="minorHAnsi" w:hAnsi="Arial" w:cs="Aria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6E7"/>
    <w:rsid w:val="00092CCF"/>
    <w:rsid w:val="000B14FC"/>
    <w:rsid w:val="000E573A"/>
    <w:rsid w:val="001139DB"/>
    <w:rsid w:val="00166450"/>
    <w:rsid w:val="001675C3"/>
    <w:rsid w:val="001744F8"/>
    <w:rsid w:val="001A39D8"/>
    <w:rsid w:val="001D0691"/>
    <w:rsid w:val="001F1C0F"/>
    <w:rsid w:val="002053AC"/>
    <w:rsid w:val="002209BF"/>
    <w:rsid w:val="00260B9E"/>
    <w:rsid w:val="002C1C3C"/>
    <w:rsid w:val="003274CF"/>
    <w:rsid w:val="00352859"/>
    <w:rsid w:val="00372CA5"/>
    <w:rsid w:val="00385B9E"/>
    <w:rsid w:val="00390A88"/>
    <w:rsid w:val="003E3389"/>
    <w:rsid w:val="003E3ADE"/>
    <w:rsid w:val="00400571"/>
    <w:rsid w:val="004151D3"/>
    <w:rsid w:val="0041722B"/>
    <w:rsid w:val="004712BF"/>
    <w:rsid w:val="00473DE3"/>
    <w:rsid w:val="004945B9"/>
    <w:rsid w:val="004978E2"/>
    <w:rsid w:val="004979E3"/>
    <w:rsid w:val="004E24EE"/>
    <w:rsid w:val="00516463"/>
    <w:rsid w:val="005356C7"/>
    <w:rsid w:val="00544041"/>
    <w:rsid w:val="005547CC"/>
    <w:rsid w:val="005A2CAE"/>
    <w:rsid w:val="00621B44"/>
    <w:rsid w:val="006548CD"/>
    <w:rsid w:val="006B2068"/>
    <w:rsid w:val="006E355B"/>
    <w:rsid w:val="00707E4A"/>
    <w:rsid w:val="00710CD7"/>
    <w:rsid w:val="007240A4"/>
    <w:rsid w:val="00731413"/>
    <w:rsid w:val="00752E67"/>
    <w:rsid w:val="007D5833"/>
    <w:rsid w:val="007F2708"/>
    <w:rsid w:val="007F28E3"/>
    <w:rsid w:val="00827A42"/>
    <w:rsid w:val="00845F71"/>
    <w:rsid w:val="00863271"/>
    <w:rsid w:val="00863DA0"/>
    <w:rsid w:val="00876747"/>
    <w:rsid w:val="008C3B13"/>
    <w:rsid w:val="00916307"/>
    <w:rsid w:val="0091765D"/>
    <w:rsid w:val="00920D67"/>
    <w:rsid w:val="00970D92"/>
    <w:rsid w:val="009A259B"/>
    <w:rsid w:val="009C654D"/>
    <w:rsid w:val="009D6F1A"/>
    <w:rsid w:val="00A13E5E"/>
    <w:rsid w:val="00A17D14"/>
    <w:rsid w:val="00A20053"/>
    <w:rsid w:val="00B027E9"/>
    <w:rsid w:val="00B50232"/>
    <w:rsid w:val="00B62A57"/>
    <w:rsid w:val="00BD7E3A"/>
    <w:rsid w:val="00C328F3"/>
    <w:rsid w:val="00C35E80"/>
    <w:rsid w:val="00C45C73"/>
    <w:rsid w:val="00C75DBE"/>
    <w:rsid w:val="00CA06D5"/>
    <w:rsid w:val="00D02F23"/>
    <w:rsid w:val="00D07C43"/>
    <w:rsid w:val="00D12085"/>
    <w:rsid w:val="00D17FD9"/>
    <w:rsid w:val="00D97A6C"/>
    <w:rsid w:val="00DA75E7"/>
    <w:rsid w:val="00DB122D"/>
    <w:rsid w:val="00DD0692"/>
    <w:rsid w:val="00DD0E7F"/>
    <w:rsid w:val="00DD1C3C"/>
    <w:rsid w:val="00E056E7"/>
    <w:rsid w:val="00E1339C"/>
    <w:rsid w:val="00E1387B"/>
    <w:rsid w:val="00E34811"/>
    <w:rsid w:val="00E56BE8"/>
    <w:rsid w:val="00E62B79"/>
    <w:rsid w:val="00E84776"/>
    <w:rsid w:val="00EB7832"/>
    <w:rsid w:val="00EC1DC4"/>
    <w:rsid w:val="00EC7476"/>
    <w:rsid w:val="00ED6D75"/>
    <w:rsid w:val="00ED74FE"/>
    <w:rsid w:val="00F0265E"/>
    <w:rsid w:val="00F94011"/>
    <w:rsid w:val="00FB12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CF24F"/>
  <w15:chartTrackingRefBased/>
  <w15:docId w15:val="{F3540734-290B-42A7-8832-6A1EA644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E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56E7"/>
    <w:pPr>
      <w:tabs>
        <w:tab w:val="center" w:pos="4419"/>
        <w:tab w:val="right" w:pos="8838"/>
      </w:tabs>
    </w:pPr>
  </w:style>
  <w:style w:type="character" w:customStyle="1" w:styleId="EncabezadoCar">
    <w:name w:val="Encabezado Car"/>
    <w:basedOn w:val="Fuentedeprrafopredeter"/>
    <w:link w:val="Encabezado"/>
    <w:uiPriority w:val="99"/>
    <w:rsid w:val="00E056E7"/>
  </w:style>
  <w:style w:type="paragraph" w:styleId="Piedepgina">
    <w:name w:val="footer"/>
    <w:basedOn w:val="Normal"/>
    <w:link w:val="PiedepginaCar"/>
    <w:uiPriority w:val="99"/>
    <w:unhideWhenUsed/>
    <w:rsid w:val="00E056E7"/>
    <w:pPr>
      <w:tabs>
        <w:tab w:val="center" w:pos="4419"/>
        <w:tab w:val="right" w:pos="8838"/>
      </w:tabs>
    </w:pPr>
  </w:style>
  <w:style w:type="character" w:customStyle="1" w:styleId="PiedepginaCar">
    <w:name w:val="Pie de página Car"/>
    <w:basedOn w:val="Fuentedeprrafopredeter"/>
    <w:link w:val="Piedepgina"/>
    <w:uiPriority w:val="99"/>
    <w:rsid w:val="00E056E7"/>
  </w:style>
  <w:style w:type="character" w:styleId="Hipervnculo">
    <w:name w:val="Hyperlink"/>
    <w:uiPriority w:val="99"/>
    <w:rsid w:val="00E056E7"/>
    <w:rPr>
      <w:color w:val="0000FF"/>
      <w:u w:val="single"/>
    </w:rPr>
  </w:style>
  <w:style w:type="paragraph" w:styleId="Prrafodelista">
    <w:name w:val="List Paragraph"/>
    <w:basedOn w:val="Normal"/>
    <w:uiPriority w:val="34"/>
    <w:qFormat/>
    <w:rsid w:val="00E056E7"/>
    <w:pPr>
      <w:ind w:left="720"/>
      <w:contextualSpacing/>
    </w:pPr>
  </w:style>
  <w:style w:type="paragraph" w:styleId="NormalWeb">
    <w:name w:val="Normal (Web)"/>
    <w:basedOn w:val="Normal"/>
    <w:uiPriority w:val="99"/>
    <w:semiHidden/>
    <w:unhideWhenUsed/>
    <w:rsid w:val="000E573A"/>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Default">
    <w:name w:val="Default"/>
    <w:rsid w:val="0022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semiHidden/>
    <w:unhideWhenUsed/>
    <w:rsid w:val="00CA06D5"/>
    <w:pPr>
      <w:spacing w:before="240"/>
      <w:jc w:val="both"/>
    </w:pPr>
    <w:rPr>
      <w:rFonts w:ascii="Arial" w:hAnsi="Arial" w:cs="Arial"/>
      <w:sz w:val="24"/>
      <w:szCs w:val="24"/>
      <w:lang w:eastAsia="es-ES"/>
    </w:rPr>
  </w:style>
  <w:style w:type="character" w:customStyle="1" w:styleId="TextoindependienteCar">
    <w:name w:val="Texto independiente Car"/>
    <w:basedOn w:val="Fuentedeprrafopredeter"/>
    <w:link w:val="Textoindependiente"/>
    <w:uiPriority w:val="99"/>
    <w:semiHidden/>
    <w:rsid w:val="00CA06D5"/>
    <w:rPr>
      <w:rFonts w:ascii="Arial" w:hAnsi="Arial" w:cs="Arial"/>
      <w:sz w:val="24"/>
      <w:szCs w:val="24"/>
      <w:lang w:eastAsia="es-ES"/>
    </w:rPr>
  </w:style>
  <w:style w:type="character" w:styleId="Refdecomentario">
    <w:name w:val="annotation reference"/>
    <w:basedOn w:val="Fuentedeprrafopredeter"/>
    <w:uiPriority w:val="99"/>
    <w:semiHidden/>
    <w:unhideWhenUsed/>
    <w:rsid w:val="00473DE3"/>
    <w:rPr>
      <w:sz w:val="16"/>
      <w:szCs w:val="16"/>
    </w:rPr>
  </w:style>
  <w:style w:type="paragraph" w:styleId="Textocomentario">
    <w:name w:val="annotation text"/>
    <w:basedOn w:val="Normal"/>
    <w:link w:val="TextocomentarioCar"/>
    <w:uiPriority w:val="99"/>
    <w:semiHidden/>
    <w:unhideWhenUsed/>
    <w:rsid w:val="00473DE3"/>
    <w:rPr>
      <w:sz w:val="20"/>
      <w:szCs w:val="20"/>
    </w:rPr>
  </w:style>
  <w:style w:type="character" w:customStyle="1" w:styleId="TextocomentarioCar">
    <w:name w:val="Texto comentario Car"/>
    <w:basedOn w:val="Fuentedeprrafopredeter"/>
    <w:link w:val="Textocomentario"/>
    <w:uiPriority w:val="99"/>
    <w:semiHidden/>
    <w:rsid w:val="00473DE3"/>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73DE3"/>
    <w:rPr>
      <w:b/>
      <w:bCs/>
    </w:rPr>
  </w:style>
  <w:style w:type="character" w:customStyle="1" w:styleId="AsuntodelcomentarioCar">
    <w:name w:val="Asunto del comentario Car"/>
    <w:basedOn w:val="TextocomentarioCar"/>
    <w:link w:val="Asuntodelcomentario"/>
    <w:uiPriority w:val="99"/>
    <w:semiHidden/>
    <w:rsid w:val="00473DE3"/>
    <w:rPr>
      <w:rFonts w:ascii="Calibri" w:hAnsi="Calibri" w:cs="Calibri"/>
      <w:b/>
      <w:bCs/>
      <w:sz w:val="20"/>
      <w:szCs w:val="20"/>
    </w:rPr>
  </w:style>
  <w:style w:type="paragraph" w:styleId="Textodeglobo">
    <w:name w:val="Balloon Text"/>
    <w:basedOn w:val="Normal"/>
    <w:link w:val="TextodegloboCar"/>
    <w:uiPriority w:val="99"/>
    <w:semiHidden/>
    <w:unhideWhenUsed/>
    <w:rsid w:val="00473D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3DE3"/>
    <w:rPr>
      <w:rFonts w:ascii="Segoe UI" w:hAnsi="Segoe UI" w:cs="Segoe UI"/>
      <w:sz w:val="18"/>
      <w:szCs w:val="18"/>
    </w:rPr>
  </w:style>
  <w:style w:type="paragraph" w:customStyle="1" w:styleId="xmsolistparagraph">
    <w:name w:val="x_msolistparagraph"/>
    <w:basedOn w:val="Normal"/>
    <w:rsid w:val="00ED6D75"/>
    <w:pPr>
      <w:ind w:left="720"/>
    </w:pPr>
    <w:rPr>
      <w:lang w:eastAsia="es-MX"/>
    </w:rPr>
  </w:style>
  <w:style w:type="character" w:customStyle="1" w:styleId="Mencinsinresolver1">
    <w:name w:val="Mención sin resolver1"/>
    <w:basedOn w:val="Fuentedeprrafopredeter"/>
    <w:uiPriority w:val="99"/>
    <w:semiHidden/>
    <w:unhideWhenUsed/>
    <w:rsid w:val="00D97A6C"/>
    <w:rPr>
      <w:color w:val="605E5C"/>
      <w:shd w:val="clear" w:color="auto" w:fill="E1DFDD"/>
    </w:rPr>
  </w:style>
  <w:style w:type="paragraph" w:styleId="Textonotapie">
    <w:name w:val="footnote text"/>
    <w:basedOn w:val="Normal"/>
    <w:link w:val="TextonotapieCar"/>
    <w:uiPriority w:val="99"/>
    <w:semiHidden/>
    <w:unhideWhenUsed/>
    <w:rsid w:val="00F0265E"/>
    <w:rPr>
      <w:sz w:val="20"/>
      <w:szCs w:val="20"/>
    </w:rPr>
  </w:style>
  <w:style w:type="character" w:customStyle="1" w:styleId="TextonotapieCar">
    <w:name w:val="Texto nota pie Car"/>
    <w:basedOn w:val="Fuentedeprrafopredeter"/>
    <w:link w:val="Textonotapie"/>
    <w:uiPriority w:val="99"/>
    <w:semiHidden/>
    <w:rsid w:val="00F0265E"/>
    <w:rPr>
      <w:rFonts w:ascii="Calibri" w:hAnsi="Calibri" w:cs="Calibri"/>
      <w:sz w:val="20"/>
      <w:szCs w:val="20"/>
    </w:rPr>
  </w:style>
  <w:style w:type="character" w:styleId="Refdenotaalpie">
    <w:name w:val="footnote reference"/>
    <w:basedOn w:val="Fuentedeprrafopredeter"/>
    <w:uiPriority w:val="99"/>
    <w:semiHidden/>
    <w:unhideWhenUsed/>
    <w:rsid w:val="00F02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446027">
      <w:bodyDiv w:val="1"/>
      <w:marLeft w:val="0"/>
      <w:marRight w:val="0"/>
      <w:marTop w:val="0"/>
      <w:marBottom w:val="0"/>
      <w:divBdr>
        <w:top w:val="none" w:sz="0" w:space="0" w:color="auto"/>
        <w:left w:val="none" w:sz="0" w:space="0" w:color="auto"/>
        <w:bottom w:val="none" w:sz="0" w:space="0" w:color="auto"/>
        <w:right w:val="none" w:sz="0" w:space="0" w:color="auto"/>
      </w:divBdr>
    </w:div>
    <w:div w:id="314799805">
      <w:bodyDiv w:val="1"/>
      <w:marLeft w:val="0"/>
      <w:marRight w:val="0"/>
      <w:marTop w:val="0"/>
      <w:marBottom w:val="0"/>
      <w:divBdr>
        <w:top w:val="none" w:sz="0" w:space="0" w:color="auto"/>
        <w:left w:val="none" w:sz="0" w:space="0" w:color="auto"/>
        <w:bottom w:val="none" w:sz="0" w:space="0" w:color="auto"/>
        <w:right w:val="none" w:sz="0" w:space="0" w:color="auto"/>
      </w:divBdr>
      <w:divsChild>
        <w:div w:id="1547793217">
          <w:marLeft w:val="6250"/>
          <w:marRight w:val="0"/>
          <w:marTop w:val="0"/>
          <w:marBottom w:val="0"/>
          <w:divBdr>
            <w:top w:val="none" w:sz="0" w:space="0" w:color="auto"/>
            <w:left w:val="none" w:sz="0" w:space="0" w:color="auto"/>
            <w:bottom w:val="none" w:sz="0" w:space="0" w:color="auto"/>
            <w:right w:val="none" w:sz="0" w:space="0" w:color="auto"/>
          </w:divBdr>
        </w:div>
        <w:div w:id="440952366">
          <w:marLeft w:val="6250"/>
          <w:marRight w:val="0"/>
          <w:marTop w:val="0"/>
          <w:marBottom w:val="0"/>
          <w:divBdr>
            <w:top w:val="none" w:sz="0" w:space="0" w:color="auto"/>
            <w:left w:val="none" w:sz="0" w:space="0" w:color="auto"/>
            <w:bottom w:val="none" w:sz="0" w:space="0" w:color="auto"/>
            <w:right w:val="none" w:sz="0" w:space="0" w:color="auto"/>
          </w:divBdr>
        </w:div>
      </w:divsChild>
    </w:div>
    <w:div w:id="496650698">
      <w:bodyDiv w:val="1"/>
      <w:marLeft w:val="0"/>
      <w:marRight w:val="0"/>
      <w:marTop w:val="0"/>
      <w:marBottom w:val="0"/>
      <w:divBdr>
        <w:top w:val="none" w:sz="0" w:space="0" w:color="auto"/>
        <w:left w:val="none" w:sz="0" w:space="0" w:color="auto"/>
        <w:bottom w:val="none" w:sz="0" w:space="0" w:color="auto"/>
        <w:right w:val="none" w:sz="0" w:space="0" w:color="auto"/>
      </w:divBdr>
      <w:divsChild>
        <w:div w:id="1646620873">
          <w:marLeft w:val="907"/>
          <w:marRight w:val="0"/>
          <w:marTop w:val="0"/>
          <w:marBottom w:val="360"/>
          <w:divBdr>
            <w:top w:val="none" w:sz="0" w:space="0" w:color="auto"/>
            <w:left w:val="none" w:sz="0" w:space="0" w:color="auto"/>
            <w:bottom w:val="none" w:sz="0" w:space="0" w:color="auto"/>
            <w:right w:val="none" w:sz="0" w:space="0" w:color="auto"/>
          </w:divBdr>
        </w:div>
        <w:div w:id="317921125">
          <w:marLeft w:val="907"/>
          <w:marRight w:val="0"/>
          <w:marTop w:val="0"/>
          <w:marBottom w:val="360"/>
          <w:divBdr>
            <w:top w:val="none" w:sz="0" w:space="0" w:color="auto"/>
            <w:left w:val="none" w:sz="0" w:space="0" w:color="auto"/>
            <w:bottom w:val="none" w:sz="0" w:space="0" w:color="auto"/>
            <w:right w:val="none" w:sz="0" w:space="0" w:color="auto"/>
          </w:divBdr>
        </w:div>
      </w:divsChild>
    </w:div>
    <w:div w:id="774907803">
      <w:bodyDiv w:val="1"/>
      <w:marLeft w:val="0"/>
      <w:marRight w:val="0"/>
      <w:marTop w:val="0"/>
      <w:marBottom w:val="0"/>
      <w:divBdr>
        <w:top w:val="none" w:sz="0" w:space="0" w:color="auto"/>
        <w:left w:val="none" w:sz="0" w:space="0" w:color="auto"/>
        <w:bottom w:val="none" w:sz="0" w:space="0" w:color="auto"/>
        <w:right w:val="none" w:sz="0" w:space="0" w:color="auto"/>
      </w:divBdr>
    </w:div>
    <w:div w:id="973488214">
      <w:bodyDiv w:val="1"/>
      <w:marLeft w:val="0"/>
      <w:marRight w:val="0"/>
      <w:marTop w:val="0"/>
      <w:marBottom w:val="0"/>
      <w:divBdr>
        <w:top w:val="none" w:sz="0" w:space="0" w:color="auto"/>
        <w:left w:val="none" w:sz="0" w:space="0" w:color="auto"/>
        <w:bottom w:val="none" w:sz="0" w:space="0" w:color="auto"/>
        <w:right w:val="none" w:sz="0" w:space="0" w:color="auto"/>
      </w:divBdr>
    </w:div>
    <w:div w:id="1148473289">
      <w:bodyDiv w:val="1"/>
      <w:marLeft w:val="0"/>
      <w:marRight w:val="0"/>
      <w:marTop w:val="0"/>
      <w:marBottom w:val="0"/>
      <w:divBdr>
        <w:top w:val="none" w:sz="0" w:space="0" w:color="auto"/>
        <w:left w:val="none" w:sz="0" w:space="0" w:color="auto"/>
        <w:bottom w:val="none" w:sz="0" w:space="0" w:color="auto"/>
        <w:right w:val="none" w:sz="0" w:space="0" w:color="auto"/>
      </w:divBdr>
    </w:div>
    <w:div w:id="1303389266">
      <w:bodyDiv w:val="1"/>
      <w:marLeft w:val="0"/>
      <w:marRight w:val="0"/>
      <w:marTop w:val="0"/>
      <w:marBottom w:val="0"/>
      <w:divBdr>
        <w:top w:val="none" w:sz="0" w:space="0" w:color="auto"/>
        <w:left w:val="none" w:sz="0" w:space="0" w:color="auto"/>
        <w:bottom w:val="none" w:sz="0" w:space="0" w:color="auto"/>
        <w:right w:val="none" w:sz="0" w:space="0" w:color="auto"/>
      </w:divBdr>
    </w:div>
    <w:div w:id="1362559938">
      <w:bodyDiv w:val="1"/>
      <w:marLeft w:val="0"/>
      <w:marRight w:val="0"/>
      <w:marTop w:val="0"/>
      <w:marBottom w:val="0"/>
      <w:divBdr>
        <w:top w:val="none" w:sz="0" w:space="0" w:color="auto"/>
        <w:left w:val="none" w:sz="0" w:space="0" w:color="auto"/>
        <w:bottom w:val="none" w:sz="0" w:space="0" w:color="auto"/>
        <w:right w:val="none" w:sz="0" w:space="0" w:color="auto"/>
      </w:divBdr>
    </w:div>
    <w:div w:id="1426612275">
      <w:bodyDiv w:val="1"/>
      <w:marLeft w:val="0"/>
      <w:marRight w:val="0"/>
      <w:marTop w:val="0"/>
      <w:marBottom w:val="0"/>
      <w:divBdr>
        <w:top w:val="none" w:sz="0" w:space="0" w:color="auto"/>
        <w:left w:val="none" w:sz="0" w:space="0" w:color="auto"/>
        <w:bottom w:val="none" w:sz="0" w:space="0" w:color="auto"/>
        <w:right w:val="none" w:sz="0" w:space="0" w:color="auto"/>
      </w:divBdr>
      <w:divsChild>
        <w:div w:id="1062602321">
          <w:marLeft w:val="907"/>
          <w:marRight w:val="0"/>
          <w:marTop w:val="0"/>
          <w:marBottom w:val="360"/>
          <w:divBdr>
            <w:top w:val="none" w:sz="0" w:space="0" w:color="auto"/>
            <w:left w:val="none" w:sz="0" w:space="0" w:color="auto"/>
            <w:bottom w:val="none" w:sz="0" w:space="0" w:color="auto"/>
            <w:right w:val="none" w:sz="0" w:space="0" w:color="auto"/>
          </w:divBdr>
        </w:div>
        <w:div w:id="213737427">
          <w:marLeft w:val="907"/>
          <w:marRight w:val="0"/>
          <w:marTop w:val="0"/>
          <w:marBottom w:val="360"/>
          <w:divBdr>
            <w:top w:val="none" w:sz="0" w:space="0" w:color="auto"/>
            <w:left w:val="none" w:sz="0" w:space="0" w:color="auto"/>
            <w:bottom w:val="none" w:sz="0" w:space="0" w:color="auto"/>
            <w:right w:val="none" w:sz="0" w:space="0" w:color="auto"/>
          </w:divBdr>
        </w:div>
      </w:divsChild>
    </w:div>
    <w:div w:id="1613046892">
      <w:bodyDiv w:val="1"/>
      <w:marLeft w:val="0"/>
      <w:marRight w:val="0"/>
      <w:marTop w:val="0"/>
      <w:marBottom w:val="0"/>
      <w:divBdr>
        <w:top w:val="none" w:sz="0" w:space="0" w:color="auto"/>
        <w:left w:val="none" w:sz="0" w:space="0" w:color="auto"/>
        <w:bottom w:val="none" w:sz="0" w:space="0" w:color="auto"/>
        <w:right w:val="none" w:sz="0" w:space="0" w:color="auto"/>
      </w:divBdr>
    </w:div>
    <w:div w:id="1876699863">
      <w:bodyDiv w:val="1"/>
      <w:marLeft w:val="0"/>
      <w:marRight w:val="0"/>
      <w:marTop w:val="0"/>
      <w:marBottom w:val="0"/>
      <w:divBdr>
        <w:top w:val="none" w:sz="0" w:space="0" w:color="auto"/>
        <w:left w:val="none" w:sz="0" w:space="0" w:color="auto"/>
        <w:bottom w:val="none" w:sz="0" w:space="0" w:color="auto"/>
        <w:right w:val="none" w:sz="0" w:space="0" w:color="auto"/>
      </w:divBdr>
    </w:div>
    <w:div w:id="1978610310">
      <w:bodyDiv w:val="1"/>
      <w:marLeft w:val="0"/>
      <w:marRight w:val="0"/>
      <w:marTop w:val="0"/>
      <w:marBottom w:val="0"/>
      <w:divBdr>
        <w:top w:val="none" w:sz="0" w:space="0" w:color="auto"/>
        <w:left w:val="none" w:sz="0" w:space="0" w:color="auto"/>
        <w:bottom w:val="none" w:sz="0" w:space="0" w:color="auto"/>
        <w:right w:val="none" w:sz="0" w:space="0" w:color="auto"/>
      </w:divBdr>
    </w:div>
    <w:div w:id="1982150268">
      <w:bodyDiv w:val="1"/>
      <w:marLeft w:val="0"/>
      <w:marRight w:val="0"/>
      <w:marTop w:val="0"/>
      <w:marBottom w:val="0"/>
      <w:divBdr>
        <w:top w:val="none" w:sz="0" w:space="0" w:color="auto"/>
        <w:left w:val="none" w:sz="0" w:space="0" w:color="auto"/>
        <w:bottom w:val="none" w:sz="0" w:space="0" w:color="auto"/>
        <w:right w:val="none" w:sz="0" w:space="0" w:color="auto"/>
      </w:divBdr>
    </w:div>
    <w:div w:id="20832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negi.org.mx/"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egi.org.mx/app/saladeprensa/calendario/default.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60ADD2F1DFF4A9942B708C9B52C3A" ma:contentTypeVersion="7" ma:contentTypeDescription="Create a new document." ma:contentTypeScope="" ma:versionID="c0f26209c8efd1c0b755b1dc52457d1a">
  <xsd:schema xmlns:xsd="http://www.w3.org/2001/XMLSchema" xmlns:xs="http://www.w3.org/2001/XMLSchema" xmlns:p="http://schemas.microsoft.com/office/2006/metadata/properties" xmlns:ns3="abd82f08-da84-4abc-b6c0-90d2c08ae21d" xmlns:ns4="3863571c-1a6a-4417-8f19-59236f1e02e9" targetNamespace="http://schemas.microsoft.com/office/2006/metadata/properties" ma:root="true" ma:fieldsID="acd0a92be080f814380a96d79f74f45b" ns3:_="" ns4:_="">
    <xsd:import namespace="abd82f08-da84-4abc-b6c0-90d2c08ae21d"/>
    <xsd:import namespace="3863571c-1a6a-4417-8f19-59236f1e0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82f08-da84-4abc-b6c0-90d2c08ae2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571c-1a6a-4417-8f19-59236f1e02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D275-C267-48C4-84D0-7AB173DB1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82f08-da84-4abc-b6c0-90d2c08ae21d"/>
    <ds:schemaRef ds:uri="3863571c-1a6a-4417-8f19-59236f1e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647FD-033F-4913-AE74-9691925286B6}">
  <ds:schemaRefs>
    <ds:schemaRef ds:uri="http://schemas.microsoft.com/sharepoint/v3/contenttype/forms"/>
  </ds:schemaRefs>
</ds:datastoreItem>
</file>

<file path=customXml/itemProps3.xml><?xml version="1.0" encoding="utf-8"?>
<ds:datastoreItem xmlns:ds="http://schemas.openxmlformats.org/officeDocument/2006/customXml" ds:itemID="{BDCBDAA5-4158-406A-B5EB-5D529C279C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0AFEEC-8FBF-4F17-AD14-0A12469D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COLLAZO GALLEGOS MARCOS DARIO</cp:lastModifiedBy>
  <cp:revision>3</cp:revision>
  <dcterms:created xsi:type="dcterms:W3CDTF">2020-07-07T21:36:00Z</dcterms:created>
  <dcterms:modified xsi:type="dcterms:W3CDTF">2020-07-07T21:43:00Z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0x0101002C360ADD2F1DFF4A9942B708C9B52C3A</vt:lpwstr>
  </property>
</Properties>
</file>