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64ACE" w14:textId="5990CBEE" w:rsidR="0004518F" w:rsidRPr="001F5BAC" w:rsidRDefault="0004518F" w:rsidP="001F5BAC">
      <w:pPr>
        <w:pStyle w:val="Default"/>
        <w:ind w:left="-567" w:right="-142"/>
        <w:jc w:val="center"/>
      </w:pPr>
      <w:r>
        <w:rPr>
          <w:b/>
          <w:bCs/>
        </w:rPr>
        <w:t>RESULTADOS DEL</w:t>
      </w:r>
      <w:r w:rsidRPr="00610160">
        <w:rPr>
          <w:b/>
          <w:bCs/>
        </w:rPr>
        <w:t xml:space="preserve"> CENSO NACIONAL</w:t>
      </w:r>
      <w:r w:rsidR="0062072F">
        <w:rPr>
          <w:b/>
          <w:bCs/>
        </w:rPr>
        <w:t xml:space="preserve"> </w:t>
      </w:r>
      <w:r w:rsidRPr="00610160">
        <w:rPr>
          <w:b/>
          <w:bCs/>
        </w:rPr>
        <w:t>DE IMPARTICIÓN DE JUSTICIA FEDERAL (CNIJF)</w:t>
      </w:r>
      <w:r>
        <w:rPr>
          <w:b/>
          <w:bCs/>
        </w:rPr>
        <w:t xml:space="preserve"> 2020</w:t>
      </w:r>
    </w:p>
    <w:p w14:paraId="2A006E3F" w14:textId="77777777" w:rsidR="0004518F" w:rsidRPr="00A33DCC" w:rsidRDefault="0004518F" w:rsidP="0004518F">
      <w:pPr>
        <w:spacing w:after="0" w:line="240" w:lineRule="auto"/>
        <w:jc w:val="center"/>
        <w:rPr>
          <w:rFonts w:ascii="Arial" w:hAnsi="Arial" w:cs="Arial"/>
          <w:b/>
          <w:bCs/>
          <w:sz w:val="24"/>
          <w:szCs w:val="24"/>
        </w:rPr>
      </w:pPr>
    </w:p>
    <w:p w14:paraId="6D921D35" w14:textId="55751FF4" w:rsidR="0004518F" w:rsidRPr="0004518F" w:rsidRDefault="0004518F" w:rsidP="0036483E">
      <w:pPr>
        <w:pStyle w:val="Prrafodelista"/>
        <w:numPr>
          <w:ilvl w:val="0"/>
          <w:numId w:val="1"/>
        </w:numPr>
        <w:spacing w:after="0" w:line="240" w:lineRule="auto"/>
        <w:ind w:left="284" w:right="567" w:hanging="284"/>
        <w:jc w:val="both"/>
        <w:rPr>
          <w:rFonts w:ascii="Arial" w:hAnsi="Arial" w:cs="Arial"/>
          <w:sz w:val="24"/>
          <w:szCs w:val="24"/>
        </w:rPr>
      </w:pPr>
      <w:r>
        <w:rPr>
          <w:rFonts w:ascii="Arial" w:hAnsi="Arial" w:cs="Arial"/>
          <w:sz w:val="24"/>
          <w:szCs w:val="24"/>
        </w:rPr>
        <w:t>Al cierre de 2019</w:t>
      </w:r>
      <w:r w:rsidR="00AB59D9">
        <w:rPr>
          <w:rFonts w:ascii="Arial" w:hAnsi="Arial" w:cs="Arial"/>
          <w:sz w:val="24"/>
          <w:szCs w:val="24"/>
        </w:rPr>
        <w:t>,</w:t>
      </w:r>
      <w:r>
        <w:rPr>
          <w:rFonts w:ascii="Arial" w:hAnsi="Arial" w:cs="Arial"/>
          <w:sz w:val="24"/>
          <w:szCs w:val="24"/>
        </w:rPr>
        <w:t xml:space="preserve"> </w:t>
      </w:r>
      <w:r w:rsidRPr="00244C3A">
        <w:rPr>
          <w:rFonts w:ascii="Arial" w:hAnsi="Arial" w:cs="Arial"/>
          <w:sz w:val="24"/>
          <w:szCs w:val="24"/>
        </w:rPr>
        <w:t>el P</w:t>
      </w:r>
      <w:r>
        <w:rPr>
          <w:rFonts w:ascii="Arial" w:hAnsi="Arial" w:cs="Arial"/>
          <w:sz w:val="24"/>
          <w:szCs w:val="24"/>
        </w:rPr>
        <w:t>oder Judicial de la Federación (P</w:t>
      </w:r>
      <w:r w:rsidRPr="00244C3A">
        <w:rPr>
          <w:rFonts w:ascii="Arial" w:hAnsi="Arial" w:cs="Arial"/>
          <w:sz w:val="24"/>
          <w:szCs w:val="24"/>
        </w:rPr>
        <w:t>JF</w:t>
      </w:r>
      <w:r>
        <w:rPr>
          <w:rFonts w:ascii="Arial" w:hAnsi="Arial" w:cs="Arial"/>
          <w:sz w:val="24"/>
          <w:szCs w:val="24"/>
        </w:rPr>
        <w:t>)</w:t>
      </w:r>
      <w:r w:rsidRPr="00244C3A">
        <w:rPr>
          <w:rFonts w:ascii="Arial" w:hAnsi="Arial" w:cs="Arial"/>
          <w:sz w:val="24"/>
          <w:szCs w:val="24"/>
        </w:rPr>
        <w:t xml:space="preserve"> </w:t>
      </w:r>
      <w:r>
        <w:rPr>
          <w:rFonts w:ascii="Arial" w:hAnsi="Arial" w:cs="Arial"/>
          <w:sz w:val="24"/>
          <w:szCs w:val="24"/>
        </w:rPr>
        <w:t>tenía</w:t>
      </w:r>
      <w:r w:rsidRPr="00244C3A">
        <w:rPr>
          <w:rFonts w:ascii="Arial" w:hAnsi="Arial" w:cs="Arial"/>
          <w:sz w:val="24"/>
          <w:szCs w:val="24"/>
        </w:rPr>
        <w:t xml:space="preserve"> un total de </w:t>
      </w:r>
      <w:r w:rsidR="0036483E">
        <w:rPr>
          <w:rFonts w:ascii="Arial" w:hAnsi="Arial" w:cs="Arial"/>
          <w:sz w:val="24"/>
          <w:szCs w:val="24"/>
        </w:rPr>
        <w:t xml:space="preserve">          </w:t>
      </w:r>
      <w:r w:rsidRPr="003E2A83">
        <w:rPr>
          <w:rFonts w:ascii="Arial" w:hAnsi="Arial" w:cs="Arial"/>
          <w:sz w:val="24"/>
          <w:szCs w:val="24"/>
        </w:rPr>
        <w:t>47 12</w:t>
      </w:r>
      <w:r w:rsidR="00BD2F8A" w:rsidRPr="003E2A83">
        <w:rPr>
          <w:rFonts w:ascii="Arial" w:hAnsi="Arial" w:cs="Arial"/>
          <w:sz w:val="24"/>
          <w:szCs w:val="24"/>
        </w:rPr>
        <w:t>3</w:t>
      </w:r>
      <w:r w:rsidRPr="003E2A83">
        <w:rPr>
          <w:rFonts w:ascii="Arial" w:hAnsi="Arial" w:cs="Arial"/>
          <w:sz w:val="24"/>
          <w:szCs w:val="24"/>
        </w:rPr>
        <w:t xml:space="preserve"> servidoras y servidores públicos. Las mujeres representaron 49.5% de toda la plantilla </w:t>
      </w:r>
      <w:r w:rsidRPr="0056217D">
        <w:rPr>
          <w:rFonts w:ascii="Arial" w:hAnsi="Arial" w:cs="Arial"/>
          <w:sz w:val="24"/>
          <w:szCs w:val="24"/>
        </w:rPr>
        <w:t>laboral del P</w:t>
      </w:r>
      <w:r>
        <w:rPr>
          <w:rFonts w:ascii="Arial" w:hAnsi="Arial" w:cs="Arial"/>
          <w:sz w:val="24"/>
          <w:szCs w:val="24"/>
        </w:rPr>
        <w:t>JF; en la integraci</w:t>
      </w:r>
      <w:r w:rsidR="00197808">
        <w:rPr>
          <w:rFonts w:ascii="Arial" w:hAnsi="Arial" w:cs="Arial"/>
          <w:sz w:val="24"/>
          <w:szCs w:val="24"/>
        </w:rPr>
        <w:t xml:space="preserve">ón de los Plenos </w:t>
      </w:r>
      <w:r>
        <w:rPr>
          <w:rFonts w:ascii="Arial" w:hAnsi="Arial" w:cs="Arial"/>
          <w:sz w:val="24"/>
          <w:szCs w:val="24"/>
        </w:rPr>
        <w:t>del PJF, las mujeres representaron, en promedio, 28.2 por ciento.</w:t>
      </w:r>
    </w:p>
    <w:p w14:paraId="19776E8C" w14:textId="5FB9EEEB" w:rsidR="0004518F" w:rsidRPr="0004518F" w:rsidRDefault="0004518F" w:rsidP="0036483E">
      <w:pPr>
        <w:pStyle w:val="Prrafodelista"/>
        <w:numPr>
          <w:ilvl w:val="0"/>
          <w:numId w:val="1"/>
        </w:numPr>
        <w:spacing w:after="0" w:line="240" w:lineRule="auto"/>
        <w:ind w:left="284" w:right="567" w:hanging="284"/>
        <w:jc w:val="both"/>
        <w:rPr>
          <w:rFonts w:ascii="Arial" w:hAnsi="Arial" w:cs="Arial"/>
          <w:sz w:val="24"/>
          <w:szCs w:val="24"/>
        </w:rPr>
      </w:pPr>
      <w:r>
        <w:rPr>
          <w:rFonts w:ascii="Arial" w:hAnsi="Arial" w:cs="Arial"/>
          <w:sz w:val="24"/>
          <w:szCs w:val="24"/>
        </w:rPr>
        <w:t>En 2019</w:t>
      </w:r>
      <w:r w:rsidR="00AB59D9">
        <w:rPr>
          <w:rFonts w:ascii="Arial" w:hAnsi="Arial" w:cs="Arial"/>
          <w:sz w:val="24"/>
          <w:szCs w:val="24"/>
        </w:rPr>
        <w:t>,</w:t>
      </w:r>
      <w:r w:rsidRPr="00A33DCC">
        <w:rPr>
          <w:rFonts w:ascii="Arial" w:hAnsi="Arial" w:cs="Arial"/>
          <w:sz w:val="24"/>
          <w:szCs w:val="24"/>
        </w:rPr>
        <w:t xml:space="preserve"> ingresaron a la Suprema C</w:t>
      </w:r>
      <w:r>
        <w:rPr>
          <w:rFonts w:ascii="Arial" w:hAnsi="Arial" w:cs="Arial"/>
          <w:sz w:val="24"/>
          <w:szCs w:val="24"/>
        </w:rPr>
        <w:t>orte de Justicia de la Nación 25</w:t>
      </w:r>
      <w:r w:rsidRPr="00A33DCC">
        <w:rPr>
          <w:rFonts w:ascii="Arial" w:hAnsi="Arial" w:cs="Arial"/>
          <w:sz w:val="24"/>
          <w:szCs w:val="24"/>
        </w:rPr>
        <w:t xml:space="preserve"> </w:t>
      </w:r>
      <w:r>
        <w:rPr>
          <w:rFonts w:ascii="Arial" w:hAnsi="Arial" w:cs="Arial"/>
          <w:sz w:val="24"/>
          <w:szCs w:val="24"/>
        </w:rPr>
        <w:t>284</w:t>
      </w:r>
      <w:r w:rsidRPr="00A33DCC">
        <w:rPr>
          <w:sz w:val="24"/>
          <w:szCs w:val="24"/>
        </w:rPr>
        <w:t xml:space="preserve"> </w:t>
      </w:r>
      <w:r w:rsidRPr="00A33DCC">
        <w:rPr>
          <w:rFonts w:ascii="Arial" w:hAnsi="Arial" w:cs="Arial"/>
          <w:sz w:val="24"/>
          <w:szCs w:val="24"/>
        </w:rPr>
        <w:t xml:space="preserve">asuntos jurisdiccionales, </w:t>
      </w:r>
      <w:r>
        <w:rPr>
          <w:rFonts w:ascii="Arial" w:hAnsi="Arial" w:cs="Arial"/>
          <w:sz w:val="24"/>
          <w:szCs w:val="24"/>
        </w:rPr>
        <w:t>y se resolvieron 21 44</w:t>
      </w:r>
      <w:r w:rsidRPr="00A33DCC">
        <w:rPr>
          <w:rFonts w:ascii="Arial" w:hAnsi="Arial" w:cs="Arial"/>
          <w:sz w:val="24"/>
          <w:szCs w:val="24"/>
        </w:rPr>
        <w:t xml:space="preserve">3. </w:t>
      </w:r>
      <w:r>
        <w:rPr>
          <w:rFonts w:ascii="Arial" w:hAnsi="Arial" w:cs="Arial"/>
          <w:sz w:val="24"/>
          <w:szCs w:val="24"/>
        </w:rPr>
        <w:t>De estos, 69% fue resuelto sin sentencia y 31%, con sentencia.</w:t>
      </w:r>
    </w:p>
    <w:p w14:paraId="15D8A0BE" w14:textId="77777777" w:rsidR="0004518F" w:rsidRPr="005D1993" w:rsidRDefault="0004518F" w:rsidP="0036483E">
      <w:pPr>
        <w:pStyle w:val="Prrafodelista"/>
        <w:numPr>
          <w:ilvl w:val="0"/>
          <w:numId w:val="1"/>
        </w:numPr>
        <w:spacing w:after="0" w:line="240" w:lineRule="auto"/>
        <w:ind w:left="284" w:right="567" w:hanging="284"/>
        <w:jc w:val="both"/>
        <w:rPr>
          <w:rFonts w:ascii="Arial" w:hAnsi="Arial" w:cs="Arial"/>
          <w:sz w:val="24"/>
          <w:szCs w:val="24"/>
        </w:rPr>
      </w:pPr>
      <w:r w:rsidRPr="005D1993">
        <w:rPr>
          <w:rFonts w:ascii="Arial" w:hAnsi="Arial" w:cs="Arial"/>
          <w:sz w:val="24"/>
          <w:szCs w:val="24"/>
        </w:rPr>
        <w:t xml:space="preserve">Durante 2019, el Instituto Federal de Defensoría Pública atendió 177 912 asuntos y servicios. En ellos estuvieron involucradas 144 567 personas, de las cuales </w:t>
      </w:r>
      <w:r w:rsidR="0036483E">
        <w:rPr>
          <w:rFonts w:ascii="Arial" w:hAnsi="Arial" w:cs="Arial"/>
          <w:sz w:val="24"/>
          <w:szCs w:val="24"/>
        </w:rPr>
        <w:t xml:space="preserve">     </w:t>
      </w:r>
      <w:r w:rsidRPr="005D1993">
        <w:rPr>
          <w:rFonts w:ascii="Arial" w:hAnsi="Arial" w:cs="Arial"/>
          <w:sz w:val="24"/>
          <w:szCs w:val="24"/>
        </w:rPr>
        <w:t>2 881 fueron indígenas. Por su parte, la Defensoría Pública Electoral para Pueblos y Comunidades Indígenas atendió 354 asuntos y servicios que comprendieron defensa y asesoría, en los cuales hubo 378 personas indígenas involucradas.</w:t>
      </w:r>
    </w:p>
    <w:p w14:paraId="329B4F1F" w14:textId="77777777" w:rsidR="0004518F" w:rsidRPr="005D1993" w:rsidRDefault="0004518F" w:rsidP="0004518F">
      <w:pPr>
        <w:pStyle w:val="Prrafodelista"/>
        <w:spacing w:after="0" w:line="240" w:lineRule="auto"/>
        <w:jc w:val="both"/>
        <w:rPr>
          <w:rFonts w:ascii="Arial" w:hAnsi="Arial" w:cs="Arial"/>
          <w:sz w:val="24"/>
          <w:szCs w:val="24"/>
        </w:rPr>
      </w:pPr>
    </w:p>
    <w:p w14:paraId="0B3737A6" w14:textId="77777777" w:rsidR="0004518F" w:rsidRDefault="0004518F" w:rsidP="0036483E">
      <w:pPr>
        <w:spacing w:after="0" w:line="240" w:lineRule="auto"/>
        <w:ind w:left="-567"/>
        <w:jc w:val="both"/>
        <w:rPr>
          <w:rFonts w:ascii="Arial" w:hAnsi="Arial" w:cs="Arial"/>
          <w:color w:val="000000"/>
          <w:sz w:val="24"/>
          <w:szCs w:val="24"/>
        </w:rPr>
      </w:pPr>
      <w:r w:rsidRPr="00610160">
        <w:rPr>
          <w:rFonts w:ascii="Arial" w:hAnsi="Arial" w:cs="Arial"/>
          <w:color w:val="000000"/>
          <w:sz w:val="24"/>
          <w:szCs w:val="24"/>
        </w:rPr>
        <w:t>El Instituto Nacional de Estadística y Geografía (INEGI) da a conocer e</w:t>
      </w:r>
      <w:r>
        <w:rPr>
          <w:rFonts w:ascii="Arial" w:hAnsi="Arial" w:cs="Arial"/>
          <w:color w:val="000000"/>
          <w:sz w:val="24"/>
          <w:szCs w:val="24"/>
        </w:rPr>
        <w:t xml:space="preserve">l </w:t>
      </w:r>
      <w:r w:rsidRPr="00610160">
        <w:rPr>
          <w:rFonts w:ascii="Arial" w:hAnsi="Arial" w:cs="Arial"/>
          <w:color w:val="000000"/>
          <w:sz w:val="24"/>
          <w:szCs w:val="24"/>
        </w:rPr>
        <w:t>Censo Nacional de Impartición de Justicia Federal (CNIJF)</w:t>
      </w:r>
      <w:r>
        <w:rPr>
          <w:rFonts w:ascii="Arial" w:hAnsi="Arial" w:cs="Arial"/>
          <w:color w:val="000000"/>
          <w:sz w:val="24"/>
          <w:szCs w:val="24"/>
        </w:rPr>
        <w:t xml:space="preserve"> 2020</w:t>
      </w:r>
      <w:r w:rsidRPr="00610160">
        <w:rPr>
          <w:rFonts w:ascii="Arial" w:hAnsi="Arial" w:cs="Arial"/>
          <w:color w:val="000000"/>
          <w:sz w:val="24"/>
          <w:szCs w:val="24"/>
        </w:rPr>
        <w:t xml:space="preserve">, </w:t>
      </w:r>
      <w:r>
        <w:rPr>
          <w:rFonts w:ascii="Arial" w:hAnsi="Arial" w:cs="Arial"/>
          <w:color w:val="000000"/>
          <w:sz w:val="24"/>
          <w:szCs w:val="24"/>
        </w:rPr>
        <w:t>programa</w:t>
      </w:r>
      <w:r w:rsidRPr="00610160">
        <w:rPr>
          <w:rFonts w:ascii="Arial" w:hAnsi="Arial" w:cs="Arial"/>
          <w:color w:val="000000"/>
          <w:sz w:val="24"/>
          <w:szCs w:val="24"/>
        </w:rPr>
        <w:t xml:space="preserve"> estadístico que ofrece información relevante </w:t>
      </w:r>
      <w:r>
        <w:rPr>
          <w:rFonts w:ascii="Arial" w:hAnsi="Arial" w:cs="Arial"/>
          <w:color w:val="000000"/>
          <w:sz w:val="24"/>
          <w:szCs w:val="24"/>
        </w:rPr>
        <w:t>sobre</w:t>
      </w:r>
      <w:r w:rsidRPr="00610160">
        <w:rPr>
          <w:rFonts w:ascii="Arial" w:hAnsi="Arial" w:cs="Arial"/>
          <w:color w:val="000000"/>
          <w:sz w:val="24"/>
          <w:szCs w:val="24"/>
        </w:rPr>
        <w:t xml:space="preserve"> la </w:t>
      </w:r>
      <w:r>
        <w:rPr>
          <w:rFonts w:ascii="Arial" w:hAnsi="Arial" w:cs="Arial"/>
          <w:color w:val="000000"/>
          <w:sz w:val="24"/>
          <w:szCs w:val="24"/>
        </w:rPr>
        <w:t>estructura organizacional</w:t>
      </w:r>
      <w:r w:rsidRPr="00610160">
        <w:rPr>
          <w:rFonts w:ascii="Arial" w:hAnsi="Arial" w:cs="Arial"/>
          <w:color w:val="000000"/>
          <w:sz w:val="24"/>
          <w:szCs w:val="24"/>
        </w:rPr>
        <w:t>, recursos y ejercicio de la función de los órganos que conforman al Poder Judicial de la Federación</w:t>
      </w:r>
      <w:r>
        <w:rPr>
          <w:rFonts w:ascii="Arial" w:hAnsi="Arial" w:cs="Arial"/>
          <w:color w:val="000000"/>
          <w:sz w:val="24"/>
          <w:szCs w:val="24"/>
        </w:rPr>
        <w:t xml:space="preserve"> (PJF)</w:t>
      </w:r>
      <w:r w:rsidR="00707F74">
        <w:rPr>
          <w:rStyle w:val="Refdenotaalpie"/>
          <w:rFonts w:ascii="Arial" w:hAnsi="Arial" w:cs="Arial"/>
          <w:color w:val="000000"/>
          <w:sz w:val="24"/>
          <w:szCs w:val="24"/>
        </w:rPr>
        <w:footnoteReference w:id="1"/>
      </w:r>
      <w:r>
        <w:rPr>
          <w:rFonts w:ascii="Arial" w:hAnsi="Arial" w:cs="Arial"/>
          <w:color w:val="000000"/>
          <w:sz w:val="24"/>
          <w:szCs w:val="24"/>
        </w:rPr>
        <w:t>.</w:t>
      </w:r>
    </w:p>
    <w:p w14:paraId="605E978C" w14:textId="77777777" w:rsidR="0004518F" w:rsidRDefault="0004518F" w:rsidP="0036483E">
      <w:pPr>
        <w:spacing w:after="0" w:line="240" w:lineRule="auto"/>
        <w:jc w:val="both"/>
        <w:rPr>
          <w:rFonts w:ascii="Arial" w:hAnsi="Arial" w:cs="Arial"/>
          <w:color w:val="000000"/>
          <w:sz w:val="24"/>
          <w:szCs w:val="24"/>
        </w:rPr>
      </w:pPr>
    </w:p>
    <w:p w14:paraId="27E8B133" w14:textId="77777777" w:rsidR="0004518F" w:rsidRDefault="0004518F" w:rsidP="0036483E">
      <w:pPr>
        <w:spacing w:after="0" w:line="240" w:lineRule="auto"/>
        <w:ind w:left="-567"/>
        <w:jc w:val="both"/>
        <w:rPr>
          <w:rFonts w:ascii="Arial" w:hAnsi="Arial" w:cs="Arial"/>
          <w:color w:val="000000"/>
          <w:sz w:val="24"/>
          <w:szCs w:val="24"/>
        </w:rPr>
      </w:pPr>
      <w:r w:rsidRPr="00610160">
        <w:rPr>
          <w:rFonts w:ascii="Arial" w:hAnsi="Arial" w:cs="Arial"/>
          <w:color w:val="000000"/>
          <w:sz w:val="24"/>
          <w:szCs w:val="24"/>
        </w:rPr>
        <w:t>Entre los datos que aporta este Censo, se encuentran:</w:t>
      </w:r>
    </w:p>
    <w:p w14:paraId="24E2B51D" w14:textId="77777777" w:rsidR="0004518F" w:rsidRPr="00610160" w:rsidRDefault="0004518F" w:rsidP="0036483E">
      <w:pPr>
        <w:spacing w:after="0" w:line="240" w:lineRule="auto"/>
        <w:ind w:left="-567"/>
        <w:jc w:val="both"/>
        <w:rPr>
          <w:rFonts w:ascii="Arial" w:hAnsi="Arial" w:cs="Arial"/>
          <w:color w:val="000000"/>
          <w:sz w:val="24"/>
          <w:szCs w:val="24"/>
        </w:rPr>
      </w:pPr>
    </w:p>
    <w:p w14:paraId="284AED3B" w14:textId="384FE907" w:rsidR="0004518F" w:rsidRDefault="0004518F" w:rsidP="0036483E">
      <w:pPr>
        <w:pStyle w:val="Prrafodelista"/>
        <w:numPr>
          <w:ilvl w:val="0"/>
          <w:numId w:val="3"/>
        </w:numPr>
        <w:spacing w:after="0" w:line="240" w:lineRule="auto"/>
        <w:ind w:left="-284" w:hanging="283"/>
        <w:jc w:val="both"/>
        <w:rPr>
          <w:rFonts w:ascii="Arial" w:hAnsi="Arial" w:cs="Arial"/>
          <w:color w:val="000000"/>
          <w:sz w:val="24"/>
          <w:szCs w:val="24"/>
        </w:rPr>
      </w:pPr>
      <w:r w:rsidRPr="00610160">
        <w:rPr>
          <w:rFonts w:ascii="Arial" w:hAnsi="Arial" w:cs="Arial"/>
          <w:color w:val="000000"/>
          <w:sz w:val="24"/>
          <w:szCs w:val="24"/>
        </w:rPr>
        <w:t>La mayoría de lo</w:t>
      </w:r>
      <w:r w:rsidR="00197808">
        <w:rPr>
          <w:rFonts w:ascii="Arial" w:hAnsi="Arial" w:cs="Arial"/>
          <w:color w:val="000000"/>
          <w:sz w:val="24"/>
          <w:szCs w:val="24"/>
        </w:rPr>
        <w:t>s asuntos de los cuales tuvo</w:t>
      </w:r>
      <w:r w:rsidRPr="00610160">
        <w:rPr>
          <w:rFonts w:ascii="Arial" w:hAnsi="Arial" w:cs="Arial"/>
          <w:color w:val="000000"/>
          <w:sz w:val="24"/>
          <w:szCs w:val="24"/>
        </w:rPr>
        <w:t xml:space="preserve"> conocimiento</w:t>
      </w:r>
      <w:r w:rsidR="00197808">
        <w:rPr>
          <w:rFonts w:ascii="Arial" w:hAnsi="Arial" w:cs="Arial"/>
          <w:color w:val="000000"/>
          <w:sz w:val="24"/>
          <w:szCs w:val="24"/>
        </w:rPr>
        <w:t>,</w:t>
      </w:r>
      <w:r>
        <w:rPr>
          <w:rFonts w:ascii="Arial" w:hAnsi="Arial" w:cs="Arial"/>
          <w:color w:val="000000"/>
          <w:sz w:val="24"/>
          <w:szCs w:val="24"/>
        </w:rPr>
        <w:t xml:space="preserve"> en 2019</w:t>
      </w:r>
      <w:r w:rsidR="00197808">
        <w:rPr>
          <w:rFonts w:ascii="Arial" w:hAnsi="Arial" w:cs="Arial"/>
          <w:color w:val="000000"/>
          <w:sz w:val="24"/>
          <w:szCs w:val="24"/>
        </w:rPr>
        <w:t>,</w:t>
      </w:r>
      <w:r w:rsidRPr="00610160">
        <w:rPr>
          <w:rFonts w:ascii="Arial" w:hAnsi="Arial" w:cs="Arial"/>
          <w:color w:val="000000"/>
          <w:sz w:val="24"/>
          <w:szCs w:val="24"/>
        </w:rPr>
        <w:t xml:space="preserve"> la S</w:t>
      </w:r>
      <w:r w:rsidR="00431E2A">
        <w:rPr>
          <w:rFonts w:ascii="Arial" w:hAnsi="Arial" w:cs="Arial"/>
          <w:color w:val="000000"/>
          <w:sz w:val="24"/>
          <w:szCs w:val="24"/>
        </w:rPr>
        <w:t>uprema Corte de Justicia de la Nación (S</w:t>
      </w:r>
      <w:r w:rsidRPr="00610160">
        <w:rPr>
          <w:rFonts w:ascii="Arial" w:hAnsi="Arial" w:cs="Arial"/>
          <w:color w:val="000000"/>
          <w:sz w:val="24"/>
          <w:szCs w:val="24"/>
        </w:rPr>
        <w:t>CJN</w:t>
      </w:r>
      <w:r w:rsidR="00431E2A">
        <w:rPr>
          <w:rFonts w:ascii="Arial" w:hAnsi="Arial" w:cs="Arial"/>
          <w:color w:val="000000"/>
          <w:sz w:val="24"/>
          <w:szCs w:val="24"/>
        </w:rPr>
        <w:t>)</w:t>
      </w:r>
      <w:r w:rsidRPr="00610160">
        <w:rPr>
          <w:rFonts w:ascii="Arial" w:hAnsi="Arial" w:cs="Arial"/>
          <w:color w:val="000000"/>
          <w:sz w:val="24"/>
          <w:szCs w:val="24"/>
        </w:rPr>
        <w:t xml:space="preserve"> corresponde a procedimientos de Amparo directo en </w:t>
      </w:r>
      <w:r>
        <w:rPr>
          <w:rFonts w:ascii="Arial" w:hAnsi="Arial" w:cs="Arial"/>
          <w:color w:val="000000"/>
          <w:sz w:val="24"/>
          <w:szCs w:val="24"/>
        </w:rPr>
        <w:t>revisión, que representaron 40.5% y 38</w:t>
      </w:r>
      <w:r w:rsidRPr="00610160">
        <w:rPr>
          <w:rFonts w:ascii="Arial" w:hAnsi="Arial" w:cs="Arial"/>
          <w:color w:val="000000"/>
          <w:sz w:val="24"/>
          <w:szCs w:val="24"/>
        </w:rPr>
        <w:t>.5% de los ingresos y resoluciones, respectivamente.</w:t>
      </w:r>
    </w:p>
    <w:p w14:paraId="5D7BC626" w14:textId="77777777" w:rsidR="0004518F" w:rsidRDefault="0004518F" w:rsidP="0036483E">
      <w:pPr>
        <w:pStyle w:val="Prrafodelista"/>
        <w:spacing w:after="0" w:line="240" w:lineRule="auto"/>
        <w:ind w:left="-284" w:hanging="283"/>
        <w:jc w:val="both"/>
        <w:rPr>
          <w:rFonts w:ascii="Arial" w:hAnsi="Arial" w:cs="Arial"/>
          <w:color w:val="000000"/>
          <w:sz w:val="24"/>
          <w:szCs w:val="24"/>
        </w:rPr>
      </w:pPr>
    </w:p>
    <w:p w14:paraId="706D9836" w14:textId="77777777" w:rsidR="0004518F" w:rsidRDefault="0004518F" w:rsidP="0036483E">
      <w:pPr>
        <w:pStyle w:val="Prrafodelista"/>
        <w:numPr>
          <w:ilvl w:val="0"/>
          <w:numId w:val="3"/>
        </w:numPr>
        <w:spacing w:after="0" w:line="240" w:lineRule="auto"/>
        <w:ind w:left="-284" w:hanging="283"/>
        <w:jc w:val="both"/>
        <w:rPr>
          <w:rFonts w:ascii="Arial" w:hAnsi="Arial" w:cs="Arial"/>
          <w:color w:val="000000"/>
          <w:sz w:val="24"/>
          <w:szCs w:val="24"/>
        </w:rPr>
      </w:pPr>
      <w:r w:rsidRPr="0056217D">
        <w:rPr>
          <w:rFonts w:ascii="Arial" w:hAnsi="Arial" w:cs="Arial"/>
          <w:color w:val="000000"/>
          <w:sz w:val="24"/>
          <w:szCs w:val="24"/>
        </w:rPr>
        <w:t>Entre los asuntos conocidos por los órganos ju</w:t>
      </w:r>
      <w:r>
        <w:rPr>
          <w:rFonts w:ascii="Arial" w:hAnsi="Arial" w:cs="Arial"/>
          <w:color w:val="000000"/>
          <w:sz w:val="24"/>
          <w:szCs w:val="24"/>
        </w:rPr>
        <w:t>risdiccionales del T</w:t>
      </w:r>
      <w:r w:rsidR="00431E2A">
        <w:rPr>
          <w:rFonts w:ascii="Arial" w:hAnsi="Arial" w:cs="Arial"/>
          <w:color w:val="000000"/>
          <w:sz w:val="24"/>
          <w:szCs w:val="24"/>
        </w:rPr>
        <w:t>ribunal Electoral del Poder Judicial de la Federación (T</w:t>
      </w:r>
      <w:r>
        <w:rPr>
          <w:rFonts w:ascii="Arial" w:hAnsi="Arial" w:cs="Arial"/>
          <w:color w:val="000000"/>
          <w:sz w:val="24"/>
          <w:szCs w:val="24"/>
        </w:rPr>
        <w:t>EPJF</w:t>
      </w:r>
      <w:r w:rsidR="00431E2A">
        <w:rPr>
          <w:rFonts w:ascii="Arial" w:hAnsi="Arial" w:cs="Arial"/>
          <w:color w:val="000000"/>
          <w:sz w:val="24"/>
          <w:szCs w:val="24"/>
        </w:rPr>
        <w:t>)</w:t>
      </w:r>
      <w:r>
        <w:rPr>
          <w:rFonts w:ascii="Arial" w:hAnsi="Arial" w:cs="Arial"/>
          <w:color w:val="000000"/>
          <w:sz w:val="24"/>
          <w:szCs w:val="24"/>
        </w:rPr>
        <w:t xml:space="preserve"> en 2019</w:t>
      </w:r>
      <w:r w:rsidRPr="0056217D">
        <w:rPr>
          <w:rFonts w:ascii="Arial" w:hAnsi="Arial" w:cs="Arial"/>
          <w:color w:val="000000"/>
          <w:sz w:val="24"/>
          <w:szCs w:val="24"/>
        </w:rPr>
        <w:t xml:space="preserve"> destacan los procedimientos de juicio para la protección de los derechos político-electorales del c</w:t>
      </w:r>
      <w:r>
        <w:rPr>
          <w:rFonts w:ascii="Arial" w:hAnsi="Arial" w:cs="Arial"/>
          <w:color w:val="000000"/>
          <w:sz w:val="24"/>
          <w:szCs w:val="24"/>
        </w:rPr>
        <w:t xml:space="preserve">iudadano, que representaron 64.4% </w:t>
      </w:r>
      <w:r w:rsidRPr="0056217D">
        <w:rPr>
          <w:rFonts w:ascii="Arial" w:hAnsi="Arial" w:cs="Arial"/>
          <w:color w:val="000000"/>
          <w:sz w:val="24"/>
          <w:szCs w:val="24"/>
        </w:rPr>
        <w:t xml:space="preserve">de los ingresos </w:t>
      </w:r>
      <w:r>
        <w:rPr>
          <w:rFonts w:ascii="Arial" w:hAnsi="Arial" w:cs="Arial"/>
          <w:color w:val="000000"/>
          <w:sz w:val="24"/>
          <w:szCs w:val="24"/>
        </w:rPr>
        <w:t xml:space="preserve">y 62.4% </w:t>
      </w:r>
      <w:r w:rsidRPr="0056217D">
        <w:rPr>
          <w:rFonts w:ascii="Arial" w:hAnsi="Arial" w:cs="Arial"/>
          <w:color w:val="000000"/>
          <w:sz w:val="24"/>
          <w:szCs w:val="24"/>
        </w:rPr>
        <w:t>de las resoluciones.</w:t>
      </w:r>
    </w:p>
    <w:p w14:paraId="37754BD9" w14:textId="77777777" w:rsidR="0004518F" w:rsidRDefault="0004518F" w:rsidP="0036483E">
      <w:pPr>
        <w:pStyle w:val="Prrafodelista"/>
        <w:ind w:left="-284" w:hanging="283"/>
      </w:pPr>
    </w:p>
    <w:p w14:paraId="29EBA3F7" w14:textId="0BC163C5" w:rsidR="0004518F" w:rsidRPr="0056217D" w:rsidRDefault="0004518F" w:rsidP="0036483E">
      <w:pPr>
        <w:pStyle w:val="Prrafodelista"/>
        <w:numPr>
          <w:ilvl w:val="0"/>
          <w:numId w:val="3"/>
        </w:numPr>
        <w:spacing w:after="0" w:line="240" w:lineRule="auto"/>
        <w:ind w:left="-284" w:hanging="283"/>
        <w:jc w:val="both"/>
        <w:rPr>
          <w:rFonts w:ascii="Arial" w:hAnsi="Arial" w:cs="Arial"/>
          <w:color w:val="000000"/>
          <w:sz w:val="24"/>
          <w:szCs w:val="24"/>
        </w:rPr>
      </w:pPr>
      <w:r>
        <w:rPr>
          <w:rFonts w:ascii="Arial" w:hAnsi="Arial" w:cs="Arial"/>
          <w:sz w:val="24"/>
          <w:szCs w:val="24"/>
        </w:rPr>
        <w:t>En 2019 ingresaron 1 174 386</w:t>
      </w:r>
      <w:r w:rsidRPr="0056217D">
        <w:rPr>
          <w:rFonts w:ascii="Arial" w:hAnsi="Arial" w:cs="Arial"/>
          <w:sz w:val="24"/>
          <w:szCs w:val="24"/>
        </w:rPr>
        <w:t xml:space="preserve"> </w:t>
      </w:r>
      <w:r>
        <w:rPr>
          <w:rFonts w:ascii="Arial" w:hAnsi="Arial" w:cs="Arial"/>
          <w:sz w:val="24"/>
          <w:szCs w:val="24"/>
        </w:rPr>
        <w:t>asuntos en todas las materias a</w:t>
      </w:r>
      <w:r w:rsidRPr="0056217D">
        <w:rPr>
          <w:rFonts w:ascii="Arial" w:hAnsi="Arial" w:cs="Arial"/>
          <w:sz w:val="24"/>
          <w:szCs w:val="24"/>
        </w:rPr>
        <w:t xml:space="preserve"> los órganos jurisdiccionales </w:t>
      </w:r>
      <w:r w:rsidR="00197808">
        <w:rPr>
          <w:rFonts w:ascii="Arial" w:hAnsi="Arial" w:cs="Arial"/>
          <w:sz w:val="24"/>
          <w:szCs w:val="24"/>
        </w:rPr>
        <w:t>supervisados</w:t>
      </w:r>
      <w:r w:rsidRPr="0056217D">
        <w:rPr>
          <w:rFonts w:ascii="Arial" w:hAnsi="Arial" w:cs="Arial"/>
          <w:sz w:val="24"/>
          <w:szCs w:val="24"/>
        </w:rPr>
        <w:t xml:space="preserve"> por el </w:t>
      </w:r>
      <w:r w:rsidR="00431E2A">
        <w:rPr>
          <w:rFonts w:ascii="Arial" w:hAnsi="Arial" w:cs="Arial"/>
          <w:sz w:val="24"/>
          <w:szCs w:val="24"/>
        </w:rPr>
        <w:t>Consejo de la Judicatura Federal (</w:t>
      </w:r>
      <w:r w:rsidRPr="0056217D">
        <w:rPr>
          <w:rFonts w:ascii="Arial" w:hAnsi="Arial" w:cs="Arial"/>
          <w:sz w:val="24"/>
          <w:szCs w:val="24"/>
        </w:rPr>
        <w:t>C</w:t>
      </w:r>
      <w:r>
        <w:rPr>
          <w:rFonts w:ascii="Arial" w:hAnsi="Arial" w:cs="Arial"/>
          <w:sz w:val="24"/>
          <w:szCs w:val="24"/>
        </w:rPr>
        <w:t>JF</w:t>
      </w:r>
      <w:r w:rsidR="00431E2A">
        <w:rPr>
          <w:rFonts w:ascii="Arial" w:hAnsi="Arial" w:cs="Arial"/>
          <w:sz w:val="24"/>
          <w:szCs w:val="24"/>
        </w:rPr>
        <w:t>)</w:t>
      </w:r>
      <w:r>
        <w:rPr>
          <w:rFonts w:ascii="Arial" w:hAnsi="Arial" w:cs="Arial"/>
          <w:sz w:val="24"/>
          <w:szCs w:val="24"/>
        </w:rPr>
        <w:t xml:space="preserve"> y se resolvieron 1 147 988</w:t>
      </w:r>
      <w:r w:rsidRPr="0056217D">
        <w:rPr>
          <w:rFonts w:ascii="Arial" w:hAnsi="Arial" w:cs="Arial"/>
          <w:sz w:val="24"/>
          <w:szCs w:val="24"/>
        </w:rPr>
        <w:t>.</w:t>
      </w:r>
    </w:p>
    <w:p w14:paraId="4FFE164B" w14:textId="77777777" w:rsidR="0004518F" w:rsidRDefault="0004518F" w:rsidP="0036483E">
      <w:pPr>
        <w:pStyle w:val="Prrafodelista"/>
        <w:ind w:left="-284" w:hanging="283"/>
      </w:pPr>
    </w:p>
    <w:p w14:paraId="61AA13BC" w14:textId="77777777" w:rsidR="0004518F" w:rsidRPr="00197808" w:rsidRDefault="0004518F" w:rsidP="00720C88">
      <w:pPr>
        <w:pStyle w:val="Prrafodelista"/>
        <w:numPr>
          <w:ilvl w:val="0"/>
          <w:numId w:val="3"/>
        </w:numPr>
        <w:spacing w:after="0" w:line="240" w:lineRule="auto"/>
        <w:ind w:left="-284" w:hanging="283"/>
        <w:jc w:val="both"/>
        <w:rPr>
          <w:rFonts w:ascii="Arial" w:hAnsi="Arial" w:cs="Arial"/>
          <w:color w:val="000000"/>
          <w:sz w:val="24"/>
          <w:szCs w:val="24"/>
        </w:rPr>
      </w:pPr>
      <w:r w:rsidRPr="0056217D">
        <w:rPr>
          <w:rFonts w:ascii="Arial" w:hAnsi="Arial" w:cs="Arial"/>
          <w:sz w:val="24"/>
          <w:szCs w:val="24"/>
        </w:rPr>
        <w:t>Las causas penales ingresadas en estos órganos jurisdicciona</w:t>
      </w:r>
      <w:r>
        <w:rPr>
          <w:rFonts w:ascii="Arial" w:hAnsi="Arial" w:cs="Arial"/>
          <w:sz w:val="24"/>
          <w:szCs w:val="24"/>
        </w:rPr>
        <w:t xml:space="preserve">les ascendieron a un total de        </w:t>
      </w:r>
      <w:r w:rsidRPr="0004518F">
        <w:rPr>
          <w:rFonts w:ascii="Arial" w:hAnsi="Arial" w:cs="Arial"/>
          <w:sz w:val="24"/>
          <w:szCs w:val="24"/>
        </w:rPr>
        <w:t>21 145; la mayor parte (80.5%) ingresó con los Jueces de Control o Garantías de los Centros de Justicia Penal Federal (CJPF) y el resto (19.5%) a los Juzgados de Distrito (JD).</w:t>
      </w:r>
    </w:p>
    <w:p w14:paraId="7A2C7EFA" w14:textId="77777777" w:rsidR="00197808" w:rsidRPr="00197808" w:rsidRDefault="00197808" w:rsidP="00197808">
      <w:pPr>
        <w:spacing w:after="0" w:line="240" w:lineRule="auto"/>
        <w:jc w:val="both"/>
        <w:rPr>
          <w:rFonts w:ascii="Arial" w:hAnsi="Arial" w:cs="Arial"/>
          <w:color w:val="000000"/>
          <w:sz w:val="24"/>
          <w:szCs w:val="24"/>
        </w:rPr>
      </w:pPr>
    </w:p>
    <w:p w14:paraId="702FF08F" w14:textId="77777777" w:rsidR="00197808" w:rsidRPr="00197808" w:rsidRDefault="00197808" w:rsidP="00197808">
      <w:pPr>
        <w:spacing w:after="0" w:line="240" w:lineRule="auto"/>
        <w:jc w:val="both"/>
        <w:rPr>
          <w:rFonts w:ascii="Arial" w:hAnsi="Arial" w:cs="Arial"/>
          <w:color w:val="000000"/>
          <w:sz w:val="24"/>
          <w:szCs w:val="24"/>
        </w:rPr>
      </w:pPr>
    </w:p>
    <w:p w14:paraId="54C400FE" w14:textId="77777777" w:rsidR="008C320B" w:rsidRPr="008C320B" w:rsidRDefault="0004518F" w:rsidP="00883FAB">
      <w:pPr>
        <w:pStyle w:val="Prrafodelista"/>
        <w:numPr>
          <w:ilvl w:val="0"/>
          <w:numId w:val="3"/>
        </w:numPr>
        <w:spacing w:after="0" w:line="240" w:lineRule="auto"/>
        <w:ind w:left="-284" w:hanging="283"/>
        <w:jc w:val="both"/>
        <w:rPr>
          <w:rFonts w:ascii="Arial" w:hAnsi="Arial" w:cs="Arial"/>
          <w:color w:val="000000"/>
          <w:sz w:val="24"/>
          <w:szCs w:val="24"/>
        </w:rPr>
      </w:pPr>
      <w:r w:rsidRPr="0056217D">
        <w:rPr>
          <w:rFonts w:ascii="Arial" w:hAnsi="Arial" w:cs="Arial"/>
          <w:sz w:val="24"/>
          <w:szCs w:val="24"/>
        </w:rPr>
        <w:lastRenderedPageBreak/>
        <w:t xml:space="preserve">En dichas </w:t>
      </w:r>
      <w:r>
        <w:rPr>
          <w:rFonts w:ascii="Arial" w:hAnsi="Arial" w:cs="Arial"/>
          <w:sz w:val="24"/>
          <w:szCs w:val="24"/>
        </w:rPr>
        <w:t>causas penales se registraron 48 116 delitos. De estas, 33.4</w:t>
      </w:r>
      <w:r w:rsidRPr="0056217D">
        <w:rPr>
          <w:rFonts w:ascii="Arial" w:hAnsi="Arial" w:cs="Arial"/>
          <w:sz w:val="24"/>
          <w:szCs w:val="24"/>
        </w:rPr>
        <w:t xml:space="preserve">% correspondió a delitos en causas ingresadas a los </w:t>
      </w:r>
      <w:r>
        <w:rPr>
          <w:rFonts w:ascii="Arial" w:hAnsi="Arial" w:cs="Arial"/>
          <w:sz w:val="24"/>
          <w:szCs w:val="24"/>
        </w:rPr>
        <w:t>JD</w:t>
      </w:r>
      <w:r w:rsidRPr="0056217D">
        <w:rPr>
          <w:rFonts w:ascii="Arial" w:hAnsi="Arial" w:cs="Arial"/>
          <w:sz w:val="24"/>
          <w:szCs w:val="24"/>
        </w:rPr>
        <w:t xml:space="preserve"> y </w:t>
      </w:r>
      <w:r>
        <w:rPr>
          <w:rFonts w:ascii="Arial" w:hAnsi="Arial" w:cs="Arial"/>
          <w:sz w:val="24"/>
          <w:szCs w:val="24"/>
        </w:rPr>
        <w:t>66.6</w:t>
      </w:r>
      <w:r w:rsidRPr="0056217D">
        <w:rPr>
          <w:rFonts w:ascii="Arial" w:hAnsi="Arial" w:cs="Arial"/>
          <w:sz w:val="24"/>
          <w:szCs w:val="24"/>
        </w:rPr>
        <w:t xml:space="preserve">% a delitos en causas ingresadas a los </w:t>
      </w:r>
      <w:r w:rsidRPr="00250E95">
        <w:rPr>
          <w:rFonts w:ascii="Arial" w:hAnsi="Arial" w:cs="Arial"/>
          <w:sz w:val="24"/>
          <w:szCs w:val="24"/>
        </w:rPr>
        <w:t>CJPF.</w:t>
      </w:r>
    </w:p>
    <w:p w14:paraId="7E66E71D" w14:textId="77777777" w:rsidR="0036483E" w:rsidRPr="00883FAB" w:rsidRDefault="0004518F" w:rsidP="008C320B">
      <w:pPr>
        <w:pStyle w:val="Prrafodelista"/>
        <w:spacing w:after="0" w:line="240" w:lineRule="auto"/>
        <w:ind w:left="-284"/>
        <w:jc w:val="both"/>
        <w:rPr>
          <w:rFonts w:ascii="Arial" w:hAnsi="Arial" w:cs="Arial"/>
          <w:color w:val="000000"/>
          <w:sz w:val="24"/>
          <w:szCs w:val="24"/>
        </w:rPr>
      </w:pPr>
      <w:r w:rsidRPr="0056217D">
        <w:rPr>
          <w:rFonts w:ascii="Arial" w:hAnsi="Arial" w:cs="Arial"/>
          <w:sz w:val="24"/>
          <w:szCs w:val="24"/>
        </w:rPr>
        <w:t xml:space="preserve"> </w:t>
      </w:r>
    </w:p>
    <w:p w14:paraId="4CBD3161" w14:textId="77777777" w:rsidR="0004518F" w:rsidRPr="0056217D" w:rsidRDefault="0004518F" w:rsidP="0036483E">
      <w:pPr>
        <w:pStyle w:val="Prrafodelista"/>
        <w:numPr>
          <w:ilvl w:val="0"/>
          <w:numId w:val="3"/>
        </w:numPr>
        <w:spacing w:after="0" w:line="240" w:lineRule="auto"/>
        <w:ind w:left="-284" w:hanging="283"/>
        <w:jc w:val="both"/>
        <w:rPr>
          <w:rFonts w:ascii="Arial" w:hAnsi="Arial" w:cs="Arial"/>
          <w:color w:val="000000"/>
          <w:sz w:val="24"/>
          <w:szCs w:val="24"/>
        </w:rPr>
      </w:pPr>
      <w:r w:rsidRPr="0056217D">
        <w:rPr>
          <w:rFonts w:ascii="Arial" w:hAnsi="Arial" w:cs="Arial"/>
          <w:sz w:val="24"/>
          <w:szCs w:val="24"/>
        </w:rPr>
        <w:t>Del total de delitos registrados en las causas penales in</w:t>
      </w:r>
      <w:r>
        <w:rPr>
          <w:rFonts w:ascii="Arial" w:hAnsi="Arial" w:cs="Arial"/>
          <w:sz w:val="24"/>
          <w:szCs w:val="24"/>
        </w:rPr>
        <w:t>gresadas, 44.8</w:t>
      </w:r>
      <w:r w:rsidRPr="0056217D">
        <w:rPr>
          <w:rFonts w:ascii="Arial" w:hAnsi="Arial" w:cs="Arial"/>
          <w:sz w:val="24"/>
          <w:szCs w:val="24"/>
        </w:rPr>
        <w:t xml:space="preserve">% </w:t>
      </w:r>
      <w:r>
        <w:rPr>
          <w:rFonts w:ascii="Arial" w:hAnsi="Arial" w:cs="Arial"/>
          <w:sz w:val="24"/>
          <w:szCs w:val="24"/>
        </w:rPr>
        <w:t xml:space="preserve">(21 565) </w:t>
      </w:r>
      <w:r w:rsidRPr="0056217D">
        <w:rPr>
          <w:rFonts w:ascii="Arial" w:hAnsi="Arial" w:cs="Arial"/>
          <w:sz w:val="24"/>
          <w:szCs w:val="24"/>
        </w:rPr>
        <w:t>fue</w:t>
      </w:r>
      <w:r>
        <w:rPr>
          <w:rFonts w:ascii="Arial" w:hAnsi="Arial" w:cs="Arial"/>
          <w:sz w:val="24"/>
          <w:szCs w:val="24"/>
        </w:rPr>
        <w:t xml:space="preserve"> por</w:t>
      </w:r>
      <w:r w:rsidRPr="0056217D">
        <w:rPr>
          <w:rFonts w:ascii="Arial" w:hAnsi="Arial" w:cs="Arial"/>
          <w:sz w:val="24"/>
          <w:szCs w:val="24"/>
        </w:rPr>
        <w:t xml:space="preserve"> delitos en materia de armas, explosivos y otros materiales destructivos.</w:t>
      </w:r>
      <w:r>
        <w:rPr>
          <w:rFonts w:ascii="Arial" w:hAnsi="Arial" w:cs="Arial"/>
          <w:sz w:val="24"/>
          <w:szCs w:val="24"/>
        </w:rPr>
        <w:t xml:space="preserve"> Esto representa un aumento de 46.8% con respecto a lo ingresado en 2018</w:t>
      </w:r>
      <w:r>
        <w:rPr>
          <w:rStyle w:val="Refdenotaalpie"/>
          <w:rFonts w:ascii="Arial" w:hAnsi="Arial" w:cs="Arial"/>
          <w:sz w:val="24"/>
          <w:szCs w:val="24"/>
        </w:rPr>
        <w:footnoteReference w:id="2"/>
      </w:r>
      <w:r>
        <w:rPr>
          <w:rFonts w:ascii="Arial" w:hAnsi="Arial" w:cs="Arial"/>
          <w:sz w:val="24"/>
          <w:szCs w:val="24"/>
        </w:rPr>
        <w:t>.</w:t>
      </w:r>
    </w:p>
    <w:p w14:paraId="111C3B2B" w14:textId="77777777" w:rsidR="0004518F" w:rsidRPr="0056217D" w:rsidRDefault="0004518F" w:rsidP="0036483E">
      <w:pPr>
        <w:pStyle w:val="Prrafodelista"/>
        <w:ind w:left="-284" w:hanging="283"/>
        <w:rPr>
          <w:rFonts w:ascii="Arial" w:hAnsi="Arial" w:cs="Arial"/>
          <w:sz w:val="24"/>
          <w:szCs w:val="24"/>
        </w:rPr>
      </w:pPr>
    </w:p>
    <w:p w14:paraId="0316ADCD" w14:textId="53934D1A" w:rsidR="0004518F" w:rsidRPr="002B0F56" w:rsidRDefault="0004518F" w:rsidP="0036483E">
      <w:pPr>
        <w:pStyle w:val="Prrafodelista"/>
        <w:numPr>
          <w:ilvl w:val="0"/>
          <w:numId w:val="3"/>
        </w:numPr>
        <w:spacing w:after="0" w:line="240" w:lineRule="auto"/>
        <w:ind w:left="-284" w:hanging="283"/>
        <w:jc w:val="both"/>
        <w:rPr>
          <w:rFonts w:ascii="Arial" w:hAnsi="Arial" w:cs="Arial"/>
          <w:color w:val="000000"/>
          <w:sz w:val="24"/>
          <w:szCs w:val="24"/>
        </w:rPr>
      </w:pPr>
      <w:r w:rsidRPr="003E2A83">
        <w:rPr>
          <w:rFonts w:ascii="Arial" w:hAnsi="Arial" w:cs="Arial"/>
          <w:sz w:val="24"/>
          <w:szCs w:val="24"/>
        </w:rPr>
        <w:t>En cuanto al personal con el que contaba el PJF al cierre de 2019, se identificó un total de 47 12</w:t>
      </w:r>
      <w:r w:rsidR="0083043B" w:rsidRPr="003E2A83">
        <w:rPr>
          <w:rFonts w:ascii="Arial" w:hAnsi="Arial" w:cs="Arial"/>
          <w:sz w:val="24"/>
          <w:szCs w:val="24"/>
        </w:rPr>
        <w:t>3</w:t>
      </w:r>
      <w:r w:rsidRPr="003E2A83">
        <w:rPr>
          <w:rFonts w:ascii="Arial" w:hAnsi="Arial" w:cs="Arial"/>
          <w:sz w:val="24"/>
          <w:szCs w:val="24"/>
        </w:rPr>
        <w:t xml:space="preserve"> servidoras y servidores públicos, de los cuales 3 424 (7.3%) estaban adscritos a la SCJN, </w:t>
      </w:r>
      <w:r w:rsidR="00883FAB" w:rsidRPr="003E2A83">
        <w:rPr>
          <w:rFonts w:ascii="Arial" w:hAnsi="Arial" w:cs="Arial"/>
          <w:sz w:val="24"/>
          <w:szCs w:val="24"/>
        </w:rPr>
        <w:t>1</w:t>
      </w:r>
      <w:r w:rsidRPr="003E2A83">
        <w:rPr>
          <w:rFonts w:ascii="Arial" w:hAnsi="Arial" w:cs="Arial"/>
          <w:sz w:val="24"/>
          <w:szCs w:val="24"/>
        </w:rPr>
        <w:t xml:space="preserve"> 443 (3.1%) al TEPJF y 42 25</w:t>
      </w:r>
      <w:r w:rsidR="00745292" w:rsidRPr="003E2A83">
        <w:rPr>
          <w:rFonts w:ascii="Arial" w:hAnsi="Arial" w:cs="Arial"/>
          <w:sz w:val="24"/>
          <w:szCs w:val="24"/>
        </w:rPr>
        <w:t>6</w:t>
      </w:r>
      <w:r w:rsidRPr="003E2A83">
        <w:rPr>
          <w:rStyle w:val="Refdenotaalpie"/>
          <w:rFonts w:ascii="Arial" w:hAnsi="Arial" w:cs="Arial"/>
          <w:sz w:val="24"/>
          <w:szCs w:val="24"/>
        </w:rPr>
        <w:footnoteReference w:id="3"/>
      </w:r>
      <w:r w:rsidRPr="003E2A83">
        <w:rPr>
          <w:rFonts w:ascii="Arial" w:hAnsi="Arial" w:cs="Arial"/>
          <w:sz w:val="24"/>
          <w:szCs w:val="24"/>
        </w:rPr>
        <w:t xml:space="preserve"> (</w:t>
      </w:r>
      <w:r>
        <w:rPr>
          <w:rFonts w:ascii="Arial" w:hAnsi="Arial" w:cs="Arial"/>
          <w:sz w:val="24"/>
          <w:szCs w:val="24"/>
        </w:rPr>
        <w:t xml:space="preserve">89.6%) al CJF. </w:t>
      </w:r>
      <w:r w:rsidRPr="0056217D">
        <w:rPr>
          <w:rFonts w:ascii="Arial" w:hAnsi="Arial" w:cs="Arial"/>
          <w:sz w:val="24"/>
          <w:szCs w:val="24"/>
        </w:rPr>
        <w:t>L</w:t>
      </w:r>
      <w:r>
        <w:rPr>
          <w:rFonts w:ascii="Arial" w:hAnsi="Arial" w:cs="Arial"/>
          <w:sz w:val="24"/>
          <w:szCs w:val="24"/>
        </w:rPr>
        <w:t>as mujeres representaron 49.5</w:t>
      </w:r>
      <w:r w:rsidRPr="0056217D">
        <w:rPr>
          <w:rFonts w:ascii="Arial" w:hAnsi="Arial" w:cs="Arial"/>
          <w:sz w:val="24"/>
          <w:szCs w:val="24"/>
        </w:rPr>
        <w:t xml:space="preserve">% de </w:t>
      </w:r>
      <w:r>
        <w:rPr>
          <w:rFonts w:ascii="Arial" w:hAnsi="Arial" w:cs="Arial"/>
          <w:sz w:val="24"/>
          <w:szCs w:val="24"/>
        </w:rPr>
        <w:t xml:space="preserve">toda </w:t>
      </w:r>
      <w:r w:rsidRPr="0056217D">
        <w:rPr>
          <w:rFonts w:ascii="Arial" w:hAnsi="Arial" w:cs="Arial"/>
          <w:sz w:val="24"/>
          <w:szCs w:val="24"/>
        </w:rPr>
        <w:t>la plantilla laboral del P</w:t>
      </w:r>
      <w:r>
        <w:rPr>
          <w:rFonts w:ascii="Arial" w:hAnsi="Arial" w:cs="Arial"/>
          <w:sz w:val="24"/>
          <w:szCs w:val="24"/>
        </w:rPr>
        <w:t>JF</w:t>
      </w:r>
      <w:r w:rsidRPr="0056217D">
        <w:rPr>
          <w:rFonts w:ascii="Arial" w:hAnsi="Arial" w:cs="Arial"/>
          <w:sz w:val="24"/>
          <w:szCs w:val="24"/>
        </w:rPr>
        <w:t xml:space="preserve"> en 201</w:t>
      </w:r>
      <w:r>
        <w:rPr>
          <w:rFonts w:ascii="Arial" w:hAnsi="Arial" w:cs="Arial"/>
          <w:sz w:val="24"/>
          <w:szCs w:val="24"/>
        </w:rPr>
        <w:t>9</w:t>
      </w:r>
      <w:r w:rsidRPr="0056217D">
        <w:rPr>
          <w:rFonts w:ascii="Arial" w:hAnsi="Arial" w:cs="Arial"/>
          <w:b/>
          <w:sz w:val="24"/>
          <w:szCs w:val="24"/>
        </w:rPr>
        <w:t>.</w:t>
      </w:r>
    </w:p>
    <w:p w14:paraId="18164866" w14:textId="77777777" w:rsidR="0004518F" w:rsidRPr="002B0F56" w:rsidRDefault="0004518F" w:rsidP="0036483E">
      <w:pPr>
        <w:spacing w:after="0" w:line="240" w:lineRule="auto"/>
        <w:jc w:val="both"/>
        <w:rPr>
          <w:rFonts w:ascii="Arial" w:hAnsi="Arial" w:cs="Arial"/>
          <w:color w:val="000000"/>
          <w:sz w:val="24"/>
          <w:szCs w:val="24"/>
        </w:rPr>
      </w:pPr>
    </w:p>
    <w:p w14:paraId="29E42A01" w14:textId="77777777" w:rsidR="0004518F" w:rsidRPr="000E4ADF" w:rsidRDefault="0004518F" w:rsidP="0036483E">
      <w:pPr>
        <w:pStyle w:val="Prrafodelista"/>
        <w:numPr>
          <w:ilvl w:val="0"/>
          <w:numId w:val="3"/>
        </w:numPr>
        <w:spacing w:after="0" w:line="240" w:lineRule="auto"/>
        <w:ind w:left="-284" w:hanging="283"/>
        <w:jc w:val="both"/>
        <w:rPr>
          <w:rFonts w:ascii="Arial" w:hAnsi="Arial" w:cs="Arial"/>
          <w:color w:val="000000"/>
          <w:sz w:val="24"/>
          <w:szCs w:val="24"/>
        </w:rPr>
      </w:pPr>
      <w:r>
        <w:rPr>
          <w:rFonts w:ascii="Arial" w:hAnsi="Arial" w:cs="Arial"/>
          <w:sz w:val="24"/>
          <w:szCs w:val="24"/>
        </w:rPr>
        <w:t xml:space="preserve">Del personal adscrito al CJF al cierre de 2019, </w:t>
      </w:r>
      <w:r w:rsidR="00883FAB">
        <w:rPr>
          <w:rFonts w:ascii="Arial" w:hAnsi="Arial" w:cs="Arial"/>
          <w:sz w:val="24"/>
          <w:szCs w:val="24"/>
        </w:rPr>
        <w:t>1</w:t>
      </w:r>
      <w:r>
        <w:rPr>
          <w:rFonts w:ascii="Arial" w:hAnsi="Arial" w:cs="Arial"/>
          <w:sz w:val="24"/>
          <w:szCs w:val="24"/>
        </w:rPr>
        <w:t xml:space="preserve"> 437</w:t>
      </w:r>
      <w:r w:rsidRPr="0056217D">
        <w:rPr>
          <w:rFonts w:ascii="Arial" w:hAnsi="Arial" w:cs="Arial"/>
          <w:sz w:val="24"/>
          <w:szCs w:val="24"/>
        </w:rPr>
        <w:t xml:space="preserve"> servidoras y servidores públicos correspondieron a jueces y magis</w:t>
      </w:r>
      <w:r>
        <w:rPr>
          <w:rFonts w:ascii="Arial" w:hAnsi="Arial" w:cs="Arial"/>
          <w:sz w:val="24"/>
          <w:szCs w:val="24"/>
        </w:rPr>
        <w:t>trados, lo que representa 3.4% del total. De ellos, 735 correspondieron</w:t>
      </w:r>
      <w:r w:rsidRPr="0056217D">
        <w:rPr>
          <w:rFonts w:ascii="Arial" w:hAnsi="Arial" w:cs="Arial"/>
          <w:sz w:val="24"/>
          <w:szCs w:val="24"/>
        </w:rPr>
        <w:t xml:space="preserve"> a magistrados de </w:t>
      </w:r>
      <w:r>
        <w:rPr>
          <w:rFonts w:ascii="Arial" w:hAnsi="Arial" w:cs="Arial"/>
          <w:sz w:val="24"/>
          <w:szCs w:val="24"/>
        </w:rPr>
        <w:t>Tribunales Colegiados de Circuito, 95</w:t>
      </w:r>
      <w:r w:rsidRPr="0056217D">
        <w:rPr>
          <w:rFonts w:ascii="Arial" w:hAnsi="Arial" w:cs="Arial"/>
          <w:sz w:val="24"/>
          <w:szCs w:val="24"/>
        </w:rPr>
        <w:t xml:space="preserve"> a magistrados de </w:t>
      </w:r>
      <w:r>
        <w:rPr>
          <w:rFonts w:ascii="Arial" w:hAnsi="Arial" w:cs="Arial"/>
          <w:sz w:val="24"/>
          <w:szCs w:val="24"/>
        </w:rPr>
        <w:t>Tribunales Unitarios de Circuito, 441</w:t>
      </w:r>
      <w:r w:rsidRPr="0056217D">
        <w:rPr>
          <w:rFonts w:ascii="Arial" w:hAnsi="Arial" w:cs="Arial"/>
          <w:sz w:val="24"/>
          <w:szCs w:val="24"/>
        </w:rPr>
        <w:t xml:space="preserve"> a jueces de distrito</w:t>
      </w:r>
      <w:r>
        <w:rPr>
          <w:rFonts w:ascii="Arial" w:hAnsi="Arial" w:cs="Arial"/>
          <w:sz w:val="24"/>
          <w:szCs w:val="24"/>
        </w:rPr>
        <w:t xml:space="preserve"> del Sistema Tradicional y 166 a jueces de distrito especializados en el Sistema Penal Acusatorio</w:t>
      </w:r>
      <w:r w:rsidRPr="0056217D">
        <w:rPr>
          <w:rFonts w:ascii="Arial" w:hAnsi="Arial" w:cs="Arial"/>
          <w:sz w:val="24"/>
          <w:szCs w:val="24"/>
        </w:rPr>
        <w:t>.</w:t>
      </w:r>
      <w:r w:rsidRPr="00AC5C56">
        <w:rPr>
          <w:rFonts w:ascii="Arial" w:hAnsi="Arial" w:cs="Arial"/>
          <w:sz w:val="24"/>
          <w:szCs w:val="24"/>
        </w:rPr>
        <w:t xml:space="preserve"> </w:t>
      </w:r>
      <w:r>
        <w:rPr>
          <w:rFonts w:ascii="Arial" w:hAnsi="Arial" w:cs="Arial"/>
          <w:sz w:val="24"/>
          <w:szCs w:val="24"/>
        </w:rPr>
        <w:t>Finalmente, de</w:t>
      </w:r>
      <w:r w:rsidRPr="0056217D">
        <w:rPr>
          <w:rFonts w:ascii="Arial" w:hAnsi="Arial" w:cs="Arial"/>
          <w:sz w:val="24"/>
          <w:szCs w:val="24"/>
        </w:rPr>
        <w:t xml:space="preserve"> </w:t>
      </w:r>
      <w:r>
        <w:rPr>
          <w:rFonts w:ascii="Arial" w:hAnsi="Arial" w:cs="Arial"/>
          <w:sz w:val="24"/>
          <w:szCs w:val="24"/>
        </w:rPr>
        <w:t>estos jueces y magistrados, 78.6% fueron</w:t>
      </w:r>
      <w:r w:rsidRPr="0056217D">
        <w:rPr>
          <w:rFonts w:ascii="Arial" w:hAnsi="Arial" w:cs="Arial"/>
          <w:sz w:val="24"/>
          <w:szCs w:val="24"/>
        </w:rPr>
        <w:t xml:space="preserve"> </w:t>
      </w:r>
      <w:r>
        <w:rPr>
          <w:rFonts w:ascii="Arial" w:hAnsi="Arial" w:cs="Arial"/>
          <w:sz w:val="24"/>
          <w:szCs w:val="24"/>
        </w:rPr>
        <w:t>hombres y 21.4%,</w:t>
      </w:r>
      <w:r w:rsidRPr="0056217D">
        <w:rPr>
          <w:rFonts w:ascii="Arial" w:hAnsi="Arial" w:cs="Arial"/>
          <w:sz w:val="24"/>
          <w:szCs w:val="24"/>
        </w:rPr>
        <w:t xml:space="preserve"> mujeres.</w:t>
      </w:r>
    </w:p>
    <w:p w14:paraId="312C34A4" w14:textId="77777777" w:rsidR="0004518F" w:rsidRPr="000E4ADF" w:rsidRDefault="0004518F" w:rsidP="0036483E">
      <w:pPr>
        <w:spacing w:after="0" w:line="240" w:lineRule="auto"/>
        <w:jc w:val="both"/>
        <w:rPr>
          <w:rFonts w:ascii="Arial" w:hAnsi="Arial" w:cs="Arial"/>
          <w:color w:val="000000"/>
          <w:sz w:val="24"/>
          <w:szCs w:val="24"/>
        </w:rPr>
      </w:pPr>
    </w:p>
    <w:p w14:paraId="07EC4DF9" w14:textId="77777777" w:rsidR="0004518F" w:rsidRDefault="0004518F" w:rsidP="0036483E">
      <w:pPr>
        <w:spacing w:after="0" w:line="240" w:lineRule="auto"/>
        <w:ind w:left="-567"/>
        <w:jc w:val="both"/>
        <w:rPr>
          <w:rFonts w:ascii="Arial" w:hAnsi="Arial" w:cs="Arial"/>
          <w:color w:val="000000"/>
          <w:sz w:val="24"/>
          <w:szCs w:val="24"/>
        </w:rPr>
      </w:pPr>
      <w:r w:rsidRPr="00610160">
        <w:rPr>
          <w:rFonts w:ascii="Arial" w:hAnsi="Arial" w:cs="Arial"/>
          <w:color w:val="000000"/>
          <w:sz w:val="24"/>
          <w:szCs w:val="24"/>
        </w:rPr>
        <w:t>En su versión 20</w:t>
      </w:r>
      <w:r>
        <w:rPr>
          <w:rFonts w:ascii="Arial" w:hAnsi="Arial" w:cs="Arial"/>
          <w:color w:val="000000"/>
          <w:sz w:val="24"/>
          <w:szCs w:val="24"/>
        </w:rPr>
        <w:t>20</w:t>
      </w:r>
      <w:r w:rsidRPr="00610160">
        <w:rPr>
          <w:rFonts w:ascii="Arial" w:hAnsi="Arial" w:cs="Arial"/>
          <w:color w:val="000000"/>
          <w:sz w:val="24"/>
          <w:szCs w:val="24"/>
        </w:rPr>
        <w:t xml:space="preserve">, </w:t>
      </w:r>
      <w:r>
        <w:rPr>
          <w:rFonts w:ascii="Arial" w:hAnsi="Arial" w:cs="Arial"/>
          <w:color w:val="000000"/>
          <w:sz w:val="24"/>
          <w:szCs w:val="24"/>
        </w:rPr>
        <w:t>los resultados d</w:t>
      </w:r>
      <w:r w:rsidRPr="00610160">
        <w:rPr>
          <w:rFonts w:ascii="Arial" w:hAnsi="Arial" w:cs="Arial"/>
          <w:color w:val="000000"/>
          <w:sz w:val="24"/>
          <w:szCs w:val="24"/>
        </w:rPr>
        <w:t>el CNIJF integra</w:t>
      </w:r>
      <w:r>
        <w:rPr>
          <w:rFonts w:ascii="Arial" w:hAnsi="Arial" w:cs="Arial"/>
          <w:color w:val="000000"/>
          <w:sz w:val="24"/>
          <w:szCs w:val="24"/>
        </w:rPr>
        <w:t>n</w:t>
      </w:r>
      <w:r w:rsidRPr="00610160">
        <w:rPr>
          <w:rFonts w:ascii="Arial" w:hAnsi="Arial" w:cs="Arial"/>
          <w:color w:val="000000"/>
          <w:sz w:val="24"/>
          <w:szCs w:val="24"/>
        </w:rPr>
        <w:t xml:space="preserve"> in</w:t>
      </w:r>
      <w:r>
        <w:rPr>
          <w:rFonts w:ascii="Arial" w:hAnsi="Arial" w:cs="Arial"/>
          <w:color w:val="000000"/>
          <w:sz w:val="24"/>
          <w:szCs w:val="24"/>
        </w:rPr>
        <w:t>formación correspondiente a 2019 y se presenta mediante</w:t>
      </w:r>
      <w:r w:rsidRPr="00610160">
        <w:rPr>
          <w:rFonts w:ascii="Arial" w:hAnsi="Arial" w:cs="Arial"/>
          <w:color w:val="000000"/>
          <w:sz w:val="24"/>
          <w:szCs w:val="24"/>
        </w:rPr>
        <w:t xml:space="preserve"> </w:t>
      </w:r>
      <w:r>
        <w:rPr>
          <w:rFonts w:ascii="Arial" w:hAnsi="Arial" w:cs="Arial"/>
          <w:color w:val="000000"/>
          <w:sz w:val="24"/>
          <w:szCs w:val="24"/>
        </w:rPr>
        <w:t>cuadros estadísticos organizados en 11 apartados</w:t>
      </w:r>
      <w:r w:rsidRPr="00610160">
        <w:rPr>
          <w:rFonts w:ascii="Arial" w:hAnsi="Arial" w:cs="Arial"/>
          <w:color w:val="000000"/>
          <w:sz w:val="24"/>
          <w:szCs w:val="24"/>
        </w:rPr>
        <w:t>:</w:t>
      </w:r>
      <w:r>
        <w:rPr>
          <w:rFonts w:ascii="Arial" w:hAnsi="Arial" w:cs="Arial"/>
          <w:color w:val="000000"/>
          <w:sz w:val="24"/>
          <w:szCs w:val="24"/>
        </w:rPr>
        <w:t xml:space="preserve"> </w:t>
      </w:r>
      <w:r w:rsidRPr="00CF2511">
        <w:rPr>
          <w:rFonts w:ascii="Arial" w:hAnsi="Arial" w:cs="Arial"/>
          <w:color w:val="000000"/>
          <w:sz w:val="24"/>
        </w:rPr>
        <w:t>Estructura organizacional y recursos</w:t>
      </w:r>
      <w:r>
        <w:rPr>
          <w:rFonts w:ascii="Arial" w:hAnsi="Arial" w:cs="Arial"/>
          <w:color w:val="000000"/>
          <w:sz w:val="24"/>
        </w:rPr>
        <w:t xml:space="preserve">; </w:t>
      </w:r>
      <w:r w:rsidRPr="00CF2511">
        <w:rPr>
          <w:rFonts w:ascii="Arial" w:hAnsi="Arial" w:cs="Arial"/>
          <w:color w:val="000000"/>
          <w:sz w:val="24"/>
        </w:rPr>
        <w:t>Trámites y servicios y ejercicio de funciones específicas; Transparencia; Control interno y Anticorrupción; Administración de archivos y gestión documental; Institut</w:t>
      </w:r>
      <w:r>
        <w:rPr>
          <w:rFonts w:ascii="Arial" w:hAnsi="Arial" w:cs="Arial"/>
          <w:color w:val="000000"/>
          <w:sz w:val="24"/>
        </w:rPr>
        <w:t>o Federal de Defensoría Pública</w:t>
      </w:r>
      <w:r w:rsidRPr="00CF2511">
        <w:rPr>
          <w:rFonts w:ascii="Arial" w:hAnsi="Arial" w:cs="Arial"/>
          <w:color w:val="000000"/>
          <w:sz w:val="24"/>
        </w:rPr>
        <w:t>; Impartición de justicia en la Suprema Corte de Justicia de la Nación; Impartición de justicia en el Tribunal Electoral del Poder Judicial de la Federación; Impartición de justicia en los órganos jurisdiccionales del Co</w:t>
      </w:r>
      <w:r>
        <w:rPr>
          <w:rFonts w:ascii="Arial" w:hAnsi="Arial" w:cs="Arial"/>
          <w:color w:val="000000"/>
          <w:sz w:val="24"/>
        </w:rPr>
        <w:t xml:space="preserve">nsejo de la </w:t>
      </w:r>
      <w:r w:rsidRPr="00883FAB">
        <w:rPr>
          <w:rFonts w:ascii="Arial" w:hAnsi="Arial" w:cs="Arial"/>
          <w:color w:val="000000"/>
        </w:rPr>
        <w:t>Judicatura Federal; Impartición de Justicia en materia penal; y uno más sobre la Defensoría</w:t>
      </w:r>
      <w:r w:rsidRPr="000713B9">
        <w:rPr>
          <w:rFonts w:ascii="Arial" w:hAnsi="Arial" w:cs="Arial"/>
          <w:color w:val="000000"/>
          <w:sz w:val="24"/>
          <w:szCs w:val="24"/>
        </w:rPr>
        <w:t xml:space="preserve"> Pública Electoral para Pueblos y Comunidades Indígenas</w:t>
      </w:r>
      <w:r>
        <w:rPr>
          <w:rFonts w:ascii="Arial" w:hAnsi="Arial" w:cs="Arial"/>
          <w:color w:val="000000"/>
          <w:sz w:val="24"/>
          <w:szCs w:val="24"/>
        </w:rPr>
        <w:t>, sección que se comenzó a captar en el levantamiento 2020 del CNIJF, como parte de los temas que enriquecen el programa.</w:t>
      </w:r>
    </w:p>
    <w:p w14:paraId="0F780D7F" w14:textId="77777777" w:rsidR="0004518F" w:rsidRDefault="0004518F" w:rsidP="0036483E">
      <w:pPr>
        <w:spacing w:after="0" w:line="240" w:lineRule="auto"/>
        <w:ind w:left="-567"/>
        <w:jc w:val="both"/>
        <w:rPr>
          <w:rFonts w:ascii="Arial" w:hAnsi="Arial" w:cs="Arial"/>
          <w:color w:val="000000"/>
          <w:sz w:val="24"/>
          <w:szCs w:val="24"/>
        </w:rPr>
      </w:pPr>
    </w:p>
    <w:p w14:paraId="0BAA71EB" w14:textId="2EFA1ED7" w:rsidR="0004518F" w:rsidRPr="000E4ADF" w:rsidRDefault="0004518F" w:rsidP="0036483E">
      <w:pPr>
        <w:spacing w:after="0" w:line="240" w:lineRule="auto"/>
        <w:ind w:left="-567"/>
        <w:jc w:val="both"/>
        <w:rPr>
          <w:rFonts w:ascii="Arial" w:hAnsi="Arial" w:cs="Arial"/>
          <w:color w:val="000000"/>
          <w:sz w:val="24"/>
        </w:rPr>
      </w:pPr>
      <w:r>
        <w:rPr>
          <w:rFonts w:ascii="Arial" w:hAnsi="Arial" w:cs="Arial"/>
          <w:color w:val="000000"/>
          <w:sz w:val="24"/>
        </w:rPr>
        <w:t xml:space="preserve">La información se puede consultar en el sitio: </w:t>
      </w:r>
      <w:bookmarkStart w:id="1" w:name="_GoBack"/>
      <w:r w:rsidR="00210FE5">
        <w:rPr>
          <w:rFonts w:ascii="Arial" w:hAnsi="Arial" w:cs="Arial"/>
          <w:sz w:val="24"/>
        </w:rPr>
        <w:fldChar w:fldCharType="begin"/>
      </w:r>
      <w:r w:rsidR="00210FE5">
        <w:rPr>
          <w:rFonts w:ascii="Arial" w:hAnsi="Arial" w:cs="Arial"/>
          <w:sz w:val="24"/>
        </w:rPr>
        <w:instrText xml:space="preserve"> HYPERLINK "https://www.inegi.org.mx/programas/cnijf/2020/" </w:instrText>
      </w:r>
      <w:r w:rsidR="00210FE5">
        <w:rPr>
          <w:rFonts w:ascii="Arial" w:hAnsi="Arial" w:cs="Arial"/>
          <w:sz w:val="24"/>
        </w:rPr>
      </w:r>
      <w:r w:rsidR="00210FE5">
        <w:rPr>
          <w:rFonts w:ascii="Arial" w:hAnsi="Arial" w:cs="Arial"/>
          <w:sz w:val="24"/>
        </w:rPr>
        <w:fldChar w:fldCharType="separate"/>
      </w:r>
      <w:r w:rsidRPr="00210FE5">
        <w:rPr>
          <w:rStyle w:val="Hipervnculo"/>
          <w:rFonts w:ascii="Arial" w:hAnsi="Arial" w:cs="Arial"/>
          <w:sz w:val="24"/>
        </w:rPr>
        <w:t>https://www.inegi.org.mx/programas/cnijf/2020/</w:t>
      </w:r>
      <w:r w:rsidR="00210FE5">
        <w:rPr>
          <w:rFonts w:ascii="Arial" w:hAnsi="Arial" w:cs="Arial"/>
          <w:sz w:val="24"/>
        </w:rPr>
        <w:fldChar w:fldCharType="end"/>
      </w:r>
      <w:bookmarkEnd w:id="1"/>
      <w:r>
        <w:rPr>
          <w:rFonts w:ascii="Arial" w:hAnsi="Arial" w:cs="Arial"/>
          <w:color w:val="000000"/>
          <w:sz w:val="24"/>
        </w:rPr>
        <w:t>.</w:t>
      </w:r>
    </w:p>
    <w:p w14:paraId="24E1015D" w14:textId="77777777" w:rsidR="0004518F" w:rsidRDefault="0004518F" w:rsidP="008C320B">
      <w:pPr>
        <w:spacing w:after="0" w:line="240" w:lineRule="auto"/>
      </w:pPr>
    </w:p>
    <w:p w14:paraId="66FE2114" w14:textId="77777777" w:rsidR="0004518F" w:rsidRDefault="0004518F" w:rsidP="00883FAB">
      <w:pPr>
        <w:pStyle w:val="Default"/>
        <w:ind w:left="-567"/>
        <w:jc w:val="center"/>
        <w:rPr>
          <w:b/>
          <w:bCs/>
        </w:rPr>
      </w:pPr>
      <w:r w:rsidRPr="0056217D">
        <w:rPr>
          <w:b/>
          <w:bCs/>
        </w:rPr>
        <w:t>Se anexa nota técnica</w:t>
      </w:r>
    </w:p>
    <w:p w14:paraId="3E47E35E" w14:textId="77777777" w:rsidR="0004518F" w:rsidRPr="005D1993" w:rsidRDefault="0004518F" w:rsidP="0004518F">
      <w:pPr>
        <w:pStyle w:val="Default"/>
        <w:jc w:val="center"/>
        <w:rPr>
          <w:b/>
          <w:bCs/>
        </w:rPr>
      </w:pPr>
    </w:p>
    <w:p w14:paraId="66EA6496" w14:textId="77777777" w:rsidR="0004518F" w:rsidRPr="00883FAB" w:rsidRDefault="0004518F" w:rsidP="00883FAB">
      <w:pPr>
        <w:pStyle w:val="NormalWeb"/>
        <w:spacing w:before="0" w:beforeAutospacing="0" w:after="0" w:afterAutospacing="0"/>
        <w:ind w:left="-567"/>
        <w:contextualSpacing/>
        <w:jc w:val="center"/>
        <w:rPr>
          <w:rFonts w:ascii="Arial" w:hAnsi="Arial" w:cs="Arial"/>
          <w:sz w:val="22"/>
          <w:szCs w:val="22"/>
        </w:rPr>
      </w:pPr>
      <w:r w:rsidRPr="00883FAB">
        <w:rPr>
          <w:rFonts w:ascii="Arial" w:hAnsi="Arial" w:cs="Arial"/>
          <w:sz w:val="22"/>
          <w:szCs w:val="22"/>
        </w:rPr>
        <w:t xml:space="preserve">Para consultas de medios y periodistas, contactar a: </w:t>
      </w:r>
      <w:hyperlink r:id="rId8" w:history="1">
        <w:r w:rsidRPr="00883FAB">
          <w:rPr>
            <w:rStyle w:val="Hipervnculo"/>
            <w:rFonts w:ascii="Arial" w:hAnsi="Arial" w:cs="Arial"/>
            <w:sz w:val="22"/>
            <w:szCs w:val="22"/>
          </w:rPr>
          <w:t>comunicacionsocial@inegi.org.mx</w:t>
        </w:r>
      </w:hyperlink>
      <w:r w:rsidRPr="00883FAB">
        <w:rPr>
          <w:rFonts w:ascii="Arial" w:hAnsi="Arial" w:cs="Arial"/>
          <w:sz w:val="22"/>
          <w:szCs w:val="22"/>
        </w:rPr>
        <w:t xml:space="preserve"> </w:t>
      </w:r>
    </w:p>
    <w:p w14:paraId="4921CDB8" w14:textId="77777777" w:rsidR="0004518F" w:rsidRPr="00883FAB" w:rsidRDefault="0004518F" w:rsidP="00883FAB">
      <w:pPr>
        <w:pStyle w:val="NormalWeb"/>
        <w:spacing w:before="0" w:beforeAutospacing="0" w:after="0" w:afterAutospacing="0"/>
        <w:ind w:left="-567"/>
        <w:contextualSpacing/>
        <w:jc w:val="center"/>
        <w:rPr>
          <w:rFonts w:ascii="Arial" w:hAnsi="Arial" w:cs="Arial"/>
          <w:sz w:val="22"/>
          <w:szCs w:val="22"/>
        </w:rPr>
      </w:pPr>
      <w:r w:rsidRPr="00883FAB">
        <w:rPr>
          <w:rFonts w:ascii="Arial" w:hAnsi="Arial" w:cs="Arial"/>
          <w:sz w:val="22"/>
          <w:szCs w:val="22"/>
        </w:rPr>
        <w:t>o llamar al teléfono (55) 52-78-10-00, exts. 1134, 1260 y 1241.</w:t>
      </w:r>
    </w:p>
    <w:p w14:paraId="30DDF605" w14:textId="77777777" w:rsidR="0004518F" w:rsidRPr="00883FAB" w:rsidRDefault="0004518F" w:rsidP="00883FAB">
      <w:pPr>
        <w:pStyle w:val="NormalWeb"/>
        <w:spacing w:before="0" w:beforeAutospacing="0" w:after="0" w:afterAutospacing="0"/>
        <w:ind w:left="-567"/>
        <w:contextualSpacing/>
        <w:jc w:val="center"/>
        <w:rPr>
          <w:rFonts w:ascii="Arial" w:hAnsi="Arial" w:cs="Arial"/>
          <w:sz w:val="22"/>
          <w:szCs w:val="22"/>
        </w:rPr>
      </w:pPr>
    </w:p>
    <w:p w14:paraId="4E33E00D" w14:textId="77777777" w:rsidR="0004518F" w:rsidRPr="00883FAB" w:rsidRDefault="0004518F" w:rsidP="00883FAB">
      <w:pPr>
        <w:ind w:left="-567"/>
        <w:contextualSpacing/>
        <w:jc w:val="center"/>
        <w:rPr>
          <w:rFonts w:ascii="Arial" w:hAnsi="Arial" w:cs="Arial"/>
        </w:rPr>
      </w:pPr>
      <w:r w:rsidRPr="00883FAB">
        <w:rPr>
          <w:rFonts w:ascii="Arial" w:hAnsi="Arial" w:cs="Arial"/>
        </w:rPr>
        <w:t xml:space="preserve">Dirección de Atención a Medios / Dirección General Adjunta de Comunicación </w:t>
      </w:r>
    </w:p>
    <w:p w14:paraId="37274271" w14:textId="77777777" w:rsidR="00883FAB" w:rsidRPr="00AC0C6B" w:rsidRDefault="00883FAB" w:rsidP="00883FAB">
      <w:pPr>
        <w:ind w:left="-567"/>
        <w:contextualSpacing/>
        <w:jc w:val="center"/>
        <w:rPr>
          <w:rFonts w:ascii="Arial" w:hAnsi="Arial" w:cs="Arial"/>
          <w:sz w:val="20"/>
          <w:szCs w:val="20"/>
        </w:rPr>
      </w:pPr>
    </w:p>
    <w:p w14:paraId="782CBC38" w14:textId="77777777" w:rsidR="00883FAB" w:rsidRDefault="0004518F" w:rsidP="00883FAB">
      <w:pPr>
        <w:ind w:left="-567"/>
        <w:contextualSpacing/>
        <w:jc w:val="center"/>
        <w:rPr>
          <w:noProof/>
          <w:lang w:eastAsia="es-MX"/>
        </w:rPr>
        <w:sectPr w:rsidR="00883FAB" w:rsidSect="0036483E">
          <w:headerReference w:type="default" r:id="rId9"/>
          <w:footerReference w:type="default" r:id="rId10"/>
          <w:type w:val="continuous"/>
          <w:pgSz w:w="12240" w:h="15840"/>
          <w:pgMar w:top="1417" w:right="1183" w:bottom="1276" w:left="1701" w:header="708" w:footer="708" w:gutter="0"/>
          <w:cols w:space="708"/>
          <w:docGrid w:linePitch="360"/>
        </w:sectPr>
      </w:pPr>
      <w:r w:rsidRPr="008F0992">
        <w:rPr>
          <w:noProof/>
          <w:lang w:val="en-US"/>
        </w:rPr>
        <w:drawing>
          <wp:inline distT="0" distB="0" distL="0" distR="0" wp14:anchorId="647EAB73" wp14:editId="6A845848">
            <wp:extent cx="318472" cy="322419"/>
            <wp:effectExtent l="0" t="0" r="5715" b="1905"/>
            <wp:docPr id="13" name="Imagen 13"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723BA582" wp14:editId="754966E2">
            <wp:extent cx="327704" cy="325467"/>
            <wp:effectExtent l="0" t="0" r="0" b="0"/>
            <wp:docPr id="17" name="Imagen 17" descr="C:\Users\saladeprensa\Desktop\NVOS LOGOS\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1BFCD348" wp14:editId="4D422947">
            <wp:extent cx="321276" cy="324093"/>
            <wp:effectExtent l="0" t="0" r="3175" b="0"/>
            <wp:docPr id="35" name="Imagen 35" descr="C:\Users\saladeprensa\Desktop\NVOS LOGOS\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7E366480" wp14:editId="07BA8F4B">
            <wp:extent cx="321276" cy="326574"/>
            <wp:effectExtent l="0" t="0" r="3175" b="0"/>
            <wp:docPr id="36" name="Imagen 36" descr="C:\Users\saladeprensa\Desktop\NVOS LOGOS\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lang w:eastAsia="es-MX"/>
        </w:rPr>
        <w:t xml:space="preserve">  </w:t>
      </w:r>
      <w:r w:rsidRPr="008F0992">
        <w:rPr>
          <w:noProof/>
          <w:sz w:val="14"/>
          <w:szCs w:val="18"/>
          <w:lang w:val="en-US"/>
        </w:rPr>
        <w:drawing>
          <wp:inline distT="0" distB="0" distL="0" distR="0" wp14:anchorId="1B17EF6A" wp14:editId="00486DB5">
            <wp:extent cx="2323070" cy="319707"/>
            <wp:effectExtent l="0" t="0" r="1270" b="4445"/>
            <wp:docPr id="40" name="Imagen 4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14:paraId="673DA202" w14:textId="77777777" w:rsidR="0004518F" w:rsidRPr="00EC2F19" w:rsidRDefault="0004518F" w:rsidP="00883FAB">
      <w:pPr>
        <w:ind w:left="-567"/>
        <w:contextualSpacing/>
        <w:jc w:val="center"/>
      </w:pPr>
    </w:p>
    <w:p w14:paraId="427D15B2" w14:textId="77777777" w:rsidR="00EC2F19" w:rsidRPr="00532488" w:rsidRDefault="00EC2F19" w:rsidP="00151B69">
      <w:pPr>
        <w:autoSpaceDE w:val="0"/>
        <w:autoSpaceDN w:val="0"/>
        <w:adjustRightInd w:val="0"/>
        <w:spacing w:after="0" w:line="240" w:lineRule="auto"/>
        <w:ind w:left="-567"/>
        <w:jc w:val="center"/>
        <w:rPr>
          <w:rFonts w:ascii="Arial" w:hAnsi="Arial" w:cs="Arial"/>
          <w:color w:val="000000"/>
          <w:sz w:val="24"/>
          <w:szCs w:val="24"/>
        </w:rPr>
      </w:pPr>
      <w:r w:rsidRPr="00532488">
        <w:rPr>
          <w:rFonts w:ascii="Arial" w:hAnsi="Arial" w:cs="Arial"/>
          <w:b/>
          <w:bCs/>
          <w:color w:val="000000"/>
          <w:sz w:val="24"/>
          <w:szCs w:val="24"/>
        </w:rPr>
        <w:t xml:space="preserve">INEGI PRESENTA </w:t>
      </w:r>
      <w:r w:rsidR="001D20DC">
        <w:rPr>
          <w:rFonts w:ascii="Arial" w:hAnsi="Arial" w:cs="Arial"/>
          <w:b/>
          <w:bCs/>
          <w:color w:val="000000"/>
          <w:sz w:val="24"/>
          <w:szCs w:val="24"/>
        </w:rPr>
        <w:t xml:space="preserve">EL </w:t>
      </w:r>
      <w:r w:rsidR="00FC6760">
        <w:rPr>
          <w:rFonts w:ascii="Arial" w:hAnsi="Arial" w:cs="Arial"/>
          <w:b/>
          <w:bCs/>
          <w:color w:val="000000"/>
          <w:sz w:val="24"/>
          <w:szCs w:val="24"/>
        </w:rPr>
        <w:t>DÉCIMO</w:t>
      </w:r>
      <w:r w:rsidRPr="00532488">
        <w:rPr>
          <w:rFonts w:ascii="Arial" w:hAnsi="Arial" w:cs="Arial"/>
          <w:b/>
          <w:bCs/>
          <w:color w:val="000000"/>
          <w:sz w:val="24"/>
          <w:szCs w:val="24"/>
        </w:rPr>
        <w:t xml:space="preserve"> CENSO NACIONAL DE IMPARTICIÓN DE JUSTICIA FEDERAL</w:t>
      </w:r>
    </w:p>
    <w:p w14:paraId="53B627E0" w14:textId="77777777" w:rsidR="00EC2F19" w:rsidRDefault="00EC2F19" w:rsidP="00EC2F19">
      <w:pPr>
        <w:autoSpaceDE w:val="0"/>
        <w:autoSpaceDN w:val="0"/>
        <w:adjustRightInd w:val="0"/>
        <w:spacing w:after="0" w:line="240" w:lineRule="auto"/>
        <w:rPr>
          <w:rFonts w:ascii="Arial" w:hAnsi="Arial" w:cs="Arial"/>
          <w:b/>
          <w:bCs/>
          <w:color w:val="000000"/>
        </w:rPr>
      </w:pPr>
    </w:p>
    <w:p w14:paraId="0E24B0E4" w14:textId="77777777" w:rsidR="00EC2F19" w:rsidRPr="00D1786A" w:rsidRDefault="00EC2F19" w:rsidP="00EC2F19">
      <w:pPr>
        <w:pStyle w:val="Prrafodelista"/>
        <w:numPr>
          <w:ilvl w:val="0"/>
          <w:numId w:val="4"/>
        </w:numPr>
        <w:autoSpaceDE w:val="0"/>
        <w:autoSpaceDN w:val="0"/>
        <w:adjustRightInd w:val="0"/>
        <w:spacing w:after="0" w:line="240" w:lineRule="auto"/>
        <w:ind w:left="284" w:right="333" w:hanging="426"/>
        <w:jc w:val="both"/>
        <w:rPr>
          <w:rFonts w:ascii="Arial" w:hAnsi="Arial" w:cs="Arial"/>
          <w:color w:val="000000"/>
        </w:rPr>
      </w:pPr>
      <w:r w:rsidRPr="00D1786A">
        <w:rPr>
          <w:rFonts w:ascii="Arial" w:hAnsi="Arial" w:cs="Arial"/>
          <w:b/>
          <w:bCs/>
          <w:color w:val="000000"/>
        </w:rPr>
        <w:t>Se constituye como un pro</w:t>
      </w:r>
      <w:r w:rsidR="00FC6760">
        <w:rPr>
          <w:rFonts w:ascii="Arial" w:hAnsi="Arial" w:cs="Arial"/>
          <w:b/>
          <w:bCs/>
          <w:color w:val="000000"/>
        </w:rPr>
        <w:t>grama</w:t>
      </w:r>
      <w:r w:rsidRPr="00D1786A">
        <w:rPr>
          <w:rFonts w:ascii="Arial" w:hAnsi="Arial" w:cs="Arial"/>
          <w:b/>
          <w:bCs/>
          <w:color w:val="000000"/>
        </w:rPr>
        <w:t xml:space="preserve"> estadístico que se realiza en el ámbito federal del Estado Mexicano y, en conjunto, ofrece información relevant</w:t>
      </w:r>
      <w:r w:rsidR="00F87671">
        <w:rPr>
          <w:rFonts w:ascii="Arial" w:hAnsi="Arial" w:cs="Arial"/>
          <w:b/>
          <w:bCs/>
          <w:color w:val="000000"/>
        </w:rPr>
        <w:t>e de la estructura organizacional</w:t>
      </w:r>
      <w:r w:rsidRPr="00D1786A">
        <w:rPr>
          <w:rFonts w:ascii="Arial" w:hAnsi="Arial" w:cs="Arial"/>
          <w:b/>
          <w:bCs/>
          <w:color w:val="000000"/>
        </w:rPr>
        <w:t xml:space="preserve">, recursos y ejercicio de la función de los órganos que conforman al Poder Judicial de la Federación. </w:t>
      </w:r>
    </w:p>
    <w:p w14:paraId="30A2DF9D" w14:textId="77777777" w:rsidR="00EC2F19" w:rsidRDefault="00EC2F19" w:rsidP="00EC2F19">
      <w:pPr>
        <w:autoSpaceDE w:val="0"/>
        <w:autoSpaceDN w:val="0"/>
        <w:adjustRightInd w:val="0"/>
        <w:spacing w:after="0" w:line="240" w:lineRule="auto"/>
        <w:jc w:val="both"/>
        <w:rPr>
          <w:rFonts w:ascii="Arial" w:hAnsi="Arial" w:cs="Arial"/>
          <w:color w:val="000000"/>
        </w:rPr>
      </w:pPr>
    </w:p>
    <w:p w14:paraId="73695A21" w14:textId="77777777" w:rsidR="001D20DC" w:rsidRDefault="001D20DC" w:rsidP="001D20DC">
      <w:pPr>
        <w:autoSpaceDE w:val="0"/>
        <w:autoSpaceDN w:val="0"/>
        <w:adjustRightInd w:val="0"/>
        <w:spacing w:after="0" w:line="240" w:lineRule="auto"/>
        <w:ind w:left="-567"/>
        <w:jc w:val="both"/>
        <w:rPr>
          <w:rFonts w:ascii="Arial" w:hAnsi="Arial" w:cs="Arial"/>
          <w:color w:val="000000"/>
          <w:sz w:val="24"/>
        </w:rPr>
      </w:pPr>
    </w:p>
    <w:p w14:paraId="2BB3AADC" w14:textId="77777777" w:rsidR="001D20DC" w:rsidRDefault="001D20DC" w:rsidP="001D20DC">
      <w:pPr>
        <w:autoSpaceDE w:val="0"/>
        <w:autoSpaceDN w:val="0"/>
        <w:adjustRightInd w:val="0"/>
        <w:spacing w:after="0" w:line="240" w:lineRule="auto"/>
        <w:ind w:left="-567"/>
        <w:jc w:val="both"/>
        <w:rPr>
          <w:rFonts w:ascii="Arial" w:hAnsi="Arial" w:cs="Arial"/>
          <w:color w:val="000000"/>
          <w:sz w:val="24"/>
        </w:rPr>
      </w:pPr>
      <w:r w:rsidRPr="001D20DC">
        <w:rPr>
          <w:rFonts w:ascii="Arial" w:hAnsi="Arial" w:cs="Arial"/>
          <w:color w:val="000000"/>
          <w:sz w:val="24"/>
        </w:rPr>
        <w:t>El Instituto Nacional de Estadística y Geografía (INEGI) da a conocer hoy la información</w:t>
      </w:r>
      <w:r w:rsidR="003C29EB">
        <w:rPr>
          <w:rFonts w:ascii="Arial" w:hAnsi="Arial" w:cs="Arial"/>
          <w:color w:val="000000"/>
          <w:sz w:val="24"/>
        </w:rPr>
        <w:t xml:space="preserve"> </w:t>
      </w:r>
      <w:r w:rsidRPr="001D20DC">
        <w:rPr>
          <w:rFonts w:ascii="Arial" w:hAnsi="Arial" w:cs="Arial"/>
          <w:color w:val="000000"/>
          <w:sz w:val="24"/>
        </w:rPr>
        <w:t xml:space="preserve">del </w:t>
      </w:r>
      <w:r w:rsidR="003C29EB">
        <w:rPr>
          <w:rFonts w:ascii="Arial" w:hAnsi="Arial" w:cs="Arial"/>
          <w:color w:val="000000"/>
          <w:sz w:val="24"/>
        </w:rPr>
        <w:t xml:space="preserve">Censo </w:t>
      </w:r>
      <w:r w:rsidRPr="00670E94">
        <w:rPr>
          <w:rFonts w:ascii="Arial" w:hAnsi="Arial" w:cs="Arial"/>
          <w:color w:val="000000"/>
          <w:sz w:val="24"/>
        </w:rPr>
        <w:t>Nacional de Impartición de Justicia Federal (CNIJF)</w:t>
      </w:r>
      <w:r>
        <w:rPr>
          <w:rFonts w:ascii="Arial" w:hAnsi="Arial" w:cs="Arial"/>
          <w:color w:val="000000"/>
          <w:sz w:val="24"/>
        </w:rPr>
        <w:t xml:space="preserve"> </w:t>
      </w:r>
      <w:r w:rsidRPr="00670E94">
        <w:rPr>
          <w:rFonts w:ascii="Arial" w:hAnsi="Arial" w:cs="Arial"/>
          <w:color w:val="000000"/>
          <w:sz w:val="24"/>
        </w:rPr>
        <w:t>20</w:t>
      </w:r>
      <w:r>
        <w:rPr>
          <w:rFonts w:ascii="Arial" w:hAnsi="Arial" w:cs="Arial"/>
          <w:color w:val="000000"/>
          <w:sz w:val="24"/>
        </w:rPr>
        <w:t>20.</w:t>
      </w:r>
    </w:p>
    <w:p w14:paraId="26AE91F7" w14:textId="77777777" w:rsidR="001D20DC" w:rsidRPr="00670E94" w:rsidRDefault="001D20DC" w:rsidP="001D20DC">
      <w:pPr>
        <w:autoSpaceDE w:val="0"/>
        <w:autoSpaceDN w:val="0"/>
        <w:adjustRightInd w:val="0"/>
        <w:spacing w:after="0" w:line="240" w:lineRule="auto"/>
        <w:ind w:left="-567"/>
        <w:jc w:val="both"/>
        <w:rPr>
          <w:rFonts w:ascii="Arial" w:hAnsi="Arial" w:cs="Arial"/>
          <w:color w:val="000000"/>
          <w:sz w:val="24"/>
        </w:rPr>
      </w:pPr>
    </w:p>
    <w:p w14:paraId="1222749E" w14:textId="77777777" w:rsidR="00EC2F19" w:rsidRDefault="00EC2F19" w:rsidP="00F453C6">
      <w:pPr>
        <w:autoSpaceDE w:val="0"/>
        <w:autoSpaceDN w:val="0"/>
        <w:adjustRightInd w:val="0"/>
        <w:spacing w:after="0" w:line="240" w:lineRule="auto"/>
        <w:ind w:left="-567"/>
        <w:jc w:val="both"/>
        <w:rPr>
          <w:rFonts w:ascii="Arial" w:hAnsi="Arial" w:cs="Arial"/>
          <w:color w:val="000000"/>
          <w:sz w:val="24"/>
        </w:rPr>
      </w:pPr>
      <w:r w:rsidRPr="00670E94">
        <w:rPr>
          <w:rFonts w:ascii="Arial" w:hAnsi="Arial" w:cs="Arial"/>
          <w:color w:val="000000"/>
          <w:sz w:val="24"/>
        </w:rPr>
        <w:t>E</w:t>
      </w:r>
      <w:r w:rsidR="00A95EAB">
        <w:rPr>
          <w:rFonts w:ascii="Arial" w:hAnsi="Arial" w:cs="Arial"/>
          <w:color w:val="000000"/>
          <w:sz w:val="24"/>
        </w:rPr>
        <w:t xml:space="preserve">l objetivo </w:t>
      </w:r>
      <w:r w:rsidR="00E82E2F">
        <w:rPr>
          <w:rFonts w:ascii="Arial" w:hAnsi="Arial" w:cs="Arial"/>
          <w:color w:val="000000"/>
          <w:sz w:val="24"/>
        </w:rPr>
        <w:t xml:space="preserve">general </w:t>
      </w:r>
      <w:r w:rsidR="00A95EAB">
        <w:rPr>
          <w:rFonts w:ascii="Arial" w:hAnsi="Arial" w:cs="Arial"/>
          <w:color w:val="000000"/>
          <w:sz w:val="24"/>
        </w:rPr>
        <w:t>de e</w:t>
      </w:r>
      <w:r w:rsidR="00373B06">
        <w:rPr>
          <w:rFonts w:ascii="Arial" w:hAnsi="Arial" w:cs="Arial"/>
          <w:color w:val="000000"/>
          <w:sz w:val="24"/>
        </w:rPr>
        <w:t xml:space="preserve">ste Censo </w:t>
      </w:r>
      <w:r w:rsidR="00A95EAB">
        <w:rPr>
          <w:rFonts w:ascii="Arial" w:hAnsi="Arial" w:cs="Arial"/>
          <w:color w:val="000000"/>
          <w:sz w:val="24"/>
        </w:rPr>
        <w:t>es</w:t>
      </w:r>
      <w:r w:rsidRPr="00670E94">
        <w:rPr>
          <w:sz w:val="24"/>
        </w:rPr>
        <w:t xml:space="preserve"> </w:t>
      </w:r>
      <w:r w:rsidRPr="00670E94">
        <w:rPr>
          <w:rFonts w:ascii="Arial" w:hAnsi="Arial" w:cs="Arial"/>
          <w:color w:val="000000"/>
          <w:sz w:val="24"/>
        </w:rPr>
        <w:t>generar información estadística y geográfica sobre la gestión y desempeño de los órganos que integran al Poder Judicial de la Federación, específicamente en las funciones de gobierno e impartición de justicia, con la finalidad de que esta se vincule con el quehacer gubernamental dentro del proceso de diseño, implementación, monitoreo y evaluación de las políticas públicas de alcance nacional en los ref</w:t>
      </w:r>
      <w:r w:rsidR="00A51EEC">
        <w:rPr>
          <w:rFonts w:ascii="Arial" w:hAnsi="Arial" w:cs="Arial"/>
          <w:color w:val="000000"/>
          <w:sz w:val="24"/>
        </w:rPr>
        <w:t>eridos temas</w:t>
      </w:r>
      <w:r w:rsidRPr="00670E94">
        <w:rPr>
          <w:rFonts w:ascii="Arial" w:hAnsi="Arial" w:cs="Arial"/>
          <w:color w:val="000000"/>
          <w:sz w:val="24"/>
        </w:rPr>
        <w:t>.</w:t>
      </w:r>
    </w:p>
    <w:p w14:paraId="4EE09A9A" w14:textId="77777777" w:rsidR="00783E44" w:rsidRDefault="00783E44" w:rsidP="00F453C6">
      <w:pPr>
        <w:autoSpaceDE w:val="0"/>
        <w:autoSpaceDN w:val="0"/>
        <w:adjustRightInd w:val="0"/>
        <w:spacing w:after="0" w:line="240" w:lineRule="auto"/>
        <w:ind w:left="-567"/>
        <w:jc w:val="both"/>
        <w:rPr>
          <w:rFonts w:ascii="Arial" w:hAnsi="Arial" w:cs="Arial"/>
          <w:color w:val="000000"/>
          <w:sz w:val="24"/>
        </w:rPr>
      </w:pPr>
    </w:p>
    <w:p w14:paraId="1997F18C" w14:textId="77777777" w:rsidR="00EC2F19" w:rsidRDefault="006627FE" w:rsidP="00151B69">
      <w:pPr>
        <w:autoSpaceDE w:val="0"/>
        <w:autoSpaceDN w:val="0"/>
        <w:adjustRightInd w:val="0"/>
        <w:spacing w:after="0" w:line="240" w:lineRule="auto"/>
        <w:ind w:left="-567"/>
        <w:jc w:val="both"/>
        <w:rPr>
          <w:rFonts w:ascii="Arial" w:hAnsi="Arial" w:cs="Arial"/>
          <w:color w:val="000000"/>
          <w:sz w:val="24"/>
        </w:rPr>
      </w:pPr>
      <w:r w:rsidRPr="006627FE">
        <w:rPr>
          <w:rFonts w:ascii="Arial" w:hAnsi="Arial" w:cs="Arial"/>
          <w:color w:val="000000"/>
          <w:sz w:val="24"/>
        </w:rPr>
        <w:t>En relación con los aspectos metodológicos del CN</w:t>
      </w:r>
      <w:r>
        <w:rPr>
          <w:rFonts w:ascii="Arial" w:hAnsi="Arial" w:cs="Arial"/>
          <w:color w:val="000000"/>
          <w:sz w:val="24"/>
        </w:rPr>
        <w:t>IJF</w:t>
      </w:r>
      <w:r w:rsidRPr="006627FE">
        <w:rPr>
          <w:rFonts w:ascii="Arial" w:hAnsi="Arial" w:cs="Arial"/>
          <w:color w:val="000000"/>
          <w:sz w:val="24"/>
        </w:rPr>
        <w:t xml:space="preserve"> 20</w:t>
      </w:r>
      <w:r>
        <w:rPr>
          <w:rFonts w:ascii="Arial" w:hAnsi="Arial" w:cs="Arial"/>
          <w:color w:val="000000"/>
          <w:sz w:val="24"/>
        </w:rPr>
        <w:t>20</w:t>
      </w:r>
      <w:r w:rsidRPr="006627FE">
        <w:rPr>
          <w:rFonts w:ascii="Arial" w:hAnsi="Arial" w:cs="Arial"/>
          <w:color w:val="000000"/>
          <w:sz w:val="24"/>
        </w:rPr>
        <w:t xml:space="preserve">, </w:t>
      </w:r>
      <w:r w:rsidR="00A23F22">
        <w:rPr>
          <w:rFonts w:ascii="Arial" w:hAnsi="Arial" w:cs="Arial"/>
          <w:color w:val="000000"/>
          <w:sz w:val="24"/>
        </w:rPr>
        <w:t xml:space="preserve">de periodicidad anual, </w:t>
      </w:r>
      <w:r w:rsidRPr="006627FE">
        <w:rPr>
          <w:rFonts w:ascii="Arial" w:hAnsi="Arial" w:cs="Arial"/>
          <w:color w:val="000000"/>
          <w:sz w:val="24"/>
        </w:rPr>
        <w:t xml:space="preserve">se destaca que la cobertura geográfica es </w:t>
      </w:r>
      <w:r>
        <w:rPr>
          <w:rFonts w:ascii="Arial" w:hAnsi="Arial" w:cs="Arial"/>
          <w:color w:val="000000"/>
          <w:sz w:val="24"/>
        </w:rPr>
        <w:t>feder</w:t>
      </w:r>
      <w:r w:rsidRPr="006627FE">
        <w:rPr>
          <w:rFonts w:ascii="Arial" w:hAnsi="Arial" w:cs="Arial"/>
          <w:color w:val="000000"/>
          <w:sz w:val="24"/>
        </w:rPr>
        <w:t>al</w:t>
      </w:r>
      <w:r>
        <w:rPr>
          <w:rFonts w:ascii="Arial" w:hAnsi="Arial" w:cs="Arial"/>
          <w:color w:val="000000"/>
          <w:sz w:val="24"/>
        </w:rPr>
        <w:t xml:space="preserve"> </w:t>
      </w:r>
      <w:r w:rsidRPr="006627FE">
        <w:rPr>
          <w:rFonts w:ascii="Arial" w:hAnsi="Arial" w:cs="Arial"/>
          <w:color w:val="000000"/>
          <w:sz w:val="24"/>
        </w:rPr>
        <w:t xml:space="preserve">y la temporalidad de la información corresponde a 2019. </w:t>
      </w:r>
      <w:r w:rsidR="000F4488">
        <w:rPr>
          <w:rFonts w:ascii="Arial" w:hAnsi="Arial" w:cs="Arial"/>
          <w:color w:val="000000"/>
          <w:sz w:val="24"/>
        </w:rPr>
        <w:t>El objeto de estudio es</w:t>
      </w:r>
      <w:r w:rsidR="00A51503">
        <w:rPr>
          <w:rFonts w:ascii="Arial" w:hAnsi="Arial" w:cs="Arial"/>
          <w:color w:val="000000"/>
          <w:sz w:val="24"/>
        </w:rPr>
        <w:t xml:space="preserve"> el Poder Judicial de la Federación</w:t>
      </w:r>
      <w:r w:rsidRPr="006627FE">
        <w:rPr>
          <w:rFonts w:ascii="Arial" w:hAnsi="Arial" w:cs="Arial"/>
          <w:color w:val="000000"/>
          <w:sz w:val="24"/>
        </w:rPr>
        <w:t xml:space="preserve">. El periodo de levantamiento ocurrió del </w:t>
      </w:r>
      <w:r w:rsidR="00151B69" w:rsidRPr="00151B69">
        <w:rPr>
          <w:rFonts w:ascii="Arial" w:hAnsi="Arial" w:cs="Arial"/>
          <w:color w:val="000000"/>
          <w:sz w:val="24"/>
        </w:rPr>
        <w:t>05</w:t>
      </w:r>
      <w:r w:rsidRPr="00151B69">
        <w:rPr>
          <w:rFonts w:ascii="Arial" w:hAnsi="Arial" w:cs="Arial"/>
          <w:color w:val="000000"/>
          <w:sz w:val="24"/>
        </w:rPr>
        <w:t xml:space="preserve"> de </w:t>
      </w:r>
      <w:r w:rsidR="00151B69" w:rsidRPr="00151B69">
        <w:rPr>
          <w:rFonts w:ascii="Arial" w:hAnsi="Arial" w:cs="Arial"/>
          <w:color w:val="000000"/>
          <w:sz w:val="24"/>
        </w:rPr>
        <w:t>febrero</w:t>
      </w:r>
      <w:r w:rsidRPr="00151B69">
        <w:rPr>
          <w:rFonts w:ascii="Arial" w:hAnsi="Arial" w:cs="Arial"/>
          <w:color w:val="000000"/>
          <w:sz w:val="24"/>
        </w:rPr>
        <w:t xml:space="preserve"> al </w:t>
      </w:r>
      <w:r w:rsidR="00151B69" w:rsidRPr="00151B69">
        <w:rPr>
          <w:rFonts w:ascii="Arial" w:hAnsi="Arial" w:cs="Arial"/>
          <w:color w:val="000000"/>
          <w:sz w:val="24"/>
        </w:rPr>
        <w:t>11</w:t>
      </w:r>
      <w:r w:rsidRPr="00151B69">
        <w:rPr>
          <w:rFonts w:ascii="Arial" w:hAnsi="Arial" w:cs="Arial"/>
          <w:color w:val="000000"/>
          <w:sz w:val="24"/>
        </w:rPr>
        <w:t xml:space="preserve"> de </w:t>
      </w:r>
      <w:r w:rsidR="00151B69" w:rsidRPr="00151B69">
        <w:rPr>
          <w:rFonts w:ascii="Arial" w:hAnsi="Arial" w:cs="Arial"/>
          <w:color w:val="000000"/>
          <w:sz w:val="24"/>
        </w:rPr>
        <w:t>junio</w:t>
      </w:r>
      <w:r w:rsidRPr="00151B69">
        <w:rPr>
          <w:rFonts w:ascii="Arial" w:hAnsi="Arial" w:cs="Arial"/>
          <w:color w:val="000000"/>
          <w:sz w:val="24"/>
        </w:rPr>
        <w:t xml:space="preserve"> de</w:t>
      </w:r>
      <w:r w:rsidR="00CF2511" w:rsidRPr="00151B69">
        <w:rPr>
          <w:rFonts w:ascii="Arial" w:hAnsi="Arial" w:cs="Arial"/>
          <w:color w:val="000000"/>
          <w:sz w:val="24"/>
        </w:rPr>
        <w:t xml:space="preserve"> 2020</w:t>
      </w:r>
      <w:r w:rsidR="00151B69">
        <w:rPr>
          <w:rFonts w:ascii="Arial" w:hAnsi="Arial" w:cs="Arial"/>
          <w:color w:val="000000"/>
          <w:sz w:val="24"/>
        </w:rPr>
        <w:t xml:space="preserve"> y l</w:t>
      </w:r>
      <w:r w:rsidRPr="006627FE">
        <w:rPr>
          <w:rFonts w:ascii="Arial" w:hAnsi="Arial" w:cs="Arial"/>
          <w:color w:val="000000"/>
          <w:sz w:val="24"/>
        </w:rPr>
        <w:t xml:space="preserve">a </w:t>
      </w:r>
      <w:r w:rsidRPr="002A1F50">
        <w:rPr>
          <w:rFonts w:ascii="Arial" w:hAnsi="Arial" w:cs="Arial"/>
          <w:color w:val="000000"/>
          <w:sz w:val="24"/>
        </w:rPr>
        <w:t>publicac</w:t>
      </w:r>
      <w:r w:rsidR="00C74A52" w:rsidRPr="002A1F50">
        <w:rPr>
          <w:rFonts w:ascii="Arial" w:hAnsi="Arial" w:cs="Arial"/>
          <w:color w:val="000000"/>
          <w:sz w:val="24"/>
        </w:rPr>
        <w:t>ión de resultados se realiza</w:t>
      </w:r>
      <w:r w:rsidRPr="002A1F50">
        <w:rPr>
          <w:rFonts w:ascii="Arial" w:hAnsi="Arial" w:cs="Arial"/>
          <w:color w:val="000000"/>
          <w:sz w:val="24"/>
        </w:rPr>
        <w:t xml:space="preserve"> el </w:t>
      </w:r>
      <w:r w:rsidR="00A51503" w:rsidRPr="002A1F50">
        <w:rPr>
          <w:rFonts w:ascii="Arial" w:hAnsi="Arial" w:cs="Arial"/>
          <w:color w:val="000000"/>
          <w:sz w:val="24"/>
        </w:rPr>
        <w:t>02</w:t>
      </w:r>
      <w:r w:rsidRPr="002A1F50">
        <w:rPr>
          <w:rFonts w:ascii="Arial" w:hAnsi="Arial" w:cs="Arial"/>
          <w:color w:val="000000"/>
          <w:sz w:val="24"/>
        </w:rPr>
        <w:t xml:space="preserve"> de </w:t>
      </w:r>
      <w:r w:rsidR="000B7486" w:rsidRPr="002A1F50">
        <w:rPr>
          <w:rFonts w:ascii="Arial" w:hAnsi="Arial" w:cs="Arial"/>
          <w:color w:val="000000"/>
          <w:sz w:val="24"/>
        </w:rPr>
        <w:t>julio</w:t>
      </w:r>
      <w:r w:rsidRPr="002A1F50">
        <w:rPr>
          <w:rFonts w:ascii="Arial" w:hAnsi="Arial" w:cs="Arial"/>
          <w:color w:val="000000"/>
          <w:sz w:val="24"/>
        </w:rPr>
        <w:t xml:space="preserve"> de 2020.</w:t>
      </w:r>
      <w:r w:rsidR="00D40C2A">
        <w:rPr>
          <w:rFonts w:ascii="Arial" w:hAnsi="Arial" w:cs="Arial"/>
          <w:color w:val="000000"/>
          <w:sz w:val="24"/>
        </w:rPr>
        <w:t xml:space="preserve"> La i</w:t>
      </w:r>
      <w:r w:rsidR="006C5371">
        <w:rPr>
          <w:rFonts w:ascii="Arial" w:hAnsi="Arial" w:cs="Arial"/>
          <w:color w:val="000000"/>
          <w:sz w:val="24"/>
        </w:rPr>
        <w:t xml:space="preserve">nformación se puede consultar en el sitio: </w:t>
      </w:r>
      <w:hyperlink r:id="rId21" w:history="1">
        <w:r w:rsidR="006C5371" w:rsidRPr="007D40B2">
          <w:rPr>
            <w:rStyle w:val="Hipervnculo"/>
            <w:rFonts w:ascii="Arial" w:hAnsi="Arial" w:cs="Arial"/>
            <w:sz w:val="24"/>
          </w:rPr>
          <w:t>https://www.inegi</w:t>
        </w:r>
        <w:r w:rsidR="0031509C">
          <w:rPr>
            <w:rStyle w:val="Hipervnculo"/>
            <w:rFonts w:ascii="Arial" w:hAnsi="Arial" w:cs="Arial"/>
            <w:sz w:val="24"/>
          </w:rPr>
          <w:t>.</w:t>
        </w:r>
        <w:r w:rsidR="006C5371" w:rsidRPr="007D40B2">
          <w:rPr>
            <w:rStyle w:val="Hipervnculo"/>
            <w:rFonts w:ascii="Arial" w:hAnsi="Arial" w:cs="Arial"/>
            <w:sz w:val="24"/>
          </w:rPr>
          <w:t>org.mx/programas/cnijf/2020/</w:t>
        </w:r>
      </w:hyperlink>
      <w:r w:rsidR="006C5371">
        <w:rPr>
          <w:rFonts w:ascii="Arial" w:hAnsi="Arial" w:cs="Arial"/>
          <w:color w:val="000000"/>
          <w:sz w:val="24"/>
        </w:rPr>
        <w:t>.</w:t>
      </w:r>
    </w:p>
    <w:p w14:paraId="751A350A" w14:textId="77777777" w:rsidR="006627FE" w:rsidRDefault="006627FE" w:rsidP="00151B69">
      <w:pPr>
        <w:autoSpaceDE w:val="0"/>
        <w:autoSpaceDN w:val="0"/>
        <w:adjustRightInd w:val="0"/>
        <w:spacing w:after="0" w:line="240" w:lineRule="auto"/>
        <w:jc w:val="both"/>
        <w:rPr>
          <w:rFonts w:ascii="Arial" w:hAnsi="Arial" w:cs="Arial"/>
          <w:color w:val="000000"/>
          <w:sz w:val="24"/>
        </w:rPr>
      </w:pPr>
    </w:p>
    <w:p w14:paraId="0971AEC8" w14:textId="77777777" w:rsidR="00CF2511" w:rsidRDefault="00C74A52" w:rsidP="00CF2511">
      <w:pPr>
        <w:autoSpaceDE w:val="0"/>
        <w:autoSpaceDN w:val="0"/>
        <w:adjustRightInd w:val="0"/>
        <w:spacing w:after="0" w:line="240" w:lineRule="auto"/>
        <w:ind w:left="-567"/>
        <w:jc w:val="both"/>
        <w:rPr>
          <w:rFonts w:ascii="Arial" w:hAnsi="Arial" w:cs="Arial"/>
          <w:color w:val="000000"/>
          <w:sz w:val="24"/>
        </w:rPr>
      </w:pPr>
      <w:r>
        <w:rPr>
          <w:rFonts w:ascii="Arial" w:hAnsi="Arial" w:cs="Arial"/>
          <w:color w:val="000000"/>
          <w:sz w:val="24"/>
        </w:rPr>
        <w:t>L</w:t>
      </w:r>
      <w:r w:rsidR="002B6CE5">
        <w:rPr>
          <w:rFonts w:ascii="Arial" w:hAnsi="Arial" w:cs="Arial"/>
          <w:color w:val="000000"/>
          <w:sz w:val="24"/>
        </w:rPr>
        <w:t>os resultados de l</w:t>
      </w:r>
      <w:r>
        <w:rPr>
          <w:rFonts w:ascii="Arial" w:hAnsi="Arial" w:cs="Arial"/>
          <w:color w:val="000000"/>
          <w:sz w:val="24"/>
        </w:rPr>
        <w:t>a</w:t>
      </w:r>
      <w:r w:rsidR="001D20DC">
        <w:rPr>
          <w:rFonts w:ascii="Arial" w:hAnsi="Arial" w:cs="Arial"/>
          <w:color w:val="000000"/>
          <w:sz w:val="24"/>
        </w:rPr>
        <w:t xml:space="preserve"> décima edición del CNIJF 2020 </w:t>
      </w:r>
      <w:r w:rsidR="00C01E4F">
        <w:rPr>
          <w:rFonts w:ascii="Arial" w:hAnsi="Arial" w:cs="Arial"/>
          <w:color w:val="000000"/>
          <w:sz w:val="24"/>
        </w:rPr>
        <w:t>se presentan en cuadros estadísticos organizados en</w:t>
      </w:r>
      <w:r w:rsidR="001D20DC">
        <w:rPr>
          <w:rFonts w:ascii="Arial" w:hAnsi="Arial" w:cs="Arial"/>
          <w:color w:val="000000"/>
          <w:sz w:val="24"/>
        </w:rPr>
        <w:t xml:space="preserve"> </w:t>
      </w:r>
      <w:r w:rsidR="00CF2511" w:rsidRPr="00CF2511">
        <w:rPr>
          <w:rFonts w:ascii="Arial" w:hAnsi="Arial" w:cs="Arial"/>
          <w:color w:val="000000"/>
          <w:sz w:val="24"/>
        </w:rPr>
        <w:t>11</w:t>
      </w:r>
      <w:r w:rsidR="001D20DC" w:rsidRPr="00CF2511">
        <w:rPr>
          <w:rFonts w:ascii="Arial" w:hAnsi="Arial" w:cs="Arial"/>
          <w:color w:val="000000"/>
          <w:sz w:val="24"/>
        </w:rPr>
        <w:t xml:space="preserve"> apartados</w:t>
      </w:r>
      <w:r w:rsidR="00467724" w:rsidRPr="00CF2511">
        <w:rPr>
          <w:rFonts w:ascii="Arial" w:hAnsi="Arial" w:cs="Arial"/>
          <w:color w:val="000000"/>
          <w:sz w:val="24"/>
        </w:rPr>
        <w:t xml:space="preserve">: </w:t>
      </w:r>
      <w:r w:rsidR="00C4077D" w:rsidRPr="00CF2511">
        <w:rPr>
          <w:rFonts w:ascii="Arial" w:hAnsi="Arial" w:cs="Arial"/>
          <w:color w:val="000000"/>
          <w:sz w:val="24"/>
        </w:rPr>
        <w:t>Estructura organizaciona</w:t>
      </w:r>
      <w:r w:rsidR="00A51503" w:rsidRPr="00CF2511">
        <w:rPr>
          <w:rFonts w:ascii="Arial" w:hAnsi="Arial" w:cs="Arial"/>
          <w:color w:val="000000"/>
          <w:sz w:val="24"/>
        </w:rPr>
        <w:t>l y recursos</w:t>
      </w:r>
      <w:r w:rsidR="00C4077D" w:rsidRPr="00CF2511">
        <w:rPr>
          <w:rFonts w:ascii="Arial" w:hAnsi="Arial" w:cs="Arial"/>
          <w:color w:val="000000"/>
          <w:sz w:val="24"/>
        </w:rPr>
        <w:t xml:space="preserve">; </w:t>
      </w:r>
      <w:r w:rsidR="00783E44" w:rsidRPr="00CF2511">
        <w:rPr>
          <w:rFonts w:ascii="Arial" w:hAnsi="Arial" w:cs="Arial"/>
          <w:color w:val="000000"/>
          <w:sz w:val="24"/>
        </w:rPr>
        <w:t xml:space="preserve">Trámites y servicios y ejercicio de funciones específicas; </w:t>
      </w:r>
      <w:r w:rsidR="00CF2511" w:rsidRPr="00CF2511">
        <w:rPr>
          <w:rFonts w:ascii="Arial" w:hAnsi="Arial" w:cs="Arial"/>
          <w:color w:val="000000"/>
          <w:sz w:val="24"/>
        </w:rPr>
        <w:t>Transparencia;</w:t>
      </w:r>
      <w:r w:rsidR="00783E44" w:rsidRPr="00CF2511">
        <w:rPr>
          <w:rFonts w:ascii="Arial" w:hAnsi="Arial" w:cs="Arial"/>
          <w:color w:val="000000"/>
          <w:sz w:val="24"/>
        </w:rPr>
        <w:t xml:space="preserve"> Control interno y </w:t>
      </w:r>
      <w:r w:rsidR="00431E2A">
        <w:rPr>
          <w:rFonts w:ascii="Arial" w:hAnsi="Arial" w:cs="Arial"/>
          <w:color w:val="000000"/>
          <w:sz w:val="24"/>
        </w:rPr>
        <w:t>a</w:t>
      </w:r>
      <w:r w:rsidR="00783E44" w:rsidRPr="00CF2511">
        <w:rPr>
          <w:rFonts w:ascii="Arial" w:hAnsi="Arial" w:cs="Arial"/>
          <w:color w:val="000000"/>
          <w:sz w:val="24"/>
        </w:rPr>
        <w:t xml:space="preserve">nticorrupción; Administración de archivos y gestión documental; Instituto Federal de Defensoría Pública; Defensoría Pública Electoral </w:t>
      </w:r>
      <w:r w:rsidR="00CF2511" w:rsidRPr="00CF2511">
        <w:rPr>
          <w:rFonts w:ascii="Arial" w:hAnsi="Arial" w:cs="Arial"/>
          <w:color w:val="000000"/>
          <w:sz w:val="24"/>
        </w:rPr>
        <w:t>para Pueblos</w:t>
      </w:r>
      <w:r w:rsidR="00783E44" w:rsidRPr="00CF2511">
        <w:rPr>
          <w:rFonts w:ascii="Arial" w:hAnsi="Arial" w:cs="Arial"/>
          <w:color w:val="000000"/>
          <w:sz w:val="24"/>
        </w:rPr>
        <w:t xml:space="preserve"> y Comunidades Indígenas; Impartición de justicia en la Suprema Corte de Just</w:t>
      </w:r>
      <w:r w:rsidR="00CF2511" w:rsidRPr="00CF2511">
        <w:rPr>
          <w:rFonts w:ascii="Arial" w:hAnsi="Arial" w:cs="Arial"/>
          <w:color w:val="000000"/>
          <w:sz w:val="24"/>
        </w:rPr>
        <w:t>i</w:t>
      </w:r>
      <w:r w:rsidR="00783E44" w:rsidRPr="00CF2511">
        <w:rPr>
          <w:rFonts w:ascii="Arial" w:hAnsi="Arial" w:cs="Arial"/>
          <w:color w:val="000000"/>
          <w:sz w:val="24"/>
        </w:rPr>
        <w:t xml:space="preserve">cia de la Nación; Impartición de justicia en el Tribunal Electoral del Poder Judicial de la Federación; Impartición de justicia en los órganos jurisdiccionales del Consejo de la Judicatura Federal e Impartición de </w:t>
      </w:r>
      <w:r w:rsidR="00431E2A">
        <w:rPr>
          <w:rFonts w:ascii="Arial" w:hAnsi="Arial" w:cs="Arial"/>
          <w:color w:val="000000"/>
          <w:sz w:val="24"/>
        </w:rPr>
        <w:t>j</w:t>
      </w:r>
      <w:r w:rsidR="00783E44" w:rsidRPr="00CF2511">
        <w:rPr>
          <w:rFonts w:ascii="Arial" w:hAnsi="Arial" w:cs="Arial"/>
          <w:color w:val="000000"/>
          <w:sz w:val="24"/>
        </w:rPr>
        <w:t>usticia en materia penal</w:t>
      </w:r>
      <w:r w:rsidR="00286958">
        <w:rPr>
          <w:rStyle w:val="Refdenotaalpie"/>
          <w:rFonts w:ascii="Arial" w:hAnsi="Arial" w:cs="Arial"/>
          <w:color w:val="000000"/>
          <w:sz w:val="24"/>
        </w:rPr>
        <w:footnoteReference w:id="4"/>
      </w:r>
      <w:r w:rsidR="00783E44" w:rsidRPr="00CF2511">
        <w:rPr>
          <w:rFonts w:ascii="Arial" w:hAnsi="Arial" w:cs="Arial"/>
          <w:color w:val="000000"/>
          <w:sz w:val="24"/>
        </w:rPr>
        <w:t>.</w:t>
      </w:r>
    </w:p>
    <w:p w14:paraId="694AE2BB" w14:textId="77777777" w:rsidR="00CF2511" w:rsidRDefault="00CF2511" w:rsidP="00CF2511">
      <w:pPr>
        <w:autoSpaceDE w:val="0"/>
        <w:autoSpaceDN w:val="0"/>
        <w:adjustRightInd w:val="0"/>
        <w:spacing w:after="0" w:line="240" w:lineRule="auto"/>
        <w:ind w:left="-567"/>
        <w:jc w:val="both"/>
        <w:rPr>
          <w:rFonts w:ascii="Arial" w:hAnsi="Arial" w:cs="Arial"/>
          <w:color w:val="000000"/>
          <w:sz w:val="24"/>
        </w:rPr>
      </w:pPr>
    </w:p>
    <w:p w14:paraId="78E902FC" w14:textId="77777777" w:rsidR="007F2636" w:rsidRDefault="007F2636" w:rsidP="00151B69">
      <w:pPr>
        <w:autoSpaceDE w:val="0"/>
        <w:autoSpaceDN w:val="0"/>
        <w:adjustRightInd w:val="0"/>
        <w:spacing w:after="0" w:line="240" w:lineRule="auto"/>
        <w:ind w:left="-567"/>
        <w:jc w:val="both"/>
        <w:rPr>
          <w:rFonts w:ascii="Arial" w:hAnsi="Arial" w:cs="Arial"/>
          <w:b/>
          <w:bCs/>
          <w:sz w:val="24"/>
          <w:szCs w:val="24"/>
        </w:rPr>
      </w:pPr>
    </w:p>
    <w:p w14:paraId="1E2482B2" w14:textId="77777777" w:rsidR="007F2636" w:rsidRDefault="007F2636" w:rsidP="00151B69">
      <w:pPr>
        <w:autoSpaceDE w:val="0"/>
        <w:autoSpaceDN w:val="0"/>
        <w:adjustRightInd w:val="0"/>
        <w:spacing w:after="0" w:line="240" w:lineRule="auto"/>
        <w:ind w:left="-567"/>
        <w:jc w:val="both"/>
        <w:rPr>
          <w:rFonts w:ascii="Arial" w:hAnsi="Arial" w:cs="Arial"/>
          <w:b/>
          <w:bCs/>
          <w:sz w:val="24"/>
          <w:szCs w:val="24"/>
        </w:rPr>
      </w:pPr>
    </w:p>
    <w:p w14:paraId="79B6B7F5" w14:textId="77777777" w:rsidR="007F2636" w:rsidRDefault="007F2636" w:rsidP="00151B69">
      <w:pPr>
        <w:autoSpaceDE w:val="0"/>
        <w:autoSpaceDN w:val="0"/>
        <w:adjustRightInd w:val="0"/>
        <w:spacing w:after="0" w:line="240" w:lineRule="auto"/>
        <w:ind w:left="-567"/>
        <w:jc w:val="both"/>
        <w:rPr>
          <w:rFonts w:ascii="Arial" w:hAnsi="Arial" w:cs="Arial"/>
          <w:b/>
          <w:bCs/>
          <w:sz w:val="24"/>
          <w:szCs w:val="24"/>
        </w:rPr>
      </w:pPr>
    </w:p>
    <w:p w14:paraId="71BC3547"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5C54C79F"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3B7B0F14"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7AFE56D1"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0A5586FE"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0E286384"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3E7E7CFF"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158E0567" w14:textId="77777777" w:rsidR="00FD1D15" w:rsidRDefault="00FD1D15" w:rsidP="00A23F22">
      <w:pPr>
        <w:autoSpaceDE w:val="0"/>
        <w:autoSpaceDN w:val="0"/>
        <w:adjustRightInd w:val="0"/>
        <w:spacing w:after="0" w:line="240" w:lineRule="auto"/>
        <w:ind w:left="-567"/>
        <w:jc w:val="both"/>
        <w:rPr>
          <w:rFonts w:ascii="Arial" w:hAnsi="Arial" w:cs="Arial"/>
          <w:b/>
          <w:bCs/>
          <w:sz w:val="24"/>
          <w:szCs w:val="24"/>
        </w:rPr>
      </w:pPr>
    </w:p>
    <w:p w14:paraId="0471EDD4" w14:textId="77777777" w:rsidR="00FD1D15" w:rsidRDefault="00FD1D15" w:rsidP="00CD08FC">
      <w:pPr>
        <w:autoSpaceDE w:val="0"/>
        <w:autoSpaceDN w:val="0"/>
        <w:adjustRightInd w:val="0"/>
        <w:spacing w:after="0" w:line="240" w:lineRule="auto"/>
        <w:jc w:val="both"/>
        <w:rPr>
          <w:rFonts w:ascii="Arial" w:hAnsi="Arial" w:cs="Arial"/>
          <w:b/>
          <w:bCs/>
          <w:sz w:val="24"/>
          <w:szCs w:val="24"/>
        </w:rPr>
      </w:pPr>
    </w:p>
    <w:p w14:paraId="21BD9457" w14:textId="77777777" w:rsidR="00EC2F19" w:rsidRPr="00CF2511" w:rsidRDefault="00EC2F19" w:rsidP="00A23F22">
      <w:pPr>
        <w:autoSpaceDE w:val="0"/>
        <w:autoSpaceDN w:val="0"/>
        <w:adjustRightInd w:val="0"/>
        <w:spacing w:after="0" w:line="240" w:lineRule="auto"/>
        <w:ind w:left="-567"/>
        <w:jc w:val="both"/>
        <w:rPr>
          <w:rFonts w:ascii="Arial" w:hAnsi="Arial" w:cs="Arial"/>
          <w:color w:val="000000"/>
          <w:sz w:val="24"/>
          <w:szCs w:val="24"/>
        </w:rPr>
      </w:pPr>
      <w:r w:rsidRPr="00CF2511">
        <w:rPr>
          <w:rFonts w:ascii="Arial" w:hAnsi="Arial" w:cs="Arial"/>
          <w:b/>
          <w:bCs/>
          <w:sz w:val="24"/>
          <w:szCs w:val="24"/>
        </w:rPr>
        <w:t xml:space="preserve">Estructura organizacional y recursos </w:t>
      </w:r>
    </w:p>
    <w:p w14:paraId="00F09B89" w14:textId="77777777" w:rsidR="00EC2F19" w:rsidRPr="00670E94" w:rsidRDefault="00EC2F19" w:rsidP="00F453C6">
      <w:pPr>
        <w:pStyle w:val="Default"/>
        <w:ind w:left="-567"/>
      </w:pPr>
    </w:p>
    <w:p w14:paraId="298B86A7" w14:textId="77777777" w:rsidR="00EC2F19" w:rsidRPr="00263756" w:rsidRDefault="002A1F50" w:rsidP="00F453C6">
      <w:pPr>
        <w:pStyle w:val="Default"/>
        <w:ind w:left="-567"/>
        <w:jc w:val="both"/>
      </w:pPr>
      <w:r>
        <w:t xml:space="preserve">A partir de la información, </w:t>
      </w:r>
      <w:r w:rsidR="00EC2F19" w:rsidRPr="00670E94">
        <w:t xml:space="preserve">es posible conocer las características de la estructura organizacional </w:t>
      </w:r>
      <w:r w:rsidR="00EC2F19" w:rsidRPr="00263756">
        <w:t xml:space="preserve">y recursos con los que cuenta el </w:t>
      </w:r>
      <w:r w:rsidR="00186C3B" w:rsidRPr="00263756">
        <w:t>Poder Judicial de la Federación (</w:t>
      </w:r>
      <w:r w:rsidR="00EC2F19" w:rsidRPr="00263756">
        <w:t>PJF</w:t>
      </w:r>
      <w:r w:rsidR="00186C3B" w:rsidRPr="00263756">
        <w:t>)</w:t>
      </w:r>
      <w:r>
        <w:t>. Al respecto,</w:t>
      </w:r>
      <w:r w:rsidR="00A95EAB" w:rsidRPr="00263756">
        <w:t xml:space="preserve"> se</w:t>
      </w:r>
      <w:r w:rsidR="00EC2F19" w:rsidRPr="00263756">
        <w:t xml:space="preserve"> destaca que, al cierre de 201</w:t>
      </w:r>
      <w:r w:rsidR="001F4D01" w:rsidRPr="00263756">
        <w:t>9</w:t>
      </w:r>
      <w:r w:rsidR="00EC2F19" w:rsidRPr="00263756">
        <w:t xml:space="preserve">, </w:t>
      </w:r>
      <w:r w:rsidR="00FD1D15">
        <w:t xml:space="preserve">el PJF </w:t>
      </w:r>
      <w:r w:rsidR="006C5371">
        <w:t>se conformó</w:t>
      </w:r>
      <w:r w:rsidR="00A95EAB" w:rsidRPr="00263756">
        <w:t xml:space="preserve"> por </w:t>
      </w:r>
      <w:r w:rsidR="002D2897" w:rsidRPr="00263756">
        <w:t xml:space="preserve">915 </w:t>
      </w:r>
      <w:r w:rsidR="001F4D01" w:rsidRPr="00263756">
        <w:t xml:space="preserve">órganos jurisdiccionales y </w:t>
      </w:r>
      <w:r w:rsidR="009D0DB8" w:rsidRPr="00263756">
        <w:t>4</w:t>
      </w:r>
      <w:r w:rsidR="002D2897" w:rsidRPr="00263756">
        <w:t>5</w:t>
      </w:r>
      <w:r w:rsidR="009D0DB8" w:rsidRPr="00263756">
        <w:t xml:space="preserve">5 </w:t>
      </w:r>
      <w:r w:rsidR="001F4D01" w:rsidRPr="00263756">
        <w:t>órganos administrativos y/o unidades administrativas</w:t>
      </w:r>
      <w:r w:rsidR="006C5371">
        <w:t>, los cuales presentaron</w:t>
      </w:r>
      <w:r w:rsidR="00EC2F19" w:rsidRPr="00263756">
        <w:t xml:space="preserve"> la siguiente distribución: </w:t>
      </w:r>
    </w:p>
    <w:p w14:paraId="68B96AC4" w14:textId="77777777" w:rsidR="003860D1" w:rsidRPr="00263756" w:rsidRDefault="003860D1" w:rsidP="00F453C6">
      <w:pPr>
        <w:pStyle w:val="Default"/>
        <w:ind w:left="-567"/>
        <w:rPr>
          <w:b/>
          <w:bCs/>
        </w:rPr>
      </w:pPr>
    </w:p>
    <w:p w14:paraId="2C41CC17" w14:textId="77777777" w:rsidR="00EC2F19" w:rsidRPr="00263756" w:rsidRDefault="00EC2F19" w:rsidP="00F453C6">
      <w:pPr>
        <w:pStyle w:val="Default"/>
        <w:ind w:left="-567"/>
      </w:pPr>
      <w:r w:rsidRPr="00263756">
        <w:rPr>
          <w:b/>
          <w:bCs/>
        </w:rPr>
        <w:t xml:space="preserve">Suprema Corte de Justicia de la Nación </w:t>
      </w:r>
      <w:r w:rsidR="00186C3B" w:rsidRPr="00263756">
        <w:rPr>
          <w:b/>
          <w:bCs/>
        </w:rPr>
        <w:t>(SCJN)</w:t>
      </w:r>
    </w:p>
    <w:p w14:paraId="733F5948" w14:textId="77777777" w:rsidR="00EC2F19" w:rsidRPr="00263756" w:rsidRDefault="00EC2F19" w:rsidP="00F453C6">
      <w:pPr>
        <w:pStyle w:val="Default"/>
        <w:numPr>
          <w:ilvl w:val="0"/>
          <w:numId w:val="5"/>
        </w:numPr>
      </w:pPr>
      <w:r w:rsidRPr="00263756">
        <w:t xml:space="preserve">Pleno </w:t>
      </w:r>
    </w:p>
    <w:p w14:paraId="60511192" w14:textId="77777777" w:rsidR="00EC2F19" w:rsidRPr="00263756" w:rsidRDefault="00EC2F19" w:rsidP="00F453C6">
      <w:pPr>
        <w:pStyle w:val="Default"/>
        <w:numPr>
          <w:ilvl w:val="0"/>
          <w:numId w:val="5"/>
        </w:numPr>
      </w:pPr>
      <w:r w:rsidRPr="00263756">
        <w:t xml:space="preserve">Primera Sala </w:t>
      </w:r>
    </w:p>
    <w:p w14:paraId="211BF5F8" w14:textId="77777777" w:rsidR="00B56B3D" w:rsidRPr="00263756" w:rsidRDefault="00EC2F19" w:rsidP="00F453C6">
      <w:pPr>
        <w:pStyle w:val="Default"/>
        <w:numPr>
          <w:ilvl w:val="0"/>
          <w:numId w:val="5"/>
        </w:numPr>
      </w:pPr>
      <w:r w:rsidRPr="00263756">
        <w:t>Segunda Sala</w:t>
      </w:r>
    </w:p>
    <w:p w14:paraId="48B7DC19" w14:textId="77777777" w:rsidR="00EC2F19" w:rsidRPr="00263756" w:rsidRDefault="00B56B3D" w:rsidP="00F453C6">
      <w:pPr>
        <w:pStyle w:val="Default"/>
        <w:numPr>
          <w:ilvl w:val="0"/>
          <w:numId w:val="5"/>
        </w:numPr>
      </w:pPr>
      <w:r w:rsidRPr="00263756">
        <w:t xml:space="preserve">32 </w:t>
      </w:r>
      <w:r w:rsidR="00C044A8" w:rsidRPr="00263756">
        <w:t>Ó</w:t>
      </w:r>
      <w:r w:rsidRPr="00263756">
        <w:t>rganos administrativos y/o unidades administrativas</w:t>
      </w:r>
    </w:p>
    <w:p w14:paraId="50837CFA" w14:textId="77777777" w:rsidR="00EC2F19" w:rsidRPr="00263756" w:rsidRDefault="00EC2F19" w:rsidP="00F453C6">
      <w:pPr>
        <w:pStyle w:val="Default"/>
      </w:pPr>
    </w:p>
    <w:p w14:paraId="5F5E711D" w14:textId="77777777" w:rsidR="00EC2F19" w:rsidRPr="00263756" w:rsidRDefault="00EC2F19" w:rsidP="00F453C6">
      <w:pPr>
        <w:pStyle w:val="Default"/>
        <w:ind w:left="-567"/>
      </w:pPr>
      <w:r w:rsidRPr="00263756">
        <w:rPr>
          <w:b/>
          <w:bCs/>
        </w:rPr>
        <w:t xml:space="preserve">Tribunal Electoral del Poder Judicial de la Federación </w:t>
      </w:r>
      <w:r w:rsidR="00186C3B" w:rsidRPr="00263756">
        <w:rPr>
          <w:b/>
          <w:bCs/>
        </w:rPr>
        <w:t>(TEPJF)</w:t>
      </w:r>
    </w:p>
    <w:p w14:paraId="45264DC3" w14:textId="77777777" w:rsidR="00EC2F19" w:rsidRPr="00263756" w:rsidRDefault="00EC2F19" w:rsidP="00F453C6">
      <w:pPr>
        <w:pStyle w:val="Default"/>
        <w:numPr>
          <w:ilvl w:val="0"/>
          <w:numId w:val="6"/>
        </w:numPr>
        <w:spacing w:after="10"/>
      </w:pPr>
      <w:r w:rsidRPr="00263756">
        <w:t xml:space="preserve">Sala Superior </w:t>
      </w:r>
    </w:p>
    <w:p w14:paraId="6981FEB7" w14:textId="77777777" w:rsidR="00EC2F19" w:rsidRPr="00263756" w:rsidRDefault="00B56B3D" w:rsidP="00F453C6">
      <w:pPr>
        <w:pStyle w:val="Default"/>
        <w:numPr>
          <w:ilvl w:val="0"/>
          <w:numId w:val="6"/>
        </w:numPr>
        <w:spacing w:after="10"/>
      </w:pPr>
      <w:r w:rsidRPr="00263756">
        <w:t>5</w:t>
      </w:r>
      <w:r w:rsidR="00EC2F19" w:rsidRPr="00263756">
        <w:t xml:space="preserve"> Salas Regionales </w:t>
      </w:r>
    </w:p>
    <w:p w14:paraId="3B159A42" w14:textId="77777777" w:rsidR="00B56B3D" w:rsidRPr="00263756" w:rsidRDefault="00B56B3D" w:rsidP="00F453C6">
      <w:pPr>
        <w:pStyle w:val="Default"/>
        <w:numPr>
          <w:ilvl w:val="0"/>
          <w:numId w:val="6"/>
        </w:numPr>
        <w:spacing w:after="10"/>
      </w:pPr>
      <w:r w:rsidRPr="00263756">
        <w:t>Sala Especial</w:t>
      </w:r>
    </w:p>
    <w:p w14:paraId="46CB9F68" w14:textId="77777777" w:rsidR="00CF2511" w:rsidRPr="00263756" w:rsidRDefault="006411B0" w:rsidP="00CF2511">
      <w:pPr>
        <w:pStyle w:val="Default"/>
        <w:numPr>
          <w:ilvl w:val="0"/>
          <w:numId w:val="6"/>
        </w:numPr>
      </w:pPr>
      <w:r w:rsidRPr="00263756">
        <w:t>3</w:t>
      </w:r>
      <w:r w:rsidR="00431B6F" w:rsidRPr="00263756">
        <w:t>1 Órganos administrativos y/o unidades administrativas</w:t>
      </w:r>
    </w:p>
    <w:p w14:paraId="0CAF32EC" w14:textId="77777777" w:rsidR="00CF2511" w:rsidRPr="00CF2511" w:rsidRDefault="00CF2511" w:rsidP="00CF2511">
      <w:pPr>
        <w:pStyle w:val="Default"/>
        <w:ind w:left="360"/>
      </w:pPr>
    </w:p>
    <w:p w14:paraId="38414EEB" w14:textId="77777777" w:rsidR="00EC2F19" w:rsidRPr="003860D1" w:rsidRDefault="00EC2F19" w:rsidP="00F453C6">
      <w:pPr>
        <w:pStyle w:val="Default"/>
        <w:spacing w:after="10"/>
        <w:ind w:left="-567"/>
        <w:rPr>
          <w:b/>
        </w:rPr>
      </w:pPr>
      <w:r w:rsidRPr="003860D1">
        <w:rPr>
          <w:b/>
        </w:rPr>
        <w:t>Consejo de la Judicatura Federal</w:t>
      </w:r>
      <w:r w:rsidR="00186C3B">
        <w:rPr>
          <w:b/>
        </w:rPr>
        <w:t xml:space="preserve"> (CJF)</w:t>
      </w:r>
    </w:p>
    <w:p w14:paraId="3C7D5647" w14:textId="77777777" w:rsidR="00EC2F19" w:rsidRPr="003860D1" w:rsidRDefault="00EC2F19" w:rsidP="00F453C6">
      <w:pPr>
        <w:pStyle w:val="Default"/>
        <w:numPr>
          <w:ilvl w:val="0"/>
          <w:numId w:val="7"/>
        </w:numPr>
        <w:spacing w:after="10"/>
      </w:pPr>
      <w:r w:rsidRPr="003860D1">
        <w:t>26</w:t>
      </w:r>
      <w:r w:rsidR="00D55B6D" w:rsidRPr="003860D1">
        <w:t>9</w:t>
      </w:r>
      <w:r w:rsidRPr="003860D1">
        <w:t xml:space="preserve"> Tribunales Colegiados de Circuito</w:t>
      </w:r>
      <w:r w:rsidR="00CD0C90">
        <w:t xml:space="preserve"> (TCC)</w:t>
      </w:r>
    </w:p>
    <w:p w14:paraId="2F63B185" w14:textId="77777777" w:rsidR="00EC2F19" w:rsidRPr="003860D1" w:rsidRDefault="00D55B6D" w:rsidP="00F453C6">
      <w:pPr>
        <w:pStyle w:val="Default"/>
        <w:numPr>
          <w:ilvl w:val="0"/>
          <w:numId w:val="7"/>
        </w:numPr>
        <w:spacing w:after="10"/>
      </w:pPr>
      <w:r w:rsidRPr="003860D1">
        <w:t>101</w:t>
      </w:r>
      <w:r w:rsidR="00EC2F19" w:rsidRPr="003860D1">
        <w:t xml:space="preserve"> Tribunales Unitarios de Circuito</w:t>
      </w:r>
      <w:r w:rsidR="00CD0C90">
        <w:t xml:space="preserve"> (TUC)</w:t>
      </w:r>
    </w:p>
    <w:p w14:paraId="1E9DF8FC" w14:textId="77777777" w:rsidR="00EC2F19" w:rsidRPr="003860D1" w:rsidRDefault="00EC2F19" w:rsidP="00F453C6">
      <w:pPr>
        <w:pStyle w:val="Default"/>
        <w:numPr>
          <w:ilvl w:val="0"/>
          <w:numId w:val="7"/>
        </w:numPr>
        <w:spacing w:after="10"/>
      </w:pPr>
      <w:r w:rsidRPr="003860D1">
        <w:t>4</w:t>
      </w:r>
      <w:r w:rsidR="00D55B6D" w:rsidRPr="003860D1">
        <w:t>40</w:t>
      </w:r>
      <w:r w:rsidRPr="003860D1">
        <w:t xml:space="preserve"> Juzgados de Distrito</w:t>
      </w:r>
      <w:r w:rsidR="00CD0C90">
        <w:t xml:space="preserve"> (JD)</w:t>
      </w:r>
    </w:p>
    <w:p w14:paraId="2D65A1D5" w14:textId="77777777" w:rsidR="00EC2F19" w:rsidRPr="003860D1" w:rsidRDefault="00EC2F19" w:rsidP="00F453C6">
      <w:pPr>
        <w:pStyle w:val="Default"/>
        <w:numPr>
          <w:ilvl w:val="0"/>
          <w:numId w:val="7"/>
        </w:numPr>
        <w:spacing w:after="10"/>
      </w:pPr>
      <w:r w:rsidRPr="003860D1">
        <w:t xml:space="preserve">41 Centros de Justicia Penal Federal </w:t>
      </w:r>
      <w:r w:rsidR="00473064">
        <w:t xml:space="preserve">(CJPF) </w:t>
      </w:r>
      <w:r w:rsidR="003E4C85">
        <w:t>(S</w:t>
      </w:r>
      <w:r w:rsidRPr="003860D1">
        <w:t xml:space="preserve">istema </w:t>
      </w:r>
      <w:r w:rsidR="003E4C85">
        <w:t>P</w:t>
      </w:r>
      <w:r w:rsidR="00E01C04">
        <w:t xml:space="preserve">enal </w:t>
      </w:r>
      <w:r w:rsidR="003E4C85">
        <w:t>A</w:t>
      </w:r>
      <w:r w:rsidRPr="003860D1">
        <w:t>cusatorio)</w:t>
      </w:r>
    </w:p>
    <w:p w14:paraId="2EFE2A64" w14:textId="77777777" w:rsidR="00EC2F19" w:rsidRPr="003860D1" w:rsidRDefault="00EC2F19" w:rsidP="00F453C6">
      <w:pPr>
        <w:pStyle w:val="Default"/>
        <w:numPr>
          <w:ilvl w:val="0"/>
          <w:numId w:val="7"/>
        </w:numPr>
        <w:spacing w:after="10"/>
      </w:pPr>
      <w:r w:rsidRPr="003860D1">
        <w:t xml:space="preserve">1 </w:t>
      </w:r>
      <w:r w:rsidR="00E01C04">
        <w:t>Centro Nacional de Justicia especializado</w:t>
      </w:r>
    </w:p>
    <w:p w14:paraId="67AD1924" w14:textId="77777777" w:rsidR="00D55B6D" w:rsidRPr="003860D1" w:rsidRDefault="00D55B6D" w:rsidP="00F453C6">
      <w:pPr>
        <w:pStyle w:val="Default"/>
        <w:numPr>
          <w:ilvl w:val="0"/>
          <w:numId w:val="7"/>
        </w:numPr>
        <w:spacing w:after="10"/>
      </w:pPr>
      <w:r w:rsidRPr="003860D1">
        <w:t>53 Plenos de Circuito</w:t>
      </w:r>
    </w:p>
    <w:p w14:paraId="76AA599C" w14:textId="77777777" w:rsidR="00D55B6D" w:rsidRPr="003860D1" w:rsidRDefault="00D55B6D" w:rsidP="00F453C6">
      <w:pPr>
        <w:pStyle w:val="Default"/>
        <w:numPr>
          <w:ilvl w:val="0"/>
          <w:numId w:val="7"/>
        </w:numPr>
        <w:spacing w:after="10"/>
      </w:pPr>
      <w:r w:rsidRPr="003860D1">
        <w:t>392 Órganos administrativos y/o unidades administrativas</w:t>
      </w:r>
    </w:p>
    <w:p w14:paraId="003CA638" w14:textId="77777777" w:rsidR="00EC2F19" w:rsidRDefault="00EC2F19" w:rsidP="00F453C6">
      <w:pPr>
        <w:pStyle w:val="Default"/>
        <w:spacing w:after="10"/>
      </w:pPr>
    </w:p>
    <w:p w14:paraId="31C15F3A" w14:textId="77777777" w:rsidR="00EC2F19" w:rsidRDefault="00EC2F19" w:rsidP="00A95EAB">
      <w:pPr>
        <w:pStyle w:val="Default"/>
        <w:spacing w:after="10"/>
        <w:ind w:left="-567"/>
        <w:jc w:val="both"/>
      </w:pPr>
      <w:r>
        <w:t>Al cierre de 201</w:t>
      </w:r>
      <w:r w:rsidR="00FC6760">
        <w:t>9</w:t>
      </w:r>
      <w:r>
        <w:t xml:space="preserve">, los plenos de cada uno de los órganos que conforman </w:t>
      </w:r>
      <w:r w:rsidR="00A95EAB">
        <w:t>e</w:t>
      </w:r>
      <w:r>
        <w:t>l P</w:t>
      </w:r>
      <w:r w:rsidR="00186C3B">
        <w:t>JF</w:t>
      </w:r>
      <w:r>
        <w:t xml:space="preserve"> se integraron </w:t>
      </w:r>
      <w:r w:rsidR="00734D62">
        <w:t>en promedio por 71.8% de hombres y 28.2</w:t>
      </w:r>
      <w:r w:rsidR="002A1F50">
        <w:t>% de mujeres. La distribuc</w:t>
      </w:r>
      <w:r w:rsidR="00B02656">
        <w:t>ión del pleno de cada órgano fue</w:t>
      </w:r>
      <w:r w:rsidR="002A1F50">
        <w:t xml:space="preserve"> </w:t>
      </w:r>
      <w:r>
        <w:t>de la siguiente manera:</w:t>
      </w:r>
    </w:p>
    <w:p w14:paraId="626F0657" w14:textId="77777777" w:rsidR="00EC2F19" w:rsidRDefault="00EC2F19" w:rsidP="00F453C6">
      <w:pPr>
        <w:pStyle w:val="Default"/>
        <w:spacing w:after="10"/>
        <w:ind w:left="-567"/>
        <w:rPr>
          <w:b/>
        </w:rPr>
      </w:pPr>
    </w:p>
    <w:p w14:paraId="585330C3" w14:textId="77777777" w:rsidR="00EC2F19" w:rsidRPr="00647885" w:rsidRDefault="00EC2F19" w:rsidP="00F453C6">
      <w:pPr>
        <w:pStyle w:val="Default"/>
        <w:spacing w:after="10"/>
        <w:ind w:left="-567"/>
        <w:rPr>
          <w:b/>
        </w:rPr>
      </w:pPr>
      <w:r w:rsidRPr="00647885">
        <w:rPr>
          <w:b/>
        </w:rPr>
        <w:t>Pleno de la Suprema Corte de Justicia de la Nación</w:t>
      </w:r>
    </w:p>
    <w:p w14:paraId="0A829E08" w14:textId="77777777" w:rsidR="00EC2F19" w:rsidRPr="00EC78FE" w:rsidRDefault="00EC2F19" w:rsidP="00F453C6">
      <w:pPr>
        <w:pStyle w:val="Default"/>
        <w:numPr>
          <w:ilvl w:val="0"/>
          <w:numId w:val="8"/>
        </w:numPr>
        <w:spacing w:after="10"/>
      </w:pPr>
      <w:r w:rsidRPr="00EC78FE">
        <w:t>11 Ministros</w:t>
      </w:r>
    </w:p>
    <w:p w14:paraId="4FF54FAE" w14:textId="77777777" w:rsidR="00EC2F19" w:rsidRPr="00EC78FE" w:rsidRDefault="005A6AE4" w:rsidP="00F453C6">
      <w:pPr>
        <w:pStyle w:val="Default"/>
        <w:numPr>
          <w:ilvl w:val="0"/>
          <w:numId w:val="9"/>
        </w:numPr>
        <w:spacing w:after="10"/>
      </w:pPr>
      <w:r>
        <w:t>3</w:t>
      </w:r>
      <w:r w:rsidR="00EC2F19" w:rsidRPr="00EC78FE">
        <w:t xml:space="preserve"> Mujeres (</w:t>
      </w:r>
      <w:r w:rsidR="006D56E5">
        <w:t>27.3</w:t>
      </w:r>
      <w:r w:rsidR="00EC2F19" w:rsidRPr="00EC78FE">
        <w:t>%)</w:t>
      </w:r>
    </w:p>
    <w:p w14:paraId="10FE9796" w14:textId="77777777" w:rsidR="00EC2F19" w:rsidRPr="00EC78FE" w:rsidRDefault="005A6AE4" w:rsidP="00F453C6">
      <w:pPr>
        <w:pStyle w:val="Default"/>
        <w:numPr>
          <w:ilvl w:val="0"/>
          <w:numId w:val="9"/>
        </w:numPr>
        <w:spacing w:after="10"/>
      </w:pPr>
      <w:r>
        <w:t>8</w:t>
      </w:r>
      <w:r w:rsidR="00EC2F19" w:rsidRPr="00EC78FE">
        <w:t xml:space="preserve"> Hombres (</w:t>
      </w:r>
      <w:r w:rsidR="006D56E5">
        <w:t>72.7</w:t>
      </w:r>
      <w:r w:rsidR="00EC2F19" w:rsidRPr="00EC78FE">
        <w:t>%)</w:t>
      </w:r>
    </w:p>
    <w:p w14:paraId="120A1303" w14:textId="77777777" w:rsidR="00EC2F19" w:rsidRPr="00EC78FE" w:rsidRDefault="00EC2F19" w:rsidP="00F453C6">
      <w:pPr>
        <w:pStyle w:val="Default"/>
        <w:rPr>
          <w:b/>
          <w:bCs/>
          <w:sz w:val="23"/>
          <w:szCs w:val="23"/>
        </w:rPr>
      </w:pPr>
    </w:p>
    <w:p w14:paraId="27881270" w14:textId="77777777" w:rsidR="00EC2F19" w:rsidRPr="00EC78FE" w:rsidRDefault="00EC2F19" w:rsidP="00F453C6">
      <w:pPr>
        <w:pStyle w:val="Default"/>
        <w:ind w:left="-567"/>
        <w:rPr>
          <w:szCs w:val="28"/>
        </w:rPr>
      </w:pPr>
      <w:r w:rsidRPr="00EC78FE">
        <w:rPr>
          <w:b/>
          <w:bCs/>
          <w:szCs w:val="28"/>
        </w:rPr>
        <w:t xml:space="preserve">Pleno de la Sala Superior del Tribunal Electoral del Poder Judicial de la Federación </w:t>
      </w:r>
    </w:p>
    <w:p w14:paraId="2A381CF1" w14:textId="77777777" w:rsidR="00EC2F19" w:rsidRPr="00EC78FE" w:rsidRDefault="00EC2F19" w:rsidP="00F453C6">
      <w:pPr>
        <w:pStyle w:val="Default"/>
        <w:numPr>
          <w:ilvl w:val="0"/>
          <w:numId w:val="8"/>
        </w:numPr>
        <w:spacing w:after="10"/>
        <w:rPr>
          <w:szCs w:val="28"/>
        </w:rPr>
      </w:pPr>
      <w:r w:rsidRPr="00EC78FE">
        <w:rPr>
          <w:szCs w:val="28"/>
        </w:rPr>
        <w:t>7 Magistrados</w:t>
      </w:r>
    </w:p>
    <w:p w14:paraId="45BB239D" w14:textId="77777777" w:rsidR="00EC2F19" w:rsidRPr="00EC78FE" w:rsidRDefault="00EC2F19" w:rsidP="00F453C6">
      <w:pPr>
        <w:pStyle w:val="Default"/>
        <w:numPr>
          <w:ilvl w:val="0"/>
          <w:numId w:val="10"/>
        </w:numPr>
        <w:spacing w:after="10"/>
        <w:rPr>
          <w:szCs w:val="28"/>
        </w:rPr>
      </w:pPr>
      <w:r w:rsidRPr="00EC78FE">
        <w:rPr>
          <w:szCs w:val="28"/>
        </w:rPr>
        <w:t xml:space="preserve">2 Mujeres (28.6%) </w:t>
      </w:r>
    </w:p>
    <w:p w14:paraId="3752249D" w14:textId="77777777" w:rsidR="003C29EB" w:rsidRPr="00E01C04" w:rsidRDefault="00EC2F19" w:rsidP="00E01C04">
      <w:pPr>
        <w:pStyle w:val="Default"/>
        <w:numPr>
          <w:ilvl w:val="0"/>
          <w:numId w:val="10"/>
        </w:numPr>
        <w:spacing w:after="10"/>
        <w:rPr>
          <w:szCs w:val="28"/>
        </w:rPr>
      </w:pPr>
      <w:r w:rsidRPr="00EC78FE">
        <w:rPr>
          <w:szCs w:val="28"/>
        </w:rPr>
        <w:t xml:space="preserve">5 Hombres (71.4%) </w:t>
      </w:r>
    </w:p>
    <w:p w14:paraId="6553680F" w14:textId="77777777" w:rsidR="003C29EB" w:rsidRDefault="003C29EB" w:rsidP="00F453C6">
      <w:pPr>
        <w:pStyle w:val="Default"/>
        <w:ind w:left="-567"/>
        <w:rPr>
          <w:b/>
          <w:bCs/>
          <w:szCs w:val="28"/>
        </w:rPr>
      </w:pPr>
    </w:p>
    <w:p w14:paraId="4BCBFD29" w14:textId="77777777" w:rsidR="00E01C04" w:rsidRDefault="00E01C04" w:rsidP="00F453C6">
      <w:pPr>
        <w:pStyle w:val="Default"/>
        <w:ind w:left="-567"/>
        <w:rPr>
          <w:b/>
          <w:bCs/>
          <w:szCs w:val="28"/>
        </w:rPr>
      </w:pPr>
    </w:p>
    <w:p w14:paraId="6BBBF571" w14:textId="77777777" w:rsidR="00CD08FC" w:rsidRDefault="00CD08FC" w:rsidP="00C90C7C">
      <w:pPr>
        <w:pStyle w:val="Default"/>
        <w:rPr>
          <w:b/>
          <w:bCs/>
          <w:szCs w:val="28"/>
        </w:rPr>
      </w:pPr>
    </w:p>
    <w:p w14:paraId="24C3F14E" w14:textId="77777777" w:rsidR="00EC2F19" w:rsidRPr="00EC78FE" w:rsidRDefault="00EC2F19" w:rsidP="00665792">
      <w:pPr>
        <w:pStyle w:val="Default"/>
        <w:ind w:left="-567"/>
        <w:rPr>
          <w:b/>
          <w:bCs/>
          <w:szCs w:val="28"/>
        </w:rPr>
      </w:pPr>
      <w:r w:rsidRPr="00EC78FE">
        <w:rPr>
          <w:b/>
          <w:bCs/>
          <w:szCs w:val="28"/>
        </w:rPr>
        <w:t xml:space="preserve">Pleno del Consejo de la Judicatura Federal </w:t>
      </w:r>
    </w:p>
    <w:p w14:paraId="0C0CFD8E" w14:textId="77777777" w:rsidR="00EC2F19" w:rsidRPr="00EC78FE" w:rsidRDefault="00EC2F19" w:rsidP="00F453C6">
      <w:pPr>
        <w:pStyle w:val="Default"/>
        <w:numPr>
          <w:ilvl w:val="0"/>
          <w:numId w:val="11"/>
        </w:numPr>
        <w:rPr>
          <w:szCs w:val="28"/>
        </w:rPr>
      </w:pPr>
      <w:r w:rsidRPr="00EC78FE">
        <w:rPr>
          <w:szCs w:val="28"/>
        </w:rPr>
        <w:t>7 Consejeros</w:t>
      </w:r>
      <w:r w:rsidRPr="00EC78FE">
        <w:rPr>
          <w:rStyle w:val="Refdenotaalpie"/>
          <w:szCs w:val="28"/>
        </w:rPr>
        <w:footnoteReference w:id="5"/>
      </w:r>
    </w:p>
    <w:p w14:paraId="6967D73F" w14:textId="77777777" w:rsidR="00EC2F19" w:rsidRPr="00EC78FE" w:rsidRDefault="00EC2F19" w:rsidP="00F453C6">
      <w:pPr>
        <w:pStyle w:val="Default"/>
        <w:numPr>
          <w:ilvl w:val="0"/>
          <w:numId w:val="12"/>
        </w:numPr>
        <w:spacing w:after="10"/>
        <w:rPr>
          <w:szCs w:val="28"/>
        </w:rPr>
      </w:pPr>
      <w:r w:rsidRPr="00EC78FE">
        <w:rPr>
          <w:szCs w:val="28"/>
        </w:rPr>
        <w:t xml:space="preserve">2 Mujeres (28.6%) </w:t>
      </w:r>
    </w:p>
    <w:p w14:paraId="4FB98199" w14:textId="77777777" w:rsidR="006E3BCD" w:rsidRDefault="00EC2F19" w:rsidP="006E3BCD">
      <w:pPr>
        <w:pStyle w:val="Default"/>
        <w:numPr>
          <w:ilvl w:val="0"/>
          <w:numId w:val="12"/>
        </w:numPr>
        <w:spacing w:after="10"/>
        <w:rPr>
          <w:szCs w:val="28"/>
        </w:rPr>
      </w:pPr>
      <w:r w:rsidRPr="00EC78FE">
        <w:rPr>
          <w:szCs w:val="28"/>
        </w:rPr>
        <w:t xml:space="preserve">5 Hombres (71.4 %) </w:t>
      </w:r>
    </w:p>
    <w:p w14:paraId="1AADB223" w14:textId="77777777" w:rsidR="006E3BCD" w:rsidRDefault="006E3BCD" w:rsidP="006E3BCD">
      <w:pPr>
        <w:pStyle w:val="Default"/>
        <w:spacing w:after="10"/>
        <w:rPr>
          <w:szCs w:val="28"/>
        </w:rPr>
      </w:pPr>
    </w:p>
    <w:p w14:paraId="14979D3E" w14:textId="77777777" w:rsidR="00EC2F19" w:rsidRDefault="00EC2F19" w:rsidP="00F453C6">
      <w:pPr>
        <w:pStyle w:val="Default"/>
        <w:spacing w:after="10"/>
        <w:rPr>
          <w:szCs w:val="28"/>
        </w:rPr>
      </w:pPr>
    </w:p>
    <w:p w14:paraId="177813AA" w14:textId="64F04157" w:rsidR="00EC2F19" w:rsidRDefault="00EC2F19" w:rsidP="00F453C6">
      <w:pPr>
        <w:pStyle w:val="Default"/>
        <w:ind w:left="-567"/>
        <w:jc w:val="both"/>
      </w:pPr>
      <w:r w:rsidRPr="004F33E5">
        <w:t xml:space="preserve">En cuanto al </w:t>
      </w:r>
      <w:r w:rsidR="006C5371">
        <w:t>personal con el que contó</w:t>
      </w:r>
      <w:r>
        <w:t xml:space="preserve"> el </w:t>
      </w:r>
      <w:r w:rsidRPr="004F33E5">
        <w:t>PJF al cierre de 201</w:t>
      </w:r>
      <w:r w:rsidR="00FC6760">
        <w:t>9</w:t>
      </w:r>
      <w:r w:rsidRPr="004F33E5">
        <w:t xml:space="preserve">, </w:t>
      </w:r>
      <w:r>
        <w:t>se identific</w:t>
      </w:r>
      <w:r w:rsidR="00CD0C90">
        <w:t>ó</w:t>
      </w:r>
      <w:r>
        <w:t xml:space="preserve"> un total de </w:t>
      </w:r>
      <w:r w:rsidR="00DC2415">
        <w:t xml:space="preserve">            </w:t>
      </w:r>
      <w:r w:rsidR="00E179CA" w:rsidRPr="003E2A83">
        <w:rPr>
          <w:color w:val="auto"/>
        </w:rPr>
        <w:t>47</w:t>
      </w:r>
      <w:r w:rsidR="002465DC" w:rsidRPr="003E2A83">
        <w:rPr>
          <w:color w:val="auto"/>
        </w:rPr>
        <w:t xml:space="preserve"> 12</w:t>
      </w:r>
      <w:r w:rsidR="00475EB5" w:rsidRPr="003E2A83">
        <w:rPr>
          <w:color w:val="auto"/>
        </w:rPr>
        <w:t>3</w:t>
      </w:r>
      <w:r w:rsidRPr="003E2A83">
        <w:rPr>
          <w:color w:val="auto"/>
        </w:rPr>
        <w:t xml:space="preserve"> servidoras y servidores públicos, de los cuales 3 4</w:t>
      </w:r>
      <w:r w:rsidR="00F226E2" w:rsidRPr="003E2A83">
        <w:rPr>
          <w:color w:val="auto"/>
        </w:rPr>
        <w:t>24</w:t>
      </w:r>
      <w:r w:rsidRPr="003E2A83">
        <w:rPr>
          <w:color w:val="auto"/>
        </w:rPr>
        <w:t xml:space="preserve"> (</w:t>
      </w:r>
      <w:r w:rsidR="00F226E2" w:rsidRPr="003E2A83">
        <w:rPr>
          <w:color w:val="auto"/>
        </w:rPr>
        <w:t>7.3</w:t>
      </w:r>
      <w:r w:rsidR="006C5371" w:rsidRPr="003E2A83">
        <w:rPr>
          <w:color w:val="auto"/>
        </w:rPr>
        <w:t>%) estuvieron</w:t>
      </w:r>
      <w:r w:rsidRPr="003E2A83">
        <w:rPr>
          <w:color w:val="auto"/>
        </w:rPr>
        <w:t xml:space="preserve"> adscritos a la SCJN</w:t>
      </w:r>
      <w:r w:rsidR="00CF598B" w:rsidRPr="003E2A83">
        <w:rPr>
          <w:color w:val="auto"/>
        </w:rPr>
        <w:t>, 1</w:t>
      </w:r>
      <w:r w:rsidRPr="003E2A83">
        <w:rPr>
          <w:color w:val="auto"/>
        </w:rPr>
        <w:t xml:space="preserve"> </w:t>
      </w:r>
      <w:r w:rsidR="00F226E2" w:rsidRPr="003E2A83">
        <w:rPr>
          <w:color w:val="auto"/>
        </w:rPr>
        <w:t>443</w:t>
      </w:r>
      <w:r w:rsidRPr="003E2A83">
        <w:rPr>
          <w:color w:val="auto"/>
        </w:rPr>
        <w:t xml:space="preserve"> (3.</w:t>
      </w:r>
      <w:r w:rsidR="00F226E2" w:rsidRPr="003E2A83">
        <w:rPr>
          <w:color w:val="auto"/>
        </w:rPr>
        <w:t>1</w:t>
      </w:r>
      <w:r w:rsidRPr="003E2A83">
        <w:rPr>
          <w:color w:val="auto"/>
        </w:rPr>
        <w:t>%) al TEPJF</w:t>
      </w:r>
      <w:r w:rsidR="00997A58" w:rsidRPr="003E2A83">
        <w:rPr>
          <w:rStyle w:val="Refdenotaalpie"/>
          <w:color w:val="auto"/>
        </w:rPr>
        <w:footnoteReference w:id="6"/>
      </w:r>
      <w:r w:rsidRPr="003E2A83">
        <w:rPr>
          <w:color w:val="auto"/>
        </w:rPr>
        <w:t xml:space="preserve"> y 4</w:t>
      </w:r>
      <w:r w:rsidR="00716A6B" w:rsidRPr="003E2A83">
        <w:rPr>
          <w:color w:val="auto"/>
        </w:rPr>
        <w:t>2</w:t>
      </w:r>
      <w:r w:rsidRPr="003E2A83">
        <w:rPr>
          <w:color w:val="auto"/>
        </w:rPr>
        <w:t xml:space="preserve"> </w:t>
      </w:r>
      <w:r w:rsidR="00716A6B" w:rsidRPr="003E2A83">
        <w:rPr>
          <w:color w:val="auto"/>
        </w:rPr>
        <w:t>25</w:t>
      </w:r>
      <w:r w:rsidR="00475EB5" w:rsidRPr="003E2A83">
        <w:rPr>
          <w:color w:val="auto"/>
        </w:rPr>
        <w:t>6</w:t>
      </w:r>
      <w:r>
        <w:rPr>
          <w:rStyle w:val="Refdenotaalpie"/>
        </w:rPr>
        <w:footnoteReference w:id="7"/>
      </w:r>
      <w:r>
        <w:t xml:space="preserve"> (89.</w:t>
      </w:r>
      <w:r w:rsidR="00716A6B">
        <w:t>6</w:t>
      </w:r>
      <w:r>
        <w:t xml:space="preserve">%) </w:t>
      </w:r>
      <w:r w:rsidRPr="004F33E5">
        <w:t>al CJF</w:t>
      </w:r>
      <w:r w:rsidR="00C4675E">
        <w:rPr>
          <w:rStyle w:val="Refdenotaalpie"/>
        </w:rPr>
        <w:footnoteReference w:id="8"/>
      </w:r>
      <w:r w:rsidRPr="00C24743">
        <w:t>.</w:t>
      </w:r>
      <w:r w:rsidR="003B7494" w:rsidRPr="00C24743">
        <w:t xml:space="preserve"> </w:t>
      </w:r>
      <w:r w:rsidR="00BD11CE" w:rsidRPr="00C24743">
        <w:t>De</w:t>
      </w:r>
      <w:r w:rsidR="00C4675E">
        <w:t>l total de</w:t>
      </w:r>
      <w:r w:rsidR="00BD11CE" w:rsidRPr="00C24743">
        <w:t xml:space="preserve"> personal, 50.5% fueron hombres y 49.5%, mujeres</w:t>
      </w:r>
      <w:r w:rsidR="00A76682">
        <w:t>.</w:t>
      </w:r>
    </w:p>
    <w:p w14:paraId="749726D0" w14:textId="77777777" w:rsidR="00D76E65" w:rsidRPr="00D241C5" w:rsidRDefault="00D76E65" w:rsidP="00F453C6">
      <w:pPr>
        <w:pStyle w:val="Default"/>
        <w:ind w:left="-567"/>
        <w:jc w:val="both"/>
      </w:pPr>
    </w:p>
    <w:p w14:paraId="65B8F365" w14:textId="77777777" w:rsidR="00EC2F19" w:rsidRDefault="00EC2F19" w:rsidP="00EC2F19">
      <w:pPr>
        <w:pStyle w:val="Default"/>
        <w:spacing w:after="10"/>
        <w:ind w:right="-518"/>
        <w:rPr>
          <w:b/>
          <w:bCs/>
          <w:i/>
          <w:iCs/>
          <w:sz w:val="20"/>
        </w:rPr>
      </w:pPr>
    </w:p>
    <w:p w14:paraId="035E5106" w14:textId="77777777" w:rsidR="00EC2F19" w:rsidRPr="00427401" w:rsidRDefault="00AA3CD4" w:rsidP="00EC2F19">
      <w:pPr>
        <w:pStyle w:val="Default"/>
        <w:spacing w:after="10"/>
        <w:ind w:left="-567" w:right="-518"/>
        <w:jc w:val="center"/>
        <w:rPr>
          <w:b/>
          <w:bCs/>
          <w:i/>
          <w:iCs/>
          <w:color w:val="4472C4" w:themeColor="accent1"/>
          <w:sz w:val="20"/>
        </w:rPr>
      </w:pPr>
      <w:r>
        <w:rPr>
          <w:b/>
          <w:bCs/>
          <w:i/>
          <w:iCs/>
          <w:color w:val="4472C4" w:themeColor="accent1"/>
          <w:sz w:val="20"/>
        </w:rPr>
        <w:t xml:space="preserve">Gráfica 1. </w:t>
      </w:r>
      <w:r w:rsidR="00EC2F19" w:rsidRPr="00427401">
        <w:rPr>
          <w:b/>
          <w:bCs/>
          <w:i/>
          <w:iCs/>
          <w:color w:val="4472C4" w:themeColor="accent1"/>
          <w:sz w:val="20"/>
        </w:rPr>
        <w:t xml:space="preserve">Distribución </w:t>
      </w:r>
      <w:r w:rsidR="00E64DDF">
        <w:rPr>
          <w:b/>
          <w:bCs/>
          <w:i/>
          <w:iCs/>
          <w:color w:val="4472C4" w:themeColor="accent1"/>
          <w:sz w:val="20"/>
        </w:rPr>
        <w:t xml:space="preserve">porcentual </w:t>
      </w:r>
      <w:r w:rsidR="00EC2F19" w:rsidRPr="00427401">
        <w:rPr>
          <w:b/>
          <w:bCs/>
          <w:i/>
          <w:iCs/>
          <w:color w:val="4472C4" w:themeColor="accent1"/>
          <w:sz w:val="20"/>
        </w:rPr>
        <w:t xml:space="preserve">del personal que integra el Poder Judicial de la Federación, </w:t>
      </w:r>
    </w:p>
    <w:p w14:paraId="5456F2CC" w14:textId="77777777" w:rsidR="00EC2F19" w:rsidRDefault="00EC2F19" w:rsidP="00EC2F19">
      <w:pPr>
        <w:pStyle w:val="Default"/>
        <w:spacing w:after="10"/>
        <w:ind w:left="-567" w:right="-518"/>
        <w:jc w:val="center"/>
        <w:rPr>
          <w:b/>
          <w:bCs/>
          <w:i/>
          <w:iCs/>
          <w:color w:val="4472C4" w:themeColor="accent1"/>
          <w:sz w:val="20"/>
        </w:rPr>
      </w:pPr>
      <w:r w:rsidRPr="00427401">
        <w:rPr>
          <w:b/>
          <w:bCs/>
          <w:i/>
          <w:iCs/>
          <w:color w:val="4472C4" w:themeColor="accent1"/>
          <w:sz w:val="20"/>
        </w:rPr>
        <w:t>según órgano y sexo, 201</w:t>
      </w:r>
      <w:r w:rsidR="00121528" w:rsidRPr="00427401">
        <w:rPr>
          <w:b/>
          <w:bCs/>
          <w:i/>
          <w:iCs/>
          <w:color w:val="4472C4" w:themeColor="accent1"/>
          <w:sz w:val="20"/>
        </w:rPr>
        <w:t>9</w:t>
      </w:r>
    </w:p>
    <w:p w14:paraId="26AD6EFA" w14:textId="77777777" w:rsidR="006E59DB" w:rsidRDefault="006E59DB" w:rsidP="00EC2F19">
      <w:pPr>
        <w:pStyle w:val="Default"/>
        <w:spacing w:after="10"/>
        <w:ind w:left="-567" w:right="-518"/>
        <w:jc w:val="center"/>
        <w:rPr>
          <w:b/>
          <w:bCs/>
          <w:i/>
          <w:iCs/>
          <w:color w:val="4472C4" w:themeColor="accent1"/>
          <w:sz w:val="20"/>
        </w:rPr>
      </w:pPr>
    </w:p>
    <w:p w14:paraId="668731C1" w14:textId="77777777" w:rsidR="006E59DB" w:rsidRDefault="00D1771B" w:rsidP="00EC2F19">
      <w:pPr>
        <w:pStyle w:val="Default"/>
        <w:spacing w:after="10"/>
        <w:ind w:left="-567" w:right="-518"/>
        <w:jc w:val="center"/>
        <w:rPr>
          <w:b/>
          <w:bCs/>
          <w:i/>
          <w:iCs/>
          <w:color w:val="4472C4" w:themeColor="accent1"/>
          <w:sz w:val="20"/>
        </w:rPr>
      </w:pPr>
      <w:r w:rsidRPr="00D1771B">
        <w:rPr>
          <w:b/>
          <w:bCs/>
          <w:i/>
          <w:iCs/>
          <w:noProof/>
          <w:color w:val="4472C4" w:themeColor="accent1"/>
          <w:sz w:val="20"/>
          <w:lang w:val="en-US"/>
        </w:rPr>
        <w:drawing>
          <wp:inline distT="0" distB="0" distL="0" distR="0" wp14:anchorId="75A57511" wp14:editId="678915D8">
            <wp:extent cx="5205095" cy="25063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5574" cy="2521021"/>
                    </a:xfrm>
                    <a:prstGeom prst="rect">
                      <a:avLst/>
                    </a:prstGeom>
                  </pic:spPr>
                </pic:pic>
              </a:graphicData>
            </a:graphic>
          </wp:inline>
        </w:drawing>
      </w:r>
    </w:p>
    <w:p w14:paraId="6B8C9725" w14:textId="77777777" w:rsidR="006E59DB" w:rsidRDefault="006E59DB" w:rsidP="00EC2F19">
      <w:pPr>
        <w:pStyle w:val="Default"/>
        <w:spacing w:after="10"/>
        <w:ind w:left="-567" w:right="-518"/>
        <w:jc w:val="center"/>
        <w:rPr>
          <w:b/>
          <w:bCs/>
          <w:i/>
          <w:iCs/>
          <w:color w:val="4472C4" w:themeColor="accent1"/>
          <w:sz w:val="20"/>
        </w:rPr>
      </w:pPr>
    </w:p>
    <w:p w14:paraId="0B8F6513" w14:textId="77777777" w:rsidR="006E59DB" w:rsidRDefault="006E59DB" w:rsidP="00EC2F19">
      <w:pPr>
        <w:pStyle w:val="Default"/>
        <w:spacing w:after="10"/>
        <w:ind w:left="-567" w:right="-518"/>
        <w:jc w:val="center"/>
        <w:rPr>
          <w:b/>
          <w:bCs/>
          <w:i/>
          <w:iCs/>
          <w:color w:val="4472C4" w:themeColor="accent1"/>
          <w:sz w:val="20"/>
        </w:rPr>
      </w:pPr>
    </w:p>
    <w:p w14:paraId="17253C7B" w14:textId="77777777" w:rsidR="006E59DB" w:rsidRDefault="006E59DB" w:rsidP="00EC2F19">
      <w:pPr>
        <w:pStyle w:val="Default"/>
        <w:spacing w:after="10"/>
        <w:ind w:left="-567" w:right="-518"/>
        <w:jc w:val="center"/>
        <w:rPr>
          <w:b/>
          <w:bCs/>
          <w:i/>
          <w:iCs/>
          <w:color w:val="4472C4" w:themeColor="accent1"/>
          <w:sz w:val="20"/>
        </w:rPr>
      </w:pPr>
    </w:p>
    <w:p w14:paraId="0A8E0577" w14:textId="77777777" w:rsidR="006E59DB" w:rsidRDefault="006E59DB" w:rsidP="00EC2F19">
      <w:pPr>
        <w:pStyle w:val="Default"/>
        <w:spacing w:after="10"/>
        <w:ind w:left="-567" w:right="-518"/>
        <w:jc w:val="center"/>
        <w:rPr>
          <w:b/>
          <w:bCs/>
          <w:i/>
          <w:iCs/>
          <w:color w:val="4472C4" w:themeColor="accent1"/>
          <w:sz w:val="20"/>
        </w:rPr>
      </w:pPr>
    </w:p>
    <w:p w14:paraId="0574645A" w14:textId="77777777" w:rsidR="006E59DB" w:rsidRDefault="006E59DB" w:rsidP="00EC2F19">
      <w:pPr>
        <w:pStyle w:val="Default"/>
        <w:spacing w:after="10"/>
        <w:ind w:left="-567" w:right="-518"/>
        <w:jc w:val="center"/>
        <w:rPr>
          <w:b/>
          <w:bCs/>
          <w:i/>
          <w:iCs/>
          <w:color w:val="4472C4" w:themeColor="accent1"/>
          <w:sz w:val="20"/>
        </w:rPr>
      </w:pPr>
    </w:p>
    <w:p w14:paraId="5D3A740F" w14:textId="77777777" w:rsidR="006E59DB" w:rsidRDefault="006E59DB" w:rsidP="00EC2F19">
      <w:pPr>
        <w:pStyle w:val="Default"/>
        <w:spacing w:after="10"/>
        <w:ind w:left="-567" w:right="-518"/>
        <w:jc w:val="center"/>
        <w:rPr>
          <w:b/>
          <w:bCs/>
          <w:i/>
          <w:iCs/>
          <w:color w:val="4472C4" w:themeColor="accent1"/>
          <w:sz w:val="20"/>
        </w:rPr>
      </w:pPr>
    </w:p>
    <w:p w14:paraId="26835977" w14:textId="77777777" w:rsidR="006E59DB" w:rsidRDefault="006E59DB" w:rsidP="00EC2F19">
      <w:pPr>
        <w:pStyle w:val="Default"/>
        <w:spacing w:after="10"/>
        <w:ind w:left="-567" w:right="-518"/>
        <w:jc w:val="center"/>
        <w:rPr>
          <w:b/>
          <w:bCs/>
          <w:i/>
          <w:iCs/>
          <w:color w:val="4472C4" w:themeColor="accent1"/>
          <w:sz w:val="20"/>
        </w:rPr>
      </w:pPr>
    </w:p>
    <w:p w14:paraId="180BE0EE" w14:textId="77777777" w:rsidR="006E59DB" w:rsidRDefault="006E59DB" w:rsidP="00EC2F19">
      <w:pPr>
        <w:pStyle w:val="Default"/>
        <w:spacing w:after="10"/>
        <w:ind w:left="-567" w:right="-518"/>
        <w:jc w:val="center"/>
        <w:rPr>
          <w:b/>
          <w:bCs/>
          <w:i/>
          <w:iCs/>
          <w:color w:val="4472C4" w:themeColor="accent1"/>
          <w:sz w:val="20"/>
        </w:rPr>
      </w:pPr>
    </w:p>
    <w:p w14:paraId="1AC0D4DE" w14:textId="77777777" w:rsidR="00821AF2" w:rsidRDefault="00821AF2" w:rsidP="00EC2F19">
      <w:pPr>
        <w:pStyle w:val="Default"/>
        <w:spacing w:after="10"/>
        <w:ind w:left="-567" w:right="-518"/>
        <w:jc w:val="center"/>
        <w:rPr>
          <w:b/>
          <w:bCs/>
          <w:i/>
          <w:iCs/>
          <w:color w:val="4472C4" w:themeColor="accent1"/>
          <w:sz w:val="20"/>
        </w:rPr>
      </w:pPr>
    </w:p>
    <w:p w14:paraId="72B30A48" w14:textId="77777777" w:rsidR="00670A65" w:rsidRDefault="00670A65" w:rsidP="00670A65">
      <w:pPr>
        <w:pStyle w:val="Default"/>
        <w:spacing w:after="10"/>
        <w:jc w:val="both"/>
      </w:pPr>
    </w:p>
    <w:p w14:paraId="599E70DA" w14:textId="77777777" w:rsidR="00670A65" w:rsidRDefault="00670A65" w:rsidP="00F453C6">
      <w:pPr>
        <w:pStyle w:val="Default"/>
        <w:spacing w:after="10"/>
        <w:ind w:left="-567"/>
        <w:jc w:val="both"/>
      </w:pPr>
    </w:p>
    <w:p w14:paraId="2C922A7A" w14:textId="77777777" w:rsidR="00197808" w:rsidRDefault="00197808" w:rsidP="00F453C6">
      <w:pPr>
        <w:pStyle w:val="Default"/>
        <w:spacing w:after="10"/>
        <w:ind w:left="-567"/>
        <w:jc w:val="both"/>
      </w:pPr>
    </w:p>
    <w:p w14:paraId="7E745A6A" w14:textId="77777777" w:rsidR="00197808" w:rsidRDefault="00197808" w:rsidP="00F453C6">
      <w:pPr>
        <w:pStyle w:val="Default"/>
        <w:spacing w:after="10"/>
        <w:ind w:left="-567"/>
        <w:jc w:val="both"/>
      </w:pPr>
    </w:p>
    <w:p w14:paraId="2E5C4F69" w14:textId="77777777" w:rsidR="00EC2F19" w:rsidRDefault="00997A58" w:rsidP="00F453C6">
      <w:pPr>
        <w:pStyle w:val="Default"/>
        <w:spacing w:after="10"/>
        <w:ind w:left="-567"/>
        <w:jc w:val="both"/>
      </w:pPr>
      <w:r>
        <w:t>Por</w:t>
      </w:r>
      <w:r w:rsidR="00EC2F19">
        <w:t xml:space="preserve"> lo que respecta a los Jueces y Magistrados</w:t>
      </w:r>
      <w:r w:rsidR="00977530">
        <w:t>,</w:t>
      </w:r>
      <w:r w:rsidR="00EC2F19">
        <w:t xml:space="preserve"> que al cierre de 201</w:t>
      </w:r>
      <w:r w:rsidR="00454BD7">
        <w:t>9</w:t>
      </w:r>
      <w:r w:rsidR="00EC2F19">
        <w:t xml:space="preserve"> </w:t>
      </w:r>
      <w:r>
        <w:t>formaron parte de</w:t>
      </w:r>
      <w:r w:rsidR="00EC2F19">
        <w:t xml:space="preserve"> los TCC, TUC</w:t>
      </w:r>
      <w:r w:rsidR="00B3555E">
        <w:t xml:space="preserve">, </w:t>
      </w:r>
      <w:r w:rsidR="00EC2F19">
        <w:t>JD</w:t>
      </w:r>
      <w:r w:rsidR="00B3555E">
        <w:t xml:space="preserve"> y CJPF</w:t>
      </w:r>
      <w:r w:rsidR="00EC2F19">
        <w:t xml:space="preserve">, se </w:t>
      </w:r>
      <w:r w:rsidR="00B33EB0">
        <w:t>registraron en</w:t>
      </w:r>
      <w:r w:rsidR="00EC2F19">
        <w:t xml:space="preserve"> total </w:t>
      </w:r>
      <w:r w:rsidR="00CF598B">
        <w:t>1</w:t>
      </w:r>
      <w:r w:rsidR="00EC2F19" w:rsidRPr="00546959">
        <w:t xml:space="preserve"> 4</w:t>
      </w:r>
      <w:r w:rsidR="00460DBA">
        <w:t>37</w:t>
      </w:r>
      <w:r w:rsidR="00EC2F19" w:rsidRPr="00546959">
        <w:t xml:space="preserve"> </w:t>
      </w:r>
      <w:r w:rsidR="00EC2F19">
        <w:t>servidoras y servidores públicos, de los cuales</w:t>
      </w:r>
      <w:r w:rsidR="002E731C">
        <w:t>,</w:t>
      </w:r>
      <w:r w:rsidR="00EC2F19">
        <w:t xml:space="preserve"> 7</w:t>
      </w:r>
      <w:r w:rsidR="00460DBA">
        <w:t>35</w:t>
      </w:r>
      <w:r w:rsidR="007101A2">
        <w:t xml:space="preserve"> magistrados</w:t>
      </w:r>
      <w:r w:rsidR="00EC2F19">
        <w:t xml:space="preserve"> (5</w:t>
      </w:r>
      <w:r w:rsidR="00460DBA">
        <w:t>1</w:t>
      </w:r>
      <w:r w:rsidR="00186C3B">
        <w:t>.2</w:t>
      </w:r>
      <w:r w:rsidR="00EC2F19">
        <w:t>%) se encontraban adscritos a los TCC, 9</w:t>
      </w:r>
      <w:r w:rsidR="00460DBA">
        <w:t>5</w:t>
      </w:r>
      <w:r w:rsidR="00EC2F19">
        <w:t xml:space="preserve"> </w:t>
      </w:r>
      <w:r w:rsidR="007101A2">
        <w:t xml:space="preserve">magistrados </w:t>
      </w:r>
      <w:r w:rsidR="00EC2F19">
        <w:t>(6.6%) a los TUC</w:t>
      </w:r>
      <w:r w:rsidR="00F924D9">
        <w:t>, y 607</w:t>
      </w:r>
      <w:r w:rsidR="00EC2F19">
        <w:t xml:space="preserve"> </w:t>
      </w:r>
      <w:r w:rsidR="007101A2">
        <w:t xml:space="preserve">jueces </w:t>
      </w:r>
      <w:r w:rsidR="00EC2F19">
        <w:t>(</w:t>
      </w:r>
      <w:r w:rsidR="009635D3">
        <w:t>42.2</w:t>
      </w:r>
      <w:r w:rsidR="00EC2F19">
        <w:t>%) a los JD</w:t>
      </w:r>
      <w:r w:rsidR="007101A2">
        <w:t xml:space="preserve"> y CJPF</w:t>
      </w:r>
      <w:r w:rsidR="00EC2F19">
        <w:rPr>
          <w:rStyle w:val="Refdenotaalpie"/>
        </w:rPr>
        <w:footnoteReference w:id="9"/>
      </w:r>
      <w:r w:rsidR="00EC2F19">
        <w:t>.</w:t>
      </w:r>
      <w:r w:rsidR="00E33993">
        <w:t xml:space="preserve"> </w:t>
      </w:r>
    </w:p>
    <w:p w14:paraId="265F3E6C" w14:textId="77777777" w:rsidR="00B33EB0" w:rsidRDefault="00B33EB0" w:rsidP="00EC2F19">
      <w:pPr>
        <w:pStyle w:val="Default"/>
        <w:spacing w:after="10"/>
        <w:jc w:val="center"/>
        <w:rPr>
          <w:b/>
          <w:bCs/>
          <w:i/>
          <w:iCs/>
          <w:sz w:val="20"/>
          <w:szCs w:val="20"/>
        </w:rPr>
      </w:pPr>
    </w:p>
    <w:p w14:paraId="2EEA6F74" w14:textId="77777777" w:rsidR="00EC2F19" w:rsidRPr="00427401" w:rsidRDefault="00AA3CD4" w:rsidP="00EC2F19">
      <w:pPr>
        <w:pStyle w:val="Default"/>
        <w:spacing w:after="10"/>
        <w:ind w:left="-567"/>
        <w:jc w:val="center"/>
        <w:rPr>
          <w:b/>
          <w:bCs/>
          <w:i/>
          <w:iCs/>
          <w:color w:val="4472C4" w:themeColor="accent1"/>
          <w:sz w:val="20"/>
        </w:rPr>
      </w:pPr>
      <w:r>
        <w:rPr>
          <w:b/>
          <w:bCs/>
          <w:i/>
          <w:iCs/>
          <w:color w:val="4472C4" w:themeColor="accent1"/>
          <w:sz w:val="20"/>
        </w:rPr>
        <w:t xml:space="preserve">Gráfica 2. </w:t>
      </w:r>
      <w:r w:rsidR="00EC2F19" w:rsidRPr="00427401">
        <w:rPr>
          <w:b/>
          <w:bCs/>
          <w:i/>
          <w:iCs/>
          <w:color w:val="4472C4" w:themeColor="accent1"/>
          <w:sz w:val="20"/>
        </w:rPr>
        <w:t>Distribución porcentual de Jueces y Magistrados, según órgano jurisdiccional y sexo, 201</w:t>
      </w:r>
      <w:r w:rsidR="00121528" w:rsidRPr="00427401">
        <w:rPr>
          <w:b/>
          <w:bCs/>
          <w:i/>
          <w:iCs/>
          <w:color w:val="4472C4" w:themeColor="accent1"/>
          <w:sz w:val="20"/>
        </w:rPr>
        <w:t>9</w:t>
      </w:r>
    </w:p>
    <w:p w14:paraId="72C29426" w14:textId="77777777" w:rsidR="0097404B" w:rsidRDefault="00D1771B" w:rsidP="0097404B">
      <w:pPr>
        <w:pStyle w:val="Default"/>
        <w:spacing w:after="10"/>
        <w:jc w:val="center"/>
      </w:pPr>
      <w:r>
        <w:rPr>
          <w:noProof/>
          <w:lang w:val="en-US"/>
        </w:rPr>
        <w:drawing>
          <wp:inline distT="0" distB="0" distL="0" distR="0" wp14:anchorId="1117F3B0" wp14:editId="5EEC4FD9">
            <wp:extent cx="4572000" cy="2541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541905"/>
                    </a:xfrm>
                    <a:prstGeom prst="rect">
                      <a:avLst/>
                    </a:prstGeom>
                    <a:noFill/>
                    <a:ln>
                      <a:noFill/>
                    </a:ln>
                  </pic:spPr>
                </pic:pic>
              </a:graphicData>
            </a:graphic>
          </wp:inline>
        </w:drawing>
      </w:r>
    </w:p>
    <w:p w14:paraId="2DBA5BEF" w14:textId="77777777" w:rsidR="000A7C7C" w:rsidRPr="0079209E" w:rsidRDefault="00186C3B" w:rsidP="00B3555E">
      <w:pPr>
        <w:pStyle w:val="Default"/>
        <w:spacing w:after="10"/>
        <w:ind w:left="-567"/>
        <w:jc w:val="both"/>
      </w:pPr>
      <w:r>
        <w:t>Por</w:t>
      </w:r>
      <w:r w:rsidR="0090555B">
        <w:t xml:space="preserve"> cir</w:t>
      </w:r>
      <w:r w:rsidR="000B3AB5">
        <w:t xml:space="preserve">cuitos judiciales, </w:t>
      </w:r>
      <w:r w:rsidR="0079209E">
        <w:t>288 Jueces y Magistrados se encontraron adscritos</w:t>
      </w:r>
      <w:r w:rsidR="0090555B">
        <w:t xml:space="preserve"> en el </w:t>
      </w:r>
      <w:r w:rsidR="005B5AC0">
        <w:t>P</w:t>
      </w:r>
      <w:r w:rsidR="004961C5">
        <w:t>rimer circuito</w:t>
      </w:r>
      <w:r w:rsidR="005B5AC0">
        <w:t>/</w:t>
      </w:r>
      <w:r w:rsidR="004961C5">
        <w:t>Ciudad de México</w:t>
      </w:r>
      <w:r w:rsidR="0079209E">
        <w:t>, representando 20.0% del total</w:t>
      </w:r>
      <w:r w:rsidR="00F76141">
        <w:t>.</w:t>
      </w:r>
    </w:p>
    <w:p w14:paraId="6165A97A" w14:textId="77777777" w:rsidR="00E112A6" w:rsidRDefault="00E112A6" w:rsidP="004961C5">
      <w:pPr>
        <w:pStyle w:val="Default"/>
        <w:spacing w:after="10"/>
        <w:ind w:left="-567"/>
        <w:jc w:val="center"/>
        <w:rPr>
          <w:b/>
          <w:bCs/>
          <w:i/>
          <w:iCs/>
          <w:color w:val="4472C4" w:themeColor="accent1"/>
          <w:sz w:val="20"/>
        </w:rPr>
      </w:pPr>
    </w:p>
    <w:p w14:paraId="14239C5E" w14:textId="77777777" w:rsidR="004961C5" w:rsidRPr="00427401" w:rsidRDefault="00AA3CD4" w:rsidP="004961C5">
      <w:pPr>
        <w:pStyle w:val="Default"/>
        <w:spacing w:after="10"/>
        <w:ind w:left="-567"/>
        <w:jc w:val="center"/>
        <w:rPr>
          <w:b/>
          <w:bCs/>
          <w:i/>
          <w:iCs/>
          <w:color w:val="4472C4" w:themeColor="accent1"/>
          <w:sz w:val="20"/>
        </w:rPr>
      </w:pPr>
      <w:r>
        <w:rPr>
          <w:b/>
          <w:bCs/>
          <w:i/>
          <w:iCs/>
          <w:color w:val="4472C4" w:themeColor="accent1"/>
          <w:sz w:val="20"/>
        </w:rPr>
        <w:t xml:space="preserve">Mapa 1. </w:t>
      </w:r>
      <w:r w:rsidR="004961C5" w:rsidRPr="00427401">
        <w:rPr>
          <w:b/>
          <w:bCs/>
          <w:i/>
          <w:iCs/>
          <w:color w:val="4472C4" w:themeColor="accent1"/>
          <w:sz w:val="20"/>
        </w:rPr>
        <w:t xml:space="preserve">Jueces y Magistrados, </w:t>
      </w:r>
      <w:r w:rsidR="004961C5">
        <w:rPr>
          <w:b/>
          <w:bCs/>
          <w:i/>
          <w:iCs/>
          <w:color w:val="4472C4" w:themeColor="accent1"/>
          <w:sz w:val="20"/>
        </w:rPr>
        <w:t>por circuito judicial</w:t>
      </w:r>
      <w:r w:rsidR="004961C5" w:rsidRPr="00427401">
        <w:rPr>
          <w:b/>
          <w:bCs/>
          <w:i/>
          <w:iCs/>
          <w:color w:val="4472C4" w:themeColor="accent1"/>
          <w:sz w:val="20"/>
        </w:rPr>
        <w:t>, 2019</w:t>
      </w:r>
    </w:p>
    <w:p w14:paraId="35327CF8" w14:textId="77777777" w:rsidR="00E112A6" w:rsidRDefault="00334FAC" w:rsidP="004961C5">
      <w:pPr>
        <w:pStyle w:val="Default"/>
        <w:spacing w:after="10"/>
        <w:ind w:left="-567"/>
        <w:jc w:val="center"/>
      </w:pPr>
      <w:r>
        <w:rPr>
          <w:noProof/>
          <w:lang w:val="en-US"/>
        </w:rPr>
        <w:drawing>
          <wp:inline distT="0" distB="0" distL="0" distR="0" wp14:anchorId="2AC0186B" wp14:editId="384E19A3">
            <wp:extent cx="4840925" cy="3167468"/>
            <wp:effectExtent l="0" t="0" r="1079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9011" cy="3218561"/>
                    </a:xfrm>
                    <a:prstGeom prst="rect">
                      <a:avLst/>
                    </a:prstGeom>
                    <a:noFill/>
                  </pic:spPr>
                </pic:pic>
              </a:graphicData>
            </a:graphic>
          </wp:inline>
        </w:drawing>
      </w:r>
    </w:p>
    <w:p w14:paraId="6CF1001F" w14:textId="77777777" w:rsidR="00334FAC" w:rsidRDefault="00334FAC" w:rsidP="00BF055E">
      <w:pPr>
        <w:autoSpaceDE w:val="0"/>
        <w:autoSpaceDN w:val="0"/>
        <w:adjustRightInd w:val="0"/>
        <w:spacing w:after="0" w:line="240" w:lineRule="auto"/>
        <w:ind w:left="-567"/>
        <w:jc w:val="both"/>
        <w:rPr>
          <w:rFonts w:ascii="Arial" w:hAnsi="Arial" w:cs="Arial"/>
          <w:sz w:val="16"/>
          <w:szCs w:val="16"/>
        </w:rPr>
      </w:pPr>
    </w:p>
    <w:p w14:paraId="749E90C8" w14:textId="77777777" w:rsidR="00BF055E" w:rsidRDefault="005B5AC0" w:rsidP="00BF055E">
      <w:pPr>
        <w:autoSpaceDE w:val="0"/>
        <w:autoSpaceDN w:val="0"/>
        <w:adjustRightInd w:val="0"/>
        <w:spacing w:after="0" w:line="240" w:lineRule="auto"/>
        <w:ind w:left="-567"/>
        <w:jc w:val="both"/>
        <w:rPr>
          <w:rFonts w:ascii="Arial" w:hAnsi="Arial" w:cs="Arial"/>
          <w:sz w:val="16"/>
          <w:szCs w:val="16"/>
        </w:rPr>
      </w:pPr>
      <w:r w:rsidRPr="005B5AC0">
        <w:rPr>
          <w:rFonts w:ascii="Arial" w:hAnsi="Arial" w:cs="Arial"/>
          <w:sz w:val="16"/>
          <w:szCs w:val="16"/>
        </w:rPr>
        <w:t>Nota:</w:t>
      </w:r>
      <w:r>
        <w:rPr>
          <w:rFonts w:ascii="Arial" w:hAnsi="Arial" w:cs="Arial"/>
          <w:sz w:val="16"/>
          <w:szCs w:val="16"/>
        </w:rPr>
        <w:t xml:space="preserve"> </w:t>
      </w:r>
      <w:r w:rsidR="00AD0A74">
        <w:rPr>
          <w:rFonts w:ascii="Arial" w:hAnsi="Arial" w:cs="Arial"/>
          <w:sz w:val="16"/>
          <w:szCs w:val="16"/>
        </w:rPr>
        <w:t>el Décimo Circuito Judicial corresponde a Tabasco-Veracruz.</w:t>
      </w:r>
    </w:p>
    <w:p w14:paraId="02253BAD" w14:textId="77777777" w:rsidR="00AD417E" w:rsidRDefault="00AD417E" w:rsidP="00BF055E">
      <w:pPr>
        <w:autoSpaceDE w:val="0"/>
        <w:autoSpaceDN w:val="0"/>
        <w:adjustRightInd w:val="0"/>
        <w:spacing w:after="0" w:line="240" w:lineRule="auto"/>
        <w:ind w:left="-567"/>
        <w:jc w:val="both"/>
        <w:rPr>
          <w:rFonts w:ascii="Arial" w:hAnsi="Arial" w:cs="Arial"/>
          <w:color w:val="000000"/>
          <w:sz w:val="24"/>
          <w:szCs w:val="24"/>
        </w:rPr>
      </w:pPr>
    </w:p>
    <w:p w14:paraId="696F086E" w14:textId="77777777" w:rsidR="00C82FB4" w:rsidRPr="00521E03" w:rsidRDefault="00186C3B" w:rsidP="00521E03">
      <w:pPr>
        <w:autoSpaceDE w:val="0"/>
        <w:autoSpaceDN w:val="0"/>
        <w:adjustRightInd w:val="0"/>
        <w:spacing w:after="0" w:line="240" w:lineRule="auto"/>
        <w:ind w:left="-567"/>
        <w:jc w:val="both"/>
        <w:rPr>
          <w:rFonts w:ascii="Arial" w:hAnsi="Arial" w:cs="Arial"/>
          <w:sz w:val="16"/>
          <w:szCs w:val="16"/>
        </w:rPr>
      </w:pPr>
      <w:r>
        <w:rPr>
          <w:rFonts w:ascii="Arial" w:hAnsi="Arial" w:cs="Arial"/>
          <w:color w:val="000000"/>
          <w:sz w:val="24"/>
          <w:szCs w:val="24"/>
        </w:rPr>
        <w:t xml:space="preserve">En relación con los recursos presupuestales </w:t>
      </w:r>
      <w:r w:rsidR="00C677A2">
        <w:rPr>
          <w:rFonts w:ascii="Arial" w:hAnsi="Arial" w:cs="Arial"/>
          <w:color w:val="000000"/>
          <w:sz w:val="24"/>
          <w:szCs w:val="24"/>
        </w:rPr>
        <w:t xml:space="preserve">y materiales </w:t>
      </w:r>
      <w:r>
        <w:rPr>
          <w:rFonts w:ascii="Arial" w:hAnsi="Arial" w:cs="Arial"/>
          <w:color w:val="000000"/>
          <w:sz w:val="24"/>
          <w:szCs w:val="24"/>
        </w:rPr>
        <w:t>del PJF, d</w:t>
      </w:r>
      <w:r w:rsidR="00151E12">
        <w:rPr>
          <w:rFonts w:ascii="Arial" w:hAnsi="Arial" w:cs="Arial"/>
          <w:color w:val="000000"/>
          <w:sz w:val="24"/>
          <w:szCs w:val="24"/>
        </w:rPr>
        <w:t>urante 201</w:t>
      </w:r>
      <w:r w:rsidR="00227748">
        <w:rPr>
          <w:rFonts w:ascii="Arial" w:hAnsi="Arial" w:cs="Arial"/>
          <w:color w:val="000000"/>
          <w:sz w:val="24"/>
          <w:szCs w:val="24"/>
        </w:rPr>
        <w:t>9</w:t>
      </w:r>
      <w:r w:rsidR="002E731C">
        <w:rPr>
          <w:rFonts w:ascii="Arial" w:hAnsi="Arial" w:cs="Arial"/>
          <w:color w:val="000000"/>
          <w:sz w:val="24"/>
          <w:szCs w:val="24"/>
        </w:rPr>
        <w:t>,</w:t>
      </w:r>
      <w:r w:rsidR="00151E12">
        <w:rPr>
          <w:rFonts w:ascii="Arial" w:hAnsi="Arial" w:cs="Arial"/>
          <w:color w:val="000000"/>
          <w:sz w:val="24"/>
          <w:szCs w:val="24"/>
        </w:rPr>
        <w:t xml:space="preserve"> la SCJN </w:t>
      </w:r>
      <w:r w:rsidR="006C5371">
        <w:rPr>
          <w:rFonts w:ascii="Arial" w:hAnsi="Arial" w:cs="Arial"/>
          <w:color w:val="000000"/>
          <w:sz w:val="24"/>
          <w:szCs w:val="24"/>
        </w:rPr>
        <w:t>reportó haber ejercido</w:t>
      </w:r>
      <w:r w:rsidR="00151E12">
        <w:rPr>
          <w:rFonts w:ascii="Arial" w:hAnsi="Arial" w:cs="Arial"/>
          <w:color w:val="000000"/>
          <w:sz w:val="24"/>
          <w:szCs w:val="24"/>
        </w:rPr>
        <w:t xml:space="preserve"> un total de </w:t>
      </w:r>
      <w:r w:rsidR="00CF598B">
        <w:rPr>
          <w:rFonts w:ascii="Arial" w:hAnsi="Arial" w:cs="Arial"/>
          <w:color w:val="000000"/>
          <w:sz w:val="24"/>
          <w:szCs w:val="24"/>
        </w:rPr>
        <w:t>4</w:t>
      </w:r>
      <w:r w:rsidR="00151E12">
        <w:rPr>
          <w:rFonts w:ascii="Arial" w:hAnsi="Arial" w:cs="Arial"/>
          <w:color w:val="000000"/>
          <w:sz w:val="24"/>
          <w:szCs w:val="24"/>
        </w:rPr>
        <w:t xml:space="preserve"> </w:t>
      </w:r>
      <w:r w:rsidR="00CF598B">
        <w:rPr>
          <w:rFonts w:ascii="Arial" w:hAnsi="Arial" w:cs="Arial"/>
          <w:color w:val="000000"/>
          <w:sz w:val="24"/>
          <w:szCs w:val="24"/>
        </w:rPr>
        <w:t>696</w:t>
      </w:r>
      <w:r w:rsidR="00151E12">
        <w:rPr>
          <w:rFonts w:ascii="Arial" w:hAnsi="Arial" w:cs="Arial"/>
          <w:color w:val="000000"/>
          <w:sz w:val="24"/>
          <w:szCs w:val="24"/>
        </w:rPr>
        <w:t xml:space="preserve"> </w:t>
      </w:r>
      <w:r w:rsidR="00CF598B">
        <w:rPr>
          <w:rFonts w:ascii="Arial" w:hAnsi="Arial" w:cs="Arial"/>
          <w:color w:val="000000"/>
          <w:sz w:val="24"/>
          <w:szCs w:val="24"/>
        </w:rPr>
        <w:t>429</w:t>
      </w:r>
      <w:r w:rsidR="00151E12">
        <w:rPr>
          <w:rFonts w:ascii="Arial" w:hAnsi="Arial" w:cs="Arial"/>
          <w:color w:val="000000"/>
          <w:sz w:val="24"/>
          <w:szCs w:val="24"/>
        </w:rPr>
        <w:t xml:space="preserve"> </w:t>
      </w:r>
      <w:r w:rsidR="00151E12" w:rsidRPr="00151E12">
        <w:rPr>
          <w:rFonts w:ascii="Arial" w:hAnsi="Arial" w:cs="Arial"/>
          <w:color w:val="000000"/>
          <w:sz w:val="24"/>
          <w:szCs w:val="24"/>
        </w:rPr>
        <w:t>559</w:t>
      </w:r>
      <w:r w:rsidR="00151E12">
        <w:rPr>
          <w:rFonts w:ascii="Arial" w:hAnsi="Arial" w:cs="Arial"/>
          <w:color w:val="000000"/>
          <w:sz w:val="24"/>
          <w:szCs w:val="24"/>
        </w:rPr>
        <w:t xml:space="preserve"> pesos; </w:t>
      </w:r>
      <w:r w:rsidR="006C5371">
        <w:rPr>
          <w:rFonts w:ascii="Arial" w:hAnsi="Arial" w:cs="Arial"/>
          <w:color w:val="000000"/>
          <w:sz w:val="24"/>
          <w:szCs w:val="24"/>
        </w:rPr>
        <w:t xml:space="preserve">el TEPJF, </w:t>
      </w:r>
      <w:r w:rsidR="00CF598B">
        <w:rPr>
          <w:rFonts w:ascii="Arial" w:hAnsi="Arial" w:cs="Arial"/>
          <w:color w:val="000000"/>
          <w:sz w:val="24"/>
          <w:szCs w:val="24"/>
        </w:rPr>
        <w:t>2</w:t>
      </w:r>
      <w:r w:rsidR="00151E12">
        <w:rPr>
          <w:rFonts w:ascii="Arial" w:hAnsi="Arial" w:cs="Arial"/>
          <w:color w:val="000000"/>
          <w:sz w:val="24"/>
          <w:szCs w:val="24"/>
        </w:rPr>
        <w:t xml:space="preserve"> </w:t>
      </w:r>
      <w:r w:rsidR="00CF598B">
        <w:rPr>
          <w:rFonts w:ascii="Arial" w:hAnsi="Arial" w:cs="Arial"/>
          <w:color w:val="000000"/>
          <w:sz w:val="24"/>
          <w:szCs w:val="24"/>
        </w:rPr>
        <w:t>565</w:t>
      </w:r>
      <w:r w:rsidR="00151E12">
        <w:rPr>
          <w:rFonts w:ascii="Arial" w:hAnsi="Arial" w:cs="Arial"/>
          <w:color w:val="000000"/>
          <w:sz w:val="24"/>
          <w:szCs w:val="24"/>
        </w:rPr>
        <w:t xml:space="preserve"> </w:t>
      </w:r>
      <w:r w:rsidR="00151E12" w:rsidRPr="00151E12">
        <w:rPr>
          <w:rFonts w:ascii="Arial" w:hAnsi="Arial" w:cs="Arial"/>
          <w:color w:val="000000"/>
          <w:sz w:val="24"/>
          <w:szCs w:val="24"/>
        </w:rPr>
        <w:t>493 514</w:t>
      </w:r>
      <w:r w:rsidR="006C5371">
        <w:rPr>
          <w:rFonts w:ascii="Arial" w:hAnsi="Arial" w:cs="Arial"/>
          <w:color w:val="000000"/>
          <w:sz w:val="24"/>
          <w:szCs w:val="24"/>
        </w:rPr>
        <w:t>;</w:t>
      </w:r>
      <w:r w:rsidR="00227748">
        <w:rPr>
          <w:rFonts w:ascii="Arial" w:hAnsi="Arial" w:cs="Arial"/>
          <w:color w:val="000000"/>
          <w:sz w:val="24"/>
          <w:szCs w:val="24"/>
        </w:rPr>
        <w:t xml:space="preserve"> y</w:t>
      </w:r>
      <w:r w:rsidR="006C5371">
        <w:rPr>
          <w:rFonts w:ascii="Arial" w:hAnsi="Arial" w:cs="Arial"/>
          <w:color w:val="000000"/>
          <w:sz w:val="24"/>
          <w:szCs w:val="24"/>
        </w:rPr>
        <w:t xml:space="preserve"> el CJF,</w:t>
      </w:r>
      <w:r w:rsidR="00227748">
        <w:rPr>
          <w:rFonts w:ascii="Arial" w:hAnsi="Arial" w:cs="Arial"/>
          <w:color w:val="000000"/>
          <w:sz w:val="24"/>
          <w:szCs w:val="24"/>
        </w:rPr>
        <w:t xml:space="preserve"> </w:t>
      </w:r>
      <w:r w:rsidR="00CF598B">
        <w:rPr>
          <w:rFonts w:ascii="Arial" w:hAnsi="Arial" w:cs="Arial"/>
          <w:color w:val="000000"/>
          <w:sz w:val="24"/>
          <w:szCs w:val="24"/>
        </w:rPr>
        <w:t>56</w:t>
      </w:r>
      <w:r w:rsidR="00227748">
        <w:rPr>
          <w:rFonts w:ascii="Arial" w:hAnsi="Arial" w:cs="Arial"/>
          <w:color w:val="000000"/>
          <w:sz w:val="24"/>
          <w:szCs w:val="24"/>
        </w:rPr>
        <w:t xml:space="preserve"> </w:t>
      </w:r>
      <w:r w:rsidR="00227748" w:rsidRPr="00227748">
        <w:rPr>
          <w:rFonts w:ascii="Arial" w:hAnsi="Arial" w:cs="Arial"/>
          <w:color w:val="000000"/>
          <w:sz w:val="24"/>
          <w:szCs w:val="24"/>
        </w:rPr>
        <w:t>493</w:t>
      </w:r>
      <w:r w:rsidR="00CF598B">
        <w:rPr>
          <w:rFonts w:ascii="Arial" w:hAnsi="Arial" w:cs="Arial"/>
          <w:color w:val="000000"/>
          <w:sz w:val="24"/>
          <w:szCs w:val="24"/>
        </w:rPr>
        <w:t xml:space="preserve"> 150</w:t>
      </w:r>
      <w:r w:rsidR="00227748">
        <w:rPr>
          <w:rFonts w:ascii="Arial" w:hAnsi="Arial" w:cs="Arial"/>
          <w:color w:val="000000"/>
          <w:sz w:val="24"/>
          <w:szCs w:val="24"/>
        </w:rPr>
        <w:t xml:space="preserve"> </w:t>
      </w:r>
      <w:r w:rsidR="00227748" w:rsidRPr="00227748">
        <w:rPr>
          <w:rFonts w:ascii="Arial" w:hAnsi="Arial" w:cs="Arial"/>
          <w:color w:val="000000"/>
          <w:sz w:val="24"/>
          <w:szCs w:val="24"/>
        </w:rPr>
        <w:t>404</w:t>
      </w:r>
      <w:r w:rsidR="00227748">
        <w:rPr>
          <w:rFonts w:ascii="Arial" w:hAnsi="Arial" w:cs="Arial"/>
          <w:color w:val="000000"/>
          <w:sz w:val="24"/>
          <w:szCs w:val="24"/>
        </w:rPr>
        <w:t xml:space="preserve"> </w:t>
      </w:r>
      <w:r w:rsidR="007203D6">
        <w:rPr>
          <w:rFonts w:ascii="Arial" w:hAnsi="Arial" w:cs="Arial"/>
          <w:color w:val="000000"/>
          <w:sz w:val="24"/>
          <w:szCs w:val="24"/>
        </w:rPr>
        <w:t>pesos</w:t>
      </w:r>
      <w:r w:rsidR="00227748">
        <w:rPr>
          <w:rFonts w:ascii="Arial" w:hAnsi="Arial" w:cs="Arial"/>
          <w:color w:val="000000"/>
          <w:sz w:val="24"/>
          <w:szCs w:val="24"/>
        </w:rPr>
        <w:t xml:space="preserve">. </w:t>
      </w:r>
      <w:r w:rsidR="00EB1321">
        <w:rPr>
          <w:rFonts w:ascii="Arial" w:hAnsi="Arial" w:cs="Arial"/>
          <w:color w:val="000000"/>
          <w:sz w:val="24"/>
          <w:szCs w:val="24"/>
        </w:rPr>
        <w:t xml:space="preserve">Del presupuesto total </w:t>
      </w:r>
      <w:r w:rsidR="006C5371">
        <w:rPr>
          <w:rFonts w:ascii="Arial" w:hAnsi="Arial" w:cs="Arial"/>
          <w:color w:val="000000"/>
          <w:sz w:val="24"/>
          <w:szCs w:val="24"/>
        </w:rPr>
        <w:t xml:space="preserve">registrado como </w:t>
      </w:r>
      <w:r w:rsidR="00EB1321">
        <w:rPr>
          <w:rFonts w:ascii="Arial" w:hAnsi="Arial" w:cs="Arial"/>
          <w:color w:val="000000"/>
          <w:sz w:val="24"/>
          <w:szCs w:val="24"/>
        </w:rPr>
        <w:t>ejercido</w:t>
      </w:r>
      <w:r w:rsidR="008132D0">
        <w:rPr>
          <w:rFonts w:ascii="Arial" w:hAnsi="Arial" w:cs="Arial"/>
          <w:color w:val="000000"/>
          <w:sz w:val="24"/>
          <w:szCs w:val="24"/>
        </w:rPr>
        <w:t xml:space="preserve"> en el PJF</w:t>
      </w:r>
      <w:r w:rsidR="00EB1321">
        <w:rPr>
          <w:rFonts w:ascii="Arial" w:hAnsi="Arial" w:cs="Arial"/>
          <w:color w:val="000000"/>
          <w:sz w:val="24"/>
          <w:szCs w:val="24"/>
        </w:rPr>
        <w:t xml:space="preserve">, 74.3% correspondió a órganos jurisdiccionales y 25.7% a </w:t>
      </w:r>
      <w:r w:rsidR="00EB1321" w:rsidRPr="00EB1321">
        <w:rPr>
          <w:rFonts w:ascii="Arial" w:hAnsi="Arial" w:cs="Arial"/>
          <w:color w:val="000000"/>
          <w:sz w:val="24"/>
          <w:szCs w:val="24"/>
        </w:rPr>
        <w:t>órganos administrativos y/o unidades administrativas</w:t>
      </w:r>
      <w:r w:rsidR="00EB1321">
        <w:rPr>
          <w:rFonts w:ascii="Arial" w:hAnsi="Arial" w:cs="Arial"/>
          <w:color w:val="000000"/>
          <w:sz w:val="24"/>
          <w:szCs w:val="24"/>
        </w:rPr>
        <w:t>.</w:t>
      </w:r>
    </w:p>
    <w:p w14:paraId="63A340B9" w14:textId="77777777" w:rsidR="005B5B4A" w:rsidRDefault="005B5B4A" w:rsidP="00EC2F19">
      <w:pPr>
        <w:autoSpaceDE w:val="0"/>
        <w:autoSpaceDN w:val="0"/>
        <w:adjustRightInd w:val="0"/>
        <w:spacing w:after="0" w:line="240" w:lineRule="auto"/>
        <w:ind w:left="-567"/>
        <w:jc w:val="both"/>
        <w:rPr>
          <w:rFonts w:ascii="Arial" w:hAnsi="Arial" w:cs="Arial"/>
          <w:color w:val="000000"/>
          <w:sz w:val="24"/>
          <w:szCs w:val="24"/>
        </w:rPr>
      </w:pPr>
    </w:p>
    <w:p w14:paraId="08F6E51C" w14:textId="77777777" w:rsidR="00C82FB4" w:rsidRDefault="00AA3CD4" w:rsidP="00C82FB4">
      <w:pPr>
        <w:pStyle w:val="Default"/>
        <w:spacing w:after="10"/>
        <w:ind w:left="-567"/>
        <w:jc w:val="center"/>
        <w:rPr>
          <w:b/>
          <w:bCs/>
          <w:i/>
          <w:iCs/>
          <w:color w:val="4472C4" w:themeColor="accent1"/>
          <w:sz w:val="20"/>
        </w:rPr>
      </w:pPr>
      <w:r>
        <w:rPr>
          <w:b/>
          <w:bCs/>
          <w:i/>
          <w:iCs/>
          <w:color w:val="4472C4" w:themeColor="accent1"/>
          <w:sz w:val="20"/>
        </w:rPr>
        <w:t xml:space="preserve">Gráfica 3. </w:t>
      </w:r>
      <w:r w:rsidR="00C82FB4">
        <w:rPr>
          <w:b/>
          <w:bCs/>
          <w:i/>
          <w:iCs/>
          <w:color w:val="4472C4" w:themeColor="accent1"/>
          <w:sz w:val="20"/>
        </w:rPr>
        <w:t>Presupuesto ejercido</w:t>
      </w:r>
      <w:r w:rsidR="006C5371">
        <w:rPr>
          <w:b/>
          <w:bCs/>
          <w:i/>
          <w:iCs/>
          <w:color w:val="4472C4" w:themeColor="accent1"/>
          <w:sz w:val="20"/>
        </w:rPr>
        <w:t xml:space="preserve"> reportado</w:t>
      </w:r>
      <w:r w:rsidR="00C82FB4">
        <w:rPr>
          <w:b/>
          <w:bCs/>
          <w:i/>
          <w:iCs/>
          <w:color w:val="4472C4" w:themeColor="accent1"/>
          <w:sz w:val="20"/>
        </w:rPr>
        <w:t xml:space="preserve"> por</w:t>
      </w:r>
      <w:r w:rsidR="00C82FB4" w:rsidRPr="003D19F2">
        <w:rPr>
          <w:b/>
          <w:bCs/>
          <w:i/>
          <w:iCs/>
          <w:color w:val="4472C4" w:themeColor="accent1"/>
          <w:sz w:val="20"/>
        </w:rPr>
        <w:t xml:space="preserve"> el Poder Judicial de la Federación</w:t>
      </w:r>
      <w:r w:rsidR="00C82FB4">
        <w:rPr>
          <w:b/>
          <w:bCs/>
          <w:i/>
          <w:iCs/>
          <w:color w:val="4472C4" w:themeColor="accent1"/>
          <w:sz w:val="20"/>
        </w:rPr>
        <w:t xml:space="preserve"> por </w:t>
      </w:r>
    </w:p>
    <w:p w14:paraId="02C005DE" w14:textId="77777777" w:rsidR="00C82FB4" w:rsidRDefault="00C82FB4" w:rsidP="00C82FB4">
      <w:pPr>
        <w:pStyle w:val="Default"/>
        <w:spacing w:after="10"/>
        <w:ind w:left="-567"/>
        <w:jc w:val="center"/>
        <w:rPr>
          <w:b/>
          <w:bCs/>
          <w:i/>
          <w:iCs/>
          <w:color w:val="4472C4" w:themeColor="accent1"/>
          <w:sz w:val="20"/>
        </w:rPr>
      </w:pPr>
      <w:r>
        <w:rPr>
          <w:b/>
          <w:bCs/>
          <w:i/>
          <w:iCs/>
          <w:color w:val="4472C4" w:themeColor="accent1"/>
          <w:sz w:val="20"/>
        </w:rPr>
        <w:t>año</w:t>
      </w:r>
      <w:r w:rsidRPr="003D19F2">
        <w:rPr>
          <w:b/>
          <w:bCs/>
          <w:i/>
          <w:iCs/>
          <w:color w:val="4472C4" w:themeColor="accent1"/>
          <w:sz w:val="20"/>
        </w:rPr>
        <w:t xml:space="preserve">, </w:t>
      </w:r>
      <w:r>
        <w:rPr>
          <w:b/>
          <w:bCs/>
          <w:i/>
          <w:iCs/>
          <w:color w:val="4472C4" w:themeColor="accent1"/>
          <w:sz w:val="20"/>
        </w:rPr>
        <w:t xml:space="preserve">2010 a </w:t>
      </w:r>
      <w:r w:rsidRPr="003D19F2">
        <w:rPr>
          <w:b/>
          <w:bCs/>
          <w:i/>
          <w:iCs/>
          <w:color w:val="4472C4" w:themeColor="accent1"/>
          <w:sz w:val="20"/>
        </w:rPr>
        <w:t>2019</w:t>
      </w:r>
      <w:r w:rsidR="00FE04D0">
        <w:rPr>
          <w:b/>
          <w:bCs/>
          <w:i/>
          <w:iCs/>
          <w:color w:val="4472C4" w:themeColor="accent1"/>
          <w:sz w:val="20"/>
        </w:rPr>
        <w:t>.</w:t>
      </w:r>
      <w:r w:rsidR="005D083B">
        <w:rPr>
          <w:b/>
          <w:bCs/>
          <w:i/>
          <w:iCs/>
          <w:color w:val="4472C4" w:themeColor="accent1"/>
          <w:sz w:val="20"/>
        </w:rPr>
        <w:t xml:space="preserve"> Millones de p</w:t>
      </w:r>
      <w:r>
        <w:rPr>
          <w:b/>
          <w:bCs/>
          <w:i/>
          <w:iCs/>
          <w:color w:val="4472C4" w:themeColor="accent1"/>
          <w:sz w:val="20"/>
        </w:rPr>
        <w:t>esos</w:t>
      </w:r>
    </w:p>
    <w:p w14:paraId="1BADCCF3" w14:textId="77777777" w:rsidR="00C82FB4" w:rsidRDefault="00C82FB4" w:rsidP="00EC2F19">
      <w:pPr>
        <w:autoSpaceDE w:val="0"/>
        <w:autoSpaceDN w:val="0"/>
        <w:adjustRightInd w:val="0"/>
        <w:spacing w:after="0" w:line="240" w:lineRule="auto"/>
        <w:ind w:left="-567"/>
        <w:jc w:val="both"/>
        <w:rPr>
          <w:rFonts w:ascii="Arial" w:hAnsi="Arial" w:cs="Arial"/>
          <w:color w:val="000000"/>
          <w:sz w:val="24"/>
          <w:szCs w:val="24"/>
        </w:rPr>
      </w:pPr>
    </w:p>
    <w:p w14:paraId="759C3BB3" w14:textId="77777777" w:rsidR="00C82FB4" w:rsidRDefault="00521E03" w:rsidP="00A77184">
      <w:pPr>
        <w:autoSpaceDE w:val="0"/>
        <w:autoSpaceDN w:val="0"/>
        <w:adjustRightInd w:val="0"/>
        <w:spacing w:after="0" w:line="240" w:lineRule="auto"/>
        <w:ind w:left="-567"/>
        <w:jc w:val="center"/>
        <w:rPr>
          <w:rFonts w:ascii="Arial" w:hAnsi="Arial" w:cs="Arial"/>
          <w:color w:val="000000"/>
          <w:sz w:val="24"/>
          <w:szCs w:val="24"/>
        </w:rPr>
      </w:pPr>
      <w:r w:rsidRPr="00521E03">
        <w:rPr>
          <w:rFonts w:ascii="Arial" w:hAnsi="Arial" w:cs="Arial"/>
          <w:noProof/>
          <w:color w:val="000000"/>
          <w:sz w:val="24"/>
          <w:szCs w:val="24"/>
          <w:lang w:val="en-US"/>
        </w:rPr>
        <w:drawing>
          <wp:inline distT="0" distB="0" distL="0" distR="0" wp14:anchorId="03C3A316" wp14:editId="03542636">
            <wp:extent cx="5537200" cy="2479040"/>
            <wp:effectExtent l="0" t="0" r="0" b="101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7200" cy="2479040"/>
                    </a:xfrm>
                    <a:prstGeom prst="rect">
                      <a:avLst/>
                    </a:prstGeom>
                  </pic:spPr>
                </pic:pic>
              </a:graphicData>
            </a:graphic>
          </wp:inline>
        </w:drawing>
      </w:r>
    </w:p>
    <w:p w14:paraId="05AB466E" w14:textId="77777777" w:rsidR="00C677A2" w:rsidRDefault="00C677A2" w:rsidP="006D13F5">
      <w:pPr>
        <w:autoSpaceDE w:val="0"/>
        <w:autoSpaceDN w:val="0"/>
        <w:adjustRightInd w:val="0"/>
        <w:spacing w:after="0" w:line="240" w:lineRule="auto"/>
        <w:jc w:val="both"/>
        <w:rPr>
          <w:rFonts w:ascii="Arial" w:hAnsi="Arial" w:cs="Arial"/>
          <w:color w:val="000000"/>
          <w:sz w:val="24"/>
          <w:szCs w:val="24"/>
        </w:rPr>
      </w:pPr>
    </w:p>
    <w:p w14:paraId="16B99BF1" w14:textId="77777777" w:rsidR="00BF614C" w:rsidRDefault="00BF614C" w:rsidP="00BF614C">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Además, para el desempeño de sus actividades</w:t>
      </w:r>
      <w:r w:rsidR="00C677A2">
        <w:rPr>
          <w:rFonts w:ascii="Arial" w:hAnsi="Arial" w:cs="Arial"/>
          <w:color w:val="000000"/>
          <w:sz w:val="24"/>
          <w:szCs w:val="24"/>
        </w:rPr>
        <w:t>,</w:t>
      </w:r>
      <w:r>
        <w:rPr>
          <w:rFonts w:ascii="Arial" w:hAnsi="Arial" w:cs="Arial"/>
          <w:color w:val="000000"/>
          <w:sz w:val="24"/>
          <w:szCs w:val="24"/>
        </w:rPr>
        <w:t xml:space="preserve"> al cierre de 2019, el PJF contó con </w:t>
      </w:r>
      <w:r w:rsidRPr="00D401F1">
        <w:rPr>
          <w:rFonts w:ascii="Arial" w:hAnsi="Arial" w:cs="Arial"/>
          <w:color w:val="000000"/>
          <w:sz w:val="24"/>
          <w:szCs w:val="24"/>
        </w:rPr>
        <w:t>51</w:t>
      </w:r>
      <w:r>
        <w:rPr>
          <w:rFonts w:ascii="Arial" w:hAnsi="Arial" w:cs="Arial"/>
          <w:color w:val="000000"/>
          <w:sz w:val="24"/>
          <w:szCs w:val="24"/>
        </w:rPr>
        <w:t xml:space="preserve"> </w:t>
      </w:r>
      <w:r w:rsidRPr="00D401F1">
        <w:rPr>
          <w:rFonts w:ascii="Arial" w:hAnsi="Arial" w:cs="Arial"/>
          <w:color w:val="000000"/>
          <w:sz w:val="24"/>
          <w:szCs w:val="24"/>
        </w:rPr>
        <w:t>038</w:t>
      </w:r>
      <w:r>
        <w:rPr>
          <w:rFonts w:ascii="Arial" w:hAnsi="Arial" w:cs="Arial"/>
          <w:color w:val="000000"/>
          <w:sz w:val="24"/>
          <w:szCs w:val="24"/>
        </w:rPr>
        <w:t xml:space="preserve"> computadoras en funcionamiento</w:t>
      </w:r>
      <w:r w:rsidRPr="00E73A21">
        <w:rPr>
          <w:rFonts w:ascii="Arial" w:hAnsi="Arial" w:cs="Arial"/>
          <w:color w:val="000000"/>
          <w:sz w:val="24"/>
          <w:szCs w:val="24"/>
        </w:rPr>
        <w:t xml:space="preserve">, </w:t>
      </w:r>
      <w:r w:rsidRPr="00054710">
        <w:rPr>
          <w:rFonts w:ascii="Arial" w:hAnsi="Arial" w:cs="Arial"/>
          <w:color w:val="000000"/>
          <w:sz w:val="24"/>
          <w:szCs w:val="24"/>
        </w:rPr>
        <w:t>42</w:t>
      </w:r>
      <w:r>
        <w:rPr>
          <w:rFonts w:ascii="Arial" w:hAnsi="Arial" w:cs="Arial"/>
          <w:color w:val="000000"/>
          <w:sz w:val="24"/>
          <w:szCs w:val="24"/>
        </w:rPr>
        <w:t xml:space="preserve"> 695 (</w:t>
      </w:r>
      <w:r w:rsidRPr="00054710">
        <w:rPr>
          <w:rFonts w:ascii="Arial" w:hAnsi="Arial" w:cs="Arial"/>
          <w:color w:val="000000"/>
          <w:sz w:val="24"/>
          <w:szCs w:val="24"/>
        </w:rPr>
        <w:t>8</w:t>
      </w:r>
      <w:r>
        <w:rPr>
          <w:rFonts w:ascii="Arial" w:hAnsi="Arial" w:cs="Arial"/>
          <w:color w:val="000000"/>
          <w:sz w:val="24"/>
          <w:szCs w:val="24"/>
        </w:rPr>
        <w:t>3.7</w:t>
      </w:r>
      <w:r w:rsidRPr="00054710">
        <w:rPr>
          <w:rFonts w:ascii="Arial" w:hAnsi="Arial" w:cs="Arial"/>
          <w:color w:val="000000"/>
          <w:sz w:val="24"/>
          <w:szCs w:val="24"/>
        </w:rPr>
        <w:t>%</w:t>
      </w:r>
      <w:r>
        <w:rPr>
          <w:rFonts w:ascii="Arial" w:hAnsi="Arial" w:cs="Arial"/>
          <w:color w:val="000000"/>
          <w:sz w:val="24"/>
          <w:szCs w:val="24"/>
        </w:rPr>
        <w:t xml:space="preserve">) </w:t>
      </w:r>
      <w:r w:rsidRPr="00E73A21">
        <w:rPr>
          <w:rFonts w:ascii="Arial" w:hAnsi="Arial" w:cs="Arial"/>
          <w:color w:val="000000"/>
          <w:sz w:val="24"/>
          <w:szCs w:val="24"/>
        </w:rPr>
        <w:t xml:space="preserve">fueron de escritorio y </w:t>
      </w:r>
      <w:r w:rsidRPr="00054710">
        <w:rPr>
          <w:rFonts w:ascii="Arial" w:hAnsi="Arial" w:cs="Arial"/>
          <w:color w:val="000000"/>
          <w:sz w:val="24"/>
          <w:szCs w:val="24"/>
        </w:rPr>
        <w:t>8</w:t>
      </w:r>
      <w:r>
        <w:rPr>
          <w:rFonts w:ascii="Arial" w:hAnsi="Arial" w:cs="Arial"/>
          <w:color w:val="000000"/>
          <w:sz w:val="24"/>
          <w:szCs w:val="24"/>
        </w:rPr>
        <w:t xml:space="preserve"> 343 (16.3</w:t>
      </w:r>
      <w:r w:rsidRPr="00054710">
        <w:rPr>
          <w:rFonts w:ascii="Arial" w:hAnsi="Arial" w:cs="Arial"/>
          <w:color w:val="000000"/>
          <w:sz w:val="24"/>
          <w:szCs w:val="24"/>
        </w:rPr>
        <w:t>%</w:t>
      </w:r>
      <w:r>
        <w:rPr>
          <w:rFonts w:ascii="Arial" w:hAnsi="Arial" w:cs="Arial"/>
          <w:color w:val="000000"/>
          <w:sz w:val="24"/>
          <w:szCs w:val="24"/>
        </w:rPr>
        <w:t xml:space="preserve">) </w:t>
      </w:r>
      <w:r w:rsidRPr="00E73A21">
        <w:rPr>
          <w:rFonts w:ascii="Arial" w:hAnsi="Arial" w:cs="Arial"/>
          <w:color w:val="000000"/>
          <w:sz w:val="24"/>
          <w:szCs w:val="24"/>
        </w:rPr>
        <w:t xml:space="preserve">portátiles. </w:t>
      </w:r>
      <w:r w:rsidR="000713B9">
        <w:rPr>
          <w:rFonts w:ascii="Arial" w:hAnsi="Arial" w:cs="Arial"/>
          <w:color w:val="000000"/>
          <w:sz w:val="24"/>
          <w:szCs w:val="24"/>
        </w:rPr>
        <w:t>Por</w:t>
      </w:r>
      <w:r w:rsidR="00CF598B">
        <w:rPr>
          <w:rFonts w:ascii="Arial" w:hAnsi="Arial" w:cs="Arial"/>
          <w:color w:val="000000"/>
          <w:sz w:val="24"/>
          <w:szCs w:val="24"/>
        </w:rPr>
        <w:t xml:space="preserve"> órgano, la SCJN contó con 3</w:t>
      </w:r>
      <w:r w:rsidR="000713B9">
        <w:rPr>
          <w:rFonts w:ascii="Arial" w:hAnsi="Arial" w:cs="Arial"/>
          <w:color w:val="000000"/>
          <w:sz w:val="24"/>
          <w:szCs w:val="24"/>
        </w:rPr>
        <w:t xml:space="preserve"> 314 </w:t>
      </w:r>
      <w:r w:rsidR="00CF598B">
        <w:rPr>
          <w:rFonts w:ascii="Arial" w:hAnsi="Arial" w:cs="Arial"/>
          <w:color w:val="000000"/>
          <w:sz w:val="24"/>
          <w:szCs w:val="24"/>
        </w:rPr>
        <w:t>computadoras, el TEPJF con 2 022 y el CJF con 45</w:t>
      </w:r>
      <w:r w:rsidR="000713B9">
        <w:rPr>
          <w:rFonts w:ascii="Arial" w:hAnsi="Arial" w:cs="Arial"/>
          <w:color w:val="000000"/>
          <w:sz w:val="24"/>
          <w:szCs w:val="24"/>
        </w:rPr>
        <w:t xml:space="preserve"> 702.</w:t>
      </w:r>
    </w:p>
    <w:p w14:paraId="69A025F2" w14:textId="77777777" w:rsidR="004E65B5" w:rsidRDefault="004E65B5" w:rsidP="00BF614C">
      <w:pPr>
        <w:autoSpaceDE w:val="0"/>
        <w:autoSpaceDN w:val="0"/>
        <w:adjustRightInd w:val="0"/>
        <w:spacing w:after="0" w:line="240" w:lineRule="auto"/>
        <w:jc w:val="both"/>
        <w:rPr>
          <w:rFonts w:ascii="Arial" w:hAnsi="Arial" w:cs="Arial"/>
          <w:color w:val="000000"/>
          <w:sz w:val="24"/>
          <w:szCs w:val="24"/>
        </w:rPr>
      </w:pPr>
    </w:p>
    <w:p w14:paraId="3FDC9400" w14:textId="77777777" w:rsidR="00BF614C" w:rsidRDefault="000713B9" w:rsidP="00BF614C">
      <w:pPr>
        <w:pStyle w:val="Default"/>
        <w:spacing w:after="10"/>
        <w:ind w:left="-567"/>
        <w:jc w:val="center"/>
        <w:rPr>
          <w:b/>
          <w:bCs/>
          <w:i/>
          <w:iCs/>
          <w:color w:val="4472C4" w:themeColor="accent1"/>
          <w:sz w:val="20"/>
        </w:rPr>
      </w:pPr>
      <w:r>
        <w:rPr>
          <w:b/>
          <w:bCs/>
          <w:i/>
          <w:iCs/>
          <w:color w:val="4472C4" w:themeColor="accent1"/>
          <w:sz w:val="20"/>
        </w:rPr>
        <w:t xml:space="preserve">Gráfica 4. </w:t>
      </w:r>
      <w:r w:rsidR="00BF614C" w:rsidRPr="003D19F2">
        <w:rPr>
          <w:b/>
          <w:bCs/>
          <w:i/>
          <w:iCs/>
          <w:color w:val="4472C4" w:themeColor="accent1"/>
          <w:sz w:val="20"/>
        </w:rPr>
        <w:t>Distribución de las computadoras en el Poder Judicial de la Federación</w:t>
      </w:r>
      <w:r w:rsidR="00BF614C">
        <w:rPr>
          <w:b/>
          <w:bCs/>
          <w:i/>
          <w:iCs/>
          <w:color w:val="4472C4" w:themeColor="accent1"/>
          <w:sz w:val="20"/>
        </w:rPr>
        <w:t xml:space="preserve"> por cada 100 servidores públicos</w:t>
      </w:r>
      <w:r w:rsidR="00BF614C" w:rsidRPr="003D19F2">
        <w:rPr>
          <w:b/>
          <w:bCs/>
          <w:i/>
          <w:iCs/>
          <w:color w:val="4472C4" w:themeColor="accent1"/>
          <w:sz w:val="20"/>
        </w:rPr>
        <w:t>, según órgano, 2019</w:t>
      </w:r>
    </w:p>
    <w:p w14:paraId="0C268ABC" w14:textId="77777777" w:rsidR="00BF614C" w:rsidRDefault="00BF614C" w:rsidP="00BF614C">
      <w:pPr>
        <w:pStyle w:val="Default"/>
        <w:spacing w:after="10"/>
        <w:ind w:left="-567"/>
        <w:jc w:val="center"/>
        <w:rPr>
          <w:b/>
          <w:bCs/>
          <w:i/>
          <w:iCs/>
          <w:color w:val="4472C4" w:themeColor="accent1"/>
          <w:sz w:val="20"/>
        </w:rPr>
      </w:pPr>
    </w:p>
    <w:p w14:paraId="3DA513C2" w14:textId="77777777" w:rsidR="00BF614C" w:rsidRPr="003D19F2" w:rsidRDefault="00D1771B" w:rsidP="00BF614C">
      <w:pPr>
        <w:pStyle w:val="Default"/>
        <w:spacing w:after="10"/>
        <w:ind w:left="-567"/>
        <w:jc w:val="center"/>
        <w:rPr>
          <w:b/>
          <w:bCs/>
          <w:i/>
          <w:iCs/>
          <w:color w:val="4472C4" w:themeColor="accent1"/>
          <w:sz w:val="20"/>
        </w:rPr>
      </w:pPr>
      <w:r w:rsidRPr="00D1771B">
        <w:rPr>
          <w:b/>
          <w:bCs/>
          <w:i/>
          <w:iCs/>
          <w:noProof/>
          <w:color w:val="4472C4" w:themeColor="accent1"/>
          <w:sz w:val="20"/>
          <w:lang w:val="en-US"/>
        </w:rPr>
        <w:drawing>
          <wp:inline distT="0" distB="0" distL="0" distR="0" wp14:anchorId="4E4AA754" wp14:editId="210226D3">
            <wp:extent cx="3479165" cy="232750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5384" cy="2358420"/>
                    </a:xfrm>
                    <a:prstGeom prst="rect">
                      <a:avLst/>
                    </a:prstGeom>
                  </pic:spPr>
                </pic:pic>
              </a:graphicData>
            </a:graphic>
          </wp:inline>
        </w:drawing>
      </w:r>
    </w:p>
    <w:p w14:paraId="00F3BB91" w14:textId="77777777" w:rsidR="00C677A2" w:rsidRDefault="00C677A2" w:rsidP="00521E03">
      <w:pPr>
        <w:autoSpaceDE w:val="0"/>
        <w:autoSpaceDN w:val="0"/>
        <w:adjustRightInd w:val="0"/>
        <w:spacing w:after="0" w:line="240" w:lineRule="auto"/>
        <w:jc w:val="both"/>
        <w:rPr>
          <w:rFonts w:ascii="Arial" w:hAnsi="Arial" w:cs="Arial"/>
          <w:b/>
          <w:color w:val="000000"/>
          <w:sz w:val="24"/>
          <w:szCs w:val="24"/>
        </w:rPr>
      </w:pPr>
    </w:p>
    <w:p w14:paraId="216F6519" w14:textId="77777777" w:rsidR="00227748" w:rsidRPr="00BF055E" w:rsidRDefault="00BF055E" w:rsidP="00BF055E">
      <w:pPr>
        <w:autoSpaceDE w:val="0"/>
        <w:autoSpaceDN w:val="0"/>
        <w:adjustRightInd w:val="0"/>
        <w:spacing w:after="0" w:line="240" w:lineRule="auto"/>
        <w:ind w:left="-567"/>
        <w:jc w:val="both"/>
        <w:rPr>
          <w:rFonts w:ascii="Arial" w:hAnsi="Arial" w:cs="Arial"/>
          <w:b/>
          <w:color w:val="000000"/>
          <w:sz w:val="24"/>
          <w:szCs w:val="24"/>
        </w:rPr>
      </w:pPr>
      <w:r w:rsidRPr="00BF055E">
        <w:rPr>
          <w:rFonts w:ascii="Arial" w:hAnsi="Arial" w:cs="Arial"/>
          <w:b/>
          <w:color w:val="000000"/>
          <w:sz w:val="24"/>
          <w:szCs w:val="24"/>
        </w:rPr>
        <w:t>Publicación de sentencias</w:t>
      </w:r>
    </w:p>
    <w:p w14:paraId="49862522" w14:textId="77777777" w:rsidR="00BA4A9E" w:rsidRDefault="00BA4A9E" w:rsidP="00DE4F0E">
      <w:pPr>
        <w:autoSpaceDE w:val="0"/>
        <w:autoSpaceDN w:val="0"/>
        <w:adjustRightInd w:val="0"/>
        <w:spacing w:after="0" w:line="240" w:lineRule="auto"/>
        <w:ind w:left="-567"/>
        <w:jc w:val="both"/>
        <w:rPr>
          <w:rFonts w:ascii="Arial" w:hAnsi="Arial" w:cs="Arial"/>
          <w:color w:val="000000"/>
          <w:sz w:val="24"/>
          <w:szCs w:val="24"/>
        </w:rPr>
      </w:pPr>
    </w:p>
    <w:p w14:paraId="3A4B5F68"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En cuanto a la publicación de sente</w:t>
      </w:r>
      <w:r w:rsidR="00CF598B">
        <w:rPr>
          <w:rFonts w:ascii="Arial" w:hAnsi="Arial" w:cs="Arial"/>
          <w:color w:val="000000"/>
          <w:sz w:val="24"/>
          <w:szCs w:val="24"/>
        </w:rPr>
        <w:t xml:space="preserve">ncias, en 2019 se publicaron 14 </w:t>
      </w:r>
      <w:r>
        <w:rPr>
          <w:rFonts w:ascii="Arial" w:hAnsi="Arial" w:cs="Arial"/>
          <w:color w:val="000000"/>
          <w:sz w:val="24"/>
          <w:szCs w:val="24"/>
        </w:rPr>
        <w:t>588 sentencias emitidas por los órganos jurisdiccionales</w:t>
      </w:r>
      <w:r>
        <w:rPr>
          <w:rStyle w:val="Refdenotaalpie"/>
          <w:rFonts w:ascii="Arial" w:hAnsi="Arial" w:cs="Arial"/>
          <w:color w:val="000000"/>
          <w:sz w:val="24"/>
          <w:szCs w:val="24"/>
        </w:rPr>
        <w:footnoteReference w:id="10"/>
      </w:r>
      <w:r>
        <w:rPr>
          <w:rFonts w:ascii="Arial" w:hAnsi="Arial" w:cs="Arial"/>
          <w:color w:val="000000"/>
          <w:sz w:val="24"/>
          <w:szCs w:val="24"/>
        </w:rPr>
        <w:t>, de ellas</w:t>
      </w:r>
      <w:r w:rsidR="00936B90">
        <w:rPr>
          <w:rFonts w:ascii="Arial" w:hAnsi="Arial" w:cs="Arial"/>
          <w:color w:val="000000"/>
          <w:sz w:val="24"/>
          <w:szCs w:val="24"/>
        </w:rPr>
        <w:t>,</w:t>
      </w:r>
      <w:r>
        <w:rPr>
          <w:rFonts w:ascii="Arial" w:hAnsi="Arial" w:cs="Arial"/>
          <w:color w:val="000000"/>
          <w:sz w:val="24"/>
          <w:szCs w:val="24"/>
        </w:rPr>
        <w:t xml:space="preserve"> </w:t>
      </w:r>
      <w:r w:rsidR="00CF598B">
        <w:rPr>
          <w:rFonts w:ascii="Arial" w:hAnsi="Arial" w:cs="Arial"/>
          <w:color w:val="000000"/>
          <w:sz w:val="24"/>
          <w:szCs w:val="24"/>
        </w:rPr>
        <w:t xml:space="preserve">7 </w:t>
      </w:r>
      <w:r w:rsidRPr="00BA4A9E">
        <w:rPr>
          <w:rFonts w:ascii="Arial" w:hAnsi="Arial" w:cs="Arial"/>
          <w:color w:val="000000"/>
          <w:sz w:val="24"/>
          <w:szCs w:val="24"/>
        </w:rPr>
        <w:t>998</w:t>
      </w:r>
      <w:r>
        <w:rPr>
          <w:rFonts w:ascii="Arial" w:hAnsi="Arial" w:cs="Arial"/>
          <w:color w:val="000000"/>
          <w:sz w:val="24"/>
          <w:szCs w:val="24"/>
        </w:rPr>
        <w:t xml:space="preserve"> (54.8%)</w:t>
      </w:r>
      <w:r w:rsidR="00CF598B">
        <w:rPr>
          <w:rFonts w:ascii="Arial" w:hAnsi="Arial" w:cs="Arial"/>
          <w:color w:val="000000"/>
          <w:sz w:val="24"/>
          <w:szCs w:val="24"/>
        </w:rPr>
        <w:t xml:space="preserve"> tuvieron lugar en el TEPJF y 5 </w:t>
      </w:r>
      <w:r>
        <w:rPr>
          <w:rFonts w:ascii="Arial" w:hAnsi="Arial" w:cs="Arial"/>
          <w:color w:val="000000"/>
          <w:sz w:val="24"/>
          <w:szCs w:val="24"/>
        </w:rPr>
        <w:t>690 (45.2%) en la SCJN. La materia elect</w:t>
      </w:r>
      <w:r w:rsidR="00997A58">
        <w:rPr>
          <w:rFonts w:ascii="Arial" w:hAnsi="Arial" w:cs="Arial"/>
          <w:color w:val="000000"/>
          <w:sz w:val="24"/>
          <w:szCs w:val="24"/>
        </w:rPr>
        <w:t xml:space="preserve">oral presentó la mayoría de </w:t>
      </w:r>
      <w:r w:rsidR="007D7FCA">
        <w:rPr>
          <w:rFonts w:ascii="Arial" w:hAnsi="Arial" w:cs="Arial"/>
          <w:color w:val="000000"/>
          <w:sz w:val="24"/>
          <w:szCs w:val="24"/>
        </w:rPr>
        <w:t>las sentencias</w:t>
      </w:r>
      <w:r>
        <w:rPr>
          <w:rFonts w:ascii="Arial" w:hAnsi="Arial" w:cs="Arial"/>
          <w:color w:val="000000"/>
          <w:sz w:val="24"/>
          <w:szCs w:val="24"/>
        </w:rPr>
        <w:t xml:space="preserve"> en el TEPJF con 99.2</w:t>
      </w:r>
      <w:r w:rsidR="00AD417E">
        <w:rPr>
          <w:rFonts w:ascii="Arial" w:hAnsi="Arial" w:cs="Arial"/>
          <w:color w:val="000000"/>
          <w:sz w:val="24"/>
          <w:szCs w:val="24"/>
        </w:rPr>
        <w:t xml:space="preserve"> por ciento</w:t>
      </w:r>
      <w:r>
        <w:rPr>
          <w:rFonts w:ascii="Arial" w:hAnsi="Arial" w:cs="Arial"/>
          <w:color w:val="000000"/>
          <w:sz w:val="24"/>
          <w:szCs w:val="24"/>
        </w:rPr>
        <w:t>.</w:t>
      </w:r>
    </w:p>
    <w:p w14:paraId="7897F70A" w14:textId="77777777" w:rsidR="00BA4A9E" w:rsidRDefault="00BA4A9E" w:rsidP="00DE4F0E">
      <w:pPr>
        <w:autoSpaceDE w:val="0"/>
        <w:autoSpaceDN w:val="0"/>
        <w:adjustRightInd w:val="0"/>
        <w:spacing w:after="0" w:line="240" w:lineRule="auto"/>
        <w:ind w:left="-567"/>
        <w:jc w:val="both"/>
        <w:rPr>
          <w:rFonts w:ascii="Arial" w:hAnsi="Arial" w:cs="Arial"/>
          <w:color w:val="000000"/>
          <w:sz w:val="24"/>
          <w:szCs w:val="24"/>
        </w:rPr>
      </w:pPr>
    </w:p>
    <w:p w14:paraId="78ED27CD" w14:textId="77777777" w:rsidR="00BF055E" w:rsidRDefault="000713B9" w:rsidP="00BF055E">
      <w:pPr>
        <w:pStyle w:val="Default"/>
        <w:spacing w:after="10"/>
        <w:ind w:left="-567"/>
        <w:jc w:val="center"/>
        <w:rPr>
          <w:b/>
          <w:bCs/>
          <w:i/>
          <w:iCs/>
          <w:color w:val="4472C4" w:themeColor="accent1"/>
          <w:sz w:val="20"/>
        </w:rPr>
      </w:pPr>
      <w:r>
        <w:rPr>
          <w:b/>
          <w:bCs/>
          <w:i/>
          <w:iCs/>
          <w:color w:val="4472C4" w:themeColor="accent1"/>
          <w:sz w:val="20"/>
        </w:rPr>
        <w:t>Gráfica 5</w:t>
      </w:r>
      <w:r w:rsidR="00AA3CD4">
        <w:rPr>
          <w:b/>
          <w:bCs/>
          <w:i/>
          <w:iCs/>
          <w:color w:val="4472C4" w:themeColor="accent1"/>
          <w:sz w:val="20"/>
        </w:rPr>
        <w:t xml:space="preserve">. </w:t>
      </w:r>
      <w:r w:rsidR="00BF055E">
        <w:rPr>
          <w:b/>
          <w:bCs/>
          <w:i/>
          <w:iCs/>
          <w:color w:val="4472C4" w:themeColor="accent1"/>
          <w:sz w:val="20"/>
        </w:rPr>
        <w:t>Porcentaje de sentencias emitidas e</w:t>
      </w:r>
      <w:r w:rsidR="00BF055E" w:rsidRPr="003D19F2">
        <w:rPr>
          <w:b/>
          <w:bCs/>
          <w:i/>
          <w:iCs/>
          <w:color w:val="4472C4" w:themeColor="accent1"/>
          <w:sz w:val="20"/>
        </w:rPr>
        <w:t>n el Poder Judicial de la Federación</w:t>
      </w:r>
      <w:r w:rsidR="00BF055E">
        <w:rPr>
          <w:b/>
          <w:bCs/>
          <w:i/>
          <w:iCs/>
          <w:color w:val="4472C4" w:themeColor="accent1"/>
          <w:sz w:val="20"/>
        </w:rPr>
        <w:t xml:space="preserve"> por </w:t>
      </w:r>
    </w:p>
    <w:p w14:paraId="3D1CD657" w14:textId="77777777" w:rsidR="00BF055E" w:rsidRDefault="00BF055E" w:rsidP="00BF055E">
      <w:pPr>
        <w:pStyle w:val="Default"/>
        <w:spacing w:after="10"/>
        <w:ind w:left="-567"/>
        <w:jc w:val="center"/>
        <w:rPr>
          <w:b/>
          <w:bCs/>
          <w:i/>
          <w:iCs/>
          <w:color w:val="4472C4" w:themeColor="accent1"/>
          <w:sz w:val="20"/>
        </w:rPr>
      </w:pPr>
      <w:r>
        <w:rPr>
          <w:b/>
          <w:bCs/>
          <w:i/>
          <w:iCs/>
          <w:color w:val="4472C4" w:themeColor="accent1"/>
          <w:sz w:val="20"/>
        </w:rPr>
        <w:t>materia</w:t>
      </w:r>
      <w:r w:rsidRPr="003D19F2">
        <w:rPr>
          <w:b/>
          <w:bCs/>
          <w:i/>
          <w:iCs/>
          <w:color w:val="4472C4" w:themeColor="accent1"/>
          <w:sz w:val="20"/>
        </w:rPr>
        <w:t xml:space="preserve">, </w:t>
      </w:r>
      <w:r>
        <w:rPr>
          <w:b/>
          <w:bCs/>
          <w:i/>
          <w:iCs/>
          <w:color w:val="4472C4" w:themeColor="accent1"/>
          <w:sz w:val="20"/>
        </w:rPr>
        <w:t xml:space="preserve">según órgano, </w:t>
      </w:r>
      <w:r w:rsidRPr="003D19F2">
        <w:rPr>
          <w:b/>
          <w:bCs/>
          <w:i/>
          <w:iCs/>
          <w:color w:val="4472C4" w:themeColor="accent1"/>
          <w:sz w:val="20"/>
        </w:rPr>
        <w:t>2019</w:t>
      </w:r>
    </w:p>
    <w:p w14:paraId="16578C9E" w14:textId="77777777" w:rsidR="005D4505" w:rsidRDefault="005D4505" w:rsidP="00BF055E">
      <w:pPr>
        <w:pStyle w:val="Default"/>
        <w:spacing w:after="10"/>
        <w:ind w:left="-567"/>
        <w:jc w:val="center"/>
        <w:rPr>
          <w:b/>
          <w:bCs/>
          <w:i/>
          <w:iCs/>
          <w:color w:val="4472C4" w:themeColor="accent1"/>
          <w:sz w:val="20"/>
        </w:rPr>
      </w:pPr>
    </w:p>
    <w:p w14:paraId="37BA480A" w14:textId="77777777" w:rsidR="00BF055E" w:rsidRDefault="00BA30C5" w:rsidP="00BA30C5">
      <w:pPr>
        <w:autoSpaceDE w:val="0"/>
        <w:autoSpaceDN w:val="0"/>
        <w:adjustRightInd w:val="0"/>
        <w:spacing w:after="0" w:line="240" w:lineRule="auto"/>
        <w:ind w:left="-567"/>
        <w:jc w:val="center"/>
        <w:rPr>
          <w:rFonts w:ascii="Arial" w:hAnsi="Arial" w:cs="Arial"/>
          <w:color w:val="000000"/>
          <w:sz w:val="24"/>
          <w:szCs w:val="24"/>
        </w:rPr>
      </w:pPr>
      <w:r w:rsidRPr="00BA30C5">
        <w:rPr>
          <w:rFonts w:ascii="Arial" w:hAnsi="Arial" w:cs="Arial"/>
          <w:noProof/>
          <w:color w:val="000000"/>
          <w:sz w:val="24"/>
          <w:szCs w:val="24"/>
          <w:lang w:val="en-US"/>
        </w:rPr>
        <w:drawing>
          <wp:inline distT="0" distB="0" distL="0" distR="0" wp14:anchorId="6A9826F2" wp14:editId="6A1AF7E4">
            <wp:extent cx="5941060" cy="277939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2779395"/>
                    </a:xfrm>
                    <a:prstGeom prst="rect">
                      <a:avLst/>
                    </a:prstGeom>
                  </pic:spPr>
                </pic:pic>
              </a:graphicData>
            </a:graphic>
          </wp:inline>
        </w:drawing>
      </w:r>
    </w:p>
    <w:p w14:paraId="006A7BC8" w14:textId="77777777" w:rsidR="00BF055E" w:rsidRDefault="00BF055E" w:rsidP="00521E03">
      <w:pPr>
        <w:autoSpaceDE w:val="0"/>
        <w:autoSpaceDN w:val="0"/>
        <w:adjustRightInd w:val="0"/>
        <w:spacing w:after="0" w:line="240" w:lineRule="auto"/>
        <w:ind w:left="-567"/>
        <w:jc w:val="center"/>
        <w:rPr>
          <w:rFonts w:ascii="Arial" w:hAnsi="Arial" w:cs="Arial"/>
          <w:color w:val="000000"/>
          <w:sz w:val="24"/>
          <w:szCs w:val="24"/>
        </w:rPr>
      </w:pPr>
    </w:p>
    <w:p w14:paraId="101B5A76"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p>
    <w:p w14:paraId="046A1A31"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p>
    <w:p w14:paraId="757B870D" w14:textId="77777777" w:rsidR="00BF055E" w:rsidRDefault="005D4505" w:rsidP="005D4505">
      <w:pPr>
        <w:tabs>
          <w:tab w:val="left" w:pos="2617"/>
        </w:tabs>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ab/>
      </w:r>
    </w:p>
    <w:p w14:paraId="1EF8FD97"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p>
    <w:p w14:paraId="51254F77"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p>
    <w:p w14:paraId="1F665842"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p>
    <w:p w14:paraId="34548F27" w14:textId="77777777" w:rsidR="00BF055E" w:rsidRDefault="005D4505" w:rsidP="005D4505">
      <w:pPr>
        <w:tabs>
          <w:tab w:val="left" w:pos="2617"/>
        </w:tabs>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ab/>
      </w:r>
    </w:p>
    <w:p w14:paraId="2B04A755" w14:textId="77777777" w:rsidR="00BF055E" w:rsidRDefault="00BF055E" w:rsidP="00BF055E">
      <w:pPr>
        <w:autoSpaceDE w:val="0"/>
        <w:autoSpaceDN w:val="0"/>
        <w:adjustRightInd w:val="0"/>
        <w:spacing w:after="0" w:line="240" w:lineRule="auto"/>
        <w:ind w:left="-567"/>
        <w:jc w:val="both"/>
        <w:rPr>
          <w:rFonts w:ascii="Arial" w:hAnsi="Arial" w:cs="Arial"/>
          <w:color w:val="000000"/>
          <w:sz w:val="24"/>
          <w:szCs w:val="24"/>
        </w:rPr>
      </w:pPr>
    </w:p>
    <w:p w14:paraId="6C942B63" w14:textId="77777777" w:rsidR="003B1634" w:rsidRDefault="003B1634" w:rsidP="00DE4F0E">
      <w:pPr>
        <w:autoSpaceDE w:val="0"/>
        <w:autoSpaceDN w:val="0"/>
        <w:adjustRightInd w:val="0"/>
        <w:spacing w:after="0" w:line="240" w:lineRule="auto"/>
        <w:ind w:left="-567"/>
        <w:jc w:val="both"/>
        <w:rPr>
          <w:rFonts w:ascii="Arial" w:hAnsi="Arial" w:cs="Arial"/>
          <w:color w:val="000000"/>
          <w:sz w:val="24"/>
          <w:szCs w:val="24"/>
        </w:rPr>
      </w:pPr>
    </w:p>
    <w:p w14:paraId="0B51680F" w14:textId="77777777" w:rsidR="005B5AC0" w:rsidRDefault="005B5AC0" w:rsidP="00DE4F0E">
      <w:pPr>
        <w:autoSpaceDE w:val="0"/>
        <w:autoSpaceDN w:val="0"/>
        <w:adjustRightInd w:val="0"/>
        <w:spacing w:after="0" w:line="240" w:lineRule="auto"/>
        <w:ind w:left="-567"/>
        <w:jc w:val="both"/>
        <w:rPr>
          <w:rFonts w:ascii="Arial" w:hAnsi="Arial" w:cs="Arial"/>
          <w:b/>
          <w:color w:val="000000"/>
          <w:sz w:val="24"/>
          <w:szCs w:val="24"/>
        </w:rPr>
      </w:pPr>
    </w:p>
    <w:p w14:paraId="4D11BAED" w14:textId="77777777" w:rsidR="005B5AC0" w:rsidRDefault="005B5AC0" w:rsidP="00DE4F0E">
      <w:pPr>
        <w:autoSpaceDE w:val="0"/>
        <w:autoSpaceDN w:val="0"/>
        <w:adjustRightInd w:val="0"/>
        <w:spacing w:after="0" w:line="240" w:lineRule="auto"/>
        <w:ind w:left="-567"/>
        <w:jc w:val="both"/>
        <w:rPr>
          <w:rFonts w:ascii="Arial" w:hAnsi="Arial" w:cs="Arial"/>
          <w:b/>
          <w:color w:val="000000"/>
          <w:sz w:val="24"/>
          <w:szCs w:val="24"/>
        </w:rPr>
      </w:pPr>
    </w:p>
    <w:p w14:paraId="3C3CE7C5" w14:textId="77777777" w:rsidR="005B5AC0" w:rsidRDefault="005B5AC0" w:rsidP="00DE4F0E">
      <w:pPr>
        <w:autoSpaceDE w:val="0"/>
        <w:autoSpaceDN w:val="0"/>
        <w:adjustRightInd w:val="0"/>
        <w:spacing w:after="0" w:line="240" w:lineRule="auto"/>
        <w:ind w:left="-567"/>
        <w:jc w:val="both"/>
        <w:rPr>
          <w:rFonts w:ascii="Arial" w:hAnsi="Arial" w:cs="Arial"/>
          <w:b/>
          <w:color w:val="000000"/>
          <w:sz w:val="24"/>
          <w:szCs w:val="24"/>
        </w:rPr>
      </w:pPr>
    </w:p>
    <w:p w14:paraId="079449F6" w14:textId="77777777" w:rsidR="005B5AC0" w:rsidRDefault="005B5AC0" w:rsidP="00DE4F0E">
      <w:pPr>
        <w:autoSpaceDE w:val="0"/>
        <w:autoSpaceDN w:val="0"/>
        <w:adjustRightInd w:val="0"/>
        <w:spacing w:after="0" w:line="240" w:lineRule="auto"/>
        <w:ind w:left="-567"/>
        <w:jc w:val="both"/>
        <w:rPr>
          <w:rFonts w:ascii="Arial" w:hAnsi="Arial" w:cs="Arial"/>
          <w:b/>
          <w:color w:val="000000"/>
          <w:sz w:val="24"/>
          <w:szCs w:val="24"/>
        </w:rPr>
      </w:pPr>
    </w:p>
    <w:p w14:paraId="5EE60A3A" w14:textId="77777777" w:rsidR="005D4505" w:rsidRDefault="005D4505" w:rsidP="00BE08DA">
      <w:pPr>
        <w:autoSpaceDE w:val="0"/>
        <w:autoSpaceDN w:val="0"/>
        <w:adjustRightInd w:val="0"/>
        <w:spacing w:after="0" w:line="240" w:lineRule="auto"/>
        <w:jc w:val="both"/>
        <w:rPr>
          <w:rFonts w:ascii="Arial" w:hAnsi="Arial" w:cs="Arial"/>
          <w:b/>
          <w:color w:val="000000"/>
          <w:sz w:val="24"/>
          <w:szCs w:val="24"/>
        </w:rPr>
      </w:pPr>
    </w:p>
    <w:p w14:paraId="3A234530" w14:textId="77777777" w:rsidR="00720C88" w:rsidRDefault="00720C88" w:rsidP="00BE08DA">
      <w:pPr>
        <w:autoSpaceDE w:val="0"/>
        <w:autoSpaceDN w:val="0"/>
        <w:adjustRightInd w:val="0"/>
        <w:spacing w:after="0" w:line="240" w:lineRule="auto"/>
        <w:jc w:val="both"/>
        <w:rPr>
          <w:rFonts w:ascii="Arial" w:hAnsi="Arial" w:cs="Arial"/>
          <w:b/>
          <w:sz w:val="24"/>
          <w:szCs w:val="24"/>
        </w:rPr>
      </w:pPr>
    </w:p>
    <w:p w14:paraId="76220E69" w14:textId="77777777" w:rsidR="00BA30C5" w:rsidRDefault="00BA30C5" w:rsidP="00BE08DA">
      <w:pPr>
        <w:autoSpaceDE w:val="0"/>
        <w:autoSpaceDN w:val="0"/>
        <w:adjustRightInd w:val="0"/>
        <w:spacing w:after="0" w:line="240" w:lineRule="auto"/>
        <w:jc w:val="both"/>
        <w:rPr>
          <w:rFonts w:ascii="Arial" w:hAnsi="Arial" w:cs="Arial"/>
          <w:b/>
          <w:sz w:val="24"/>
          <w:szCs w:val="24"/>
        </w:rPr>
      </w:pPr>
    </w:p>
    <w:p w14:paraId="138FD965" w14:textId="77777777" w:rsidR="00BA30C5" w:rsidRDefault="00BA30C5" w:rsidP="00BE08DA">
      <w:pPr>
        <w:autoSpaceDE w:val="0"/>
        <w:autoSpaceDN w:val="0"/>
        <w:adjustRightInd w:val="0"/>
        <w:spacing w:after="0" w:line="240" w:lineRule="auto"/>
        <w:jc w:val="both"/>
        <w:rPr>
          <w:rFonts w:ascii="Arial" w:hAnsi="Arial" w:cs="Arial"/>
          <w:b/>
          <w:sz w:val="24"/>
          <w:szCs w:val="24"/>
        </w:rPr>
      </w:pPr>
    </w:p>
    <w:p w14:paraId="1093A5ED" w14:textId="77777777" w:rsidR="00BA30C5" w:rsidRDefault="00BA30C5" w:rsidP="00BE08DA">
      <w:pPr>
        <w:autoSpaceDE w:val="0"/>
        <w:autoSpaceDN w:val="0"/>
        <w:adjustRightInd w:val="0"/>
        <w:spacing w:after="0" w:line="240" w:lineRule="auto"/>
        <w:jc w:val="both"/>
        <w:rPr>
          <w:rFonts w:ascii="Arial" w:hAnsi="Arial" w:cs="Arial"/>
          <w:b/>
          <w:sz w:val="24"/>
          <w:szCs w:val="24"/>
        </w:rPr>
      </w:pPr>
    </w:p>
    <w:p w14:paraId="0B512B59" w14:textId="77777777" w:rsidR="00D879A3" w:rsidRDefault="00D879A3" w:rsidP="004A6EDE">
      <w:pPr>
        <w:autoSpaceDE w:val="0"/>
        <w:autoSpaceDN w:val="0"/>
        <w:adjustRightInd w:val="0"/>
        <w:spacing w:after="0" w:line="240" w:lineRule="auto"/>
        <w:ind w:left="-567"/>
        <w:jc w:val="both"/>
        <w:rPr>
          <w:rFonts w:ascii="Arial" w:hAnsi="Arial" w:cs="Arial"/>
          <w:b/>
          <w:sz w:val="24"/>
          <w:szCs w:val="24"/>
        </w:rPr>
      </w:pPr>
      <w:r>
        <w:rPr>
          <w:rFonts w:ascii="Arial" w:hAnsi="Arial" w:cs="Arial"/>
          <w:b/>
          <w:sz w:val="24"/>
          <w:szCs w:val="24"/>
        </w:rPr>
        <w:t>Suprema Corte de Justicia de la Nación</w:t>
      </w:r>
    </w:p>
    <w:p w14:paraId="43F8BC4A" w14:textId="77777777" w:rsidR="00D879A3" w:rsidRDefault="00D879A3" w:rsidP="00D879A3">
      <w:pPr>
        <w:autoSpaceDE w:val="0"/>
        <w:autoSpaceDN w:val="0"/>
        <w:adjustRightInd w:val="0"/>
        <w:spacing w:after="0" w:line="240" w:lineRule="auto"/>
        <w:ind w:left="-567"/>
        <w:jc w:val="both"/>
        <w:rPr>
          <w:rFonts w:ascii="Arial" w:hAnsi="Arial" w:cs="Arial"/>
          <w:b/>
          <w:sz w:val="24"/>
          <w:szCs w:val="24"/>
        </w:rPr>
      </w:pPr>
    </w:p>
    <w:p w14:paraId="385C3D3F" w14:textId="66464655" w:rsidR="00D879A3" w:rsidRDefault="00197808" w:rsidP="004A6EDE">
      <w:pPr>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D</w:t>
      </w:r>
      <w:r w:rsidR="00D879A3">
        <w:rPr>
          <w:rFonts w:ascii="Arial" w:hAnsi="Arial" w:cs="Arial"/>
          <w:sz w:val="24"/>
          <w:szCs w:val="24"/>
        </w:rPr>
        <w:t>ura</w:t>
      </w:r>
      <w:r w:rsidR="00AA7C18">
        <w:rPr>
          <w:rFonts w:ascii="Arial" w:hAnsi="Arial" w:cs="Arial"/>
          <w:sz w:val="24"/>
          <w:szCs w:val="24"/>
        </w:rPr>
        <w:t>nte 2019</w:t>
      </w:r>
      <w:r>
        <w:rPr>
          <w:rFonts w:ascii="Arial" w:hAnsi="Arial" w:cs="Arial"/>
          <w:sz w:val="24"/>
          <w:szCs w:val="24"/>
        </w:rPr>
        <w:t>,</w:t>
      </w:r>
      <w:r w:rsidR="00AA7C18">
        <w:rPr>
          <w:rFonts w:ascii="Arial" w:hAnsi="Arial" w:cs="Arial"/>
          <w:sz w:val="24"/>
          <w:szCs w:val="24"/>
        </w:rPr>
        <w:t xml:space="preserve"> ingresaron </w:t>
      </w:r>
      <w:r w:rsidR="00CF598B">
        <w:rPr>
          <w:rFonts w:ascii="Arial" w:hAnsi="Arial" w:cs="Arial"/>
          <w:sz w:val="24"/>
          <w:szCs w:val="24"/>
        </w:rPr>
        <w:t xml:space="preserve">25 </w:t>
      </w:r>
      <w:r w:rsidR="00D879A3">
        <w:rPr>
          <w:rFonts w:ascii="Arial" w:hAnsi="Arial" w:cs="Arial"/>
          <w:sz w:val="24"/>
          <w:szCs w:val="24"/>
        </w:rPr>
        <w:t>284 asuntos a la SCJN</w:t>
      </w:r>
      <w:r w:rsidR="00D879A3">
        <w:rPr>
          <w:rStyle w:val="Refdenotaalpie"/>
          <w:rFonts w:ascii="Arial" w:hAnsi="Arial" w:cs="Arial"/>
          <w:sz w:val="24"/>
          <w:szCs w:val="24"/>
        </w:rPr>
        <w:footnoteReference w:id="11"/>
      </w:r>
      <w:r w:rsidR="00D879A3">
        <w:rPr>
          <w:rFonts w:ascii="Arial" w:hAnsi="Arial" w:cs="Arial"/>
          <w:sz w:val="24"/>
          <w:szCs w:val="24"/>
        </w:rPr>
        <w:t>, mientras que los asunt</w:t>
      </w:r>
      <w:r w:rsidR="00AA7C18">
        <w:rPr>
          <w:rFonts w:ascii="Arial" w:hAnsi="Arial" w:cs="Arial"/>
          <w:sz w:val="24"/>
          <w:szCs w:val="24"/>
        </w:rPr>
        <w:t xml:space="preserve">os resueltos fueron </w:t>
      </w:r>
      <w:r w:rsidR="00CF598B">
        <w:rPr>
          <w:rFonts w:ascii="Arial" w:hAnsi="Arial" w:cs="Arial"/>
          <w:sz w:val="24"/>
          <w:szCs w:val="24"/>
        </w:rPr>
        <w:t xml:space="preserve">21 </w:t>
      </w:r>
      <w:r w:rsidR="00D879A3">
        <w:rPr>
          <w:rFonts w:ascii="Arial" w:hAnsi="Arial" w:cs="Arial"/>
          <w:sz w:val="24"/>
          <w:szCs w:val="24"/>
        </w:rPr>
        <w:t>443. De estos, 69.0% fue resuelto sin sentencia y 31.0%, con sentencia. En</w:t>
      </w:r>
      <w:r w:rsidR="00AA7C18">
        <w:rPr>
          <w:rFonts w:ascii="Arial" w:hAnsi="Arial" w:cs="Arial"/>
          <w:sz w:val="24"/>
          <w:szCs w:val="24"/>
        </w:rPr>
        <w:t xml:space="preserve"> comparación, en 2018,</w:t>
      </w:r>
      <w:r w:rsidR="00D879A3">
        <w:rPr>
          <w:rFonts w:ascii="Arial" w:hAnsi="Arial" w:cs="Arial"/>
          <w:sz w:val="24"/>
          <w:szCs w:val="24"/>
        </w:rPr>
        <w:t xml:space="preserve"> 48.4% de los asuntos se concluyó sin sentencia y 51.6%, con sentencia.</w:t>
      </w:r>
    </w:p>
    <w:p w14:paraId="45A675F9" w14:textId="77777777" w:rsidR="00D879A3" w:rsidRDefault="00D879A3" w:rsidP="00D879A3">
      <w:pPr>
        <w:autoSpaceDE w:val="0"/>
        <w:autoSpaceDN w:val="0"/>
        <w:adjustRightInd w:val="0"/>
        <w:spacing w:after="0" w:line="240" w:lineRule="auto"/>
        <w:ind w:left="-567"/>
        <w:jc w:val="both"/>
        <w:rPr>
          <w:rFonts w:ascii="Arial" w:hAnsi="Arial" w:cs="Arial"/>
          <w:sz w:val="24"/>
          <w:szCs w:val="24"/>
        </w:rPr>
      </w:pPr>
    </w:p>
    <w:p w14:paraId="1E08B45D" w14:textId="2CE358DD" w:rsidR="00D879A3" w:rsidRDefault="00D879A3" w:rsidP="000713B9">
      <w:pPr>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 xml:space="preserve">Del total de asuntos </w:t>
      </w:r>
      <w:r w:rsidR="00197808">
        <w:rPr>
          <w:rFonts w:ascii="Arial" w:hAnsi="Arial" w:cs="Arial"/>
          <w:sz w:val="24"/>
          <w:szCs w:val="24"/>
        </w:rPr>
        <w:t xml:space="preserve">de los </w:t>
      </w:r>
      <w:r>
        <w:rPr>
          <w:rFonts w:ascii="Arial" w:hAnsi="Arial" w:cs="Arial"/>
          <w:sz w:val="24"/>
          <w:szCs w:val="24"/>
        </w:rPr>
        <w:t>que tuv</w:t>
      </w:r>
      <w:r w:rsidR="00197808">
        <w:rPr>
          <w:rFonts w:ascii="Arial" w:hAnsi="Arial" w:cs="Arial"/>
          <w:sz w:val="24"/>
          <w:szCs w:val="24"/>
        </w:rPr>
        <w:t>o</w:t>
      </w:r>
      <w:r>
        <w:rPr>
          <w:rFonts w:ascii="Arial" w:hAnsi="Arial" w:cs="Arial"/>
          <w:sz w:val="24"/>
          <w:szCs w:val="24"/>
        </w:rPr>
        <w:t xml:space="preserve"> conocimiento la SCJN durante 2019, destacan los procedimientos</w:t>
      </w:r>
      <w:r w:rsidR="00CF598B">
        <w:rPr>
          <w:rFonts w:ascii="Arial" w:hAnsi="Arial" w:cs="Arial"/>
          <w:sz w:val="24"/>
          <w:szCs w:val="24"/>
        </w:rPr>
        <w:t xml:space="preserve"> de </w:t>
      </w:r>
      <w:r w:rsidR="00CF598B" w:rsidRPr="00CF598B">
        <w:rPr>
          <w:rFonts w:ascii="Arial" w:hAnsi="Arial" w:cs="Arial"/>
          <w:i/>
          <w:sz w:val="24"/>
          <w:szCs w:val="24"/>
        </w:rPr>
        <w:t>Amparo directo en revisión</w:t>
      </w:r>
      <w:r>
        <w:rPr>
          <w:rFonts w:ascii="Arial" w:hAnsi="Arial" w:cs="Arial"/>
          <w:sz w:val="24"/>
          <w:szCs w:val="24"/>
        </w:rPr>
        <w:t>, que representaron 40.5% y 38.5% de ingresos y resoluciones, respectivamente. La distribución de dichos asuntos por tipo de procedimiento se presenta en la siguiente gráfica:</w:t>
      </w:r>
    </w:p>
    <w:p w14:paraId="4EFC24A2" w14:textId="77777777" w:rsidR="00D879A3" w:rsidRDefault="00D879A3" w:rsidP="00D879A3">
      <w:pPr>
        <w:autoSpaceDE w:val="0"/>
        <w:autoSpaceDN w:val="0"/>
        <w:adjustRightInd w:val="0"/>
        <w:spacing w:after="0" w:line="240" w:lineRule="auto"/>
        <w:rPr>
          <w:rFonts w:ascii="Arial" w:hAnsi="Arial" w:cs="Arial"/>
          <w:b/>
          <w:i/>
          <w:sz w:val="20"/>
          <w:szCs w:val="24"/>
        </w:rPr>
      </w:pPr>
    </w:p>
    <w:p w14:paraId="3A163451" w14:textId="28D4E20A" w:rsidR="00D879A3" w:rsidRDefault="000159F4" w:rsidP="00D879A3">
      <w:pPr>
        <w:pStyle w:val="Default"/>
        <w:spacing w:after="10"/>
        <w:ind w:left="-567"/>
        <w:jc w:val="center"/>
        <w:rPr>
          <w:b/>
          <w:bCs/>
          <w:i/>
          <w:iCs/>
          <w:color w:val="4472C4" w:themeColor="accent1"/>
          <w:sz w:val="20"/>
        </w:rPr>
      </w:pPr>
      <w:r>
        <w:rPr>
          <w:b/>
          <w:bCs/>
          <w:i/>
          <w:iCs/>
          <w:color w:val="4472C4" w:themeColor="accent1"/>
          <w:sz w:val="20"/>
        </w:rPr>
        <w:t>Gráfica 6</w:t>
      </w:r>
      <w:r w:rsidR="00D879A3">
        <w:rPr>
          <w:b/>
          <w:bCs/>
          <w:i/>
          <w:iCs/>
          <w:color w:val="4472C4" w:themeColor="accent1"/>
          <w:sz w:val="20"/>
        </w:rPr>
        <w:t>. Distribución porcentual de los asuntos ingresados y resueltos por la SCJN, según tipo de procedimiento, 2019</w:t>
      </w:r>
    </w:p>
    <w:p w14:paraId="00E1DCA0" w14:textId="77777777" w:rsidR="00D879A3" w:rsidRDefault="00D1771B" w:rsidP="00D879A3">
      <w:pPr>
        <w:autoSpaceDE w:val="0"/>
        <w:autoSpaceDN w:val="0"/>
        <w:adjustRightInd w:val="0"/>
        <w:spacing w:after="0" w:line="240" w:lineRule="auto"/>
        <w:jc w:val="center"/>
        <w:rPr>
          <w:color w:val="000000" w:themeColor="text1"/>
          <w:szCs w:val="23"/>
        </w:rPr>
      </w:pPr>
      <w:r>
        <w:rPr>
          <w:noProof/>
          <w:color w:val="000000" w:themeColor="text1"/>
          <w:szCs w:val="23"/>
          <w:lang w:val="en-US"/>
        </w:rPr>
        <w:drawing>
          <wp:inline distT="0" distB="0" distL="0" distR="0" wp14:anchorId="27A4C7D6" wp14:editId="779326B1">
            <wp:extent cx="5943600" cy="48526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852670"/>
                    </a:xfrm>
                    <a:prstGeom prst="rect">
                      <a:avLst/>
                    </a:prstGeom>
                    <a:noFill/>
                    <a:ln>
                      <a:noFill/>
                    </a:ln>
                  </pic:spPr>
                </pic:pic>
              </a:graphicData>
            </a:graphic>
          </wp:inline>
        </w:drawing>
      </w:r>
    </w:p>
    <w:p w14:paraId="73D98764" w14:textId="77777777" w:rsidR="00D879A3" w:rsidRDefault="00D879A3" w:rsidP="00D879A3">
      <w:pPr>
        <w:pStyle w:val="Default"/>
        <w:jc w:val="both"/>
        <w:rPr>
          <w:sz w:val="16"/>
          <w:szCs w:val="16"/>
        </w:rPr>
      </w:pPr>
      <w:r>
        <w:rPr>
          <w:sz w:val="16"/>
          <w:szCs w:val="16"/>
        </w:rPr>
        <w:t>Nota: la suma de los porcentajes puede ser distinta al 100 por ciento</w:t>
      </w:r>
      <w:r w:rsidR="00C051D8">
        <w:rPr>
          <w:sz w:val="16"/>
          <w:szCs w:val="16"/>
        </w:rPr>
        <w:t>,</w:t>
      </w:r>
      <w:r>
        <w:rPr>
          <w:sz w:val="16"/>
          <w:szCs w:val="16"/>
        </w:rPr>
        <w:t xml:space="preserve"> debido a</w:t>
      </w:r>
      <w:r w:rsidR="00CF598B">
        <w:rPr>
          <w:sz w:val="16"/>
          <w:szCs w:val="16"/>
        </w:rPr>
        <w:t>l redondeo de</w:t>
      </w:r>
      <w:r>
        <w:rPr>
          <w:sz w:val="16"/>
          <w:szCs w:val="16"/>
        </w:rPr>
        <w:t xml:space="preserve"> los decimales.</w:t>
      </w:r>
    </w:p>
    <w:p w14:paraId="7B2BFA0B" w14:textId="77777777" w:rsidR="00D879A3" w:rsidRDefault="00D879A3" w:rsidP="00D879A3">
      <w:pPr>
        <w:pStyle w:val="Default"/>
        <w:ind w:left="-567"/>
        <w:jc w:val="both"/>
        <w:rPr>
          <w:szCs w:val="23"/>
        </w:rPr>
      </w:pPr>
    </w:p>
    <w:p w14:paraId="612460F8" w14:textId="77777777" w:rsidR="00D879A3" w:rsidRDefault="00D879A3" w:rsidP="00D879A3">
      <w:pPr>
        <w:pStyle w:val="Default"/>
        <w:ind w:left="-567"/>
        <w:jc w:val="both"/>
        <w:rPr>
          <w:szCs w:val="23"/>
        </w:rPr>
      </w:pPr>
    </w:p>
    <w:p w14:paraId="4BA8F65D" w14:textId="77777777" w:rsidR="00D879A3" w:rsidRDefault="00D879A3" w:rsidP="004A6EDE">
      <w:pPr>
        <w:pStyle w:val="Default"/>
        <w:ind w:left="-567"/>
        <w:jc w:val="both"/>
        <w:rPr>
          <w:szCs w:val="23"/>
        </w:rPr>
      </w:pPr>
      <w:r>
        <w:rPr>
          <w:szCs w:val="23"/>
        </w:rPr>
        <w:t xml:space="preserve">Del </w:t>
      </w:r>
      <w:r>
        <w:rPr>
          <w:i/>
          <w:szCs w:val="23"/>
        </w:rPr>
        <w:t>Amparo directo en revisión</w:t>
      </w:r>
      <w:r>
        <w:rPr>
          <w:szCs w:val="23"/>
        </w:rPr>
        <w:t>, que fue el tipo de procedimiento de mayor frecuencia, el porcentaje de resolución en 2019 fue de 80.7</w:t>
      </w:r>
      <w:r w:rsidR="001930D2">
        <w:rPr>
          <w:szCs w:val="23"/>
        </w:rPr>
        <w:t xml:space="preserve"> por ciento</w:t>
      </w:r>
      <w:r>
        <w:rPr>
          <w:szCs w:val="23"/>
        </w:rPr>
        <w:t>. En comparación con 2018, el porcentaje de resolución de amparos directos en revisión presenta una disminución de 10.7 puntos porcentuales. La evolución de la resolución de los amparos directos en revisión de 2010 a 2019 se aprecia en la siguiente gráfica:</w:t>
      </w:r>
    </w:p>
    <w:p w14:paraId="2C0039AF" w14:textId="77777777" w:rsidR="00D879A3" w:rsidRDefault="00D879A3" w:rsidP="00D879A3">
      <w:pPr>
        <w:pStyle w:val="Default"/>
        <w:jc w:val="both"/>
        <w:rPr>
          <w:color w:val="000000" w:themeColor="text1"/>
          <w:szCs w:val="23"/>
        </w:rPr>
      </w:pPr>
    </w:p>
    <w:p w14:paraId="1FB1B7A2" w14:textId="77777777" w:rsidR="00D879A3" w:rsidRDefault="000159F4" w:rsidP="00D879A3">
      <w:pPr>
        <w:pStyle w:val="Default"/>
        <w:spacing w:after="10"/>
        <w:ind w:left="-567"/>
        <w:jc w:val="center"/>
        <w:rPr>
          <w:b/>
          <w:bCs/>
          <w:i/>
          <w:iCs/>
          <w:color w:val="4472C4" w:themeColor="accent1"/>
          <w:sz w:val="20"/>
        </w:rPr>
      </w:pPr>
      <w:r>
        <w:rPr>
          <w:b/>
          <w:bCs/>
          <w:i/>
          <w:iCs/>
          <w:color w:val="4472C4" w:themeColor="accent1"/>
          <w:sz w:val="20"/>
        </w:rPr>
        <w:t>Gráfica 7</w:t>
      </w:r>
      <w:r w:rsidR="00D879A3">
        <w:rPr>
          <w:b/>
          <w:bCs/>
          <w:i/>
          <w:iCs/>
          <w:color w:val="4472C4" w:themeColor="accent1"/>
          <w:sz w:val="20"/>
        </w:rPr>
        <w:t>. Porcentaje de resolución de Amparos directos en revisión (SCJN), 2010 a 2019</w:t>
      </w:r>
    </w:p>
    <w:p w14:paraId="7FDE7925" w14:textId="77777777" w:rsidR="00D879A3" w:rsidRDefault="00D1771B" w:rsidP="00D879A3">
      <w:pPr>
        <w:autoSpaceDE w:val="0"/>
        <w:autoSpaceDN w:val="0"/>
        <w:adjustRightInd w:val="0"/>
        <w:spacing w:after="0" w:line="240" w:lineRule="auto"/>
        <w:ind w:left="-284"/>
        <w:jc w:val="center"/>
        <w:rPr>
          <w:rFonts w:ascii="Calibri" w:hAnsi="Calibri" w:cs="Calibri"/>
          <w:color w:val="000000"/>
        </w:rPr>
      </w:pPr>
      <w:r>
        <w:rPr>
          <w:rFonts w:ascii="Calibri" w:hAnsi="Calibri" w:cs="Calibri"/>
          <w:noProof/>
          <w:color w:val="000000"/>
          <w:lang w:val="en-US"/>
        </w:rPr>
        <w:drawing>
          <wp:inline distT="0" distB="0" distL="0" distR="0" wp14:anchorId="63405F37" wp14:editId="3791B831">
            <wp:extent cx="4502150" cy="20694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2150" cy="2069465"/>
                    </a:xfrm>
                    <a:prstGeom prst="rect">
                      <a:avLst/>
                    </a:prstGeom>
                    <a:noFill/>
                    <a:ln>
                      <a:noFill/>
                    </a:ln>
                  </pic:spPr>
                </pic:pic>
              </a:graphicData>
            </a:graphic>
          </wp:inline>
        </w:drawing>
      </w:r>
    </w:p>
    <w:p w14:paraId="14DA8298" w14:textId="77777777" w:rsidR="00D879A3" w:rsidRDefault="00D879A3" w:rsidP="00D879A3">
      <w:pPr>
        <w:pStyle w:val="Default"/>
        <w:jc w:val="both"/>
        <w:rPr>
          <w:color w:val="000000" w:themeColor="text1"/>
          <w:sz w:val="18"/>
        </w:rPr>
      </w:pPr>
    </w:p>
    <w:p w14:paraId="1DD0C854" w14:textId="77777777" w:rsidR="00D879A3" w:rsidRDefault="00D879A3" w:rsidP="00445B3D">
      <w:pPr>
        <w:pStyle w:val="Default"/>
        <w:jc w:val="both"/>
        <w:rPr>
          <w:sz w:val="16"/>
          <w:szCs w:val="16"/>
        </w:rPr>
      </w:pPr>
      <w:r>
        <w:rPr>
          <w:sz w:val="16"/>
          <w:szCs w:val="16"/>
        </w:rPr>
        <w:t>Nota: el porcentaje de resolución se obtiene de la división de los asuntos resueltos entre los asuntos ingresados durante el año de referencia. Las cifras pueden ser mayores al 100 por ciento, debido a que se resolvieron asuntos ingresados en años anteriores.</w:t>
      </w:r>
    </w:p>
    <w:p w14:paraId="6DA20073" w14:textId="77777777" w:rsidR="00445B3D" w:rsidRPr="00445B3D" w:rsidRDefault="00445B3D" w:rsidP="00445B3D">
      <w:pPr>
        <w:pStyle w:val="Default"/>
        <w:jc w:val="both"/>
        <w:rPr>
          <w:sz w:val="16"/>
          <w:szCs w:val="16"/>
        </w:rPr>
      </w:pPr>
    </w:p>
    <w:p w14:paraId="7AF835FB" w14:textId="77777777" w:rsidR="00D879A3" w:rsidRDefault="00445B3D" w:rsidP="00D879A3">
      <w:pPr>
        <w:pStyle w:val="Default"/>
        <w:ind w:left="-567"/>
        <w:jc w:val="both"/>
        <w:rPr>
          <w:szCs w:val="23"/>
        </w:rPr>
      </w:pPr>
      <w:r>
        <w:rPr>
          <w:szCs w:val="23"/>
        </w:rPr>
        <w:t>Asimismo, de los</w:t>
      </w:r>
      <w:r w:rsidR="00D879A3">
        <w:rPr>
          <w:szCs w:val="23"/>
        </w:rPr>
        <w:t xml:space="preserve"> procedimiento</w:t>
      </w:r>
      <w:r>
        <w:rPr>
          <w:szCs w:val="23"/>
        </w:rPr>
        <w:t>s</w:t>
      </w:r>
      <w:r w:rsidR="00D879A3">
        <w:rPr>
          <w:szCs w:val="23"/>
        </w:rPr>
        <w:t xml:space="preserve"> </w:t>
      </w:r>
      <w:r w:rsidR="00D879A3">
        <w:rPr>
          <w:i/>
          <w:iCs/>
          <w:szCs w:val="23"/>
        </w:rPr>
        <w:t>Acción de inconstitucionalidad</w:t>
      </w:r>
      <w:r w:rsidR="00D879A3">
        <w:rPr>
          <w:szCs w:val="23"/>
        </w:rPr>
        <w:t xml:space="preserve">, </w:t>
      </w:r>
      <w:r w:rsidRPr="00445B3D">
        <w:rPr>
          <w:i/>
          <w:szCs w:val="23"/>
        </w:rPr>
        <w:t>Conflicto competencial y Controversia constitucional</w:t>
      </w:r>
      <w:r>
        <w:rPr>
          <w:szCs w:val="23"/>
        </w:rPr>
        <w:t xml:space="preserve">, </w:t>
      </w:r>
      <w:r w:rsidR="00D879A3">
        <w:rPr>
          <w:szCs w:val="23"/>
        </w:rPr>
        <w:t>el porcentaje de resolución en dicho periodo se presenta a continuación:</w:t>
      </w:r>
    </w:p>
    <w:p w14:paraId="1F3BE847" w14:textId="77777777" w:rsidR="00D879A3" w:rsidRDefault="00D879A3" w:rsidP="00D879A3">
      <w:pPr>
        <w:pStyle w:val="Default"/>
        <w:jc w:val="both"/>
        <w:rPr>
          <w:szCs w:val="23"/>
        </w:rPr>
      </w:pPr>
    </w:p>
    <w:p w14:paraId="584ABCA4" w14:textId="77777777" w:rsidR="00D879A3" w:rsidRDefault="000159F4" w:rsidP="00D879A3">
      <w:pPr>
        <w:pStyle w:val="Default"/>
        <w:spacing w:after="10"/>
        <w:ind w:left="-567"/>
        <w:jc w:val="center"/>
        <w:rPr>
          <w:b/>
          <w:bCs/>
          <w:i/>
          <w:iCs/>
          <w:color w:val="4472C4" w:themeColor="accent1"/>
          <w:sz w:val="20"/>
        </w:rPr>
      </w:pPr>
      <w:r>
        <w:rPr>
          <w:b/>
          <w:bCs/>
          <w:i/>
          <w:iCs/>
          <w:color w:val="4472C4" w:themeColor="accent1"/>
          <w:sz w:val="20"/>
        </w:rPr>
        <w:t>Gráfica 8</w:t>
      </w:r>
      <w:r w:rsidR="00D879A3">
        <w:rPr>
          <w:b/>
          <w:bCs/>
          <w:i/>
          <w:iCs/>
          <w:color w:val="4472C4" w:themeColor="accent1"/>
          <w:sz w:val="20"/>
        </w:rPr>
        <w:t>. Porcentaje de resolución de Acciones de inconstitucionalidad</w:t>
      </w:r>
      <w:r w:rsidR="00445B3D">
        <w:rPr>
          <w:b/>
          <w:bCs/>
          <w:i/>
          <w:iCs/>
          <w:color w:val="4472C4" w:themeColor="accent1"/>
          <w:sz w:val="20"/>
        </w:rPr>
        <w:t>, Conflictos competenciales y Controversias constitucionales</w:t>
      </w:r>
      <w:r w:rsidR="00D879A3">
        <w:rPr>
          <w:b/>
          <w:bCs/>
          <w:i/>
          <w:iCs/>
          <w:color w:val="4472C4" w:themeColor="accent1"/>
          <w:sz w:val="20"/>
        </w:rPr>
        <w:t xml:space="preserve"> (SCJN), 2010 a 2019</w:t>
      </w:r>
    </w:p>
    <w:p w14:paraId="4633B90B" w14:textId="77777777" w:rsidR="00D879A3" w:rsidRPr="00445B3D" w:rsidRDefault="00D1771B" w:rsidP="00445B3D">
      <w:pPr>
        <w:pStyle w:val="Default"/>
        <w:ind w:left="-567"/>
        <w:jc w:val="center"/>
        <w:rPr>
          <w:szCs w:val="23"/>
        </w:rPr>
      </w:pPr>
      <w:r>
        <w:rPr>
          <w:noProof/>
          <w:szCs w:val="23"/>
          <w:lang w:val="en-US"/>
        </w:rPr>
        <w:drawing>
          <wp:inline distT="0" distB="0" distL="0" distR="0" wp14:anchorId="6C540943" wp14:editId="6EF44AE5">
            <wp:extent cx="6169025" cy="290766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9025" cy="2907665"/>
                    </a:xfrm>
                    <a:prstGeom prst="rect">
                      <a:avLst/>
                    </a:prstGeom>
                    <a:noFill/>
                    <a:ln>
                      <a:noFill/>
                    </a:ln>
                  </pic:spPr>
                </pic:pic>
              </a:graphicData>
            </a:graphic>
          </wp:inline>
        </w:drawing>
      </w:r>
    </w:p>
    <w:p w14:paraId="494EB030" w14:textId="77777777" w:rsidR="00D879A3" w:rsidRDefault="00D879A3" w:rsidP="00AD417E">
      <w:pPr>
        <w:ind w:left="-284" w:right="142"/>
        <w:jc w:val="both"/>
        <w:rPr>
          <w:rFonts w:ascii="Arial" w:hAnsi="Arial" w:cs="Arial"/>
          <w:sz w:val="16"/>
          <w:szCs w:val="16"/>
        </w:rPr>
      </w:pPr>
      <w:r>
        <w:rPr>
          <w:rFonts w:ascii="Arial" w:hAnsi="Arial" w:cs="Arial"/>
          <w:sz w:val="16"/>
          <w:szCs w:val="16"/>
        </w:rPr>
        <w:t>Nota: el porcentaje de resolución se obtiene de la división de los asuntos resueltos entre los asuntos ingresados durante el año de referencia. Las cifras pueden ser mayores al 100 por ciento, debido a que se resolvieron asuntos ingresados en años anteriores.</w:t>
      </w:r>
    </w:p>
    <w:p w14:paraId="6ACA0F6E" w14:textId="77777777" w:rsidR="00AD417E" w:rsidRDefault="00AD417E" w:rsidP="00D879A3">
      <w:pPr>
        <w:ind w:left="-567"/>
        <w:jc w:val="both"/>
        <w:rPr>
          <w:rFonts w:ascii="Arial" w:hAnsi="Arial" w:cs="Arial"/>
          <w:b/>
          <w:sz w:val="24"/>
        </w:rPr>
      </w:pPr>
    </w:p>
    <w:p w14:paraId="64BEE1AD" w14:textId="77777777" w:rsidR="00D879A3" w:rsidRDefault="00D879A3" w:rsidP="00D879A3">
      <w:pPr>
        <w:ind w:left="-567"/>
        <w:jc w:val="both"/>
        <w:rPr>
          <w:rFonts w:ascii="Arial" w:hAnsi="Arial" w:cs="Arial"/>
          <w:b/>
          <w:sz w:val="24"/>
        </w:rPr>
      </w:pPr>
      <w:r>
        <w:rPr>
          <w:rFonts w:ascii="Arial" w:hAnsi="Arial" w:cs="Arial"/>
          <w:b/>
          <w:sz w:val="24"/>
        </w:rPr>
        <w:t>Tribunal Electoral del Poder Judicial de la Federación</w:t>
      </w:r>
    </w:p>
    <w:p w14:paraId="09E48749" w14:textId="77777777" w:rsidR="00D879A3" w:rsidRDefault="00D879A3" w:rsidP="00D879A3">
      <w:pPr>
        <w:ind w:left="-567"/>
        <w:jc w:val="both"/>
        <w:rPr>
          <w:rFonts w:ascii="Arial" w:hAnsi="Arial" w:cs="Arial"/>
          <w:sz w:val="24"/>
        </w:rPr>
      </w:pPr>
      <w:r>
        <w:rPr>
          <w:rFonts w:ascii="Arial" w:hAnsi="Arial" w:cs="Arial"/>
          <w:sz w:val="24"/>
        </w:rPr>
        <w:t>Por su parte, los datos sobre el ejercicio de la función de los órganos jurisdiccionales del TEPJF muestran que durant</w:t>
      </w:r>
      <w:r w:rsidR="00060A7C">
        <w:rPr>
          <w:rFonts w:ascii="Arial" w:hAnsi="Arial" w:cs="Arial"/>
          <w:sz w:val="24"/>
        </w:rPr>
        <w:t>e 2019 ingresó un total de 8</w:t>
      </w:r>
      <w:r>
        <w:rPr>
          <w:rFonts w:ascii="Arial" w:hAnsi="Arial" w:cs="Arial"/>
          <w:sz w:val="24"/>
        </w:rPr>
        <w:t xml:space="preserve"> 123</w:t>
      </w:r>
      <w:r w:rsidR="00060A7C">
        <w:rPr>
          <w:rFonts w:ascii="Arial" w:hAnsi="Arial" w:cs="Arial"/>
          <w:sz w:val="24"/>
        </w:rPr>
        <w:t xml:space="preserve"> asuntos, y se resolvieron 7</w:t>
      </w:r>
      <w:r>
        <w:rPr>
          <w:rFonts w:ascii="Arial" w:hAnsi="Arial" w:cs="Arial"/>
          <w:sz w:val="24"/>
        </w:rPr>
        <w:t xml:space="preserve"> 785. De estos, 67.0% fue </w:t>
      </w:r>
      <w:r w:rsidR="00F36237">
        <w:rPr>
          <w:rFonts w:ascii="Arial" w:hAnsi="Arial" w:cs="Arial"/>
          <w:sz w:val="24"/>
        </w:rPr>
        <w:t>“</w:t>
      </w:r>
      <w:r>
        <w:rPr>
          <w:rFonts w:ascii="Arial" w:hAnsi="Arial" w:cs="Arial"/>
          <w:sz w:val="24"/>
        </w:rPr>
        <w:t>no resuelto de fondo</w:t>
      </w:r>
      <w:r w:rsidR="00F36237">
        <w:rPr>
          <w:rFonts w:ascii="Arial" w:hAnsi="Arial" w:cs="Arial"/>
          <w:sz w:val="24"/>
        </w:rPr>
        <w:t>”</w:t>
      </w:r>
      <w:r>
        <w:rPr>
          <w:rFonts w:ascii="Arial" w:hAnsi="Arial" w:cs="Arial"/>
          <w:sz w:val="24"/>
        </w:rPr>
        <w:t xml:space="preserve"> y 33.0% </w:t>
      </w:r>
      <w:r w:rsidR="00F36237">
        <w:rPr>
          <w:rFonts w:ascii="Arial" w:hAnsi="Arial" w:cs="Arial"/>
          <w:sz w:val="24"/>
        </w:rPr>
        <w:t>“</w:t>
      </w:r>
      <w:r>
        <w:rPr>
          <w:rFonts w:ascii="Arial" w:hAnsi="Arial" w:cs="Arial"/>
          <w:sz w:val="24"/>
        </w:rPr>
        <w:t>resuelto de fondo</w:t>
      </w:r>
      <w:r w:rsidR="00F36237">
        <w:rPr>
          <w:rFonts w:ascii="Arial" w:hAnsi="Arial" w:cs="Arial"/>
          <w:sz w:val="24"/>
        </w:rPr>
        <w:t>”</w:t>
      </w:r>
      <w:r>
        <w:rPr>
          <w:rFonts w:ascii="Arial" w:hAnsi="Arial" w:cs="Arial"/>
          <w:sz w:val="24"/>
        </w:rPr>
        <w:t>.</w:t>
      </w:r>
    </w:p>
    <w:p w14:paraId="1F26C267" w14:textId="77777777" w:rsidR="00D879A3" w:rsidRDefault="00D879A3" w:rsidP="00D879A3">
      <w:pPr>
        <w:ind w:left="-567"/>
        <w:jc w:val="both"/>
        <w:rPr>
          <w:rFonts w:ascii="Arial" w:hAnsi="Arial" w:cs="Arial"/>
          <w:sz w:val="24"/>
        </w:rPr>
      </w:pPr>
      <w:r>
        <w:rPr>
          <w:rFonts w:ascii="Arial" w:hAnsi="Arial" w:cs="Arial"/>
          <w:sz w:val="24"/>
        </w:rPr>
        <w:t xml:space="preserve">Del total de asuntos que tuvieron conocimiento los órganos jurisdiccionales del TEPJF durante 2019, </w:t>
      </w:r>
      <w:r w:rsidR="00060A7C">
        <w:rPr>
          <w:rFonts w:ascii="Arial" w:hAnsi="Arial" w:cs="Arial"/>
          <w:sz w:val="24"/>
        </w:rPr>
        <w:t xml:space="preserve">destacan los procedimientos de </w:t>
      </w:r>
      <w:r w:rsidRPr="00060A7C">
        <w:rPr>
          <w:rFonts w:ascii="Arial" w:hAnsi="Arial" w:cs="Arial"/>
          <w:i/>
          <w:sz w:val="24"/>
        </w:rPr>
        <w:t>Juicio para la protección de los derechos pol</w:t>
      </w:r>
      <w:r w:rsidR="00060A7C" w:rsidRPr="00060A7C">
        <w:rPr>
          <w:rFonts w:ascii="Arial" w:hAnsi="Arial" w:cs="Arial"/>
          <w:i/>
          <w:sz w:val="24"/>
        </w:rPr>
        <w:t>ítico-electorales del ciudadano</w:t>
      </w:r>
      <w:r>
        <w:rPr>
          <w:rFonts w:ascii="Arial" w:hAnsi="Arial" w:cs="Arial"/>
          <w:sz w:val="24"/>
        </w:rPr>
        <w:t xml:space="preserve">, que representaron 64.2% de </w:t>
      </w:r>
      <w:r w:rsidR="00F36237">
        <w:rPr>
          <w:rFonts w:ascii="Arial" w:hAnsi="Arial" w:cs="Arial"/>
          <w:sz w:val="24"/>
        </w:rPr>
        <w:t xml:space="preserve">los </w:t>
      </w:r>
      <w:r>
        <w:rPr>
          <w:rFonts w:ascii="Arial" w:hAnsi="Arial" w:cs="Arial"/>
          <w:sz w:val="24"/>
        </w:rPr>
        <w:t xml:space="preserve">ingresos y 62.4% de </w:t>
      </w:r>
      <w:r w:rsidR="00F36237">
        <w:rPr>
          <w:rFonts w:ascii="Arial" w:hAnsi="Arial" w:cs="Arial"/>
          <w:sz w:val="24"/>
        </w:rPr>
        <w:t xml:space="preserve">las </w:t>
      </w:r>
      <w:r>
        <w:rPr>
          <w:rFonts w:ascii="Arial" w:hAnsi="Arial" w:cs="Arial"/>
          <w:sz w:val="24"/>
        </w:rPr>
        <w:t>resoluciones.</w:t>
      </w:r>
    </w:p>
    <w:p w14:paraId="2CFCBCD1" w14:textId="77777777" w:rsidR="00D879A3" w:rsidRDefault="00D879A3" w:rsidP="00AD417E">
      <w:pPr>
        <w:ind w:left="-567"/>
        <w:jc w:val="both"/>
        <w:rPr>
          <w:rFonts w:ascii="Arial" w:hAnsi="Arial" w:cs="Arial"/>
          <w:sz w:val="24"/>
        </w:rPr>
      </w:pPr>
      <w:r>
        <w:rPr>
          <w:rFonts w:ascii="Arial" w:hAnsi="Arial" w:cs="Arial"/>
          <w:sz w:val="24"/>
        </w:rPr>
        <w:t xml:space="preserve">En la </w:t>
      </w:r>
      <w:r w:rsidR="00266E54">
        <w:rPr>
          <w:rFonts w:ascii="Arial" w:hAnsi="Arial" w:cs="Arial"/>
          <w:sz w:val="24"/>
        </w:rPr>
        <w:t>siguiente gráfica</w:t>
      </w:r>
      <w:r>
        <w:rPr>
          <w:rFonts w:ascii="Arial" w:hAnsi="Arial" w:cs="Arial"/>
          <w:sz w:val="24"/>
        </w:rPr>
        <w:t xml:space="preserve"> se presenta la distribución de los asuntos por los 10 procedimientos más frecuentes durante 2019:</w:t>
      </w:r>
    </w:p>
    <w:p w14:paraId="76E457C4" w14:textId="77777777" w:rsidR="00D879A3" w:rsidRDefault="000159F4" w:rsidP="00D879A3">
      <w:pPr>
        <w:pStyle w:val="Default"/>
        <w:spacing w:after="10"/>
        <w:ind w:left="-567"/>
        <w:jc w:val="center"/>
        <w:rPr>
          <w:b/>
          <w:bCs/>
          <w:i/>
          <w:iCs/>
          <w:color w:val="4472C4" w:themeColor="accent1"/>
          <w:sz w:val="20"/>
        </w:rPr>
      </w:pPr>
      <w:r>
        <w:rPr>
          <w:b/>
          <w:bCs/>
          <w:i/>
          <w:iCs/>
          <w:color w:val="4472C4" w:themeColor="accent1"/>
          <w:sz w:val="20"/>
        </w:rPr>
        <w:t>Gráfica 9</w:t>
      </w:r>
      <w:r w:rsidR="00D879A3">
        <w:rPr>
          <w:b/>
          <w:bCs/>
          <w:i/>
          <w:iCs/>
          <w:color w:val="4472C4" w:themeColor="accent1"/>
          <w:sz w:val="20"/>
        </w:rPr>
        <w:t>. Distribución porcentual de los asuntos ingresados y resueltos por los órganos jurisdiccionales del TEPJF, según tipo de procedimiento, 2019</w:t>
      </w:r>
    </w:p>
    <w:p w14:paraId="31080319" w14:textId="77777777" w:rsidR="00D879A3" w:rsidRDefault="00D1771B" w:rsidP="00D879A3">
      <w:pPr>
        <w:ind w:left="-567"/>
        <w:jc w:val="center"/>
        <w:rPr>
          <w:rFonts w:ascii="Arial" w:hAnsi="Arial" w:cs="Arial"/>
          <w:lang w:val="es-ES_tradnl"/>
        </w:rPr>
      </w:pPr>
      <w:r>
        <w:rPr>
          <w:rFonts w:ascii="Arial" w:hAnsi="Arial" w:cs="Arial"/>
          <w:noProof/>
          <w:lang w:val="en-US"/>
        </w:rPr>
        <w:drawing>
          <wp:inline distT="0" distB="0" distL="0" distR="0" wp14:anchorId="2CEA2143" wp14:editId="2D0ADABD">
            <wp:extent cx="6007735" cy="4026535"/>
            <wp:effectExtent l="0" t="0" r="12065"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7735" cy="4026535"/>
                    </a:xfrm>
                    <a:prstGeom prst="rect">
                      <a:avLst/>
                    </a:prstGeom>
                    <a:noFill/>
                    <a:ln>
                      <a:noFill/>
                    </a:ln>
                  </pic:spPr>
                </pic:pic>
              </a:graphicData>
            </a:graphic>
          </wp:inline>
        </w:drawing>
      </w:r>
    </w:p>
    <w:p w14:paraId="1B6BAA87" w14:textId="77777777" w:rsidR="00D879A3" w:rsidRDefault="00D879A3" w:rsidP="00D879A3">
      <w:pPr>
        <w:rPr>
          <w:rFonts w:ascii="Arial" w:hAnsi="Arial" w:cs="Arial"/>
          <w:sz w:val="24"/>
          <w:szCs w:val="16"/>
        </w:rPr>
      </w:pPr>
      <w:r>
        <w:rPr>
          <w:rFonts w:ascii="Arial" w:hAnsi="Arial" w:cs="Arial"/>
          <w:sz w:val="16"/>
          <w:szCs w:val="16"/>
        </w:rPr>
        <w:t>Nota: los 11 procedimientos restantes representan 1.1% de los asuntos ingresados y 1.2% de los resueltos.</w:t>
      </w:r>
    </w:p>
    <w:p w14:paraId="0C79CBB9" w14:textId="77777777" w:rsidR="00D879A3" w:rsidRDefault="00D879A3" w:rsidP="00D879A3">
      <w:pPr>
        <w:ind w:left="-567"/>
        <w:jc w:val="both"/>
        <w:rPr>
          <w:rFonts w:ascii="Arial" w:hAnsi="Arial" w:cs="Arial"/>
          <w:sz w:val="24"/>
          <w:szCs w:val="16"/>
        </w:rPr>
      </w:pPr>
    </w:p>
    <w:p w14:paraId="3789210B" w14:textId="77777777" w:rsidR="00D879A3" w:rsidRDefault="00D879A3" w:rsidP="00D879A3">
      <w:pPr>
        <w:ind w:left="-567"/>
        <w:jc w:val="both"/>
        <w:rPr>
          <w:rFonts w:ascii="Arial" w:hAnsi="Arial" w:cs="Arial"/>
          <w:sz w:val="24"/>
          <w:szCs w:val="16"/>
        </w:rPr>
      </w:pPr>
    </w:p>
    <w:p w14:paraId="22C57C9D" w14:textId="77777777" w:rsidR="00D879A3" w:rsidRDefault="00D879A3" w:rsidP="00D879A3">
      <w:pPr>
        <w:ind w:left="-567"/>
        <w:jc w:val="both"/>
        <w:rPr>
          <w:rFonts w:ascii="Arial" w:hAnsi="Arial" w:cs="Arial"/>
          <w:sz w:val="24"/>
          <w:szCs w:val="16"/>
        </w:rPr>
      </w:pPr>
    </w:p>
    <w:p w14:paraId="0D4A4FCE" w14:textId="77777777" w:rsidR="00AD417E" w:rsidRDefault="00AD417E" w:rsidP="00D879A3">
      <w:pPr>
        <w:ind w:left="-567"/>
        <w:jc w:val="both"/>
        <w:rPr>
          <w:rFonts w:ascii="Arial" w:hAnsi="Arial" w:cs="Arial"/>
          <w:sz w:val="24"/>
          <w:szCs w:val="16"/>
        </w:rPr>
      </w:pPr>
    </w:p>
    <w:p w14:paraId="76E45139" w14:textId="77777777" w:rsidR="00AD417E" w:rsidRDefault="00D879A3" w:rsidP="00AD417E">
      <w:pPr>
        <w:ind w:left="-567"/>
        <w:jc w:val="both"/>
        <w:rPr>
          <w:rFonts w:ascii="Arial" w:hAnsi="Arial" w:cs="Arial"/>
          <w:sz w:val="24"/>
          <w:szCs w:val="16"/>
        </w:rPr>
      </w:pPr>
      <w:r>
        <w:rPr>
          <w:rFonts w:ascii="Arial" w:hAnsi="Arial" w:cs="Arial"/>
          <w:sz w:val="24"/>
          <w:szCs w:val="16"/>
        </w:rPr>
        <w:t xml:space="preserve">Del </w:t>
      </w:r>
      <w:r>
        <w:rPr>
          <w:rFonts w:ascii="Arial" w:hAnsi="Arial" w:cs="Arial"/>
          <w:i/>
          <w:sz w:val="24"/>
          <w:szCs w:val="16"/>
        </w:rPr>
        <w:t>Juicio para la protección de los derechos político-electorales del ciudadano</w:t>
      </w:r>
      <w:r>
        <w:rPr>
          <w:rFonts w:ascii="Arial" w:hAnsi="Arial" w:cs="Arial"/>
          <w:sz w:val="24"/>
          <w:szCs w:val="16"/>
        </w:rPr>
        <w:t>, que fue el tipo de procedimiento de mayor frecuencia, el porcentaje de resolución de 2010 a 2019 se muestra en la siguiente gráfica:</w:t>
      </w:r>
    </w:p>
    <w:p w14:paraId="300CEB2C" w14:textId="77777777" w:rsidR="00D879A3" w:rsidRDefault="000713B9" w:rsidP="00D879A3">
      <w:pPr>
        <w:pStyle w:val="Default"/>
        <w:spacing w:after="10"/>
        <w:ind w:left="-567"/>
        <w:jc w:val="center"/>
        <w:rPr>
          <w:b/>
          <w:bCs/>
          <w:i/>
          <w:iCs/>
          <w:color w:val="4472C4" w:themeColor="accent1"/>
          <w:sz w:val="20"/>
        </w:rPr>
      </w:pPr>
      <w:r>
        <w:rPr>
          <w:b/>
          <w:bCs/>
          <w:i/>
          <w:iCs/>
          <w:color w:val="4472C4" w:themeColor="accent1"/>
          <w:sz w:val="20"/>
        </w:rPr>
        <w:t>G</w:t>
      </w:r>
      <w:r w:rsidR="000159F4">
        <w:rPr>
          <w:b/>
          <w:bCs/>
          <w:i/>
          <w:iCs/>
          <w:color w:val="4472C4" w:themeColor="accent1"/>
          <w:sz w:val="20"/>
        </w:rPr>
        <w:t>ráfica 10</w:t>
      </w:r>
      <w:r w:rsidR="00D879A3">
        <w:rPr>
          <w:b/>
          <w:bCs/>
          <w:i/>
          <w:iCs/>
          <w:color w:val="4472C4" w:themeColor="accent1"/>
          <w:sz w:val="20"/>
        </w:rPr>
        <w:t>. Porcentaje de resolución de Juicios para la protección de los derechos político-electorales del ciudadano (TEPJF), 2010 a 2019</w:t>
      </w:r>
    </w:p>
    <w:p w14:paraId="7AA6CD60" w14:textId="77777777" w:rsidR="00D879A3" w:rsidRDefault="00144121" w:rsidP="00D879A3">
      <w:pPr>
        <w:ind w:left="-567"/>
        <w:jc w:val="center"/>
        <w:rPr>
          <w:rFonts w:ascii="Arial" w:hAnsi="Arial" w:cs="Arial"/>
          <w:sz w:val="24"/>
          <w:szCs w:val="16"/>
        </w:rPr>
      </w:pPr>
      <w:r>
        <w:rPr>
          <w:rFonts w:ascii="Arial" w:hAnsi="Arial" w:cs="Arial"/>
          <w:noProof/>
          <w:sz w:val="24"/>
          <w:szCs w:val="16"/>
          <w:lang w:val="en-US"/>
        </w:rPr>
        <w:drawing>
          <wp:inline distT="0" distB="0" distL="0" distR="0" wp14:anchorId="14763E82" wp14:editId="1748BD66">
            <wp:extent cx="4572000" cy="25571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2557145"/>
                    </a:xfrm>
                    <a:prstGeom prst="rect">
                      <a:avLst/>
                    </a:prstGeom>
                    <a:noFill/>
                    <a:ln>
                      <a:noFill/>
                    </a:ln>
                  </pic:spPr>
                </pic:pic>
              </a:graphicData>
            </a:graphic>
          </wp:inline>
        </w:drawing>
      </w:r>
    </w:p>
    <w:p w14:paraId="6C21C645" w14:textId="77777777" w:rsidR="00D879A3" w:rsidRDefault="00D879A3" w:rsidP="00D879A3">
      <w:pPr>
        <w:jc w:val="both"/>
        <w:rPr>
          <w:rFonts w:ascii="Arial" w:hAnsi="Arial" w:cs="Arial"/>
          <w:sz w:val="16"/>
          <w:szCs w:val="16"/>
        </w:rPr>
      </w:pPr>
      <w:r>
        <w:rPr>
          <w:rFonts w:ascii="Arial" w:hAnsi="Arial" w:cs="Arial"/>
          <w:sz w:val="16"/>
          <w:szCs w:val="16"/>
        </w:rPr>
        <w:t>Nota: el porcentaje de resolución se obtiene de la división de los asuntos resueltos entre los asuntos ingresados durante el año de referencia. Las cifras pueden ser mayores al 100 por ciento, debido a que se resolvieron asuntos ingresados en años anteriores.</w:t>
      </w:r>
    </w:p>
    <w:p w14:paraId="66C04292" w14:textId="77777777" w:rsidR="00D879A3" w:rsidRDefault="00F36237" w:rsidP="00D879A3">
      <w:pPr>
        <w:pStyle w:val="Default"/>
        <w:spacing w:after="10"/>
        <w:ind w:left="-567"/>
        <w:jc w:val="both"/>
        <w:rPr>
          <w:szCs w:val="16"/>
        </w:rPr>
      </w:pPr>
      <w:r>
        <w:rPr>
          <w:szCs w:val="16"/>
        </w:rPr>
        <w:t>Por su parte, el porcentaje de resolución para el referido periodo d</w:t>
      </w:r>
      <w:r w:rsidR="00D879A3">
        <w:rPr>
          <w:szCs w:val="16"/>
        </w:rPr>
        <w:t xml:space="preserve">el </w:t>
      </w:r>
      <w:r w:rsidR="00D879A3">
        <w:rPr>
          <w:i/>
          <w:szCs w:val="16"/>
        </w:rPr>
        <w:t>Juicio de revisión constitucional electoral</w:t>
      </w:r>
      <w:r>
        <w:rPr>
          <w:i/>
          <w:szCs w:val="16"/>
        </w:rPr>
        <w:t xml:space="preserve"> </w:t>
      </w:r>
      <w:r w:rsidR="00D879A3">
        <w:rPr>
          <w:szCs w:val="16"/>
        </w:rPr>
        <w:t>se presenta enseguida:</w:t>
      </w:r>
    </w:p>
    <w:p w14:paraId="78C6BE77" w14:textId="77777777" w:rsidR="00D879A3" w:rsidRDefault="00D879A3" w:rsidP="00D879A3">
      <w:pPr>
        <w:pStyle w:val="Default"/>
        <w:spacing w:after="10"/>
        <w:ind w:left="-567"/>
        <w:jc w:val="both"/>
        <w:rPr>
          <w:b/>
          <w:bCs/>
          <w:i/>
          <w:iCs/>
          <w:color w:val="4472C4" w:themeColor="accent1"/>
          <w:sz w:val="20"/>
        </w:rPr>
      </w:pPr>
    </w:p>
    <w:p w14:paraId="7B85DCDA" w14:textId="77777777" w:rsidR="00D879A3" w:rsidRDefault="000159F4" w:rsidP="00D879A3">
      <w:pPr>
        <w:pStyle w:val="Default"/>
        <w:spacing w:after="10"/>
        <w:ind w:left="-567"/>
        <w:jc w:val="center"/>
        <w:rPr>
          <w:b/>
          <w:bCs/>
          <w:i/>
          <w:iCs/>
          <w:color w:val="4472C4" w:themeColor="accent1"/>
          <w:sz w:val="20"/>
        </w:rPr>
      </w:pPr>
      <w:r>
        <w:rPr>
          <w:b/>
          <w:bCs/>
          <w:i/>
          <w:iCs/>
          <w:color w:val="4472C4" w:themeColor="accent1"/>
          <w:sz w:val="20"/>
        </w:rPr>
        <w:t>Gráfica 11</w:t>
      </w:r>
      <w:r w:rsidR="00D879A3">
        <w:rPr>
          <w:b/>
          <w:bCs/>
          <w:i/>
          <w:iCs/>
          <w:color w:val="4472C4" w:themeColor="accent1"/>
          <w:sz w:val="20"/>
        </w:rPr>
        <w:t>. Porcentaje de resolución de Juicios de revisión constitucional electoral (TEPJF), 2010 a 2019</w:t>
      </w:r>
    </w:p>
    <w:p w14:paraId="5976A0B0" w14:textId="77777777" w:rsidR="00D879A3" w:rsidRDefault="00144121" w:rsidP="00D879A3">
      <w:pPr>
        <w:ind w:left="-426" w:hanging="141"/>
        <w:jc w:val="center"/>
        <w:rPr>
          <w:rFonts w:ascii="Arial" w:hAnsi="Arial" w:cs="Arial"/>
          <w:b/>
          <w:i/>
          <w:szCs w:val="16"/>
        </w:rPr>
      </w:pPr>
      <w:r>
        <w:rPr>
          <w:rFonts w:ascii="Arial" w:hAnsi="Arial" w:cs="Arial"/>
          <w:b/>
          <w:i/>
          <w:noProof/>
          <w:szCs w:val="16"/>
          <w:lang w:val="en-US"/>
        </w:rPr>
        <w:drawing>
          <wp:inline distT="0" distB="0" distL="0" distR="0" wp14:anchorId="5C96A00F" wp14:editId="19874D86">
            <wp:extent cx="5041265" cy="2514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1265" cy="2514600"/>
                    </a:xfrm>
                    <a:prstGeom prst="rect">
                      <a:avLst/>
                    </a:prstGeom>
                    <a:noFill/>
                    <a:ln>
                      <a:noFill/>
                    </a:ln>
                  </pic:spPr>
                </pic:pic>
              </a:graphicData>
            </a:graphic>
          </wp:inline>
        </w:drawing>
      </w:r>
    </w:p>
    <w:p w14:paraId="36FF65C4" w14:textId="77777777" w:rsidR="00F05680" w:rsidRPr="00AD417E" w:rsidRDefault="00D879A3" w:rsidP="00AD417E">
      <w:pPr>
        <w:jc w:val="both"/>
        <w:rPr>
          <w:rFonts w:ascii="Arial" w:hAnsi="Arial" w:cs="Arial"/>
          <w:sz w:val="16"/>
          <w:szCs w:val="16"/>
        </w:rPr>
      </w:pPr>
      <w:r>
        <w:rPr>
          <w:rFonts w:ascii="Arial" w:hAnsi="Arial" w:cs="Arial"/>
          <w:sz w:val="16"/>
          <w:szCs w:val="16"/>
        </w:rPr>
        <w:t>Nota: el porcentaje de resolución se obtiene de la división de los asuntos resueltos entre los asuntos ingresados durante el año de referencia. Las cifras pueden ser mayores al 100 por ciento, debido a que se resolvieron asuntos ingresados en años anteriores.</w:t>
      </w:r>
    </w:p>
    <w:p w14:paraId="7EEFE445" w14:textId="77777777" w:rsidR="006E1799" w:rsidRPr="0042745D" w:rsidRDefault="006E1799" w:rsidP="006E1799">
      <w:pPr>
        <w:ind w:left="-567"/>
        <w:rPr>
          <w:rFonts w:ascii="Arial" w:hAnsi="Arial" w:cs="Arial"/>
          <w:b/>
          <w:sz w:val="24"/>
          <w:szCs w:val="24"/>
        </w:rPr>
      </w:pPr>
      <w:r w:rsidRPr="0042745D">
        <w:rPr>
          <w:rFonts w:ascii="Arial" w:hAnsi="Arial" w:cs="Arial"/>
          <w:b/>
          <w:sz w:val="24"/>
          <w:szCs w:val="24"/>
        </w:rPr>
        <w:lastRenderedPageBreak/>
        <w:t>Consejo de la Judicatura Federal</w:t>
      </w:r>
    </w:p>
    <w:p w14:paraId="541523A0" w14:textId="77777777" w:rsidR="006E1799" w:rsidRDefault="006E1799" w:rsidP="006E1799">
      <w:pPr>
        <w:pStyle w:val="Default"/>
        <w:spacing w:after="10"/>
        <w:ind w:left="-567"/>
        <w:jc w:val="both"/>
      </w:pPr>
      <w:r w:rsidRPr="0042745D">
        <w:t>Los datos sobre el ej</w:t>
      </w:r>
      <w:r>
        <w:t>ercicio de la función de los TCC, TUC,</w:t>
      </w:r>
      <w:r w:rsidRPr="0042745D">
        <w:t xml:space="preserve"> </w:t>
      </w:r>
      <w:r>
        <w:t>JD y CJPF</w:t>
      </w:r>
      <w:r w:rsidRPr="0042745D">
        <w:t xml:space="preserve"> muestran que, durante 2019, ingres</w:t>
      </w:r>
      <w:r>
        <w:t>ó</w:t>
      </w:r>
      <w:r w:rsidRPr="0042745D">
        <w:t xml:space="preserve"> a est</w:t>
      </w:r>
      <w:r w:rsidR="00060A7C">
        <w:t>os órganos un total de 1 174</w:t>
      </w:r>
      <w:r w:rsidRPr="0042745D">
        <w:t xml:space="preserve"> 386 asuntos en todas las materias, mientras que la cantidad de as</w:t>
      </w:r>
      <w:r w:rsidR="00060A7C">
        <w:t>untos resueltos fue de 1 147</w:t>
      </w:r>
      <w:r>
        <w:t xml:space="preserve"> 988.</w:t>
      </w:r>
    </w:p>
    <w:p w14:paraId="4A049501" w14:textId="77777777" w:rsidR="006E1799" w:rsidRPr="00173D8F" w:rsidRDefault="006E1799" w:rsidP="006E1799">
      <w:pPr>
        <w:pStyle w:val="Default"/>
        <w:spacing w:after="10"/>
        <w:ind w:left="-567"/>
        <w:jc w:val="both"/>
        <w:rPr>
          <w:b/>
          <w:bCs/>
          <w:i/>
          <w:iCs/>
          <w:color w:val="4472C4" w:themeColor="accent1"/>
          <w:sz w:val="20"/>
        </w:rPr>
      </w:pPr>
    </w:p>
    <w:p w14:paraId="2CD52613" w14:textId="77777777" w:rsidR="006E1799" w:rsidRDefault="000159F4" w:rsidP="006E1799">
      <w:pPr>
        <w:pStyle w:val="Default"/>
        <w:spacing w:after="10"/>
        <w:ind w:left="-567"/>
        <w:jc w:val="center"/>
        <w:rPr>
          <w:b/>
          <w:bCs/>
          <w:i/>
          <w:iCs/>
          <w:sz w:val="20"/>
          <w:szCs w:val="20"/>
        </w:rPr>
      </w:pPr>
      <w:r>
        <w:rPr>
          <w:b/>
          <w:bCs/>
          <w:i/>
          <w:iCs/>
          <w:color w:val="4472C4" w:themeColor="accent1"/>
          <w:sz w:val="20"/>
        </w:rPr>
        <w:t>Gráfica 12</w:t>
      </w:r>
      <w:r w:rsidR="006E1799" w:rsidRPr="00173D8F">
        <w:rPr>
          <w:b/>
          <w:bCs/>
          <w:i/>
          <w:iCs/>
          <w:color w:val="4472C4" w:themeColor="accent1"/>
          <w:sz w:val="20"/>
        </w:rPr>
        <w:t>. Distribución de los asuntos ingresados y asuntos resueltos, según órgano, 2019</w:t>
      </w:r>
    </w:p>
    <w:p w14:paraId="08227129" w14:textId="77777777" w:rsidR="006E1799" w:rsidRDefault="006E1799" w:rsidP="006E1799">
      <w:pPr>
        <w:jc w:val="center"/>
        <w:rPr>
          <w:b/>
          <w:bCs/>
          <w:i/>
          <w:iCs/>
          <w:sz w:val="20"/>
          <w:szCs w:val="20"/>
        </w:rPr>
      </w:pPr>
    </w:p>
    <w:p w14:paraId="2C5BE599" w14:textId="77777777" w:rsidR="006E1799" w:rsidRPr="00AD417E" w:rsidRDefault="00144121" w:rsidP="00144121">
      <w:pPr>
        <w:jc w:val="center"/>
        <w:rPr>
          <w:b/>
          <w:bCs/>
          <w:i/>
          <w:iCs/>
          <w:sz w:val="20"/>
          <w:szCs w:val="20"/>
        </w:rPr>
      </w:pPr>
      <w:r>
        <w:rPr>
          <w:b/>
          <w:bCs/>
          <w:i/>
          <w:iCs/>
          <w:noProof/>
          <w:sz w:val="20"/>
          <w:szCs w:val="20"/>
          <w:lang w:val="en-US"/>
        </w:rPr>
        <w:drawing>
          <wp:inline distT="0" distB="0" distL="0" distR="0" wp14:anchorId="76B5BAA2" wp14:editId="34C5D875">
            <wp:extent cx="5672455" cy="23164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2455" cy="2316480"/>
                    </a:xfrm>
                    <a:prstGeom prst="rect">
                      <a:avLst/>
                    </a:prstGeom>
                    <a:noFill/>
                    <a:ln>
                      <a:noFill/>
                    </a:ln>
                  </pic:spPr>
                </pic:pic>
              </a:graphicData>
            </a:graphic>
          </wp:inline>
        </w:drawing>
      </w:r>
    </w:p>
    <w:p w14:paraId="5C83DECB" w14:textId="77777777" w:rsidR="006E1799" w:rsidRDefault="006E1799" w:rsidP="00B37E0A">
      <w:pPr>
        <w:ind w:left="-567"/>
        <w:jc w:val="both"/>
        <w:rPr>
          <w:rFonts w:ascii="Arial" w:hAnsi="Arial" w:cs="Arial"/>
          <w:sz w:val="24"/>
          <w:szCs w:val="24"/>
        </w:rPr>
      </w:pPr>
      <w:r w:rsidRPr="0042745D">
        <w:rPr>
          <w:rFonts w:ascii="Arial" w:hAnsi="Arial" w:cs="Arial"/>
          <w:sz w:val="24"/>
          <w:szCs w:val="24"/>
        </w:rPr>
        <w:t>Respecto de los asuntos ingresados a los TCC, los TU</w:t>
      </w:r>
      <w:r w:rsidR="00400939">
        <w:rPr>
          <w:rFonts w:ascii="Arial" w:hAnsi="Arial" w:cs="Arial"/>
          <w:sz w:val="24"/>
          <w:szCs w:val="24"/>
        </w:rPr>
        <w:t>C y los JD en 2019, destacan aquellos</w:t>
      </w:r>
      <w:r w:rsidRPr="0042745D">
        <w:rPr>
          <w:rFonts w:ascii="Arial" w:hAnsi="Arial" w:cs="Arial"/>
          <w:sz w:val="24"/>
          <w:szCs w:val="24"/>
        </w:rPr>
        <w:t xml:space="preserve"> vinculados a la materia administrativa con 38.0% del total en los TCC y 30.0% en los JD; por su parte, en los TUC la materia penal representó 69.5</w:t>
      </w:r>
      <w:r w:rsidR="001930D2">
        <w:rPr>
          <w:rFonts w:ascii="Arial" w:hAnsi="Arial" w:cs="Arial"/>
          <w:sz w:val="24"/>
          <w:szCs w:val="24"/>
        </w:rPr>
        <w:t xml:space="preserve"> por ciento</w:t>
      </w:r>
      <w:r w:rsidRPr="0042745D">
        <w:rPr>
          <w:rFonts w:ascii="Arial" w:hAnsi="Arial" w:cs="Arial"/>
          <w:sz w:val="24"/>
          <w:szCs w:val="24"/>
        </w:rPr>
        <w:t>. La distribución de los asuntos ingresados por materia y órgano jurisdiccional en el periodo referido se presenta en la gráfica siguiente:</w:t>
      </w:r>
    </w:p>
    <w:p w14:paraId="4A070523" w14:textId="77777777" w:rsidR="006E1799" w:rsidRDefault="000159F4" w:rsidP="006E1799">
      <w:pPr>
        <w:pStyle w:val="Default"/>
        <w:spacing w:after="10"/>
        <w:ind w:left="-567"/>
        <w:jc w:val="center"/>
        <w:rPr>
          <w:b/>
          <w:bCs/>
          <w:i/>
          <w:iCs/>
          <w:color w:val="4472C4" w:themeColor="accent1"/>
          <w:sz w:val="20"/>
        </w:rPr>
      </w:pPr>
      <w:r>
        <w:rPr>
          <w:b/>
          <w:bCs/>
          <w:i/>
          <w:iCs/>
          <w:color w:val="4472C4" w:themeColor="accent1"/>
          <w:sz w:val="20"/>
        </w:rPr>
        <w:t>Gráfica 13</w:t>
      </w:r>
      <w:r w:rsidR="006E1799" w:rsidRPr="00173D8F">
        <w:rPr>
          <w:b/>
          <w:bCs/>
          <w:i/>
          <w:iCs/>
          <w:color w:val="4472C4" w:themeColor="accent1"/>
          <w:sz w:val="20"/>
        </w:rPr>
        <w:t>. Distribución porcentual de los asuntos ingresados a los TCC, TUC y JD, según materia, 2019</w:t>
      </w:r>
    </w:p>
    <w:p w14:paraId="0A5CDF11" w14:textId="77777777" w:rsidR="00F05680" w:rsidRPr="00173D8F" w:rsidRDefault="00F05680" w:rsidP="006E1799">
      <w:pPr>
        <w:pStyle w:val="Default"/>
        <w:spacing w:after="10"/>
        <w:ind w:left="-567"/>
        <w:jc w:val="center"/>
        <w:rPr>
          <w:b/>
          <w:bCs/>
          <w:i/>
          <w:iCs/>
          <w:color w:val="4472C4" w:themeColor="accent1"/>
          <w:sz w:val="20"/>
        </w:rPr>
      </w:pPr>
    </w:p>
    <w:p w14:paraId="27E6505D" w14:textId="77777777" w:rsidR="00A80731" w:rsidRDefault="00A80731" w:rsidP="00A80731">
      <w:pPr>
        <w:jc w:val="center"/>
        <w:rPr>
          <w:sz w:val="16"/>
          <w:szCs w:val="16"/>
        </w:rPr>
      </w:pPr>
      <w:r w:rsidRPr="00A80731">
        <w:rPr>
          <w:noProof/>
          <w:sz w:val="16"/>
          <w:szCs w:val="16"/>
          <w:lang w:val="en-US"/>
        </w:rPr>
        <w:drawing>
          <wp:inline distT="0" distB="0" distL="0" distR="0" wp14:anchorId="250DC0DF" wp14:editId="1BACDF9D">
            <wp:extent cx="4735830" cy="25177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3375" cy="2574920"/>
                    </a:xfrm>
                    <a:prstGeom prst="rect">
                      <a:avLst/>
                    </a:prstGeom>
                  </pic:spPr>
                </pic:pic>
              </a:graphicData>
            </a:graphic>
          </wp:inline>
        </w:drawing>
      </w:r>
    </w:p>
    <w:p w14:paraId="49A5DAAC" w14:textId="77777777" w:rsidR="00C051D8" w:rsidRPr="00A80731" w:rsidRDefault="00C051D8" w:rsidP="00A80731">
      <w:pPr>
        <w:jc w:val="both"/>
        <w:rPr>
          <w:rFonts w:ascii="Arial" w:hAnsi="Arial" w:cs="Arial"/>
          <w:sz w:val="16"/>
          <w:szCs w:val="16"/>
        </w:rPr>
      </w:pPr>
      <w:r w:rsidRPr="00A80731">
        <w:rPr>
          <w:rFonts w:ascii="Arial" w:hAnsi="Arial" w:cs="Arial"/>
          <w:sz w:val="16"/>
          <w:szCs w:val="16"/>
        </w:rPr>
        <w:t>Nota: para los Tribunales Unitarios de Circuito, 0.01% correspondió a la materia laboral.</w:t>
      </w:r>
      <w:r w:rsidR="00F05680" w:rsidRPr="00A80731">
        <w:rPr>
          <w:rFonts w:ascii="Arial" w:hAnsi="Arial" w:cs="Arial"/>
          <w:sz w:val="16"/>
          <w:szCs w:val="16"/>
        </w:rPr>
        <w:t xml:space="preserve"> la suma de los porcentajes puede ser distinta al 100 por ciento, debido al redondeo de los decimales</w:t>
      </w:r>
      <w:r w:rsidR="00A80731">
        <w:rPr>
          <w:rFonts w:ascii="Arial" w:hAnsi="Arial" w:cs="Arial"/>
          <w:sz w:val="16"/>
          <w:szCs w:val="16"/>
        </w:rPr>
        <w:t>.</w:t>
      </w:r>
    </w:p>
    <w:p w14:paraId="7AC2DEFC" w14:textId="77777777" w:rsidR="004A6EDE" w:rsidRDefault="004A6EDE" w:rsidP="004A6EDE">
      <w:pPr>
        <w:autoSpaceDE w:val="0"/>
        <w:autoSpaceDN w:val="0"/>
        <w:adjustRightInd w:val="0"/>
        <w:spacing w:after="0" w:line="240" w:lineRule="auto"/>
        <w:jc w:val="both"/>
        <w:rPr>
          <w:rFonts w:ascii="Arial" w:hAnsi="Arial" w:cs="Arial"/>
          <w:b/>
          <w:bCs/>
          <w:sz w:val="24"/>
          <w:szCs w:val="24"/>
        </w:rPr>
      </w:pPr>
    </w:p>
    <w:p w14:paraId="20F155F8" w14:textId="77777777" w:rsidR="0079209E" w:rsidRPr="001405B9" w:rsidRDefault="0079209E" w:rsidP="004A6EDE">
      <w:pPr>
        <w:autoSpaceDE w:val="0"/>
        <w:autoSpaceDN w:val="0"/>
        <w:adjustRightInd w:val="0"/>
        <w:spacing w:after="0" w:line="240" w:lineRule="auto"/>
        <w:ind w:left="-567"/>
        <w:jc w:val="both"/>
        <w:rPr>
          <w:rFonts w:ascii="Arial" w:hAnsi="Arial" w:cs="Arial"/>
          <w:b/>
          <w:color w:val="000000"/>
          <w:sz w:val="24"/>
          <w:szCs w:val="24"/>
        </w:rPr>
      </w:pPr>
      <w:r w:rsidRPr="001405B9">
        <w:rPr>
          <w:rFonts w:ascii="Arial" w:hAnsi="Arial" w:cs="Arial"/>
          <w:b/>
          <w:color w:val="000000"/>
          <w:sz w:val="24"/>
          <w:szCs w:val="24"/>
        </w:rPr>
        <w:t>Defensoría Pública Electoral para Pueblos y Comunidades Indígenas</w:t>
      </w:r>
    </w:p>
    <w:p w14:paraId="657BDEA3" w14:textId="77777777" w:rsidR="0079209E" w:rsidRDefault="0079209E" w:rsidP="0079209E">
      <w:pPr>
        <w:autoSpaceDE w:val="0"/>
        <w:autoSpaceDN w:val="0"/>
        <w:adjustRightInd w:val="0"/>
        <w:spacing w:after="0" w:line="240" w:lineRule="auto"/>
        <w:ind w:left="-567"/>
        <w:jc w:val="both"/>
        <w:rPr>
          <w:rFonts w:ascii="Arial" w:hAnsi="Arial" w:cs="Arial"/>
          <w:color w:val="000000"/>
          <w:sz w:val="24"/>
          <w:szCs w:val="24"/>
        </w:rPr>
      </w:pPr>
    </w:p>
    <w:p w14:paraId="5C19015C" w14:textId="77777777" w:rsidR="0079209E" w:rsidRDefault="0079209E" w:rsidP="0079209E">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En la edición 2020 del CNIJF, como parte de los temas que enriquecen el programa, se comenzó a captar información sobre la </w:t>
      </w:r>
      <w:r w:rsidRPr="000713B9">
        <w:rPr>
          <w:rFonts w:ascii="Arial" w:hAnsi="Arial" w:cs="Arial"/>
          <w:color w:val="000000"/>
          <w:sz w:val="24"/>
          <w:szCs w:val="24"/>
        </w:rPr>
        <w:t>Defensoría Pública Electoral para Pueblos y Comunidades Indígenas</w:t>
      </w:r>
      <w:r>
        <w:rPr>
          <w:rFonts w:ascii="Arial" w:hAnsi="Arial" w:cs="Arial"/>
          <w:color w:val="000000"/>
          <w:sz w:val="24"/>
          <w:szCs w:val="24"/>
        </w:rPr>
        <w:t xml:space="preserve">. Entre los principales resultados se observa que, durante 2019, la </w:t>
      </w:r>
      <w:r w:rsidRPr="00DE4F0E">
        <w:rPr>
          <w:rFonts w:ascii="Arial" w:hAnsi="Arial" w:cs="Arial"/>
          <w:color w:val="000000"/>
          <w:sz w:val="24"/>
          <w:szCs w:val="24"/>
        </w:rPr>
        <w:t>Defensoría Pública Electoral para Pueblos y Comunidades Indígenas</w:t>
      </w:r>
      <w:r>
        <w:rPr>
          <w:rFonts w:ascii="Arial" w:hAnsi="Arial" w:cs="Arial"/>
          <w:color w:val="000000"/>
          <w:sz w:val="24"/>
          <w:szCs w:val="24"/>
        </w:rPr>
        <w:t xml:space="preserve"> contó con 17 servidores y servidoras públicos, de ellos, ocho fueron defensores. En el mismo periodo se atendieron </w:t>
      </w:r>
      <w:r w:rsidRPr="006502A5">
        <w:rPr>
          <w:rFonts w:ascii="Arial" w:hAnsi="Arial" w:cs="Arial"/>
          <w:color w:val="000000"/>
          <w:sz w:val="24"/>
          <w:szCs w:val="24"/>
        </w:rPr>
        <w:t>354</w:t>
      </w:r>
      <w:r>
        <w:rPr>
          <w:rFonts w:ascii="Arial" w:hAnsi="Arial" w:cs="Arial"/>
          <w:color w:val="000000"/>
          <w:sz w:val="24"/>
          <w:szCs w:val="24"/>
        </w:rPr>
        <w:t xml:space="preserve"> asuntos y servicios que comprendieron defensa y asesoría, mientras que se concluyeron y/o resolvieron 157. En dichos asuntos y servicios hubo 378 personas indígenas involucradas, destacando que 23.5% registró como pueblo de pertenencia el náhuatl.</w:t>
      </w:r>
    </w:p>
    <w:p w14:paraId="465600B6" w14:textId="77777777" w:rsidR="0079209E" w:rsidRDefault="0079209E" w:rsidP="0079209E">
      <w:pPr>
        <w:pStyle w:val="Default"/>
        <w:spacing w:after="10"/>
        <w:ind w:left="-567"/>
        <w:rPr>
          <w:b/>
          <w:bCs/>
          <w:i/>
          <w:iCs/>
          <w:color w:val="4472C4" w:themeColor="accent1"/>
          <w:sz w:val="20"/>
        </w:rPr>
      </w:pPr>
    </w:p>
    <w:p w14:paraId="6C661B3C" w14:textId="77777777" w:rsidR="0079209E" w:rsidRDefault="0079209E" w:rsidP="0079209E">
      <w:pPr>
        <w:pStyle w:val="Default"/>
        <w:spacing w:after="10"/>
        <w:ind w:left="-567"/>
        <w:jc w:val="center"/>
        <w:rPr>
          <w:b/>
          <w:bCs/>
          <w:i/>
          <w:iCs/>
          <w:color w:val="4472C4" w:themeColor="accent1"/>
          <w:sz w:val="20"/>
        </w:rPr>
      </w:pPr>
    </w:p>
    <w:p w14:paraId="242FB3D3" w14:textId="77777777" w:rsidR="0079209E" w:rsidRDefault="0079209E" w:rsidP="0079209E">
      <w:pPr>
        <w:pStyle w:val="Default"/>
        <w:spacing w:after="10"/>
        <w:ind w:left="-567"/>
        <w:jc w:val="center"/>
        <w:rPr>
          <w:b/>
          <w:bCs/>
          <w:i/>
          <w:iCs/>
          <w:color w:val="4472C4" w:themeColor="accent1"/>
          <w:sz w:val="20"/>
        </w:rPr>
      </w:pPr>
    </w:p>
    <w:p w14:paraId="55127633" w14:textId="77777777" w:rsidR="0079209E" w:rsidRPr="00EE0DD5" w:rsidRDefault="000159F4" w:rsidP="0079209E">
      <w:pPr>
        <w:pStyle w:val="Default"/>
        <w:spacing w:after="10"/>
        <w:ind w:left="-567"/>
        <w:jc w:val="center"/>
        <w:rPr>
          <w:b/>
          <w:bCs/>
          <w:i/>
          <w:iCs/>
          <w:color w:val="4472C4" w:themeColor="accent1"/>
          <w:sz w:val="20"/>
        </w:rPr>
      </w:pPr>
      <w:r>
        <w:rPr>
          <w:b/>
          <w:bCs/>
          <w:i/>
          <w:iCs/>
          <w:color w:val="4472C4" w:themeColor="accent1"/>
          <w:sz w:val="20"/>
        </w:rPr>
        <w:t>Gráfica 14</w:t>
      </w:r>
      <w:r w:rsidR="0079209E">
        <w:rPr>
          <w:b/>
          <w:bCs/>
          <w:i/>
          <w:iCs/>
          <w:color w:val="4472C4" w:themeColor="accent1"/>
          <w:sz w:val="20"/>
        </w:rPr>
        <w:t>. Porcentaje de</w:t>
      </w:r>
      <w:r w:rsidR="0079209E" w:rsidRPr="00EE0DD5">
        <w:rPr>
          <w:b/>
          <w:bCs/>
          <w:i/>
          <w:iCs/>
          <w:color w:val="4472C4" w:themeColor="accent1"/>
          <w:sz w:val="20"/>
        </w:rPr>
        <w:t xml:space="preserve"> personas involucradas en asuntos y servicios atendidos, según pueblo indígena de pertenencia, 2019</w:t>
      </w:r>
    </w:p>
    <w:p w14:paraId="404D667B" w14:textId="77777777" w:rsidR="0079209E" w:rsidRDefault="00144121" w:rsidP="0079209E">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noProof/>
          <w:color w:val="000000"/>
          <w:sz w:val="24"/>
          <w:szCs w:val="24"/>
          <w:lang w:val="en-US"/>
        </w:rPr>
        <w:drawing>
          <wp:inline distT="0" distB="0" distL="0" distR="0" wp14:anchorId="520B5124" wp14:editId="1734BA62">
            <wp:extent cx="3413433" cy="21361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9900" cy="2140187"/>
                    </a:xfrm>
                    <a:prstGeom prst="rect">
                      <a:avLst/>
                    </a:prstGeom>
                    <a:noFill/>
                    <a:ln>
                      <a:noFill/>
                    </a:ln>
                  </pic:spPr>
                </pic:pic>
              </a:graphicData>
            </a:graphic>
          </wp:inline>
        </w:drawing>
      </w:r>
    </w:p>
    <w:p w14:paraId="7461625C" w14:textId="77777777" w:rsidR="0079209E" w:rsidRDefault="0079209E" w:rsidP="0079209E">
      <w:pPr>
        <w:pStyle w:val="Default"/>
        <w:jc w:val="both"/>
        <w:rPr>
          <w:sz w:val="16"/>
          <w:szCs w:val="16"/>
        </w:rPr>
      </w:pPr>
    </w:p>
    <w:p w14:paraId="57074FEB" w14:textId="77777777" w:rsidR="0079209E" w:rsidRDefault="0079209E" w:rsidP="0079209E">
      <w:pPr>
        <w:pStyle w:val="Default"/>
        <w:jc w:val="both"/>
      </w:pPr>
      <w:r w:rsidRPr="005C7586">
        <w:rPr>
          <w:sz w:val="16"/>
          <w:szCs w:val="16"/>
        </w:rPr>
        <w:t xml:space="preserve">Nota: </w:t>
      </w:r>
      <w:r>
        <w:rPr>
          <w:sz w:val="16"/>
          <w:szCs w:val="16"/>
        </w:rPr>
        <w:t xml:space="preserve">del total de personas involucradas en los asuntos y servicios, 1.1% perteneció al pueblo Mayo; los pueblos </w:t>
      </w:r>
      <w:r w:rsidRPr="00D31708">
        <w:rPr>
          <w:sz w:val="16"/>
          <w:szCs w:val="16"/>
        </w:rPr>
        <w:t>Huichol</w:t>
      </w:r>
      <w:r>
        <w:rPr>
          <w:sz w:val="16"/>
          <w:szCs w:val="16"/>
        </w:rPr>
        <w:t xml:space="preserve">, </w:t>
      </w:r>
      <w:r w:rsidRPr="00D31708">
        <w:rPr>
          <w:sz w:val="16"/>
          <w:szCs w:val="16"/>
        </w:rPr>
        <w:t>Mazateco</w:t>
      </w:r>
      <w:r>
        <w:rPr>
          <w:sz w:val="16"/>
          <w:szCs w:val="16"/>
        </w:rPr>
        <w:t xml:space="preserve">, </w:t>
      </w:r>
      <w:r w:rsidRPr="00D31708">
        <w:rPr>
          <w:sz w:val="16"/>
          <w:szCs w:val="16"/>
        </w:rPr>
        <w:t>Tarasco/Purépecha</w:t>
      </w:r>
      <w:r>
        <w:rPr>
          <w:sz w:val="16"/>
          <w:szCs w:val="16"/>
        </w:rPr>
        <w:t xml:space="preserve"> y </w:t>
      </w:r>
      <w:r w:rsidRPr="00D31708">
        <w:rPr>
          <w:sz w:val="16"/>
          <w:szCs w:val="16"/>
        </w:rPr>
        <w:t>Totonaco</w:t>
      </w:r>
      <w:r>
        <w:rPr>
          <w:sz w:val="16"/>
          <w:szCs w:val="16"/>
        </w:rPr>
        <w:t xml:space="preserve"> representaron 0.8% cada uno; mientras que los pueblos </w:t>
      </w:r>
      <w:r w:rsidRPr="00D31708">
        <w:rPr>
          <w:sz w:val="16"/>
          <w:szCs w:val="16"/>
        </w:rPr>
        <w:t>Mazahua</w:t>
      </w:r>
      <w:r>
        <w:rPr>
          <w:sz w:val="16"/>
          <w:szCs w:val="16"/>
        </w:rPr>
        <w:t xml:space="preserve">, </w:t>
      </w:r>
      <w:r w:rsidRPr="00D31708">
        <w:rPr>
          <w:sz w:val="16"/>
          <w:szCs w:val="16"/>
        </w:rPr>
        <w:t>Mixe</w:t>
      </w:r>
      <w:r>
        <w:rPr>
          <w:sz w:val="16"/>
          <w:szCs w:val="16"/>
        </w:rPr>
        <w:t xml:space="preserve"> y </w:t>
      </w:r>
      <w:r w:rsidRPr="00D31708">
        <w:rPr>
          <w:sz w:val="16"/>
          <w:szCs w:val="16"/>
        </w:rPr>
        <w:t>Yaqui</w:t>
      </w:r>
      <w:r>
        <w:rPr>
          <w:sz w:val="16"/>
          <w:szCs w:val="16"/>
        </w:rPr>
        <w:t xml:space="preserve"> representaron 0.5% cada uno; para los pueblos </w:t>
      </w:r>
      <w:r w:rsidRPr="00617FF9">
        <w:rPr>
          <w:sz w:val="16"/>
          <w:szCs w:val="16"/>
        </w:rPr>
        <w:t>Tepehuano</w:t>
      </w:r>
      <w:r>
        <w:rPr>
          <w:sz w:val="16"/>
          <w:szCs w:val="16"/>
        </w:rPr>
        <w:t xml:space="preserve"> y </w:t>
      </w:r>
      <w:r w:rsidRPr="00617FF9">
        <w:rPr>
          <w:sz w:val="16"/>
          <w:szCs w:val="16"/>
        </w:rPr>
        <w:t>Zoque</w:t>
      </w:r>
      <w:r>
        <w:rPr>
          <w:sz w:val="16"/>
          <w:szCs w:val="16"/>
        </w:rPr>
        <w:t xml:space="preserve"> correspondió 0.3% a cada uno; la categoría Otro representó 5.8%; y finalmente, la categoría No identificado, 32.1</w:t>
      </w:r>
      <w:r w:rsidR="001930D2">
        <w:rPr>
          <w:sz w:val="16"/>
          <w:szCs w:val="16"/>
        </w:rPr>
        <w:t xml:space="preserve"> por ciento</w:t>
      </w:r>
      <w:r>
        <w:rPr>
          <w:sz w:val="16"/>
          <w:szCs w:val="16"/>
        </w:rPr>
        <w:t>.</w:t>
      </w:r>
    </w:p>
    <w:p w14:paraId="4E91C4CF"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49381C41"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08A0C867"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1B34C248"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520DF3BC"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7C4C5A3F"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182F12C2"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60EF574B"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58F4C8A3"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41C200BD"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4AA31F3D"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6EF2330F"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5C9DC6BA" w14:textId="77777777" w:rsidR="0079209E" w:rsidRDefault="0079209E" w:rsidP="0079209E">
      <w:pPr>
        <w:autoSpaceDE w:val="0"/>
        <w:autoSpaceDN w:val="0"/>
        <w:adjustRightInd w:val="0"/>
        <w:spacing w:after="0" w:line="240" w:lineRule="auto"/>
        <w:ind w:left="-567"/>
        <w:jc w:val="both"/>
        <w:rPr>
          <w:rFonts w:ascii="Arial" w:hAnsi="Arial" w:cs="Arial"/>
          <w:b/>
          <w:color w:val="000000"/>
          <w:sz w:val="24"/>
          <w:szCs w:val="24"/>
        </w:rPr>
      </w:pPr>
    </w:p>
    <w:p w14:paraId="2BDDA636" w14:textId="77777777" w:rsidR="0079209E" w:rsidRDefault="0079209E" w:rsidP="00F05680">
      <w:pPr>
        <w:autoSpaceDE w:val="0"/>
        <w:autoSpaceDN w:val="0"/>
        <w:adjustRightInd w:val="0"/>
        <w:spacing w:after="0" w:line="240" w:lineRule="auto"/>
        <w:jc w:val="both"/>
        <w:rPr>
          <w:rFonts w:ascii="Arial" w:hAnsi="Arial" w:cs="Arial"/>
          <w:b/>
          <w:color w:val="000000"/>
          <w:sz w:val="24"/>
          <w:szCs w:val="24"/>
        </w:rPr>
      </w:pPr>
    </w:p>
    <w:p w14:paraId="713E3AE2" w14:textId="77777777" w:rsidR="00144121" w:rsidRDefault="00144121" w:rsidP="00F05680">
      <w:pPr>
        <w:autoSpaceDE w:val="0"/>
        <w:autoSpaceDN w:val="0"/>
        <w:adjustRightInd w:val="0"/>
        <w:spacing w:after="0" w:line="240" w:lineRule="auto"/>
        <w:jc w:val="both"/>
        <w:rPr>
          <w:rFonts w:ascii="Arial" w:hAnsi="Arial" w:cs="Arial"/>
          <w:b/>
          <w:color w:val="000000"/>
          <w:sz w:val="24"/>
          <w:szCs w:val="24"/>
        </w:rPr>
      </w:pPr>
    </w:p>
    <w:p w14:paraId="7B65E510" w14:textId="77777777" w:rsidR="00144121" w:rsidRDefault="00144121" w:rsidP="00F05680">
      <w:pPr>
        <w:autoSpaceDE w:val="0"/>
        <w:autoSpaceDN w:val="0"/>
        <w:adjustRightInd w:val="0"/>
        <w:spacing w:after="0" w:line="240" w:lineRule="auto"/>
        <w:jc w:val="both"/>
        <w:rPr>
          <w:rFonts w:ascii="Arial" w:hAnsi="Arial" w:cs="Arial"/>
          <w:b/>
          <w:color w:val="000000"/>
          <w:sz w:val="24"/>
          <w:szCs w:val="24"/>
        </w:rPr>
      </w:pPr>
    </w:p>
    <w:p w14:paraId="0F11857C" w14:textId="77777777" w:rsidR="0079209E" w:rsidRPr="001405B9" w:rsidRDefault="0079209E" w:rsidP="0079209E">
      <w:pPr>
        <w:autoSpaceDE w:val="0"/>
        <w:autoSpaceDN w:val="0"/>
        <w:adjustRightInd w:val="0"/>
        <w:spacing w:after="0" w:line="240" w:lineRule="auto"/>
        <w:ind w:left="-567"/>
        <w:jc w:val="both"/>
        <w:rPr>
          <w:rFonts w:ascii="Arial" w:hAnsi="Arial" w:cs="Arial"/>
          <w:b/>
          <w:color w:val="000000"/>
          <w:sz w:val="24"/>
          <w:szCs w:val="24"/>
        </w:rPr>
      </w:pPr>
      <w:r w:rsidRPr="001405B9">
        <w:rPr>
          <w:rFonts w:ascii="Arial" w:hAnsi="Arial" w:cs="Arial"/>
          <w:b/>
          <w:color w:val="000000"/>
          <w:sz w:val="24"/>
          <w:szCs w:val="24"/>
        </w:rPr>
        <w:t>Instituto Federal de Defensoría Pública</w:t>
      </w:r>
    </w:p>
    <w:p w14:paraId="2E3AA477" w14:textId="77777777" w:rsidR="0079209E" w:rsidRDefault="0079209E" w:rsidP="0079209E">
      <w:pPr>
        <w:autoSpaceDE w:val="0"/>
        <w:autoSpaceDN w:val="0"/>
        <w:adjustRightInd w:val="0"/>
        <w:spacing w:after="0" w:line="240" w:lineRule="auto"/>
        <w:ind w:left="-567"/>
        <w:jc w:val="both"/>
        <w:rPr>
          <w:rFonts w:ascii="Arial" w:hAnsi="Arial" w:cs="Arial"/>
          <w:color w:val="000000"/>
          <w:sz w:val="24"/>
          <w:szCs w:val="24"/>
        </w:rPr>
      </w:pPr>
    </w:p>
    <w:p w14:paraId="1AC42879" w14:textId="77777777" w:rsidR="0079209E" w:rsidRDefault="0079209E" w:rsidP="0079209E">
      <w:pPr>
        <w:autoSpaceDE w:val="0"/>
        <w:autoSpaceDN w:val="0"/>
        <w:adjustRightInd w:val="0"/>
        <w:spacing w:after="0" w:line="240" w:lineRule="auto"/>
        <w:ind w:left="-567"/>
        <w:jc w:val="both"/>
        <w:rPr>
          <w:rFonts w:ascii="Arial" w:hAnsi="Arial" w:cs="Arial"/>
          <w:bCs/>
          <w:sz w:val="24"/>
          <w:szCs w:val="24"/>
        </w:rPr>
      </w:pPr>
      <w:r>
        <w:rPr>
          <w:rFonts w:ascii="Arial" w:hAnsi="Arial" w:cs="Arial"/>
          <w:color w:val="000000"/>
          <w:sz w:val="24"/>
          <w:szCs w:val="24"/>
        </w:rPr>
        <w:t>Al cierre de 2019</w:t>
      </w:r>
      <w:r w:rsidR="00E2114E">
        <w:rPr>
          <w:rFonts w:ascii="Arial" w:hAnsi="Arial" w:cs="Arial"/>
          <w:color w:val="000000"/>
          <w:sz w:val="24"/>
          <w:szCs w:val="24"/>
        </w:rPr>
        <w:t>,</w:t>
      </w:r>
      <w:r>
        <w:rPr>
          <w:rFonts w:ascii="Arial" w:hAnsi="Arial" w:cs="Arial"/>
          <w:color w:val="000000"/>
          <w:sz w:val="24"/>
          <w:szCs w:val="24"/>
        </w:rPr>
        <w:t xml:space="preserve"> el Instituto</w:t>
      </w:r>
      <w:r w:rsidRPr="00DD3679">
        <w:rPr>
          <w:rFonts w:ascii="Arial" w:hAnsi="Arial" w:cs="Arial"/>
          <w:color w:val="000000"/>
          <w:sz w:val="24"/>
          <w:szCs w:val="24"/>
        </w:rPr>
        <w:t xml:space="preserve"> Federal de Defensoría Pública</w:t>
      </w:r>
      <w:r>
        <w:rPr>
          <w:rFonts w:ascii="Arial" w:hAnsi="Arial" w:cs="Arial"/>
          <w:color w:val="000000"/>
          <w:sz w:val="24"/>
          <w:szCs w:val="24"/>
        </w:rPr>
        <w:t xml:space="preserve"> contó con </w:t>
      </w:r>
      <w:r w:rsidRPr="004869A4">
        <w:rPr>
          <w:rFonts w:ascii="Arial" w:hAnsi="Arial" w:cs="Arial"/>
          <w:color w:val="000000"/>
          <w:sz w:val="24"/>
          <w:szCs w:val="24"/>
        </w:rPr>
        <w:t>2</w:t>
      </w:r>
      <w:r>
        <w:rPr>
          <w:rFonts w:ascii="Arial" w:hAnsi="Arial" w:cs="Arial"/>
          <w:color w:val="000000"/>
          <w:sz w:val="24"/>
          <w:szCs w:val="24"/>
        </w:rPr>
        <w:t xml:space="preserve"> </w:t>
      </w:r>
      <w:r w:rsidRPr="004869A4">
        <w:rPr>
          <w:rFonts w:ascii="Arial" w:hAnsi="Arial" w:cs="Arial"/>
          <w:color w:val="000000"/>
          <w:sz w:val="24"/>
          <w:szCs w:val="24"/>
        </w:rPr>
        <w:t>588</w:t>
      </w:r>
      <w:r>
        <w:rPr>
          <w:rFonts w:ascii="Arial" w:hAnsi="Arial" w:cs="Arial"/>
          <w:color w:val="000000"/>
          <w:sz w:val="24"/>
          <w:szCs w:val="24"/>
        </w:rPr>
        <w:t xml:space="preserve"> servidoras y servid</w:t>
      </w:r>
      <w:r w:rsidR="00C051D8">
        <w:rPr>
          <w:rFonts w:ascii="Arial" w:hAnsi="Arial" w:cs="Arial"/>
          <w:color w:val="000000"/>
          <w:sz w:val="24"/>
          <w:szCs w:val="24"/>
        </w:rPr>
        <w:t xml:space="preserve">ores públicos, de los cuales 1 </w:t>
      </w:r>
      <w:r>
        <w:rPr>
          <w:rFonts w:ascii="Arial" w:hAnsi="Arial" w:cs="Arial"/>
          <w:color w:val="000000"/>
          <w:sz w:val="24"/>
          <w:szCs w:val="24"/>
        </w:rPr>
        <w:t>021 se desempeñaron como defensores públicos y asesores jurídicos (cifra que representó 39.5</w:t>
      </w:r>
      <w:r w:rsidR="001930D2">
        <w:rPr>
          <w:rFonts w:ascii="Arial" w:hAnsi="Arial" w:cs="Arial"/>
          <w:color w:val="000000"/>
          <w:sz w:val="24"/>
          <w:szCs w:val="24"/>
        </w:rPr>
        <w:t xml:space="preserve"> por ciento</w:t>
      </w:r>
      <w:r>
        <w:rPr>
          <w:rFonts w:ascii="Arial" w:hAnsi="Arial" w:cs="Arial"/>
          <w:color w:val="000000"/>
          <w:sz w:val="24"/>
          <w:szCs w:val="24"/>
        </w:rPr>
        <w:t xml:space="preserve">). </w:t>
      </w:r>
      <w:r w:rsidRPr="00E47048">
        <w:rPr>
          <w:rFonts w:ascii="Arial" w:hAnsi="Arial" w:cs="Arial"/>
          <w:bCs/>
          <w:sz w:val="24"/>
          <w:szCs w:val="24"/>
        </w:rPr>
        <w:t xml:space="preserve">En el mismo periodo </w:t>
      </w:r>
      <w:r>
        <w:rPr>
          <w:rFonts w:ascii="Arial" w:hAnsi="Arial" w:cs="Arial"/>
          <w:bCs/>
          <w:sz w:val="24"/>
          <w:szCs w:val="24"/>
        </w:rPr>
        <w:t xml:space="preserve">se atendieron </w:t>
      </w:r>
      <w:r w:rsidRPr="003559A0">
        <w:rPr>
          <w:rFonts w:ascii="Arial" w:hAnsi="Arial" w:cs="Arial"/>
          <w:bCs/>
          <w:sz w:val="24"/>
          <w:szCs w:val="24"/>
        </w:rPr>
        <w:t>177</w:t>
      </w:r>
      <w:r>
        <w:rPr>
          <w:rFonts w:ascii="Arial" w:hAnsi="Arial" w:cs="Arial"/>
          <w:bCs/>
          <w:sz w:val="24"/>
          <w:szCs w:val="24"/>
        </w:rPr>
        <w:t xml:space="preserve"> </w:t>
      </w:r>
      <w:r w:rsidRPr="003559A0">
        <w:rPr>
          <w:rFonts w:ascii="Arial" w:hAnsi="Arial" w:cs="Arial"/>
          <w:bCs/>
          <w:sz w:val="24"/>
          <w:szCs w:val="24"/>
        </w:rPr>
        <w:t>912</w:t>
      </w:r>
      <w:r>
        <w:rPr>
          <w:rFonts w:ascii="Arial" w:hAnsi="Arial" w:cs="Arial"/>
          <w:bCs/>
          <w:sz w:val="24"/>
          <w:szCs w:val="24"/>
        </w:rPr>
        <w:t xml:space="preserve"> asuntos y servicios, y se concluyeron y/o resolvier</w:t>
      </w:r>
      <w:r w:rsidR="00C051D8">
        <w:rPr>
          <w:rFonts w:ascii="Arial" w:hAnsi="Arial" w:cs="Arial"/>
          <w:bCs/>
          <w:sz w:val="24"/>
          <w:szCs w:val="24"/>
        </w:rPr>
        <w:t>on 165</w:t>
      </w:r>
      <w:r>
        <w:rPr>
          <w:rFonts w:ascii="Arial" w:hAnsi="Arial" w:cs="Arial"/>
          <w:bCs/>
          <w:sz w:val="24"/>
          <w:szCs w:val="24"/>
        </w:rPr>
        <w:t xml:space="preserve"> 437. En ellos estuvieron involucradas </w:t>
      </w:r>
      <w:r w:rsidRPr="003559A0">
        <w:rPr>
          <w:rFonts w:ascii="Arial" w:hAnsi="Arial" w:cs="Arial"/>
          <w:bCs/>
          <w:sz w:val="24"/>
          <w:szCs w:val="24"/>
        </w:rPr>
        <w:t>144</w:t>
      </w:r>
      <w:r>
        <w:rPr>
          <w:rFonts w:ascii="Arial" w:hAnsi="Arial" w:cs="Arial"/>
          <w:bCs/>
          <w:sz w:val="24"/>
          <w:szCs w:val="24"/>
        </w:rPr>
        <w:t xml:space="preserve"> </w:t>
      </w:r>
      <w:r w:rsidRPr="003559A0">
        <w:rPr>
          <w:rFonts w:ascii="Arial" w:hAnsi="Arial" w:cs="Arial"/>
          <w:bCs/>
          <w:sz w:val="24"/>
          <w:szCs w:val="24"/>
        </w:rPr>
        <w:t>567</w:t>
      </w:r>
      <w:r>
        <w:rPr>
          <w:rFonts w:ascii="Arial" w:hAnsi="Arial" w:cs="Arial"/>
          <w:bCs/>
          <w:sz w:val="24"/>
          <w:szCs w:val="24"/>
        </w:rPr>
        <w:t xml:space="preserve"> personas</w:t>
      </w:r>
      <w:r>
        <w:rPr>
          <w:rStyle w:val="Refdenotaalpie"/>
          <w:rFonts w:ascii="Arial" w:hAnsi="Arial" w:cs="Arial"/>
          <w:bCs/>
          <w:sz w:val="24"/>
          <w:szCs w:val="24"/>
        </w:rPr>
        <w:footnoteReference w:id="12"/>
      </w:r>
      <w:r w:rsidR="00C051D8">
        <w:rPr>
          <w:rFonts w:ascii="Arial" w:hAnsi="Arial" w:cs="Arial"/>
          <w:bCs/>
          <w:sz w:val="24"/>
          <w:szCs w:val="24"/>
        </w:rPr>
        <w:t>, de las cuales 2</w:t>
      </w:r>
      <w:r>
        <w:rPr>
          <w:rFonts w:ascii="Arial" w:hAnsi="Arial" w:cs="Arial"/>
          <w:bCs/>
          <w:sz w:val="24"/>
          <w:szCs w:val="24"/>
        </w:rPr>
        <w:t xml:space="preserve"> 881 fueron indígenas (2.0</w:t>
      </w:r>
      <w:r w:rsidR="001930D2">
        <w:rPr>
          <w:rFonts w:ascii="Arial" w:hAnsi="Arial" w:cs="Arial"/>
          <w:bCs/>
          <w:sz w:val="24"/>
          <w:szCs w:val="24"/>
        </w:rPr>
        <w:t xml:space="preserve"> por ciento</w:t>
      </w:r>
      <w:r>
        <w:rPr>
          <w:rFonts w:ascii="Arial" w:hAnsi="Arial" w:cs="Arial"/>
          <w:bCs/>
          <w:sz w:val="24"/>
          <w:szCs w:val="24"/>
        </w:rPr>
        <w:t>).</w:t>
      </w:r>
    </w:p>
    <w:p w14:paraId="7251691E" w14:textId="77777777" w:rsidR="0079209E" w:rsidRDefault="0079209E" w:rsidP="0079209E">
      <w:pPr>
        <w:autoSpaceDE w:val="0"/>
        <w:autoSpaceDN w:val="0"/>
        <w:adjustRightInd w:val="0"/>
        <w:spacing w:after="0" w:line="240" w:lineRule="auto"/>
        <w:ind w:left="-567"/>
        <w:jc w:val="both"/>
        <w:rPr>
          <w:rFonts w:ascii="Arial" w:hAnsi="Arial" w:cs="Arial"/>
          <w:bCs/>
          <w:sz w:val="24"/>
          <w:szCs w:val="24"/>
        </w:rPr>
      </w:pPr>
    </w:p>
    <w:p w14:paraId="383AA8D2" w14:textId="77777777" w:rsidR="0079209E" w:rsidRDefault="0079209E" w:rsidP="0079209E">
      <w:pPr>
        <w:autoSpaceDE w:val="0"/>
        <w:autoSpaceDN w:val="0"/>
        <w:adjustRightInd w:val="0"/>
        <w:spacing w:after="0" w:line="240" w:lineRule="auto"/>
        <w:ind w:left="-567"/>
        <w:jc w:val="both"/>
        <w:rPr>
          <w:rFonts w:ascii="Arial" w:hAnsi="Arial" w:cs="Arial"/>
          <w:b/>
          <w:sz w:val="24"/>
          <w:szCs w:val="24"/>
        </w:rPr>
      </w:pPr>
    </w:p>
    <w:p w14:paraId="3D6B631F" w14:textId="77777777" w:rsidR="0079209E" w:rsidRPr="00EE0DD5" w:rsidRDefault="000159F4" w:rsidP="0079209E">
      <w:pPr>
        <w:pStyle w:val="Default"/>
        <w:spacing w:after="10"/>
        <w:ind w:left="-567"/>
        <w:jc w:val="center"/>
        <w:rPr>
          <w:b/>
          <w:bCs/>
          <w:i/>
          <w:iCs/>
          <w:color w:val="4472C4" w:themeColor="accent1"/>
          <w:sz w:val="20"/>
        </w:rPr>
      </w:pPr>
      <w:r>
        <w:rPr>
          <w:b/>
          <w:bCs/>
          <w:i/>
          <w:iCs/>
          <w:color w:val="4472C4" w:themeColor="accent1"/>
          <w:sz w:val="20"/>
        </w:rPr>
        <w:t>Gráfica 15</w:t>
      </w:r>
      <w:r w:rsidR="0079209E">
        <w:rPr>
          <w:b/>
          <w:bCs/>
          <w:i/>
          <w:iCs/>
          <w:color w:val="4472C4" w:themeColor="accent1"/>
          <w:sz w:val="20"/>
        </w:rPr>
        <w:t>. Asuntos y servicios atendidos por los defensores públicos y asesores jurídico</w:t>
      </w:r>
      <w:r w:rsidR="0079209E" w:rsidRPr="00EE0DD5">
        <w:rPr>
          <w:b/>
          <w:bCs/>
          <w:i/>
          <w:iCs/>
          <w:color w:val="4472C4" w:themeColor="accent1"/>
          <w:sz w:val="20"/>
        </w:rPr>
        <w:t>s</w:t>
      </w:r>
      <w:r w:rsidR="0079209E">
        <w:rPr>
          <w:b/>
          <w:bCs/>
          <w:i/>
          <w:iCs/>
          <w:color w:val="4472C4" w:themeColor="accent1"/>
          <w:sz w:val="20"/>
        </w:rPr>
        <w:t>, por tipo</w:t>
      </w:r>
      <w:r w:rsidR="0079209E" w:rsidRPr="00EE0DD5">
        <w:rPr>
          <w:b/>
          <w:bCs/>
          <w:i/>
          <w:iCs/>
          <w:color w:val="4472C4" w:themeColor="accent1"/>
          <w:sz w:val="20"/>
        </w:rPr>
        <w:t>, 2019</w:t>
      </w:r>
    </w:p>
    <w:p w14:paraId="5BC66624" w14:textId="77777777" w:rsidR="0079209E" w:rsidRDefault="0079209E" w:rsidP="0079209E">
      <w:pPr>
        <w:autoSpaceDE w:val="0"/>
        <w:autoSpaceDN w:val="0"/>
        <w:adjustRightInd w:val="0"/>
        <w:spacing w:after="0" w:line="240" w:lineRule="auto"/>
        <w:ind w:left="-567"/>
        <w:jc w:val="both"/>
        <w:rPr>
          <w:rFonts w:ascii="Arial" w:hAnsi="Arial" w:cs="Arial"/>
          <w:b/>
          <w:sz w:val="24"/>
          <w:szCs w:val="24"/>
        </w:rPr>
      </w:pPr>
    </w:p>
    <w:p w14:paraId="654950A9" w14:textId="77777777" w:rsidR="0079209E" w:rsidRDefault="00144121" w:rsidP="0079209E">
      <w:pPr>
        <w:autoSpaceDE w:val="0"/>
        <w:autoSpaceDN w:val="0"/>
        <w:adjustRightInd w:val="0"/>
        <w:spacing w:after="0" w:line="240" w:lineRule="auto"/>
        <w:ind w:left="-567"/>
        <w:jc w:val="center"/>
        <w:rPr>
          <w:rFonts w:ascii="Arial" w:hAnsi="Arial" w:cs="Arial"/>
          <w:b/>
          <w:sz w:val="24"/>
          <w:szCs w:val="24"/>
        </w:rPr>
      </w:pPr>
      <w:r>
        <w:rPr>
          <w:rFonts w:ascii="Arial" w:hAnsi="Arial" w:cs="Arial"/>
          <w:b/>
          <w:noProof/>
          <w:sz w:val="24"/>
          <w:szCs w:val="24"/>
          <w:lang w:val="en-US"/>
        </w:rPr>
        <w:drawing>
          <wp:inline distT="0" distB="0" distL="0" distR="0" wp14:anchorId="5CDEEF15" wp14:editId="6F86DC48">
            <wp:extent cx="4572000" cy="19900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1990090"/>
                    </a:xfrm>
                    <a:prstGeom prst="rect">
                      <a:avLst/>
                    </a:prstGeom>
                    <a:noFill/>
                    <a:ln>
                      <a:noFill/>
                    </a:ln>
                  </pic:spPr>
                </pic:pic>
              </a:graphicData>
            </a:graphic>
          </wp:inline>
        </w:drawing>
      </w:r>
    </w:p>
    <w:p w14:paraId="48A85E94" w14:textId="77777777" w:rsidR="0079209E" w:rsidRDefault="0079209E" w:rsidP="0079209E">
      <w:pPr>
        <w:tabs>
          <w:tab w:val="left" w:pos="7360"/>
        </w:tabs>
        <w:rPr>
          <w:rFonts w:ascii="Arial" w:hAnsi="Arial" w:cs="Arial"/>
          <w:sz w:val="24"/>
          <w:szCs w:val="24"/>
        </w:rPr>
      </w:pPr>
    </w:p>
    <w:p w14:paraId="7E411EEA" w14:textId="77777777" w:rsidR="00C051D8" w:rsidRDefault="00C051D8" w:rsidP="0079209E">
      <w:pPr>
        <w:tabs>
          <w:tab w:val="left" w:pos="7360"/>
        </w:tabs>
        <w:rPr>
          <w:rFonts w:ascii="Arial" w:hAnsi="Arial" w:cs="Arial"/>
          <w:sz w:val="24"/>
          <w:szCs w:val="24"/>
        </w:rPr>
      </w:pPr>
    </w:p>
    <w:p w14:paraId="234BFE55" w14:textId="77777777" w:rsidR="0079209E" w:rsidRDefault="0079209E" w:rsidP="006E1799">
      <w:pPr>
        <w:jc w:val="both"/>
        <w:rPr>
          <w:rFonts w:ascii="Arial" w:hAnsi="Arial" w:cs="Arial"/>
          <w:b/>
          <w:bCs/>
          <w:sz w:val="24"/>
          <w:szCs w:val="24"/>
        </w:rPr>
      </w:pPr>
    </w:p>
    <w:p w14:paraId="3568B827" w14:textId="77777777" w:rsidR="0079209E" w:rsidRDefault="0079209E" w:rsidP="006E1799">
      <w:pPr>
        <w:jc w:val="both"/>
        <w:rPr>
          <w:rFonts w:ascii="Arial" w:hAnsi="Arial" w:cs="Arial"/>
          <w:b/>
          <w:bCs/>
          <w:sz w:val="24"/>
          <w:szCs w:val="24"/>
        </w:rPr>
      </w:pPr>
    </w:p>
    <w:p w14:paraId="0D6D8FA1" w14:textId="77777777" w:rsidR="004A6EDE" w:rsidRDefault="004A6EDE" w:rsidP="006E1799">
      <w:pPr>
        <w:jc w:val="both"/>
        <w:rPr>
          <w:rFonts w:ascii="Arial" w:hAnsi="Arial" w:cs="Arial"/>
          <w:b/>
          <w:bCs/>
          <w:sz w:val="24"/>
          <w:szCs w:val="24"/>
        </w:rPr>
      </w:pPr>
    </w:p>
    <w:p w14:paraId="3F2BD6B3" w14:textId="77777777" w:rsidR="004A6EDE" w:rsidRDefault="004A6EDE" w:rsidP="006E1799">
      <w:pPr>
        <w:jc w:val="both"/>
        <w:rPr>
          <w:rFonts w:ascii="Arial" w:hAnsi="Arial" w:cs="Arial"/>
          <w:b/>
          <w:bCs/>
          <w:sz w:val="24"/>
          <w:szCs w:val="24"/>
        </w:rPr>
      </w:pPr>
    </w:p>
    <w:p w14:paraId="0FD8683F" w14:textId="77777777" w:rsidR="004A6EDE" w:rsidRDefault="004A6EDE" w:rsidP="006E1799">
      <w:pPr>
        <w:jc w:val="both"/>
        <w:rPr>
          <w:rFonts w:ascii="Arial" w:hAnsi="Arial" w:cs="Arial"/>
          <w:b/>
          <w:bCs/>
          <w:sz w:val="24"/>
          <w:szCs w:val="24"/>
        </w:rPr>
      </w:pPr>
    </w:p>
    <w:p w14:paraId="7C23FCD8" w14:textId="77777777" w:rsidR="004A6EDE" w:rsidRDefault="004A6EDE" w:rsidP="006E1799">
      <w:pPr>
        <w:jc w:val="both"/>
        <w:rPr>
          <w:rFonts w:ascii="Arial" w:hAnsi="Arial" w:cs="Arial"/>
          <w:b/>
          <w:bCs/>
          <w:sz w:val="24"/>
          <w:szCs w:val="24"/>
        </w:rPr>
      </w:pPr>
    </w:p>
    <w:p w14:paraId="0BA7E102" w14:textId="77777777" w:rsidR="004A6EDE" w:rsidRDefault="004A6EDE" w:rsidP="006E1799">
      <w:pPr>
        <w:jc w:val="both"/>
        <w:rPr>
          <w:rFonts w:ascii="Arial" w:hAnsi="Arial" w:cs="Arial"/>
          <w:b/>
          <w:bCs/>
          <w:sz w:val="24"/>
          <w:szCs w:val="24"/>
        </w:rPr>
      </w:pPr>
    </w:p>
    <w:p w14:paraId="426FCAFD" w14:textId="77777777" w:rsidR="004A6EDE" w:rsidRDefault="004A6EDE" w:rsidP="006E1799">
      <w:pPr>
        <w:jc w:val="both"/>
        <w:rPr>
          <w:rFonts w:ascii="Arial" w:hAnsi="Arial" w:cs="Arial"/>
          <w:b/>
          <w:bCs/>
          <w:sz w:val="24"/>
          <w:szCs w:val="24"/>
        </w:rPr>
      </w:pPr>
    </w:p>
    <w:p w14:paraId="55CB2DC4" w14:textId="77777777" w:rsidR="001930D2" w:rsidRDefault="001930D2" w:rsidP="006E1799">
      <w:pPr>
        <w:jc w:val="both"/>
        <w:rPr>
          <w:rFonts w:ascii="Arial" w:hAnsi="Arial" w:cs="Arial"/>
          <w:b/>
          <w:bCs/>
          <w:sz w:val="24"/>
          <w:szCs w:val="24"/>
        </w:rPr>
      </w:pPr>
    </w:p>
    <w:p w14:paraId="6EA79A95" w14:textId="77777777" w:rsidR="00F05680" w:rsidRDefault="00F05680" w:rsidP="006E1799">
      <w:pPr>
        <w:jc w:val="both"/>
        <w:rPr>
          <w:rFonts w:ascii="Arial" w:hAnsi="Arial" w:cs="Arial"/>
          <w:b/>
          <w:bCs/>
          <w:sz w:val="24"/>
          <w:szCs w:val="24"/>
        </w:rPr>
      </w:pPr>
    </w:p>
    <w:p w14:paraId="2EE232ED" w14:textId="77777777" w:rsidR="00F36237" w:rsidRDefault="00F36237" w:rsidP="00B37E0A">
      <w:pPr>
        <w:ind w:left="-567"/>
        <w:jc w:val="both"/>
        <w:rPr>
          <w:rFonts w:ascii="Arial" w:hAnsi="Arial" w:cs="Arial"/>
          <w:b/>
          <w:bCs/>
          <w:sz w:val="24"/>
          <w:szCs w:val="24"/>
        </w:rPr>
      </w:pPr>
      <w:r>
        <w:rPr>
          <w:rFonts w:ascii="Arial" w:hAnsi="Arial" w:cs="Arial"/>
          <w:b/>
          <w:bCs/>
          <w:sz w:val="24"/>
          <w:szCs w:val="24"/>
        </w:rPr>
        <w:t>Impartición de justicia en materia penal.</w:t>
      </w:r>
    </w:p>
    <w:p w14:paraId="36C87E0C" w14:textId="77777777" w:rsidR="006E1799" w:rsidRDefault="006E1799" w:rsidP="00B37E0A">
      <w:pPr>
        <w:ind w:left="-567"/>
        <w:jc w:val="both"/>
        <w:rPr>
          <w:rFonts w:ascii="Arial" w:hAnsi="Arial" w:cs="Arial"/>
          <w:b/>
          <w:bCs/>
          <w:sz w:val="24"/>
          <w:szCs w:val="24"/>
        </w:rPr>
      </w:pPr>
      <w:r w:rsidRPr="0042745D">
        <w:rPr>
          <w:rFonts w:ascii="Arial" w:hAnsi="Arial" w:cs="Arial"/>
          <w:b/>
          <w:bCs/>
          <w:sz w:val="24"/>
          <w:szCs w:val="24"/>
        </w:rPr>
        <w:t>Causas penales</w:t>
      </w:r>
    </w:p>
    <w:p w14:paraId="449864EE" w14:textId="77777777" w:rsidR="006E1799" w:rsidRPr="0042745D" w:rsidRDefault="006E1799" w:rsidP="00B37E0A">
      <w:pPr>
        <w:ind w:left="-567"/>
        <w:jc w:val="both"/>
        <w:rPr>
          <w:rFonts w:ascii="Arial" w:hAnsi="Arial" w:cs="Arial"/>
          <w:b/>
          <w:bCs/>
          <w:sz w:val="24"/>
          <w:szCs w:val="24"/>
        </w:rPr>
      </w:pPr>
      <w:r w:rsidRPr="0042745D">
        <w:rPr>
          <w:rFonts w:ascii="Arial" w:hAnsi="Arial" w:cs="Arial"/>
          <w:b/>
          <w:bCs/>
          <w:i/>
          <w:sz w:val="24"/>
          <w:szCs w:val="24"/>
        </w:rPr>
        <w:t>Ingres</w:t>
      </w:r>
      <w:r w:rsidR="006C5371">
        <w:rPr>
          <w:rFonts w:ascii="Arial" w:hAnsi="Arial" w:cs="Arial"/>
          <w:b/>
          <w:bCs/>
          <w:i/>
          <w:sz w:val="24"/>
          <w:szCs w:val="24"/>
        </w:rPr>
        <w:t>adas</w:t>
      </w:r>
    </w:p>
    <w:p w14:paraId="2564DEBF" w14:textId="77777777" w:rsidR="00F36237" w:rsidRPr="00F36237" w:rsidRDefault="006E1799" w:rsidP="00AD417E">
      <w:pPr>
        <w:ind w:left="-567"/>
        <w:jc w:val="both"/>
        <w:rPr>
          <w:rFonts w:ascii="Arial" w:hAnsi="Arial" w:cs="Arial"/>
          <w:sz w:val="24"/>
          <w:szCs w:val="24"/>
        </w:rPr>
      </w:pPr>
      <w:r>
        <w:rPr>
          <w:rFonts w:ascii="Arial" w:hAnsi="Arial" w:cs="Arial"/>
          <w:sz w:val="24"/>
          <w:szCs w:val="24"/>
        </w:rPr>
        <w:t>Durante</w:t>
      </w:r>
      <w:r w:rsidR="00C051D8">
        <w:rPr>
          <w:rFonts w:ascii="Arial" w:hAnsi="Arial" w:cs="Arial"/>
          <w:sz w:val="24"/>
          <w:szCs w:val="24"/>
        </w:rPr>
        <w:t xml:space="preserve"> 2019, se reportaron 21</w:t>
      </w:r>
      <w:r w:rsidRPr="0042745D">
        <w:rPr>
          <w:rFonts w:ascii="Arial" w:hAnsi="Arial" w:cs="Arial"/>
          <w:sz w:val="24"/>
          <w:szCs w:val="24"/>
        </w:rPr>
        <w:t xml:space="preserve"> 145 causas penales ingresadas, de ellas, 19.5% fue </w:t>
      </w:r>
      <w:r>
        <w:rPr>
          <w:rFonts w:ascii="Arial" w:hAnsi="Arial" w:cs="Arial"/>
          <w:sz w:val="24"/>
          <w:szCs w:val="24"/>
        </w:rPr>
        <w:t>mediante</w:t>
      </w:r>
      <w:r w:rsidR="003E4C85">
        <w:rPr>
          <w:rFonts w:ascii="Arial" w:hAnsi="Arial" w:cs="Arial"/>
          <w:sz w:val="24"/>
          <w:szCs w:val="24"/>
        </w:rPr>
        <w:t xml:space="preserve"> juzgados de distrito (Sistema T</w:t>
      </w:r>
      <w:r w:rsidRPr="0042745D">
        <w:rPr>
          <w:rFonts w:ascii="Arial" w:hAnsi="Arial" w:cs="Arial"/>
          <w:sz w:val="24"/>
          <w:szCs w:val="24"/>
        </w:rPr>
        <w:t xml:space="preserve">radicional) y 80.5% </w:t>
      </w:r>
      <w:r>
        <w:rPr>
          <w:rFonts w:ascii="Arial" w:hAnsi="Arial" w:cs="Arial"/>
          <w:sz w:val="24"/>
          <w:szCs w:val="24"/>
        </w:rPr>
        <w:t>por medio</w:t>
      </w:r>
      <w:r w:rsidRPr="0042745D">
        <w:rPr>
          <w:rFonts w:ascii="Arial" w:hAnsi="Arial" w:cs="Arial"/>
          <w:sz w:val="24"/>
          <w:szCs w:val="24"/>
        </w:rPr>
        <w:t xml:space="preserve"> de ju</w:t>
      </w:r>
      <w:r w:rsidR="00035EE8">
        <w:rPr>
          <w:rFonts w:ascii="Arial" w:hAnsi="Arial" w:cs="Arial"/>
          <w:sz w:val="24"/>
          <w:szCs w:val="24"/>
        </w:rPr>
        <w:t>eces</w:t>
      </w:r>
      <w:r w:rsidR="003E4C85">
        <w:rPr>
          <w:rFonts w:ascii="Arial" w:hAnsi="Arial" w:cs="Arial"/>
          <w:sz w:val="24"/>
          <w:szCs w:val="24"/>
        </w:rPr>
        <w:t xml:space="preserve"> de control o garantías (Sistema Penal A</w:t>
      </w:r>
      <w:r w:rsidRPr="0042745D">
        <w:rPr>
          <w:rFonts w:ascii="Arial" w:hAnsi="Arial" w:cs="Arial"/>
          <w:sz w:val="24"/>
          <w:szCs w:val="24"/>
        </w:rPr>
        <w:t>cusatorio). Por su parte, se registraron 155 causas pena</w:t>
      </w:r>
      <w:r w:rsidR="00035EE8">
        <w:rPr>
          <w:rFonts w:ascii="Arial" w:hAnsi="Arial" w:cs="Arial"/>
          <w:sz w:val="24"/>
          <w:szCs w:val="24"/>
        </w:rPr>
        <w:t>les ingresadas con</w:t>
      </w:r>
      <w:r>
        <w:rPr>
          <w:rFonts w:ascii="Arial" w:hAnsi="Arial" w:cs="Arial"/>
          <w:sz w:val="24"/>
          <w:szCs w:val="24"/>
        </w:rPr>
        <w:t xml:space="preserve"> los </w:t>
      </w:r>
      <w:r w:rsidRPr="0042745D">
        <w:rPr>
          <w:rFonts w:ascii="Arial" w:hAnsi="Arial" w:cs="Arial"/>
          <w:sz w:val="24"/>
          <w:szCs w:val="24"/>
        </w:rPr>
        <w:t>ju</w:t>
      </w:r>
      <w:r w:rsidR="00035EE8">
        <w:rPr>
          <w:rFonts w:ascii="Arial" w:hAnsi="Arial" w:cs="Arial"/>
          <w:sz w:val="24"/>
          <w:szCs w:val="24"/>
        </w:rPr>
        <w:t>eces</w:t>
      </w:r>
      <w:r w:rsidRPr="0042745D">
        <w:rPr>
          <w:rFonts w:ascii="Arial" w:hAnsi="Arial" w:cs="Arial"/>
          <w:sz w:val="24"/>
          <w:szCs w:val="24"/>
        </w:rPr>
        <w:t xml:space="preserve"> de enjuiciamiento</w:t>
      </w:r>
      <w:r w:rsidR="00035EE8">
        <w:rPr>
          <w:rFonts w:ascii="Arial" w:hAnsi="Arial" w:cs="Arial"/>
          <w:sz w:val="24"/>
          <w:szCs w:val="24"/>
        </w:rPr>
        <w:t xml:space="preserve"> o juicio oral</w:t>
      </w:r>
      <w:r w:rsidR="00F36237">
        <w:rPr>
          <w:rFonts w:ascii="Arial" w:hAnsi="Arial" w:cs="Arial"/>
          <w:sz w:val="24"/>
          <w:szCs w:val="24"/>
        </w:rPr>
        <w:t>.</w:t>
      </w:r>
    </w:p>
    <w:p w14:paraId="29C20886" w14:textId="77777777" w:rsidR="006E1799" w:rsidRPr="00173D8F" w:rsidRDefault="000713B9" w:rsidP="006E1799">
      <w:pPr>
        <w:pStyle w:val="Default"/>
        <w:spacing w:after="10"/>
        <w:ind w:left="-567"/>
        <w:jc w:val="center"/>
        <w:rPr>
          <w:b/>
          <w:bCs/>
          <w:i/>
          <w:iCs/>
          <w:color w:val="4472C4" w:themeColor="accent1"/>
          <w:sz w:val="20"/>
        </w:rPr>
      </w:pPr>
      <w:r>
        <w:rPr>
          <w:b/>
          <w:bCs/>
          <w:i/>
          <w:iCs/>
          <w:color w:val="4472C4" w:themeColor="accent1"/>
          <w:sz w:val="20"/>
        </w:rPr>
        <w:t>Gráfica 16</w:t>
      </w:r>
      <w:r w:rsidR="006E1799" w:rsidRPr="00173D8F">
        <w:rPr>
          <w:b/>
          <w:bCs/>
          <w:i/>
          <w:iCs/>
          <w:color w:val="4472C4" w:themeColor="accent1"/>
          <w:sz w:val="20"/>
        </w:rPr>
        <w:t xml:space="preserve">. Distribución porcentual de las causas penales ingresadas, según sistema penal al que ingresaron, 2019 </w:t>
      </w:r>
    </w:p>
    <w:p w14:paraId="13CDCCEE" w14:textId="77777777" w:rsidR="006E1799" w:rsidRDefault="006E1799" w:rsidP="006E1799">
      <w:pPr>
        <w:jc w:val="center"/>
        <w:rPr>
          <w:b/>
          <w:bCs/>
          <w:i/>
          <w:iCs/>
          <w:sz w:val="20"/>
          <w:szCs w:val="20"/>
        </w:rPr>
      </w:pPr>
    </w:p>
    <w:p w14:paraId="593B8E8A" w14:textId="77777777" w:rsidR="006E1799" w:rsidRDefault="00144121" w:rsidP="006E1799">
      <w:pPr>
        <w:jc w:val="center"/>
        <w:rPr>
          <w:b/>
          <w:bCs/>
          <w:i/>
          <w:iCs/>
          <w:sz w:val="20"/>
          <w:szCs w:val="20"/>
        </w:rPr>
      </w:pPr>
      <w:r>
        <w:rPr>
          <w:b/>
          <w:bCs/>
          <w:i/>
          <w:iCs/>
          <w:noProof/>
          <w:sz w:val="20"/>
          <w:szCs w:val="20"/>
          <w:lang w:val="en-US"/>
        </w:rPr>
        <w:drawing>
          <wp:inline distT="0" distB="0" distL="0" distR="0" wp14:anchorId="23BDA653" wp14:editId="3DA294D8">
            <wp:extent cx="3618230" cy="20815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8230" cy="2081530"/>
                    </a:xfrm>
                    <a:prstGeom prst="rect">
                      <a:avLst/>
                    </a:prstGeom>
                    <a:noFill/>
                    <a:ln>
                      <a:noFill/>
                    </a:ln>
                  </pic:spPr>
                </pic:pic>
              </a:graphicData>
            </a:graphic>
          </wp:inline>
        </w:drawing>
      </w:r>
    </w:p>
    <w:p w14:paraId="5CD83A4B" w14:textId="77777777" w:rsidR="006E1799" w:rsidRPr="00F36237" w:rsidRDefault="006E1799" w:rsidP="00F36237">
      <w:pPr>
        <w:jc w:val="both"/>
        <w:rPr>
          <w:rFonts w:ascii="Arial" w:hAnsi="Arial" w:cs="Arial"/>
          <w:sz w:val="16"/>
          <w:szCs w:val="16"/>
        </w:rPr>
      </w:pPr>
      <w:r w:rsidRPr="0042745D">
        <w:rPr>
          <w:rFonts w:ascii="Arial" w:hAnsi="Arial" w:cs="Arial"/>
          <w:sz w:val="16"/>
          <w:szCs w:val="16"/>
        </w:rPr>
        <w:t>Nota: in</w:t>
      </w:r>
      <w:r w:rsidR="00035EE8">
        <w:rPr>
          <w:rFonts w:ascii="Arial" w:hAnsi="Arial" w:cs="Arial"/>
          <w:sz w:val="16"/>
          <w:szCs w:val="16"/>
        </w:rPr>
        <w:t>cluye información tanto de los juzgados de distrito (Sistema T</w:t>
      </w:r>
      <w:r w:rsidRPr="0042745D">
        <w:rPr>
          <w:rFonts w:ascii="Arial" w:hAnsi="Arial" w:cs="Arial"/>
          <w:sz w:val="16"/>
          <w:szCs w:val="16"/>
        </w:rPr>
        <w:t xml:space="preserve">radicional) como </w:t>
      </w:r>
      <w:r w:rsidR="00035EE8">
        <w:rPr>
          <w:rFonts w:ascii="Arial" w:hAnsi="Arial" w:cs="Arial"/>
          <w:sz w:val="16"/>
          <w:szCs w:val="16"/>
        </w:rPr>
        <w:t>de los jueces de control o garantías (Sistema Penal A</w:t>
      </w:r>
      <w:r w:rsidRPr="0042745D">
        <w:rPr>
          <w:rFonts w:ascii="Arial" w:hAnsi="Arial" w:cs="Arial"/>
          <w:sz w:val="16"/>
          <w:szCs w:val="16"/>
        </w:rPr>
        <w:t xml:space="preserve">cusatorio). </w:t>
      </w:r>
    </w:p>
    <w:p w14:paraId="6E413A3E" w14:textId="77777777" w:rsidR="006E1799" w:rsidRDefault="000713B9" w:rsidP="006E1799">
      <w:pPr>
        <w:pStyle w:val="Default"/>
        <w:spacing w:after="10"/>
        <w:ind w:left="-567"/>
        <w:jc w:val="center"/>
        <w:rPr>
          <w:b/>
          <w:bCs/>
          <w:i/>
          <w:iCs/>
          <w:color w:val="4472C4" w:themeColor="accent1"/>
          <w:sz w:val="20"/>
        </w:rPr>
      </w:pPr>
      <w:r>
        <w:rPr>
          <w:b/>
          <w:bCs/>
          <w:i/>
          <w:iCs/>
          <w:color w:val="4472C4" w:themeColor="accent1"/>
          <w:sz w:val="20"/>
        </w:rPr>
        <w:t>Gráfica 17</w:t>
      </w:r>
      <w:r w:rsidR="006E1799" w:rsidRPr="00173D8F">
        <w:rPr>
          <w:b/>
          <w:bCs/>
          <w:i/>
          <w:iCs/>
          <w:color w:val="4472C4" w:themeColor="accent1"/>
          <w:sz w:val="20"/>
        </w:rPr>
        <w:t>. Causas penales ingresadas, según órgano, 2016 a 2019</w:t>
      </w:r>
    </w:p>
    <w:p w14:paraId="5764450C" w14:textId="77777777" w:rsidR="006E1799" w:rsidRPr="00173D8F" w:rsidRDefault="006E1799" w:rsidP="006E1799">
      <w:pPr>
        <w:pStyle w:val="Default"/>
        <w:spacing w:after="10"/>
        <w:ind w:left="-567"/>
        <w:jc w:val="center"/>
        <w:rPr>
          <w:b/>
          <w:bCs/>
          <w:i/>
          <w:iCs/>
          <w:color w:val="4472C4" w:themeColor="accent1"/>
          <w:sz w:val="20"/>
        </w:rPr>
      </w:pPr>
    </w:p>
    <w:p w14:paraId="3CB9C62F" w14:textId="77777777" w:rsidR="00AD417E" w:rsidRPr="00144121" w:rsidRDefault="00144121" w:rsidP="00144121">
      <w:pPr>
        <w:jc w:val="center"/>
        <w:rPr>
          <w:b/>
          <w:bCs/>
          <w:i/>
          <w:iCs/>
          <w:sz w:val="20"/>
          <w:szCs w:val="20"/>
        </w:rPr>
      </w:pPr>
      <w:r>
        <w:rPr>
          <w:b/>
          <w:bCs/>
          <w:i/>
          <w:iCs/>
          <w:noProof/>
          <w:sz w:val="20"/>
          <w:szCs w:val="20"/>
          <w:lang w:val="en-US"/>
        </w:rPr>
        <w:drawing>
          <wp:inline distT="0" distB="0" distL="0" distR="0" wp14:anchorId="21350261" wp14:editId="09A909E6">
            <wp:extent cx="4883150" cy="256032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3150" cy="2560320"/>
                    </a:xfrm>
                    <a:prstGeom prst="rect">
                      <a:avLst/>
                    </a:prstGeom>
                    <a:noFill/>
                    <a:ln>
                      <a:noFill/>
                    </a:ln>
                  </pic:spPr>
                </pic:pic>
              </a:graphicData>
            </a:graphic>
          </wp:inline>
        </w:drawing>
      </w:r>
    </w:p>
    <w:p w14:paraId="3DF4D756" w14:textId="77777777" w:rsidR="001A3E5B" w:rsidRDefault="001A3E5B" w:rsidP="00B37E0A">
      <w:pPr>
        <w:ind w:left="-567"/>
        <w:jc w:val="both"/>
        <w:rPr>
          <w:rFonts w:ascii="Arial" w:hAnsi="Arial" w:cs="Arial"/>
          <w:b/>
          <w:i/>
          <w:sz w:val="24"/>
          <w:szCs w:val="24"/>
        </w:rPr>
      </w:pPr>
    </w:p>
    <w:p w14:paraId="74F5C50C" w14:textId="77777777" w:rsidR="006E1799" w:rsidRPr="0042745D" w:rsidRDefault="006C5371" w:rsidP="00B37E0A">
      <w:pPr>
        <w:ind w:left="-567"/>
        <w:jc w:val="both"/>
        <w:rPr>
          <w:rFonts w:ascii="Arial" w:hAnsi="Arial" w:cs="Arial"/>
          <w:b/>
          <w:i/>
          <w:sz w:val="24"/>
          <w:szCs w:val="24"/>
        </w:rPr>
      </w:pPr>
      <w:r>
        <w:rPr>
          <w:rFonts w:ascii="Arial" w:hAnsi="Arial" w:cs="Arial"/>
          <w:b/>
          <w:i/>
          <w:sz w:val="24"/>
          <w:szCs w:val="24"/>
        </w:rPr>
        <w:t>Concluidas</w:t>
      </w:r>
    </w:p>
    <w:p w14:paraId="13955027" w14:textId="77777777" w:rsidR="006E1799" w:rsidRPr="0042745D" w:rsidRDefault="006E1799" w:rsidP="00AD417E">
      <w:pPr>
        <w:ind w:left="-567"/>
        <w:jc w:val="both"/>
        <w:rPr>
          <w:rFonts w:ascii="Arial" w:hAnsi="Arial" w:cs="Arial"/>
          <w:sz w:val="24"/>
          <w:szCs w:val="24"/>
        </w:rPr>
      </w:pPr>
      <w:r w:rsidRPr="0042745D">
        <w:rPr>
          <w:rFonts w:ascii="Arial" w:hAnsi="Arial" w:cs="Arial"/>
          <w:sz w:val="24"/>
          <w:szCs w:val="24"/>
        </w:rPr>
        <w:t xml:space="preserve">En </w:t>
      </w:r>
      <w:r>
        <w:rPr>
          <w:rFonts w:ascii="Arial" w:hAnsi="Arial" w:cs="Arial"/>
          <w:sz w:val="24"/>
          <w:szCs w:val="24"/>
        </w:rPr>
        <w:t>2019</w:t>
      </w:r>
      <w:r w:rsidR="00C051D8">
        <w:rPr>
          <w:rFonts w:ascii="Arial" w:hAnsi="Arial" w:cs="Arial"/>
          <w:sz w:val="24"/>
          <w:szCs w:val="24"/>
        </w:rPr>
        <w:t>, se registraron 5</w:t>
      </w:r>
      <w:r w:rsidRPr="0042745D">
        <w:rPr>
          <w:rFonts w:ascii="Arial" w:hAnsi="Arial" w:cs="Arial"/>
          <w:sz w:val="24"/>
          <w:szCs w:val="24"/>
        </w:rPr>
        <w:t xml:space="preserve"> 076 causas penales conclui</w:t>
      </w:r>
      <w:r w:rsidR="00F7500E">
        <w:rPr>
          <w:rFonts w:ascii="Arial" w:hAnsi="Arial" w:cs="Arial"/>
          <w:sz w:val="24"/>
          <w:szCs w:val="24"/>
        </w:rPr>
        <w:t>das en los juzgados de distrito. Asimismo, se reportaron</w:t>
      </w:r>
      <w:r w:rsidR="00C051D8">
        <w:rPr>
          <w:rFonts w:ascii="Arial" w:hAnsi="Arial" w:cs="Arial"/>
          <w:sz w:val="24"/>
          <w:szCs w:val="24"/>
        </w:rPr>
        <w:t xml:space="preserve"> 13</w:t>
      </w:r>
      <w:r w:rsidRPr="0042745D">
        <w:rPr>
          <w:rFonts w:ascii="Arial" w:hAnsi="Arial" w:cs="Arial"/>
          <w:sz w:val="24"/>
          <w:szCs w:val="24"/>
        </w:rPr>
        <w:t xml:space="preserve"> 552 </w:t>
      </w:r>
      <w:r w:rsidR="00EB1126">
        <w:rPr>
          <w:rFonts w:ascii="Arial" w:hAnsi="Arial" w:cs="Arial"/>
          <w:sz w:val="24"/>
          <w:szCs w:val="24"/>
        </w:rPr>
        <w:t>conclusiones y/o determinaciones efectuadas</w:t>
      </w:r>
      <w:r w:rsidR="00F7500E">
        <w:rPr>
          <w:rFonts w:ascii="Arial" w:hAnsi="Arial" w:cs="Arial"/>
          <w:sz w:val="24"/>
          <w:szCs w:val="24"/>
        </w:rPr>
        <w:t xml:space="preserve"> en las causas penales </w:t>
      </w:r>
      <w:r w:rsidR="00F36237">
        <w:rPr>
          <w:rFonts w:ascii="Arial" w:hAnsi="Arial" w:cs="Arial"/>
          <w:sz w:val="24"/>
          <w:szCs w:val="24"/>
        </w:rPr>
        <w:t>sustanciadas</w:t>
      </w:r>
      <w:r w:rsidR="00F7500E">
        <w:rPr>
          <w:rFonts w:ascii="Arial" w:hAnsi="Arial" w:cs="Arial"/>
          <w:sz w:val="24"/>
          <w:szCs w:val="24"/>
        </w:rPr>
        <w:t xml:space="preserve"> por </w:t>
      </w:r>
      <w:r w:rsidRPr="0042745D">
        <w:rPr>
          <w:rFonts w:ascii="Arial" w:hAnsi="Arial" w:cs="Arial"/>
          <w:sz w:val="24"/>
          <w:szCs w:val="24"/>
        </w:rPr>
        <w:t>los ju</w:t>
      </w:r>
      <w:r w:rsidR="00F7500E">
        <w:rPr>
          <w:rFonts w:ascii="Arial" w:hAnsi="Arial" w:cs="Arial"/>
          <w:sz w:val="24"/>
          <w:szCs w:val="24"/>
        </w:rPr>
        <w:t>eces</w:t>
      </w:r>
      <w:r w:rsidRPr="0042745D">
        <w:rPr>
          <w:rFonts w:ascii="Arial" w:hAnsi="Arial" w:cs="Arial"/>
          <w:sz w:val="24"/>
          <w:szCs w:val="24"/>
        </w:rPr>
        <w:t xml:space="preserve"> de control o garantías</w:t>
      </w:r>
      <w:r w:rsidRPr="0042745D">
        <w:rPr>
          <w:rStyle w:val="Refdenotaalpie"/>
          <w:rFonts w:ascii="Arial" w:hAnsi="Arial" w:cs="Arial"/>
          <w:sz w:val="24"/>
          <w:szCs w:val="24"/>
        </w:rPr>
        <w:footnoteReference w:id="13"/>
      </w:r>
      <w:r w:rsidR="00F7500E">
        <w:rPr>
          <w:rFonts w:ascii="Arial" w:hAnsi="Arial" w:cs="Arial"/>
          <w:sz w:val="24"/>
          <w:szCs w:val="24"/>
        </w:rPr>
        <w:t xml:space="preserve"> y 618 con los jueces</w:t>
      </w:r>
      <w:r w:rsidRPr="0042745D">
        <w:rPr>
          <w:rFonts w:ascii="Arial" w:hAnsi="Arial" w:cs="Arial"/>
          <w:sz w:val="24"/>
          <w:szCs w:val="24"/>
        </w:rPr>
        <w:t xml:space="preserve"> de enjuiciamiento</w:t>
      </w:r>
      <w:r w:rsidR="00F36237">
        <w:rPr>
          <w:rFonts w:ascii="Arial" w:hAnsi="Arial" w:cs="Arial"/>
          <w:sz w:val="24"/>
          <w:szCs w:val="24"/>
        </w:rPr>
        <w:t xml:space="preserve"> </w:t>
      </w:r>
      <w:r w:rsidR="00F7500E">
        <w:rPr>
          <w:rFonts w:ascii="Arial" w:hAnsi="Arial" w:cs="Arial"/>
          <w:sz w:val="24"/>
          <w:szCs w:val="24"/>
        </w:rPr>
        <w:t>o juicio oral</w:t>
      </w:r>
      <w:r w:rsidR="006C1201">
        <w:rPr>
          <w:rStyle w:val="Refdenotaalpie"/>
          <w:rFonts w:ascii="Arial" w:hAnsi="Arial" w:cs="Arial"/>
          <w:sz w:val="24"/>
          <w:szCs w:val="24"/>
        </w:rPr>
        <w:footnoteReference w:id="14"/>
      </w:r>
      <w:r w:rsidRPr="0042745D">
        <w:rPr>
          <w:rFonts w:ascii="Arial" w:hAnsi="Arial" w:cs="Arial"/>
          <w:sz w:val="24"/>
          <w:szCs w:val="24"/>
        </w:rPr>
        <w:t>.</w:t>
      </w:r>
      <w:r>
        <w:rPr>
          <w:rFonts w:ascii="Arial" w:hAnsi="Arial" w:cs="Arial"/>
          <w:sz w:val="24"/>
          <w:szCs w:val="24"/>
        </w:rPr>
        <w:t xml:space="preserve"> En comparación con 2018, la conclusión de causas penales en los juzgados de distrito disminuyó 32.1%, en tanto, </w:t>
      </w:r>
      <w:r w:rsidR="0094027B">
        <w:rPr>
          <w:rFonts w:ascii="Arial" w:hAnsi="Arial" w:cs="Arial"/>
          <w:sz w:val="24"/>
          <w:szCs w:val="24"/>
        </w:rPr>
        <w:t>con los jueces</w:t>
      </w:r>
      <w:r>
        <w:rPr>
          <w:rFonts w:ascii="Arial" w:hAnsi="Arial" w:cs="Arial"/>
          <w:sz w:val="24"/>
          <w:szCs w:val="24"/>
        </w:rPr>
        <w:t xml:space="preserve"> de control o garantías </w:t>
      </w:r>
      <w:r w:rsidR="0094027B">
        <w:rPr>
          <w:rFonts w:ascii="Arial" w:hAnsi="Arial" w:cs="Arial"/>
          <w:sz w:val="24"/>
          <w:szCs w:val="24"/>
        </w:rPr>
        <w:t xml:space="preserve">aumentó 51.8% </w:t>
      </w:r>
      <w:r>
        <w:rPr>
          <w:rFonts w:ascii="Arial" w:hAnsi="Arial" w:cs="Arial"/>
          <w:sz w:val="24"/>
          <w:szCs w:val="24"/>
        </w:rPr>
        <w:t xml:space="preserve">y </w:t>
      </w:r>
      <w:r w:rsidR="0094027B">
        <w:rPr>
          <w:rFonts w:ascii="Arial" w:hAnsi="Arial" w:cs="Arial"/>
          <w:sz w:val="24"/>
          <w:szCs w:val="24"/>
        </w:rPr>
        <w:t>con los jueces</w:t>
      </w:r>
      <w:r>
        <w:rPr>
          <w:rFonts w:ascii="Arial" w:hAnsi="Arial" w:cs="Arial"/>
          <w:sz w:val="24"/>
          <w:szCs w:val="24"/>
        </w:rPr>
        <w:t xml:space="preserve"> de enjuiciamiento </w:t>
      </w:r>
      <w:r w:rsidR="0094027B">
        <w:rPr>
          <w:rFonts w:ascii="Arial" w:hAnsi="Arial" w:cs="Arial"/>
          <w:sz w:val="24"/>
          <w:szCs w:val="24"/>
        </w:rPr>
        <w:t>se registró una disminución de 6.2</w:t>
      </w:r>
      <w:r w:rsidR="001930D2">
        <w:rPr>
          <w:rFonts w:ascii="Arial" w:hAnsi="Arial" w:cs="Arial"/>
          <w:sz w:val="24"/>
          <w:szCs w:val="24"/>
        </w:rPr>
        <w:t xml:space="preserve"> por ciento</w:t>
      </w:r>
      <w:r>
        <w:rPr>
          <w:rFonts w:ascii="Arial" w:hAnsi="Arial" w:cs="Arial"/>
          <w:sz w:val="24"/>
          <w:szCs w:val="24"/>
        </w:rPr>
        <w:t xml:space="preserve">. </w:t>
      </w:r>
    </w:p>
    <w:p w14:paraId="6230A622" w14:textId="77777777" w:rsidR="006E1799"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0713B9">
        <w:rPr>
          <w:b/>
          <w:bCs/>
          <w:i/>
          <w:iCs/>
          <w:color w:val="4472C4" w:themeColor="accent1"/>
          <w:sz w:val="20"/>
        </w:rPr>
        <w:t>18</w:t>
      </w:r>
      <w:r w:rsidRPr="00173D8F">
        <w:rPr>
          <w:b/>
          <w:bCs/>
          <w:i/>
          <w:iCs/>
          <w:color w:val="4472C4" w:themeColor="accent1"/>
          <w:sz w:val="20"/>
        </w:rPr>
        <w:t>. Distribución de causas penales concluidas, por tipo de órgano jurisdiccional y sistema penal, 201</w:t>
      </w:r>
      <w:r>
        <w:rPr>
          <w:b/>
          <w:bCs/>
          <w:i/>
          <w:iCs/>
          <w:color w:val="4472C4" w:themeColor="accent1"/>
          <w:sz w:val="20"/>
        </w:rPr>
        <w:t>8-2019</w:t>
      </w:r>
    </w:p>
    <w:p w14:paraId="7F624881" w14:textId="77777777" w:rsidR="006E1799" w:rsidRDefault="006E1799" w:rsidP="006E1799">
      <w:pPr>
        <w:pStyle w:val="Default"/>
        <w:spacing w:after="10"/>
        <w:ind w:left="-567"/>
        <w:jc w:val="center"/>
        <w:rPr>
          <w:b/>
          <w:bCs/>
          <w:i/>
          <w:iCs/>
          <w:color w:val="4472C4" w:themeColor="accent1"/>
          <w:sz w:val="20"/>
        </w:rPr>
      </w:pPr>
    </w:p>
    <w:p w14:paraId="78847B1D" w14:textId="77777777" w:rsidR="006E1799" w:rsidRPr="00173D8F" w:rsidRDefault="006E1799" w:rsidP="006E1799">
      <w:pPr>
        <w:pStyle w:val="Default"/>
        <w:spacing w:after="10"/>
        <w:ind w:left="-567"/>
        <w:jc w:val="center"/>
        <w:rPr>
          <w:b/>
          <w:bCs/>
          <w:i/>
          <w:iCs/>
          <w:color w:val="4472C4" w:themeColor="accent1"/>
          <w:sz w:val="20"/>
        </w:rPr>
      </w:pPr>
    </w:p>
    <w:p w14:paraId="0D740A4A" w14:textId="77777777" w:rsidR="006E1799" w:rsidRDefault="00144121" w:rsidP="006E1799">
      <w:pPr>
        <w:jc w:val="center"/>
        <w:rPr>
          <w:b/>
          <w:bCs/>
          <w:i/>
          <w:iCs/>
          <w:sz w:val="20"/>
          <w:szCs w:val="20"/>
        </w:rPr>
      </w:pPr>
      <w:r>
        <w:rPr>
          <w:b/>
          <w:bCs/>
          <w:i/>
          <w:iCs/>
          <w:noProof/>
          <w:sz w:val="20"/>
          <w:szCs w:val="20"/>
          <w:lang w:val="en-US"/>
        </w:rPr>
        <w:drawing>
          <wp:inline distT="0" distB="0" distL="0" distR="0" wp14:anchorId="34ED7B0C" wp14:editId="15964192">
            <wp:extent cx="5611495" cy="252095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1495" cy="2520950"/>
                    </a:xfrm>
                    <a:prstGeom prst="rect">
                      <a:avLst/>
                    </a:prstGeom>
                    <a:noFill/>
                    <a:ln>
                      <a:noFill/>
                    </a:ln>
                  </pic:spPr>
                </pic:pic>
              </a:graphicData>
            </a:graphic>
          </wp:inline>
        </w:drawing>
      </w:r>
    </w:p>
    <w:p w14:paraId="37BB6B03" w14:textId="77777777" w:rsidR="006E1799" w:rsidRDefault="006E1799" w:rsidP="006E1799">
      <w:pPr>
        <w:jc w:val="both"/>
        <w:rPr>
          <w:rFonts w:ascii="Arial" w:hAnsi="Arial" w:cs="Arial"/>
          <w:sz w:val="24"/>
          <w:szCs w:val="24"/>
        </w:rPr>
      </w:pPr>
    </w:p>
    <w:p w14:paraId="2C05196C" w14:textId="77777777" w:rsidR="006E1799" w:rsidRDefault="006E1799" w:rsidP="006E1799">
      <w:pPr>
        <w:jc w:val="both"/>
        <w:rPr>
          <w:rFonts w:ascii="Arial" w:hAnsi="Arial" w:cs="Arial"/>
          <w:sz w:val="24"/>
          <w:szCs w:val="24"/>
        </w:rPr>
      </w:pPr>
    </w:p>
    <w:p w14:paraId="5AAD1B13" w14:textId="77777777" w:rsidR="006E1799" w:rsidRDefault="006E1799" w:rsidP="006E1799">
      <w:pPr>
        <w:jc w:val="both"/>
        <w:rPr>
          <w:rFonts w:ascii="Arial" w:hAnsi="Arial" w:cs="Arial"/>
          <w:sz w:val="24"/>
          <w:szCs w:val="24"/>
        </w:rPr>
      </w:pPr>
    </w:p>
    <w:p w14:paraId="3DF495BF" w14:textId="77777777" w:rsidR="006E1799" w:rsidRDefault="006E1799" w:rsidP="006E1799">
      <w:pPr>
        <w:jc w:val="both"/>
        <w:rPr>
          <w:rFonts w:ascii="Arial" w:hAnsi="Arial" w:cs="Arial"/>
          <w:sz w:val="24"/>
          <w:szCs w:val="24"/>
        </w:rPr>
      </w:pPr>
    </w:p>
    <w:p w14:paraId="6B21A52A" w14:textId="77777777" w:rsidR="006E1799" w:rsidRDefault="006E1799" w:rsidP="006E1799">
      <w:pPr>
        <w:jc w:val="both"/>
        <w:rPr>
          <w:rFonts w:ascii="Arial" w:hAnsi="Arial" w:cs="Arial"/>
          <w:sz w:val="24"/>
          <w:szCs w:val="24"/>
        </w:rPr>
      </w:pPr>
    </w:p>
    <w:p w14:paraId="04CA21DD" w14:textId="77777777" w:rsidR="005D083B" w:rsidRDefault="005D083B" w:rsidP="006E1799">
      <w:pPr>
        <w:jc w:val="both"/>
        <w:rPr>
          <w:rFonts w:ascii="Arial" w:hAnsi="Arial" w:cs="Arial"/>
          <w:sz w:val="24"/>
          <w:szCs w:val="24"/>
        </w:rPr>
      </w:pPr>
    </w:p>
    <w:p w14:paraId="5981DA73" w14:textId="77777777" w:rsidR="006E1799" w:rsidRDefault="006E1799" w:rsidP="006E1799">
      <w:pPr>
        <w:jc w:val="both"/>
        <w:rPr>
          <w:rFonts w:ascii="Arial" w:hAnsi="Arial" w:cs="Arial"/>
          <w:sz w:val="24"/>
          <w:szCs w:val="24"/>
        </w:rPr>
      </w:pPr>
    </w:p>
    <w:p w14:paraId="65A64C56" w14:textId="2CCD2B27" w:rsidR="002743CA" w:rsidRDefault="006E1799" w:rsidP="00B37E0A">
      <w:pPr>
        <w:ind w:left="-567"/>
        <w:jc w:val="both"/>
        <w:rPr>
          <w:rFonts w:ascii="Arial" w:hAnsi="Arial" w:cs="Arial"/>
          <w:sz w:val="24"/>
          <w:szCs w:val="24"/>
        </w:rPr>
      </w:pPr>
      <w:r w:rsidRPr="00417E51">
        <w:rPr>
          <w:rFonts w:ascii="Arial" w:hAnsi="Arial" w:cs="Arial"/>
          <w:sz w:val="24"/>
          <w:szCs w:val="24"/>
        </w:rPr>
        <w:t xml:space="preserve">De las causas penales concluidas en </w:t>
      </w:r>
      <w:r w:rsidR="002743CA">
        <w:rPr>
          <w:rFonts w:ascii="Arial" w:hAnsi="Arial" w:cs="Arial"/>
          <w:sz w:val="24"/>
          <w:szCs w:val="24"/>
        </w:rPr>
        <w:t>los juzgados de distrito (Sistema T</w:t>
      </w:r>
      <w:r w:rsidR="00C051D8">
        <w:rPr>
          <w:rFonts w:ascii="Arial" w:hAnsi="Arial" w:cs="Arial"/>
          <w:sz w:val="24"/>
          <w:szCs w:val="24"/>
        </w:rPr>
        <w:t>radicional), 44.0%</w:t>
      </w:r>
      <w:r w:rsidR="00DC2415">
        <w:rPr>
          <w:rFonts w:ascii="Arial" w:hAnsi="Arial" w:cs="Arial"/>
          <w:sz w:val="24"/>
          <w:szCs w:val="24"/>
        </w:rPr>
        <w:t xml:space="preserve">    </w:t>
      </w:r>
      <w:r w:rsidR="00C051D8">
        <w:rPr>
          <w:rFonts w:ascii="Arial" w:hAnsi="Arial" w:cs="Arial"/>
          <w:sz w:val="24"/>
          <w:szCs w:val="24"/>
        </w:rPr>
        <w:t xml:space="preserve"> (2</w:t>
      </w:r>
      <w:r w:rsidRPr="00417E51">
        <w:rPr>
          <w:rFonts w:ascii="Arial" w:hAnsi="Arial" w:cs="Arial"/>
          <w:sz w:val="24"/>
          <w:szCs w:val="24"/>
        </w:rPr>
        <w:t xml:space="preserve"> 233) </w:t>
      </w:r>
      <w:r w:rsidR="00EE7395">
        <w:rPr>
          <w:rFonts w:ascii="Arial" w:hAnsi="Arial" w:cs="Arial"/>
          <w:sz w:val="24"/>
          <w:szCs w:val="24"/>
        </w:rPr>
        <w:t>finalizó</w:t>
      </w:r>
      <w:r w:rsidRPr="00417E51">
        <w:rPr>
          <w:rFonts w:ascii="Arial" w:hAnsi="Arial" w:cs="Arial"/>
          <w:sz w:val="24"/>
          <w:szCs w:val="24"/>
        </w:rPr>
        <w:t xml:space="preserve"> con sentencia</w:t>
      </w:r>
      <w:r>
        <w:rPr>
          <w:rFonts w:ascii="Arial" w:hAnsi="Arial" w:cs="Arial"/>
          <w:sz w:val="24"/>
          <w:szCs w:val="24"/>
        </w:rPr>
        <w:t xml:space="preserve"> (37.1% en sentido condenatorio</w:t>
      </w:r>
      <w:r w:rsidR="00F36237">
        <w:rPr>
          <w:rFonts w:ascii="Arial" w:hAnsi="Arial" w:cs="Arial"/>
          <w:sz w:val="24"/>
          <w:szCs w:val="24"/>
        </w:rPr>
        <w:t xml:space="preserve"> y 6.9% en sentido absolutorio); </w:t>
      </w:r>
      <w:r w:rsidRPr="00417E51">
        <w:rPr>
          <w:rFonts w:ascii="Arial" w:hAnsi="Arial" w:cs="Arial"/>
          <w:sz w:val="24"/>
          <w:szCs w:val="24"/>
        </w:rPr>
        <w:t>8.3% (420) tuvo una resolución que puso fin a la instancia, tales como negativa de orden, incompetencia, impedimento y otra; mientras que 7.6% (382</w:t>
      </w:r>
      <w:r w:rsidR="00FE50A1">
        <w:rPr>
          <w:rFonts w:ascii="Arial" w:hAnsi="Arial" w:cs="Arial"/>
          <w:sz w:val="24"/>
          <w:szCs w:val="24"/>
        </w:rPr>
        <w:t>) correspondió a sobreseimiento.</w:t>
      </w:r>
      <w:r w:rsidR="001B1F99">
        <w:rPr>
          <w:rFonts w:ascii="Arial" w:hAnsi="Arial" w:cs="Arial"/>
          <w:sz w:val="24"/>
          <w:szCs w:val="24"/>
        </w:rPr>
        <w:t xml:space="preserve"> A manera de comparativo, en las siguientes gráficas se muestran las cifras para 2019 y 2018.</w:t>
      </w:r>
    </w:p>
    <w:p w14:paraId="37CB61EC" w14:textId="77777777" w:rsidR="006E1799" w:rsidRPr="00DE1481" w:rsidRDefault="006E1799" w:rsidP="00623F76">
      <w:pPr>
        <w:pStyle w:val="Default"/>
        <w:spacing w:after="10"/>
        <w:ind w:left="-567"/>
        <w:jc w:val="center"/>
        <w:rPr>
          <w:b/>
          <w:bCs/>
          <w:i/>
          <w:iCs/>
          <w:sz w:val="20"/>
          <w:szCs w:val="20"/>
          <w:lang w:val="es-ES_tradnl"/>
        </w:rPr>
      </w:pPr>
      <w:r w:rsidRPr="00173D8F">
        <w:rPr>
          <w:b/>
          <w:bCs/>
          <w:i/>
          <w:iCs/>
          <w:color w:val="4472C4" w:themeColor="accent1"/>
          <w:sz w:val="20"/>
        </w:rPr>
        <w:t xml:space="preserve">Gráfica </w:t>
      </w:r>
      <w:r w:rsidR="000713B9">
        <w:rPr>
          <w:b/>
          <w:bCs/>
          <w:i/>
          <w:iCs/>
          <w:color w:val="4472C4" w:themeColor="accent1"/>
          <w:sz w:val="20"/>
        </w:rPr>
        <w:t>19</w:t>
      </w:r>
      <w:r w:rsidRPr="00173D8F">
        <w:rPr>
          <w:b/>
          <w:bCs/>
          <w:i/>
          <w:iCs/>
          <w:color w:val="4472C4" w:themeColor="accent1"/>
          <w:sz w:val="20"/>
        </w:rPr>
        <w:t xml:space="preserve">. </w:t>
      </w:r>
      <w:r w:rsidR="00DE1481" w:rsidRPr="00DE1481">
        <w:rPr>
          <w:b/>
          <w:bCs/>
          <w:i/>
          <w:iCs/>
          <w:color w:val="4472C4" w:themeColor="accent1"/>
          <w:sz w:val="20"/>
        </w:rPr>
        <w:t>Distribución porcentual de causas penales concluidas</w:t>
      </w:r>
      <w:r w:rsidR="002743CA">
        <w:rPr>
          <w:b/>
          <w:bCs/>
          <w:i/>
          <w:iCs/>
          <w:color w:val="4472C4" w:themeColor="accent1"/>
          <w:sz w:val="20"/>
        </w:rPr>
        <w:t xml:space="preserve"> en los juzgados de distrito</w:t>
      </w:r>
      <w:r w:rsidR="00DE1481" w:rsidRPr="00DE1481">
        <w:rPr>
          <w:b/>
          <w:bCs/>
          <w:i/>
          <w:iCs/>
          <w:color w:val="4472C4" w:themeColor="accent1"/>
          <w:sz w:val="20"/>
        </w:rPr>
        <w:t xml:space="preserve"> </w:t>
      </w:r>
      <w:r w:rsidR="002743CA">
        <w:rPr>
          <w:b/>
          <w:bCs/>
          <w:i/>
          <w:iCs/>
          <w:color w:val="4472C4" w:themeColor="accent1"/>
          <w:sz w:val="20"/>
        </w:rPr>
        <w:t>(Sistema T</w:t>
      </w:r>
      <w:r w:rsidR="00DE1481" w:rsidRPr="00DE1481">
        <w:rPr>
          <w:b/>
          <w:bCs/>
          <w:i/>
          <w:iCs/>
          <w:color w:val="4472C4" w:themeColor="accent1"/>
          <w:sz w:val="20"/>
        </w:rPr>
        <w:t>radicional</w:t>
      </w:r>
      <w:r w:rsidR="00502E0F">
        <w:rPr>
          <w:b/>
          <w:bCs/>
          <w:i/>
          <w:iCs/>
          <w:color w:val="4472C4" w:themeColor="accent1"/>
          <w:sz w:val="20"/>
        </w:rPr>
        <w:t>)</w:t>
      </w:r>
      <w:r w:rsidR="00DE1481" w:rsidRPr="00DE1481">
        <w:rPr>
          <w:b/>
          <w:bCs/>
          <w:i/>
          <w:iCs/>
          <w:color w:val="4472C4" w:themeColor="accent1"/>
          <w:sz w:val="20"/>
        </w:rPr>
        <w:t>, por tipo de conclusión, 2019</w:t>
      </w:r>
    </w:p>
    <w:p w14:paraId="10787D0B" w14:textId="77777777" w:rsidR="001A284A" w:rsidRPr="00265A37" w:rsidRDefault="00144121" w:rsidP="00AD417E">
      <w:pPr>
        <w:ind w:left="-284"/>
        <w:jc w:val="center"/>
        <w:rPr>
          <w:b/>
          <w:bCs/>
          <w:i/>
          <w:iCs/>
          <w:sz w:val="20"/>
          <w:szCs w:val="20"/>
        </w:rPr>
      </w:pPr>
      <w:r>
        <w:rPr>
          <w:b/>
          <w:bCs/>
          <w:i/>
          <w:iCs/>
          <w:noProof/>
          <w:sz w:val="20"/>
          <w:szCs w:val="20"/>
          <w:lang w:val="en-US"/>
        </w:rPr>
        <w:drawing>
          <wp:inline distT="0" distB="0" distL="0" distR="0" wp14:anchorId="405E3915" wp14:editId="79C0B98F">
            <wp:extent cx="5940425" cy="2782570"/>
            <wp:effectExtent l="0" t="0" r="3175" b="114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782570"/>
                    </a:xfrm>
                    <a:prstGeom prst="rect">
                      <a:avLst/>
                    </a:prstGeom>
                    <a:noFill/>
                    <a:ln>
                      <a:noFill/>
                    </a:ln>
                  </pic:spPr>
                </pic:pic>
              </a:graphicData>
            </a:graphic>
          </wp:inline>
        </w:drawing>
      </w:r>
    </w:p>
    <w:p w14:paraId="7961CE75" w14:textId="77777777" w:rsidR="00623F76" w:rsidRDefault="001B1F99" w:rsidP="006E1799">
      <w:pPr>
        <w:jc w:val="both"/>
        <w:rPr>
          <w:rFonts w:ascii="Arial" w:hAnsi="Arial" w:cs="Arial"/>
          <w:sz w:val="24"/>
          <w:szCs w:val="24"/>
        </w:rPr>
      </w:pPr>
      <w:r w:rsidRPr="00CF319C">
        <w:rPr>
          <w:sz w:val="16"/>
          <w:szCs w:val="16"/>
        </w:rPr>
        <w:t xml:space="preserve">Nota: </w:t>
      </w:r>
      <w:r>
        <w:rPr>
          <w:sz w:val="16"/>
          <w:szCs w:val="16"/>
        </w:rPr>
        <w:t>la suma de los porcentajes puede ser distinta al 100 por ciento, debido a</w:t>
      </w:r>
      <w:r w:rsidR="00C051D8">
        <w:rPr>
          <w:sz w:val="16"/>
          <w:szCs w:val="16"/>
        </w:rPr>
        <w:t>l redondeo de</w:t>
      </w:r>
      <w:r>
        <w:rPr>
          <w:sz w:val="16"/>
          <w:szCs w:val="16"/>
        </w:rPr>
        <w:t xml:space="preserve"> los decimales.</w:t>
      </w:r>
    </w:p>
    <w:p w14:paraId="383A58F0" w14:textId="77777777" w:rsidR="00A61E38" w:rsidRPr="00DE1481" w:rsidRDefault="00A61E38" w:rsidP="00A61E38">
      <w:pPr>
        <w:pStyle w:val="Default"/>
        <w:spacing w:after="10"/>
        <w:ind w:left="-567"/>
        <w:jc w:val="center"/>
        <w:rPr>
          <w:b/>
          <w:bCs/>
          <w:i/>
          <w:iCs/>
          <w:sz w:val="20"/>
          <w:szCs w:val="20"/>
          <w:lang w:val="es-ES_tradnl"/>
        </w:rPr>
      </w:pPr>
      <w:r w:rsidRPr="00173D8F">
        <w:rPr>
          <w:b/>
          <w:bCs/>
          <w:i/>
          <w:iCs/>
          <w:color w:val="4472C4" w:themeColor="accent1"/>
          <w:sz w:val="20"/>
        </w:rPr>
        <w:t xml:space="preserve">Gráfica </w:t>
      </w:r>
      <w:r>
        <w:rPr>
          <w:b/>
          <w:bCs/>
          <w:i/>
          <w:iCs/>
          <w:color w:val="4472C4" w:themeColor="accent1"/>
          <w:sz w:val="20"/>
        </w:rPr>
        <w:t>20</w:t>
      </w:r>
      <w:r w:rsidRPr="00173D8F">
        <w:rPr>
          <w:b/>
          <w:bCs/>
          <w:i/>
          <w:iCs/>
          <w:color w:val="4472C4" w:themeColor="accent1"/>
          <w:sz w:val="20"/>
        </w:rPr>
        <w:t xml:space="preserve">. </w:t>
      </w:r>
      <w:r w:rsidRPr="00DE1481">
        <w:rPr>
          <w:b/>
          <w:bCs/>
          <w:i/>
          <w:iCs/>
          <w:color w:val="4472C4" w:themeColor="accent1"/>
          <w:sz w:val="20"/>
        </w:rPr>
        <w:t>Distribución porcentual de causas penales concluidas</w:t>
      </w:r>
      <w:r>
        <w:rPr>
          <w:b/>
          <w:bCs/>
          <w:i/>
          <w:iCs/>
          <w:color w:val="4472C4" w:themeColor="accent1"/>
          <w:sz w:val="20"/>
        </w:rPr>
        <w:t xml:space="preserve"> en los juzgados de distrito</w:t>
      </w:r>
      <w:r w:rsidRPr="00DE1481">
        <w:rPr>
          <w:b/>
          <w:bCs/>
          <w:i/>
          <w:iCs/>
          <w:color w:val="4472C4" w:themeColor="accent1"/>
          <w:sz w:val="20"/>
        </w:rPr>
        <w:t xml:space="preserve"> </w:t>
      </w:r>
      <w:r>
        <w:rPr>
          <w:b/>
          <w:bCs/>
          <w:i/>
          <w:iCs/>
          <w:color w:val="4472C4" w:themeColor="accent1"/>
          <w:sz w:val="20"/>
        </w:rPr>
        <w:t>(Sistema T</w:t>
      </w:r>
      <w:r w:rsidRPr="00DE1481">
        <w:rPr>
          <w:b/>
          <w:bCs/>
          <w:i/>
          <w:iCs/>
          <w:color w:val="4472C4" w:themeColor="accent1"/>
          <w:sz w:val="20"/>
        </w:rPr>
        <w:t>radicional</w:t>
      </w:r>
      <w:r>
        <w:rPr>
          <w:b/>
          <w:bCs/>
          <w:i/>
          <w:iCs/>
          <w:color w:val="4472C4" w:themeColor="accent1"/>
          <w:sz w:val="20"/>
        </w:rPr>
        <w:t>)</w:t>
      </w:r>
      <w:r w:rsidRPr="00DE1481">
        <w:rPr>
          <w:b/>
          <w:bCs/>
          <w:i/>
          <w:iCs/>
          <w:color w:val="4472C4" w:themeColor="accent1"/>
          <w:sz w:val="20"/>
        </w:rPr>
        <w:t>, por tipo de conclusión, 201</w:t>
      </w:r>
      <w:r>
        <w:rPr>
          <w:b/>
          <w:bCs/>
          <w:i/>
          <w:iCs/>
          <w:color w:val="4472C4" w:themeColor="accent1"/>
          <w:sz w:val="20"/>
        </w:rPr>
        <w:t>8</w:t>
      </w:r>
    </w:p>
    <w:p w14:paraId="3172C189" w14:textId="77777777" w:rsidR="00A61E38" w:rsidRPr="00A61E38" w:rsidRDefault="00A61E38" w:rsidP="00B37E0A">
      <w:pPr>
        <w:ind w:left="-567"/>
        <w:jc w:val="both"/>
        <w:rPr>
          <w:rFonts w:ascii="Arial" w:hAnsi="Arial" w:cs="Arial"/>
          <w:sz w:val="24"/>
          <w:szCs w:val="24"/>
          <w:lang w:val="es-ES_tradnl"/>
        </w:rPr>
      </w:pPr>
    </w:p>
    <w:p w14:paraId="1A777026" w14:textId="77777777" w:rsidR="00A61E38" w:rsidRDefault="00144121" w:rsidP="001B1F99">
      <w:pPr>
        <w:ind w:left="-567"/>
        <w:jc w:val="center"/>
        <w:rPr>
          <w:rFonts w:ascii="Arial" w:hAnsi="Arial" w:cs="Arial"/>
          <w:sz w:val="24"/>
          <w:szCs w:val="24"/>
        </w:rPr>
      </w:pPr>
      <w:r>
        <w:rPr>
          <w:rFonts w:ascii="Arial" w:hAnsi="Arial" w:cs="Arial"/>
          <w:noProof/>
          <w:sz w:val="24"/>
          <w:szCs w:val="24"/>
          <w:lang w:val="en-US"/>
        </w:rPr>
        <w:drawing>
          <wp:inline distT="0" distB="0" distL="0" distR="0" wp14:anchorId="719BA878" wp14:editId="7B9AF7CE">
            <wp:extent cx="5904230" cy="2715895"/>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4230" cy="2715895"/>
                    </a:xfrm>
                    <a:prstGeom prst="rect">
                      <a:avLst/>
                    </a:prstGeom>
                    <a:noFill/>
                    <a:ln>
                      <a:noFill/>
                    </a:ln>
                  </pic:spPr>
                </pic:pic>
              </a:graphicData>
            </a:graphic>
          </wp:inline>
        </w:drawing>
      </w:r>
    </w:p>
    <w:p w14:paraId="7316314D" w14:textId="77777777" w:rsidR="00AD417E" w:rsidRDefault="00AD417E" w:rsidP="00A61E38">
      <w:pPr>
        <w:ind w:left="-567"/>
        <w:jc w:val="both"/>
        <w:rPr>
          <w:rFonts w:ascii="Arial" w:hAnsi="Arial" w:cs="Arial"/>
          <w:sz w:val="24"/>
          <w:szCs w:val="24"/>
        </w:rPr>
      </w:pPr>
    </w:p>
    <w:p w14:paraId="356E4C76" w14:textId="77777777" w:rsidR="006E1799" w:rsidRDefault="00C051D8" w:rsidP="00A61E38">
      <w:pPr>
        <w:ind w:left="-567"/>
        <w:jc w:val="both"/>
        <w:rPr>
          <w:rFonts w:ascii="Arial" w:hAnsi="Arial" w:cs="Arial"/>
          <w:sz w:val="24"/>
          <w:szCs w:val="24"/>
        </w:rPr>
      </w:pPr>
      <w:r>
        <w:rPr>
          <w:rFonts w:ascii="Arial" w:hAnsi="Arial" w:cs="Arial"/>
          <w:sz w:val="24"/>
          <w:szCs w:val="24"/>
        </w:rPr>
        <w:t>Respecto de las 13</w:t>
      </w:r>
      <w:r w:rsidR="006E1799" w:rsidRPr="00B8230D">
        <w:rPr>
          <w:rFonts w:ascii="Arial" w:hAnsi="Arial" w:cs="Arial"/>
          <w:sz w:val="24"/>
          <w:szCs w:val="24"/>
        </w:rPr>
        <w:t xml:space="preserve"> 552 </w:t>
      </w:r>
      <w:r w:rsidR="00AB0FE5">
        <w:rPr>
          <w:rFonts w:ascii="Arial" w:hAnsi="Arial" w:cs="Arial"/>
          <w:sz w:val="24"/>
          <w:szCs w:val="24"/>
        </w:rPr>
        <w:t xml:space="preserve">conclusiones y/o determinaciones efectuadas en las </w:t>
      </w:r>
      <w:r w:rsidR="006E1799" w:rsidRPr="00B8230D">
        <w:rPr>
          <w:rFonts w:ascii="Arial" w:hAnsi="Arial" w:cs="Arial"/>
          <w:sz w:val="24"/>
          <w:szCs w:val="24"/>
        </w:rPr>
        <w:t>causas penales concluidas</w:t>
      </w:r>
      <w:r w:rsidR="00AB0FE5">
        <w:rPr>
          <w:rFonts w:ascii="Arial" w:hAnsi="Arial" w:cs="Arial"/>
          <w:sz w:val="24"/>
          <w:szCs w:val="24"/>
        </w:rPr>
        <w:t xml:space="preserve"> (egresadas) por los jueces de control o garantías del Sistema Penal Acusatorio, 50.5% </w:t>
      </w:r>
      <w:r w:rsidR="006E1799" w:rsidRPr="00B8230D">
        <w:rPr>
          <w:rFonts w:ascii="Arial" w:hAnsi="Arial" w:cs="Arial"/>
          <w:sz w:val="24"/>
          <w:szCs w:val="24"/>
        </w:rPr>
        <w:t>concluyó por sentencias definitivas condenatorias en procedimiento abreviado, seguidas por suspensión condicional del proceso (20.6%) y acuerdos reparatorios (2.5</w:t>
      </w:r>
      <w:r w:rsidR="001930D2">
        <w:rPr>
          <w:rFonts w:ascii="Arial" w:hAnsi="Arial" w:cs="Arial"/>
          <w:sz w:val="24"/>
          <w:szCs w:val="24"/>
        </w:rPr>
        <w:t xml:space="preserve"> por ciento</w:t>
      </w:r>
      <w:r w:rsidR="006E1799" w:rsidRPr="00B8230D">
        <w:rPr>
          <w:rFonts w:ascii="Arial" w:hAnsi="Arial" w:cs="Arial"/>
          <w:sz w:val="24"/>
          <w:szCs w:val="24"/>
        </w:rPr>
        <w:t>).</w:t>
      </w:r>
      <w:r w:rsidR="001B1F99">
        <w:rPr>
          <w:rFonts w:ascii="Arial" w:hAnsi="Arial" w:cs="Arial"/>
          <w:sz w:val="24"/>
          <w:szCs w:val="24"/>
        </w:rPr>
        <w:t xml:space="preserve"> A continuación</w:t>
      </w:r>
      <w:r w:rsidR="00EE7395">
        <w:rPr>
          <w:rFonts w:ascii="Arial" w:hAnsi="Arial" w:cs="Arial"/>
          <w:sz w:val="24"/>
          <w:szCs w:val="24"/>
        </w:rPr>
        <w:t>,</w:t>
      </w:r>
      <w:r w:rsidR="001B1F99">
        <w:rPr>
          <w:rFonts w:ascii="Arial" w:hAnsi="Arial" w:cs="Arial"/>
          <w:sz w:val="24"/>
          <w:szCs w:val="24"/>
        </w:rPr>
        <w:t xml:space="preserve"> se presentan los datos para 2019 en contraste con 2018.</w:t>
      </w:r>
    </w:p>
    <w:p w14:paraId="63781D83" w14:textId="77777777" w:rsidR="006E1799" w:rsidRDefault="006E1799" w:rsidP="006E1799">
      <w:pPr>
        <w:jc w:val="both"/>
        <w:rPr>
          <w:rFonts w:ascii="Arial" w:hAnsi="Arial" w:cs="Arial"/>
          <w:sz w:val="24"/>
          <w:szCs w:val="24"/>
        </w:rPr>
      </w:pPr>
    </w:p>
    <w:p w14:paraId="121111D8" w14:textId="77777777" w:rsidR="006E1799" w:rsidRPr="00173D8F" w:rsidRDefault="006E1799" w:rsidP="006E1799">
      <w:pPr>
        <w:pStyle w:val="Default"/>
        <w:spacing w:after="10"/>
        <w:ind w:left="-567"/>
        <w:jc w:val="center"/>
        <w:rPr>
          <w:b/>
          <w:bCs/>
          <w:i/>
          <w:iCs/>
          <w:color w:val="4472C4" w:themeColor="accent1"/>
          <w:sz w:val="20"/>
        </w:rPr>
      </w:pPr>
      <w:bookmarkStart w:id="2" w:name="OLE_LINK1"/>
      <w:r w:rsidRPr="00173D8F">
        <w:rPr>
          <w:b/>
          <w:bCs/>
          <w:i/>
          <w:iCs/>
          <w:color w:val="4472C4" w:themeColor="accent1"/>
          <w:sz w:val="20"/>
        </w:rPr>
        <w:t xml:space="preserve">Gráfica </w:t>
      </w:r>
      <w:r w:rsidR="0022460C">
        <w:rPr>
          <w:b/>
          <w:bCs/>
          <w:i/>
          <w:iCs/>
          <w:color w:val="4472C4" w:themeColor="accent1"/>
          <w:sz w:val="20"/>
        </w:rPr>
        <w:t>21</w:t>
      </w:r>
      <w:r w:rsidRPr="00173D8F">
        <w:rPr>
          <w:b/>
          <w:bCs/>
          <w:i/>
          <w:iCs/>
          <w:color w:val="4472C4" w:themeColor="accent1"/>
          <w:sz w:val="20"/>
        </w:rPr>
        <w:t xml:space="preserve">. Distribución porcentual de </w:t>
      </w:r>
      <w:r w:rsidR="00AB0FE5">
        <w:rPr>
          <w:b/>
          <w:bCs/>
          <w:i/>
          <w:iCs/>
          <w:color w:val="4472C4" w:themeColor="accent1"/>
          <w:sz w:val="20"/>
        </w:rPr>
        <w:t>las conclusiones y/o determinaciones efectuadas en las causas penales concluidas por los jueces de control o garantías (Sistema Penal A</w:t>
      </w:r>
      <w:r w:rsidRPr="00173D8F">
        <w:rPr>
          <w:b/>
          <w:bCs/>
          <w:i/>
          <w:iCs/>
          <w:color w:val="4472C4" w:themeColor="accent1"/>
          <w:sz w:val="20"/>
        </w:rPr>
        <w:t>cusatorio</w:t>
      </w:r>
      <w:r w:rsidR="00AB0FE5">
        <w:rPr>
          <w:b/>
          <w:bCs/>
          <w:i/>
          <w:iCs/>
          <w:color w:val="4472C4" w:themeColor="accent1"/>
          <w:sz w:val="20"/>
        </w:rPr>
        <w:t>), por tipo</w:t>
      </w:r>
      <w:r w:rsidRPr="00173D8F">
        <w:rPr>
          <w:b/>
          <w:bCs/>
          <w:i/>
          <w:iCs/>
          <w:color w:val="4472C4" w:themeColor="accent1"/>
          <w:sz w:val="20"/>
        </w:rPr>
        <w:t>, 2019</w:t>
      </w:r>
    </w:p>
    <w:bookmarkEnd w:id="2"/>
    <w:p w14:paraId="33E64A7C" w14:textId="77777777" w:rsidR="006E1799" w:rsidRPr="00173D8F" w:rsidRDefault="00144121" w:rsidP="006E1799">
      <w:pPr>
        <w:jc w:val="center"/>
        <w:rPr>
          <w:sz w:val="24"/>
          <w:szCs w:val="24"/>
        </w:rPr>
      </w:pPr>
      <w:r>
        <w:rPr>
          <w:noProof/>
          <w:sz w:val="24"/>
          <w:szCs w:val="24"/>
          <w:lang w:val="en-US"/>
        </w:rPr>
        <w:drawing>
          <wp:inline distT="0" distB="0" distL="0" distR="0" wp14:anchorId="03218F8D" wp14:editId="398CD57C">
            <wp:extent cx="5940425" cy="224028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240280"/>
                    </a:xfrm>
                    <a:prstGeom prst="rect">
                      <a:avLst/>
                    </a:prstGeom>
                    <a:noFill/>
                    <a:ln>
                      <a:noFill/>
                    </a:ln>
                  </pic:spPr>
                </pic:pic>
              </a:graphicData>
            </a:graphic>
          </wp:inline>
        </w:drawing>
      </w:r>
    </w:p>
    <w:p w14:paraId="24C447AC" w14:textId="77777777" w:rsidR="00892167" w:rsidRPr="00892167" w:rsidRDefault="006E1799" w:rsidP="00892167">
      <w:pPr>
        <w:rPr>
          <w:sz w:val="16"/>
          <w:szCs w:val="16"/>
        </w:rPr>
      </w:pPr>
      <w:r w:rsidRPr="00CF319C">
        <w:rPr>
          <w:sz w:val="16"/>
          <w:szCs w:val="16"/>
        </w:rPr>
        <w:t xml:space="preserve">Nota: </w:t>
      </w:r>
      <w:r>
        <w:rPr>
          <w:sz w:val="16"/>
          <w:szCs w:val="16"/>
        </w:rPr>
        <w:t>la suma de los porcentajes puede ser distinta al 100 por ciento, debido a</w:t>
      </w:r>
      <w:r w:rsidR="00C051D8">
        <w:rPr>
          <w:sz w:val="16"/>
          <w:szCs w:val="16"/>
        </w:rPr>
        <w:t>l redondeo de</w:t>
      </w:r>
      <w:r>
        <w:rPr>
          <w:sz w:val="16"/>
          <w:szCs w:val="16"/>
        </w:rPr>
        <w:t xml:space="preserve"> los decimales.</w:t>
      </w:r>
      <w:r w:rsidR="00892167">
        <w:rPr>
          <w:sz w:val="16"/>
          <w:szCs w:val="16"/>
        </w:rPr>
        <w:t xml:space="preserve"> No contó con datos o elemento para responder respecto de aperturas de juicio oral.</w:t>
      </w:r>
    </w:p>
    <w:p w14:paraId="18FE560C" w14:textId="77777777" w:rsidR="00892167" w:rsidRDefault="00892167" w:rsidP="00892167">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Pr>
          <w:b/>
          <w:bCs/>
          <w:i/>
          <w:iCs/>
          <w:color w:val="4472C4" w:themeColor="accent1"/>
          <w:sz w:val="20"/>
        </w:rPr>
        <w:t>22</w:t>
      </w:r>
      <w:r w:rsidRPr="00173D8F">
        <w:rPr>
          <w:b/>
          <w:bCs/>
          <w:i/>
          <w:iCs/>
          <w:color w:val="4472C4" w:themeColor="accent1"/>
          <w:sz w:val="20"/>
        </w:rPr>
        <w:t xml:space="preserve">. Distribución porcentual de </w:t>
      </w:r>
      <w:r>
        <w:rPr>
          <w:b/>
          <w:bCs/>
          <w:i/>
          <w:iCs/>
          <w:color w:val="4472C4" w:themeColor="accent1"/>
          <w:sz w:val="20"/>
        </w:rPr>
        <w:t>las conclusiones y/o determinaciones efectuadas en las causas penales concluidas por los jueces de control o garantías (Sistema Penal A</w:t>
      </w:r>
      <w:r w:rsidRPr="00173D8F">
        <w:rPr>
          <w:b/>
          <w:bCs/>
          <w:i/>
          <w:iCs/>
          <w:color w:val="4472C4" w:themeColor="accent1"/>
          <w:sz w:val="20"/>
        </w:rPr>
        <w:t>cusatorio</w:t>
      </w:r>
      <w:r>
        <w:rPr>
          <w:b/>
          <w:bCs/>
          <w:i/>
          <w:iCs/>
          <w:color w:val="4472C4" w:themeColor="accent1"/>
          <w:sz w:val="20"/>
        </w:rPr>
        <w:t>), por tipo, 2018</w:t>
      </w:r>
    </w:p>
    <w:p w14:paraId="7037C58D" w14:textId="77777777" w:rsidR="00892167" w:rsidRPr="00173D8F" w:rsidRDefault="00892167" w:rsidP="00892167">
      <w:pPr>
        <w:pStyle w:val="Default"/>
        <w:spacing w:after="10"/>
        <w:ind w:left="-567"/>
        <w:jc w:val="center"/>
        <w:rPr>
          <w:b/>
          <w:bCs/>
          <w:i/>
          <w:iCs/>
          <w:color w:val="4472C4" w:themeColor="accent1"/>
          <w:sz w:val="20"/>
        </w:rPr>
      </w:pPr>
    </w:p>
    <w:p w14:paraId="26A29F18" w14:textId="77777777" w:rsidR="00892167" w:rsidRDefault="00144121" w:rsidP="00892167">
      <w:pPr>
        <w:ind w:left="-567"/>
        <w:jc w:val="center"/>
        <w:rPr>
          <w:rFonts w:ascii="Arial" w:hAnsi="Arial" w:cs="Arial"/>
          <w:sz w:val="24"/>
          <w:szCs w:val="24"/>
        </w:rPr>
      </w:pPr>
      <w:r>
        <w:rPr>
          <w:rFonts w:ascii="Arial" w:hAnsi="Arial" w:cs="Arial"/>
          <w:noProof/>
          <w:sz w:val="24"/>
          <w:szCs w:val="24"/>
          <w:lang w:val="en-US"/>
        </w:rPr>
        <w:drawing>
          <wp:inline distT="0" distB="0" distL="0" distR="0" wp14:anchorId="6AE6D7E7" wp14:editId="34F5B24E">
            <wp:extent cx="5940425" cy="2277110"/>
            <wp:effectExtent l="0" t="0" r="317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277110"/>
                    </a:xfrm>
                    <a:prstGeom prst="rect">
                      <a:avLst/>
                    </a:prstGeom>
                    <a:noFill/>
                    <a:ln>
                      <a:noFill/>
                    </a:ln>
                  </pic:spPr>
                </pic:pic>
              </a:graphicData>
            </a:graphic>
          </wp:inline>
        </w:drawing>
      </w:r>
    </w:p>
    <w:p w14:paraId="47BE32B6" w14:textId="77777777" w:rsidR="00892167" w:rsidRDefault="00A51C4E" w:rsidP="001B1F99">
      <w:pPr>
        <w:tabs>
          <w:tab w:val="left" w:pos="6690"/>
        </w:tabs>
        <w:rPr>
          <w:sz w:val="16"/>
          <w:szCs w:val="16"/>
        </w:rPr>
      </w:pPr>
      <w:r w:rsidRPr="00CF319C">
        <w:rPr>
          <w:sz w:val="16"/>
          <w:szCs w:val="16"/>
        </w:rPr>
        <w:t xml:space="preserve">Nota: </w:t>
      </w:r>
      <w:r>
        <w:rPr>
          <w:sz w:val="16"/>
          <w:szCs w:val="16"/>
        </w:rPr>
        <w:t>la suma de los porcentajes puede ser distinta al 100 por</w:t>
      </w:r>
      <w:r w:rsidR="00506E90">
        <w:rPr>
          <w:sz w:val="16"/>
          <w:szCs w:val="16"/>
        </w:rPr>
        <w:t xml:space="preserve"> ciento, debido </w:t>
      </w:r>
      <w:r w:rsidR="00C051D8">
        <w:rPr>
          <w:sz w:val="16"/>
          <w:szCs w:val="16"/>
        </w:rPr>
        <w:t>al redondeo de</w:t>
      </w:r>
      <w:r w:rsidR="00506E90">
        <w:rPr>
          <w:sz w:val="16"/>
          <w:szCs w:val="16"/>
        </w:rPr>
        <w:t xml:space="preserve"> los decimales</w:t>
      </w:r>
      <w:r>
        <w:rPr>
          <w:sz w:val="16"/>
          <w:szCs w:val="16"/>
        </w:rPr>
        <w:t>.</w:t>
      </w:r>
      <w:r w:rsidR="001B1F99">
        <w:rPr>
          <w:sz w:val="16"/>
          <w:szCs w:val="16"/>
        </w:rPr>
        <w:tab/>
      </w:r>
    </w:p>
    <w:p w14:paraId="66AC4589" w14:textId="77777777" w:rsidR="00506E90" w:rsidRPr="00A51C4E" w:rsidRDefault="00506E90" w:rsidP="00A51C4E">
      <w:pPr>
        <w:rPr>
          <w:sz w:val="16"/>
          <w:szCs w:val="16"/>
        </w:rPr>
      </w:pPr>
    </w:p>
    <w:p w14:paraId="79F4754E" w14:textId="77777777" w:rsidR="001B1F99" w:rsidRDefault="001B1F99" w:rsidP="00B37E0A">
      <w:pPr>
        <w:ind w:left="-567"/>
        <w:jc w:val="both"/>
        <w:rPr>
          <w:rFonts w:ascii="Arial" w:hAnsi="Arial" w:cs="Arial"/>
          <w:sz w:val="24"/>
          <w:szCs w:val="24"/>
        </w:rPr>
      </w:pPr>
    </w:p>
    <w:p w14:paraId="324517B0" w14:textId="77777777" w:rsidR="006E1799" w:rsidRDefault="006E1799" w:rsidP="00B37E0A">
      <w:pPr>
        <w:ind w:left="-567"/>
        <w:jc w:val="both"/>
        <w:rPr>
          <w:rFonts w:ascii="Arial" w:hAnsi="Arial" w:cs="Arial"/>
          <w:sz w:val="24"/>
          <w:szCs w:val="24"/>
        </w:rPr>
      </w:pPr>
      <w:r w:rsidRPr="004463E6">
        <w:rPr>
          <w:rFonts w:ascii="Arial" w:hAnsi="Arial" w:cs="Arial"/>
          <w:sz w:val="24"/>
          <w:szCs w:val="24"/>
        </w:rPr>
        <w:t xml:space="preserve">En cuanto a las </w:t>
      </w:r>
      <w:r w:rsidR="00274D91" w:rsidRPr="00274D91">
        <w:rPr>
          <w:rFonts w:ascii="Arial" w:hAnsi="Arial" w:cs="Arial"/>
          <w:sz w:val="24"/>
          <w:szCs w:val="24"/>
        </w:rPr>
        <w:t>conclusiones y/o determinaciones efectuadas en las causas penales concluidas</w:t>
      </w:r>
      <w:r w:rsidR="00274D91">
        <w:rPr>
          <w:rFonts w:ascii="Arial" w:hAnsi="Arial" w:cs="Arial"/>
          <w:sz w:val="24"/>
          <w:szCs w:val="24"/>
        </w:rPr>
        <w:t xml:space="preserve"> por los jueces</w:t>
      </w:r>
      <w:r w:rsidRPr="004463E6">
        <w:rPr>
          <w:rFonts w:ascii="Arial" w:hAnsi="Arial" w:cs="Arial"/>
          <w:sz w:val="24"/>
          <w:szCs w:val="24"/>
        </w:rPr>
        <w:t xml:space="preserve"> de enjuiciamiento </w:t>
      </w:r>
      <w:r w:rsidR="00274D91">
        <w:rPr>
          <w:rFonts w:ascii="Arial" w:hAnsi="Arial" w:cs="Arial"/>
          <w:sz w:val="24"/>
          <w:szCs w:val="24"/>
        </w:rPr>
        <w:t>o juicio oral del Sistema Penal A</w:t>
      </w:r>
      <w:r w:rsidRPr="004463E6">
        <w:rPr>
          <w:rFonts w:ascii="Arial" w:hAnsi="Arial" w:cs="Arial"/>
          <w:sz w:val="24"/>
          <w:szCs w:val="24"/>
        </w:rPr>
        <w:t>cusatorio, 53.9% correspondió a sentencia condenatoria, seguidas de sentencia absolutoria (28.6%) y sobreseimiento (0.8</w:t>
      </w:r>
      <w:r w:rsidR="001930D2">
        <w:rPr>
          <w:rFonts w:ascii="Arial" w:hAnsi="Arial" w:cs="Arial"/>
          <w:sz w:val="24"/>
          <w:szCs w:val="24"/>
        </w:rPr>
        <w:t xml:space="preserve"> por ciento</w:t>
      </w:r>
      <w:r w:rsidRPr="004463E6">
        <w:rPr>
          <w:rFonts w:ascii="Arial" w:hAnsi="Arial" w:cs="Arial"/>
          <w:sz w:val="24"/>
          <w:szCs w:val="24"/>
        </w:rPr>
        <w:t>).</w:t>
      </w:r>
    </w:p>
    <w:p w14:paraId="1FAA9993" w14:textId="77777777" w:rsidR="006E1799" w:rsidRPr="00173D8F" w:rsidRDefault="006E1799" w:rsidP="006E1799">
      <w:pPr>
        <w:jc w:val="both"/>
        <w:rPr>
          <w:rFonts w:ascii="Arial" w:hAnsi="Arial" w:cs="Arial"/>
          <w:sz w:val="24"/>
          <w:szCs w:val="24"/>
        </w:rPr>
      </w:pPr>
    </w:p>
    <w:p w14:paraId="6ED25FAF" w14:textId="77777777" w:rsidR="006E1799" w:rsidRPr="00173D8F"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22460C">
        <w:rPr>
          <w:b/>
          <w:bCs/>
          <w:i/>
          <w:iCs/>
          <w:color w:val="4472C4" w:themeColor="accent1"/>
          <w:sz w:val="20"/>
        </w:rPr>
        <w:t>23</w:t>
      </w:r>
      <w:r w:rsidRPr="00173D8F">
        <w:rPr>
          <w:b/>
          <w:bCs/>
          <w:i/>
          <w:iCs/>
          <w:color w:val="4472C4" w:themeColor="accent1"/>
          <w:sz w:val="20"/>
        </w:rPr>
        <w:t xml:space="preserve">. </w:t>
      </w:r>
      <w:r w:rsidR="00274D91" w:rsidRPr="00173D8F">
        <w:rPr>
          <w:b/>
          <w:bCs/>
          <w:i/>
          <w:iCs/>
          <w:color w:val="4472C4" w:themeColor="accent1"/>
          <w:sz w:val="20"/>
        </w:rPr>
        <w:t xml:space="preserve">Distribución porcentual de </w:t>
      </w:r>
      <w:r w:rsidR="00274D91">
        <w:rPr>
          <w:b/>
          <w:bCs/>
          <w:i/>
          <w:iCs/>
          <w:color w:val="4472C4" w:themeColor="accent1"/>
          <w:sz w:val="20"/>
        </w:rPr>
        <w:t>las conclusiones y/o determinaciones efectuadas en las causas penales concluidas por los jueces de enjuiciamiento del (Sistema Penal A</w:t>
      </w:r>
      <w:r w:rsidRPr="00173D8F">
        <w:rPr>
          <w:b/>
          <w:bCs/>
          <w:i/>
          <w:iCs/>
          <w:color w:val="4472C4" w:themeColor="accent1"/>
          <w:sz w:val="20"/>
        </w:rPr>
        <w:t>cusatorio</w:t>
      </w:r>
      <w:r w:rsidR="00274D91">
        <w:rPr>
          <w:b/>
          <w:bCs/>
          <w:i/>
          <w:iCs/>
          <w:color w:val="4472C4" w:themeColor="accent1"/>
          <w:sz w:val="20"/>
        </w:rPr>
        <w:t>), por tipo</w:t>
      </w:r>
      <w:r w:rsidRPr="00173D8F">
        <w:rPr>
          <w:b/>
          <w:bCs/>
          <w:i/>
          <w:iCs/>
          <w:color w:val="4472C4" w:themeColor="accent1"/>
          <w:sz w:val="20"/>
        </w:rPr>
        <w:t>, 2019</w:t>
      </w:r>
    </w:p>
    <w:p w14:paraId="17ADC120" w14:textId="77777777" w:rsidR="006E1799" w:rsidRDefault="006E1799" w:rsidP="006E1799">
      <w:pPr>
        <w:jc w:val="center"/>
        <w:rPr>
          <w:b/>
          <w:bCs/>
          <w:i/>
          <w:iCs/>
          <w:sz w:val="20"/>
          <w:szCs w:val="20"/>
        </w:rPr>
      </w:pPr>
    </w:p>
    <w:p w14:paraId="7FD6A889" w14:textId="77777777" w:rsidR="006E1799" w:rsidRDefault="00144121" w:rsidP="006E1799">
      <w:pPr>
        <w:jc w:val="center"/>
        <w:rPr>
          <w:b/>
          <w:bCs/>
          <w:i/>
          <w:iCs/>
          <w:sz w:val="20"/>
          <w:szCs w:val="20"/>
        </w:rPr>
      </w:pPr>
      <w:r>
        <w:rPr>
          <w:b/>
          <w:bCs/>
          <w:i/>
          <w:iCs/>
          <w:noProof/>
          <w:sz w:val="20"/>
          <w:szCs w:val="20"/>
          <w:lang w:val="en-US"/>
        </w:rPr>
        <w:drawing>
          <wp:inline distT="0" distB="0" distL="0" distR="0" wp14:anchorId="50C617B4" wp14:editId="5A882529">
            <wp:extent cx="4892040" cy="1911350"/>
            <wp:effectExtent l="0" t="0" r="1016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2040" cy="1911350"/>
                    </a:xfrm>
                    <a:prstGeom prst="rect">
                      <a:avLst/>
                    </a:prstGeom>
                    <a:noFill/>
                    <a:ln>
                      <a:noFill/>
                    </a:ln>
                  </pic:spPr>
                </pic:pic>
              </a:graphicData>
            </a:graphic>
          </wp:inline>
        </w:drawing>
      </w:r>
    </w:p>
    <w:p w14:paraId="690C8DA6" w14:textId="77777777" w:rsidR="006E1799" w:rsidRDefault="006E1799" w:rsidP="006E1799">
      <w:pPr>
        <w:jc w:val="both"/>
        <w:rPr>
          <w:rFonts w:ascii="Arial" w:hAnsi="Arial" w:cs="Arial"/>
          <w:b/>
          <w:bCs/>
          <w:sz w:val="24"/>
          <w:szCs w:val="24"/>
        </w:rPr>
      </w:pPr>
    </w:p>
    <w:p w14:paraId="21A2F924" w14:textId="77777777" w:rsidR="00892167" w:rsidRDefault="00892167" w:rsidP="00B37E0A">
      <w:pPr>
        <w:ind w:left="-567"/>
        <w:jc w:val="both"/>
        <w:rPr>
          <w:rFonts w:ascii="Arial" w:hAnsi="Arial" w:cs="Arial"/>
          <w:b/>
          <w:bCs/>
          <w:sz w:val="24"/>
          <w:szCs w:val="24"/>
        </w:rPr>
      </w:pPr>
    </w:p>
    <w:p w14:paraId="043C99C5" w14:textId="77777777" w:rsidR="00892167" w:rsidRDefault="00892167" w:rsidP="00B37E0A">
      <w:pPr>
        <w:ind w:left="-567"/>
        <w:jc w:val="both"/>
        <w:rPr>
          <w:rFonts w:ascii="Arial" w:hAnsi="Arial" w:cs="Arial"/>
          <w:b/>
          <w:bCs/>
          <w:sz w:val="24"/>
          <w:szCs w:val="24"/>
        </w:rPr>
      </w:pPr>
    </w:p>
    <w:p w14:paraId="23E3DD2E" w14:textId="77777777" w:rsidR="00892167" w:rsidRDefault="00892167" w:rsidP="00B37E0A">
      <w:pPr>
        <w:ind w:left="-567"/>
        <w:jc w:val="both"/>
        <w:rPr>
          <w:rFonts w:ascii="Arial" w:hAnsi="Arial" w:cs="Arial"/>
          <w:b/>
          <w:bCs/>
          <w:sz w:val="24"/>
          <w:szCs w:val="24"/>
        </w:rPr>
      </w:pPr>
    </w:p>
    <w:p w14:paraId="77A8F38B" w14:textId="77777777" w:rsidR="001B1F99" w:rsidRDefault="001B1F99" w:rsidP="00B37E0A">
      <w:pPr>
        <w:ind w:left="-567"/>
        <w:jc w:val="both"/>
        <w:rPr>
          <w:rFonts w:ascii="Arial" w:hAnsi="Arial" w:cs="Arial"/>
          <w:b/>
          <w:bCs/>
          <w:sz w:val="24"/>
          <w:szCs w:val="24"/>
        </w:rPr>
      </w:pPr>
    </w:p>
    <w:p w14:paraId="2794006D" w14:textId="77777777" w:rsidR="001B1F99" w:rsidRDefault="001B1F99" w:rsidP="00B37E0A">
      <w:pPr>
        <w:ind w:left="-567"/>
        <w:jc w:val="both"/>
        <w:rPr>
          <w:rFonts w:ascii="Arial" w:hAnsi="Arial" w:cs="Arial"/>
          <w:b/>
          <w:bCs/>
          <w:sz w:val="24"/>
          <w:szCs w:val="24"/>
        </w:rPr>
      </w:pPr>
    </w:p>
    <w:p w14:paraId="73E122D9" w14:textId="77777777" w:rsidR="001B1F99" w:rsidRDefault="001B1F99" w:rsidP="00B37E0A">
      <w:pPr>
        <w:ind w:left="-567"/>
        <w:jc w:val="both"/>
        <w:rPr>
          <w:rFonts w:ascii="Arial" w:hAnsi="Arial" w:cs="Arial"/>
          <w:b/>
          <w:bCs/>
          <w:sz w:val="24"/>
          <w:szCs w:val="24"/>
        </w:rPr>
      </w:pPr>
    </w:p>
    <w:p w14:paraId="1F02C317" w14:textId="77777777" w:rsidR="001B1F99" w:rsidRDefault="001B1F99" w:rsidP="00B37E0A">
      <w:pPr>
        <w:ind w:left="-567"/>
        <w:jc w:val="both"/>
        <w:rPr>
          <w:rFonts w:ascii="Arial" w:hAnsi="Arial" w:cs="Arial"/>
          <w:b/>
          <w:bCs/>
          <w:sz w:val="24"/>
          <w:szCs w:val="24"/>
        </w:rPr>
      </w:pPr>
    </w:p>
    <w:p w14:paraId="4802FE54" w14:textId="77777777" w:rsidR="001B1F99" w:rsidRDefault="001B1F99" w:rsidP="00B37E0A">
      <w:pPr>
        <w:ind w:left="-567"/>
        <w:jc w:val="both"/>
        <w:rPr>
          <w:rFonts w:ascii="Arial" w:hAnsi="Arial" w:cs="Arial"/>
          <w:b/>
          <w:bCs/>
          <w:sz w:val="24"/>
          <w:szCs w:val="24"/>
        </w:rPr>
      </w:pPr>
    </w:p>
    <w:p w14:paraId="35E3C677" w14:textId="77777777" w:rsidR="001B1F99" w:rsidRDefault="001B1F99" w:rsidP="00B37E0A">
      <w:pPr>
        <w:ind w:left="-567"/>
        <w:jc w:val="both"/>
        <w:rPr>
          <w:rFonts w:ascii="Arial" w:hAnsi="Arial" w:cs="Arial"/>
          <w:b/>
          <w:bCs/>
          <w:sz w:val="24"/>
          <w:szCs w:val="24"/>
        </w:rPr>
      </w:pPr>
    </w:p>
    <w:p w14:paraId="7E4196EC" w14:textId="77777777" w:rsidR="001B1F99" w:rsidRDefault="001B1F99" w:rsidP="00B37E0A">
      <w:pPr>
        <w:ind w:left="-567"/>
        <w:jc w:val="both"/>
        <w:rPr>
          <w:rFonts w:ascii="Arial" w:hAnsi="Arial" w:cs="Arial"/>
          <w:b/>
          <w:bCs/>
          <w:sz w:val="24"/>
          <w:szCs w:val="24"/>
        </w:rPr>
      </w:pPr>
    </w:p>
    <w:p w14:paraId="3547D7D1" w14:textId="77777777" w:rsidR="001B1F99" w:rsidRDefault="001B1F99" w:rsidP="00B37E0A">
      <w:pPr>
        <w:ind w:left="-567"/>
        <w:jc w:val="both"/>
        <w:rPr>
          <w:rFonts w:ascii="Arial" w:hAnsi="Arial" w:cs="Arial"/>
          <w:b/>
          <w:bCs/>
          <w:sz w:val="24"/>
          <w:szCs w:val="24"/>
        </w:rPr>
      </w:pPr>
    </w:p>
    <w:p w14:paraId="202F3EF9" w14:textId="77777777" w:rsidR="001B1F99" w:rsidRDefault="001B1F99" w:rsidP="00B37E0A">
      <w:pPr>
        <w:ind w:left="-567"/>
        <w:jc w:val="both"/>
        <w:rPr>
          <w:rFonts w:ascii="Arial" w:hAnsi="Arial" w:cs="Arial"/>
          <w:b/>
          <w:bCs/>
          <w:sz w:val="24"/>
          <w:szCs w:val="24"/>
        </w:rPr>
      </w:pPr>
    </w:p>
    <w:p w14:paraId="4F8FAC53" w14:textId="77777777" w:rsidR="001B1F99" w:rsidRDefault="001B1F99" w:rsidP="00B37E0A">
      <w:pPr>
        <w:ind w:left="-567"/>
        <w:jc w:val="both"/>
        <w:rPr>
          <w:rFonts w:ascii="Arial" w:hAnsi="Arial" w:cs="Arial"/>
          <w:b/>
          <w:bCs/>
          <w:sz w:val="24"/>
          <w:szCs w:val="24"/>
        </w:rPr>
      </w:pPr>
    </w:p>
    <w:p w14:paraId="55D2CC22" w14:textId="77777777" w:rsidR="001B1F99" w:rsidRDefault="001B1F99" w:rsidP="00B37E0A">
      <w:pPr>
        <w:ind w:left="-567"/>
        <w:jc w:val="both"/>
        <w:rPr>
          <w:rFonts w:ascii="Arial" w:hAnsi="Arial" w:cs="Arial"/>
          <w:b/>
          <w:bCs/>
          <w:sz w:val="24"/>
          <w:szCs w:val="24"/>
        </w:rPr>
      </w:pPr>
    </w:p>
    <w:p w14:paraId="12EE2858" w14:textId="77777777" w:rsidR="006E1799" w:rsidRPr="00BF055E" w:rsidRDefault="006E1799" w:rsidP="00B37E0A">
      <w:pPr>
        <w:ind w:left="-567"/>
        <w:jc w:val="both"/>
        <w:rPr>
          <w:rFonts w:ascii="Arial" w:hAnsi="Arial" w:cs="Arial"/>
          <w:b/>
          <w:bCs/>
          <w:sz w:val="24"/>
          <w:szCs w:val="24"/>
        </w:rPr>
      </w:pPr>
      <w:r w:rsidRPr="00BF055E">
        <w:rPr>
          <w:rFonts w:ascii="Arial" w:hAnsi="Arial" w:cs="Arial"/>
          <w:b/>
          <w:bCs/>
          <w:sz w:val="24"/>
          <w:szCs w:val="24"/>
        </w:rPr>
        <w:t>Delitos</w:t>
      </w:r>
    </w:p>
    <w:p w14:paraId="558E7256" w14:textId="77777777" w:rsidR="006E1799" w:rsidRPr="00BF055E" w:rsidRDefault="006E1799" w:rsidP="00AD417E">
      <w:pPr>
        <w:ind w:left="-567"/>
        <w:jc w:val="both"/>
        <w:rPr>
          <w:rFonts w:ascii="Arial" w:hAnsi="Arial" w:cs="Arial"/>
          <w:sz w:val="24"/>
          <w:szCs w:val="24"/>
        </w:rPr>
      </w:pPr>
      <w:r w:rsidRPr="00BF055E">
        <w:rPr>
          <w:rFonts w:ascii="Arial" w:hAnsi="Arial" w:cs="Arial"/>
          <w:sz w:val="24"/>
          <w:szCs w:val="24"/>
        </w:rPr>
        <w:t>Sobre los delitos registrados en las causas penales ingresadas, en 20</w:t>
      </w:r>
      <w:r w:rsidR="00C051D8">
        <w:rPr>
          <w:rFonts w:ascii="Arial" w:hAnsi="Arial" w:cs="Arial"/>
          <w:sz w:val="24"/>
          <w:szCs w:val="24"/>
        </w:rPr>
        <w:t>19 se reportó un total de 48 116; de ellos, 16</w:t>
      </w:r>
      <w:r w:rsidRPr="00BF055E">
        <w:rPr>
          <w:rFonts w:ascii="Arial" w:hAnsi="Arial" w:cs="Arial"/>
          <w:sz w:val="24"/>
          <w:szCs w:val="24"/>
        </w:rPr>
        <w:t xml:space="preserve"> 055</w:t>
      </w:r>
      <w:r>
        <w:rPr>
          <w:rFonts w:ascii="Arial" w:hAnsi="Arial" w:cs="Arial"/>
          <w:sz w:val="24"/>
          <w:szCs w:val="24"/>
        </w:rPr>
        <w:t xml:space="preserve"> (33.4%)</w:t>
      </w:r>
      <w:r w:rsidRPr="00BF055E">
        <w:rPr>
          <w:rFonts w:ascii="Arial" w:hAnsi="Arial" w:cs="Arial"/>
          <w:sz w:val="24"/>
          <w:szCs w:val="24"/>
        </w:rPr>
        <w:t xml:space="preserve"> ingresaron </w:t>
      </w:r>
      <w:r>
        <w:rPr>
          <w:rFonts w:ascii="Arial" w:hAnsi="Arial" w:cs="Arial"/>
          <w:sz w:val="24"/>
          <w:szCs w:val="24"/>
        </w:rPr>
        <w:t>mediante</w:t>
      </w:r>
      <w:r w:rsidR="00DE0B1B">
        <w:rPr>
          <w:rFonts w:ascii="Arial" w:hAnsi="Arial" w:cs="Arial"/>
          <w:sz w:val="24"/>
          <w:szCs w:val="24"/>
        </w:rPr>
        <w:t xml:space="preserve"> el Sistema T</w:t>
      </w:r>
      <w:r w:rsidRPr="00BF055E">
        <w:rPr>
          <w:rFonts w:ascii="Arial" w:hAnsi="Arial" w:cs="Arial"/>
          <w:sz w:val="24"/>
          <w:szCs w:val="24"/>
        </w:rPr>
        <w:t>radicional</w:t>
      </w:r>
      <w:r w:rsidR="00C051D8">
        <w:rPr>
          <w:rFonts w:ascii="Arial" w:hAnsi="Arial" w:cs="Arial"/>
          <w:sz w:val="24"/>
          <w:szCs w:val="24"/>
        </w:rPr>
        <w:t xml:space="preserve"> (juzgados de distrito) y 32</w:t>
      </w:r>
      <w:r w:rsidRPr="00BF055E">
        <w:rPr>
          <w:rFonts w:ascii="Arial" w:hAnsi="Arial" w:cs="Arial"/>
          <w:sz w:val="24"/>
          <w:szCs w:val="24"/>
        </w:rPr>
        <w:t xml:space="preserve"> 061</w:t>
      </w:r>
      <w:r>
        <w:rPr>
          <w:rFonts w:ascii="Arial" w:hAnsi="Arial" w:cs="Arial"/>
          <w:sz w:val="24"/>
          <w:szCs w:val="24"/>
        </w:rPr>
        <w:t xml:space="preserve"> (66.6%)</w:t>
      </w:r>
      <w:r w:rsidRPr="00BF055E">
        <w:rPr>
          <w:rFonts w:ascii="Arial" w:hAnsi="Arial" w:cs="Arial"/>
          <w:sz w:val="24"/>
          <w:szCs w:val="24"/>
        </w:rPr>
        <w:t xml:space="preserve"> </w:t>
      </w:r>
      <w:r>
        <w:rPr>
          <w:rFonts w:ascii="Arial" w:hAnsi="Arial" w:cs="Arial"/>
          <w:sz w:val="24"/>
          <w:szCs w:val="24"/>
        </w:rPr>
        <w:t>por medio d</w:t>
      </w:r>
      <w:r w:rsidR="00DE0B1B">
        <w:rPr>
          <w:rFonts w:ascii="Arial" w:hAnsi="Arial" w:cs="Arial"/>
          <w:sz w:val="24"/>
          <w:szCs w:val="24"/>
        </w:rPr>
        <w:t>el Sistema Penal Acusatorio (jueces</w:t>
      </w:r>
      <w:r w:rsidRPr="00BF055E">
        <w:rPr>
          <w:rFonts w:ascii="Arial" w:hAnsi="Arial" w:cs="Arial"/>
          <w:sz w:val="24"/>
          <w:szCs w:val="24"/>
        </w:rPr>
        <w:t xml:space="preserve"> de control o garantías).</w:t>
      </w:r>
      <w:r>
        <w:rPr>
          <w:rFonts w:ascii="Arial" w:hAnsi="Arial" w:cs="Arial"/>
          <w:sz w:val="24"/>
          <w:szCs w:val="24"/>
        </w:rPr>
        <w:t xml:space="preserve"> En comparación con 2018, el incremento de delitos </w:t>
      </w:r>
      <w:r w:rsidRPr="00BF055E">
        <w:rPr>
          <w:rFonts w:ascii="Arial" w:hAnsi="Arial" w:cs="Arial"/>
          <w:sz w:val="24"/>
          <w:szCs w:val="24"/>
        </w:rPr>
        <w:t>registrados en causas penales ingresadas</w:t>
      </w:r>
      <w:r>
        <w:rPr>
          <w:rFonts w:ascii="Arial" w:hAnsi="Arial" w:cs="Arial"/>
          <w:sz w:val="24"/>
          <w:szCs w:val="24"/>
        </w:rPr>
        <w:t xml:space="preserve"> fue de 42.9</w:t>
      </w:r>
      <w:r w:rsidR="001930D2">
        <w:rPr>
          <w:rFonts w:ascii="Arial" w:hAnsi="Arial" w:cs="Arial"/>
          <w:sz w:val="24"/>
          <w:szCs w:val="24"/>
        </w:rPr>
        <w:t xml:space="preserve"> por ciento</w:t>
      </w:r>
      <w:r>
        <w:rPr>
          <w:rFonts w:ascii="Arial" w:hAnsi="Arial" w:cs="Arial"/>
          <w:sz w:val="24"/>
          <w:szCs w:val="24"/>
        </w:rPr>
        <w:t>.</w:t>
      </w:r>
    </w:p>
    <w:p w14:paraId="54C53A30" w14:textId="77777777" w:rsidR="006E1799"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1B1F99">
        <w:rPr>
          <w:b/>
          <w:bCs/>
          <w:i/>
          <w:iCs/>
          <w:color w:val="4472C4" w:themeColor="accent1"/>
          <w:sz w:val="20"/>
        </w:rPr>
        <w:t>24</w:t>
      </w:r>
      <w:r w:rsidRPr="00173D8F">
        <w:rPr>
          <w:b/>
          <w:bCs/>
          <w:i/>
          <w:iCs/>
          <w:color w:val="4472C4" w:themeColor="accent1"/>
          <w:sz w:val="20"/>
        </w:rPr>
        <w:t xml:space="preserve">. </w:t>
      </w:r>
      <w:r>
        <w:rPr>
          <w:b/>
          <w:bCs/>
          <w:i/>
          <w:iCs/>
          <w:color w:val="4472C4" w:themeColor="accent1"/>
          <w:sz w:val="20"/>
        </w:rPr>
        <w:t>D</w:t>
      </w:r>
      <w:r w:rsidRPr="00173D8F">
        <w:rPr>
          <w:b/>
          <w:bCs/>
          <w:i/>
          <w:iCs/>
          <w:color w:val="4472C4" w:themeColor="accent1"/>
          <w:sz w:val="20"/>
        </w:rPr>
        <w:t>elitos registrados en las causas penales ingresadas, según órgano</w:t>
      </w:r>
      <w:r>
        <w:rPr>
          <w:b/>
          <w:bCs/>
          <w:i/>
          <w:iCs/>
          <w:color w:val="4472C4" w:themeColor="accent1"/>
          <w:sz w:val="20"/>
        </w:rPr>
        <w:t>, 2018-2019</w:t>
      </w:r>
    </w:p>
    <w:p w14:paraId="2D562153" w14:textId="77777777" w:rsidR="006E1799" w:rsidRDefault="006E1799" w:rsidP="006E1799">
      <w:pPr>
        <w:pStyle w:val="Default"/>
        <w:spacing w:after="10"/>
        <w:ind w:left="-567"/>
        <w:jc w:val="center"/>
        <w:rPr>
          <w:b/>
          <w:bCs/>
          <w:i/>
          <w:iCs/>
          <w:color w:val="4472C4" w:themeColor="accent1"/>
          <w:sz w:val="20"/>
        </w:rPr>
      </w:pPr>
    </w:p>
    <w:p w14:paraId="5C49377B" w14:textId="77777777" w:rsidR="006E1799" w:rsidRDefault="00144121" w:rsidP="006E1799">
      <w:pPr>
        <w:pStyle w:val="Default"/>
        <w:spacing w:after="10"/>
        <w:ind w:left="-567"/>
        <w:jc w:val="center"/>
        <w:rPr>
          <w:b/>
          <w:bCs/>
          <w:i/>
          <w:iCs/>
          <w:color w:val="4472C4" w:themeColor="accent1"/>
          <w:sz w:val="20"/>
        </w:rPr>
      </w:pPr>
      <w:r>
        <w:rPr>
          <w:b/>
          <w:bCs/>
          <w:i/>
          <w:iCs/>
          <w:noProof/>
          <w:color w:val="4472C4" w:themeColor="accent1"/>
          <w:sz w:val="20"/>
          <w:lang w:val="en-US"/>
        </w:rPr>
        <w:drawing>
          <wp:inline distT="0" distB="0" distL="0" distR="0" wp14:anchorId="34068EC1" wp14:editId="7A9F5B6D">
            <wp:extent cx="4572000" cy="2172970"/>
            <wp:effectExtent l="0" t="0" r="0" b="114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2172970"/>
                    </a:xfrm>
                    <a:prstGeom prst="rect">
                      <a:avLst/>
                    </a:prstGeom>
                    <a:noFill/>
                    <a:ln>
                      <a:noFill/>
                    </a:ln>
                  </pic:spPr>
                </pic:pic>
              </a:graphicData>
            </a:graphic>
          </wp:inline>
        </w:drawing>
      </w:r>
    </w:p>
    <w:p w14:paraId="7FE24AB6" w14:textId="77777777" w:rsidR="006E1799" w:rsidRDefault="006E1799" w:rsidP="006E1799">
      <w:pPr>
        <w:jc w:val="both"/>
        <w:rPr>
          <w:rFonts w:ascii="Arial" w:hAnsi="Arial" w:cs="Arial"/>
          <w:sz w:val="24"/>
          <w:szCs w:val="24"/>
        </w:rPr>
      </w:pPr>
    </w:p>
    <w:p w14:paraId="275930F0" w14:textId="77777777" w:rsidR="006E1799" w:rsidRPr="00AD417E" w:rsidRDefault="006E1799" w:rsidP="00AD417E">
      <w:pPr>
        <w:ind w:left="-567"/>
        <w:jc w:val="both"/>
        <w:rPr>
          <w:rFonts w:ascii="Arial" w:hAnsi="Arial" w:cs="Arial"/>
          <w:sz w:val="24"/>
          <w:szCs w:val="24"/>
        </w:rPr>
      </w:pPr>
      <w:r>
        <w:rPr>
          <w:rFonts w:ascii="Arial" w:hAnsi="Arial" w:cs="Arial"/>
          <w:sz w:val="24"/>
          <w:szCs w:val="24"/>
        </w:rPr>
        <w:t>Respecto de los</w:t>
      </w:r>
      <w:r w:rsidRPr="00BF055E">
        <w:rPr>
          <w:rFonts w:ascii="Arial" w:hAnsi="Arial" w:cs="Arial"/>
          <w:sz w:val="24"/>
          <w:szCs w:val="24"/>
        </w:rPr>
        <w:t xml:space="preserve"> delitos registrados</w:t>
      </w:r>
      <w:r>
        <w:rPr>
          <w:rFonts w:ascii="Arial" w:hAnsi="Arial" w:cs="Arial"/>
          <w:sz w:val="24"/>
          <w:szCs w:val="24"/>
        </w:rPr>
        <w:t xml:space="preserve"> en 2019</w:t>
      </w:r>
      <w:r w:rsidRPr="00BF055E">
        <w:rPr>
          <w:rFonts w:ascii="Arial" w:hAnsi="Arial" w:cs="Arial"/>
          <w:sz w:val="24"/>
          <w:szCs w:val="24"/>
        </w:rPr>
        <w:t xml:space="preserve">, 44.8% </w:t>
      </w:r>
      <w:r>
        <w:rPr>
          <w:rFonts w:ascii="Arial" w:hAnsi="Arial" w:cs="Arial"/>
          <w:sz w:val="24"/>
          <w:szCs w:val="24"/>
        </w:rPr>
        <w:t>correspondió a</w:t>
      </w:r>
      <w:r w:rsidRPr="00BF055E">
        <w:rPr>
          <w:rFonts w:ascii="Arial" w:hAnsi="Arial" w:cs="Arial"/>
          <w:sz w:val="24"/>
          <w:szCs w:val="24"/>
        </w:rPr>
        <w:t xml:space="preserve"> delitos en materia de armas, explosivos y otros materiales destructivos, seguidos por los delitos federales contra la salud relacionados con narcóticos (14.4</w:t>
      </w:r>
      <w:r w:rsidR="001930D2">
        <w:rPr>
          <w:rFonts w:ascii="Arial" w:hAnsi="Arial" w:cs="Arial"/>
          <w:sz w:val="24"/>
          <w:szCs w:val="24"/>
        </w:rPr>
        <w:t xml:space="preserve"> por ciento</w:t>
      </w:r>
      <w:r w:rsidRPr="00BF055E">
        <w:rPr>
          <w:rFonts w:ascii="Arial" w:hAnsi="Arial" w:cs="Arial"/>
          <w:sz w:val="24"/>
          <w:szCs w:val="24"/>
        </w:rPr>
        <w:t>).</w:t>
      </w:r>
    </w:p>
    <w:p w14:paraId="23B734BE" w14:textId="77777777" w:rsidR="006E1799" w:rsidRPr="00173D8F"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1B1F99">
        <w:rPr>
          <w:b/>
          <w:bCs/>
          <w:i/>
          <w:iCs/>
          <w:color w:val="4472C4" w:themeColor="accent1"/>
          <w:sz w:val="20"/>
        </w:rPr>
        <w:t>25</w:t>
      </w:r>
      <w:r w:rsidRPr="00173D8F">
        <w:rPr>
          <w:b/>
          <w:bCs/>
          <w:i/>
          <w:iCs/>
          <w:color w:val="4472C4" w:themeColor="accent1"/>
          <w:sz w:val="20"/>
        </w:rPr>
        <w:t>. Distribución porcentual de principales delitos registrados en las causas penales ingresadas, por tipo de delito, 2019</w:t>
      </w:r>
    </w:p>
    <w:p w14:paraId="466F106D" w14:textId="77777777" w:rsidR="006E1799" w:rsidRDefault="00144121" w:rsidP="00EF18DF">
      <w:pPr>
        <w:spacing w:after="0"/>
        <w:jc w:val="center"/>
        <w:rPr>
          <w:b/>
          <w:bCs/>
          <w:i/>
          <w:iCs/>
          <w:sz w:val="20"/>
          <w:szCs w:val="20"/>
        </w:rPr>
      </w:pPr>
      <w:r>
        <w:rPr>
          <w:b/>
          <w:bCs/>
          <w:i/>
          <w:iCs/>
          <w:noProof/>
          <w:sz w:val="20"/>
          <w:szCs w:val="20"/>
          <w:lang w:val="en-US"/>
        </w:rPr>
        <w:drawing>
          <wp:inline distT="0" distB="0" distL="0" distR="0" wp14:anchorId="4E835238" wp14:editId="1EF5FE4B">
            <wp:extent cx="6312535" cy="2322830"/>
            <wp:effectExtent l="0" t="0" r="1206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12535" cy="2322830"/>
                    </a:xfrm>
                    <a:prstGeom prst="rect">
                      <a:avLst/>
                    </a:prstGeom>
                    <a:noFill/>
                    <a:ln>
                      <a:noFill/>
                    </a:ln>
                  </pic:spPr>
                </pic:pic>
              </a:graphicData>
            </a:graphic>
          </wp:inline>
        </w:drawing>
      </w:r>
    </w:p>
    <w:p w14:paraId="2DD5F04D" w14:textId="77777777" w:rsidR="00EF18DF" w:rsidRDefault="00EF18DF" w:rsidP="006E1799">
      <w:pPr>
        <w:spacing w:after="0"/>
        <w:jc w:val="both"/>
        <w:rPr>
          <w:rFonts w:ascii="Arial" w:hAnsi="Arial" w:cs="Arial"/>
          <w:sz w:val="16"/>
          <w:szCs w:val="16"/>
        </w:rPr>
      </w:pPr>
    </w:p>
    <w:p w14:paraId="0370977D" w14:textId="77777777" w:rsidR="006E1799" w:rsidRPr="00BF055E" w:rsidRDefault="006E1799" w:rsidP="006E1799">
      <w:pPr>
        <w:spacing w:after="0"/>
        <w:jc w:val="both"/>
        <w:rPr>
          <w:rFonts w:ascii="Arial" w:hAnsi="Arial" w:cs="Arial"/>
          <w:sz w:val="16"/>
          <w:szCs w:val="16"/>
        </w:rPr>
      </w:pPr>
      <w:r>
        <w:rPr>
          <w:rFonts w:ascii="Arial" w:hAnsi="Arial" w:cs="Arial"/>
          <w:sz w:val="16"/>
          <w:szCs w:val="16"/>
        </w:rPr>
        <w:t>Nota: i</w:t>
      </w:r>
      <w:r w:rsidRPr="00BF055E">
        <w:rPr>
          <w:rFonts w:ascii="Arial" w:hAnsi="Arial" w:cs="Arial"/>
          <w:sz w:val="16"/>
          <w:szCs w:val="16"/>
        </w:rPr>
        <w:t>ncluye información tant</w:t>
      </w:r>
      <w:r w:rsidR="00883EFE">
        <w:rPr>
          <w:rFonts w:ascii="Arial" w:hAnsi="Arial" w:cs="Arial"/>
          <w:sz w:val="16"/>
          <w:szCs w:val="16"/>
        </w:rPr>
        <w:t>o de los juzgados de distrito (Sistema T</w:t>
      </w:r>
      <w:r w:rsidRPr="00BF055E">
        <w:rPr>
          <w:rFonts w:ascii="Arial" w:hAnsi="Arial" w:cs="Arial"/>
          <w:sz w:val="16"/>
          <w:szCs w:val="16"/>
        </w:rPr>
        <w:t>r</w:t>
      </w:r>
      <w:r w:rsidR="00883EFE">
        <w:rPr>
          <w:rFonts w:ascii="Arial" w:hAnsi="Arial" w:cs="Arial"/>
          <w:sz w:val="16"/>
          <w:szCs w:val="16"/>
        </w:rPr>
        <w:t>adicional) como de los jueces de control o garantías (Sistema Penal A</w:t>
      </w:r>
      <w:r w:rsidRPr="00BF055E">
        <w:rPr>
          <w:rFonts w:ascii="Arial" w:hAnsi="Arial" w:cs="Arial"/>
          <w:sz w:val="16"/>
          <w:szCs w:val="16"/>
        </w:rPr>
        <w:t>cusatorio). El resto de los delitos representa 33.1% del total.</w:t>
      </w:r>
    </w:p>
    <w:p w14:paraId="11703DE7" w14:textId="77777777" w:rsidR="001A3E5B" w:rsidRDefault="001A3E5B" w:rsidP="00B37E0A">
      <w:pPr>
        <w:ind w:left="-567"/>
        <w:jc w:val="both"/>
        <w:rPr>
          <w:rFonts w:ascii="Arial" w:hAnsi="Arial" w:cs="Arial"/>
          <w:b/>
          <w:sz w:val="24"/>
          <w:szCs w:val="24"/>
        </w:rPr>
      </w:pPr>
    </w:p>
    <w:p w14:paraId="1A036FD5" w14:textId="77777777" w:rsidR="006E1799" w:rsidRPr="00BF055E" w:rsidRDefault="006E1799" w:rsidP="00B37E0A">
      <w:pPr>
        <w:ind w:left="-567"/>
        <w:jc w:val="both"/>
        <w:rPr>
          <w:rFonts w:ascii="Arial" w:hAnsi="Arial" w:cs="Arial"/>
          <w:b/>
          <w:sz w:val="24"/>
          <w:szCs w:val="24"/>
        </w:rPr>
      </w:pPr>
      <w:r w:rsidRPr="00BF055E">
        <w:rPr>
          <w:rFonts w:ascii="Arial" w:hAnsi="Arial" w:cs="Arial"/>
          <w:b/>
          <w:sz w:val="24"/>
          <w:szCs w:val="24"/>
        </w:rPr>
        <w:t>Procesados</w:t>
      </w:r>
    </w:p>
    <w:p w14:paraId="10E5F89A" w14:textId="77777777" w:rsidR="006E1799" w:rsidRDefault="006E1799" w:rsidP="00B37E0A">
      <w:pPr>
        <w:ind w:left="-567"/>
        <w:jc w:val="both"/>
        <w:rPr>
          <w:rFonts w:ascii="Arial" w:hAnsi="Arial" w:cs="Arial"/>
          <w:sz w:val="24"/>
          <w:szCs w:val="24"/>
        </w:rPr>
      </w:pPr>
      <w:r w:rsidRPr="00BF055E">
        <w:rPr>
          <w:rFonts w:ascii="Arial" w:hAnsi="Arial" w:cs="Arial"/>
          <w:sz w:val="24"/>
          <w:szCs w:val="24"/>
        </w:rPr>
        <w:t>En cuanto a los procesados registrados en las causas penales ingresadas, durante 2019 se report</w:t>
      </w:r>
      <w:r>
        <w:rPr>
          <w:rFonts w:ascii="Arial" w:hAnsi="Arial" w:cs="Arial"/>
          <w:sz w:val="24"/>
          <w:szCs w:val="24"/>
        </w:rPr>
        <w:t>ó</w:t>
      </w:r>
      <w:r w:rsidRPr="00BF055E">
        <w:rPr>
          <w:rFonts w:ascii="Arial" w:hAnsi="Arial" w:cs="Arial"/>
          <w:sz w:val="24"/>
          <w:szCs w:val="24"/>
        </w:rPr>
        <w:t xml:space="preserve"> un tot</w:t>
      </w:r>
      <w:r w:rsidR="00C051D8">
        <w:rPr>
          <w:rFonts w:ascii="Arial" w:hAnsi="Arial" w:cs="Arial"/>
          <w:sz w:val="24"/>
          <w:szCs w:val="24"/>
        </w:rPr>
        <w:t>al de 32</w:t>
      </w:r>
      <w:r w:rsidR="00B37E0A">
        <w:rPr>
          <w:rFonts w:ascii="Arial" w:hAnsi="Arial" w:cs="Arial"/>
          <w:sz w:val="24"/>
          <w:szCs w:val="24"/>
        </w:rPr>
        <w:t xml:space="preserve"> 534, de los cuales</w:t>
      </w:r>
      <w:r w:rsidRPr="00BF055E">
        <w:rPr>
          <w:rFonts w:ascii="Arial" w:hAnsi="Arial" w:cs="Arial"/>
          <w:sz w:val="24"/>
          <w:szCs w:val="24"/>
        </w:rPr>
        <w:t xml:space="preserve"> 52.4% fueron hombres y 5.8% mujeres</w:t>
      </w:r>
      <w:r w:rsidRPr="00BF055E">
        <w:rPr>
          <w:rStyle w:val="Refdenotaalpie"/>
          <w:rFonts w:ascii="Arial" w:hAnsi="Arial" w:cs="Arial"/>
          <w:sz w:val="24"/>
          <w:szCs w:val="24"/>
        </w:rPr>
        <w:footnoteReference w:id="15"/>
      </w:r>
      <w:r w:rsidRPr="00BF055E">
        <w:rPr>
          <w:rFonts w:ascii="Arial" w:hAnsi="Arial" w:cs="Arial"/>
          <w:sz w:val="24"/>
          <w:szCs w:val="24"/>
        </w:rPr>
        <w:t>.</w:t>
      </w:r>
      <w:r>
        <w:rPr>
          <w:rFonts w:ascii="Arial" w:hAnsi="Arial" w:cs="Arial"/>
          <w:sz w:val="24"/>
          <w:szCs w:val="24"/>
        </w:rPr>
        <w:t xml:space="preserve"> </w:t>
      </w:r>
      <w:r w:rsidRPr="00051300">
        <w:rPr>
          <w:rFonts w:ascii="Arial" w:hAnsi="Arial" w:cs="Arial"/>
          <w:sz w:val="24"/>
          <w:szCs w:val="24"/>
        </w:rPr>
        <w:t>Comparado con 2018,</w:t>
      </w:r>
      <w:r>
        <w:rPr>
          <w:rFonts w:ascii="Arial" w:hAnsi="Arial" w:cs="Arial"/>
          <w:sz w:val="24"/>
          <w:szCs w:val="24"/>
        </w:rPr>
        <w:t xml:space="preserve"> el incremento de procesados en las causas penales ingresadas es de 37.3</w:t>
      </w:r>
      <w:r w:rsidR="001930D2">
        <w:rPr>
          <w:rFonts w:ascii="Arial" w:hAnsi="Arial" w:cs="Arial"/>
          <w:sz w:val="24"/>
          <w:szCs w:val="24"/>
        </w:rPr>
        <w:t xml:space="preserve"> por ciento</w:t>
      </w:r>
      <w:r>
        <w:rPr>
          <w:rFonts w:ascii="Arial" w:hAnsi="Arial" w:cs="Arial"/>
          <w:sz w:val="24"/>
          <w:szCs w:val="24"/>
        </w:rPr>
        <w:t>. D</w:t>
      </w:r>
      <w:r w:rsidRPr="00BF055E">
        <w:rPr>
          <w:rFonts w:ascii="Arial" w:hAnsi="Arial" w:cs="Arial"/>
          <w:sz w:val="24"/>
          <w:szCs w:val="24"/>
        </w:rPr>
        <w:t>el total de procesados, 23.1% ingres</w:t>
      </w:r>
      <w:r>
        <w:rPr>
          <w:rFonts w:ascii="Arial" w:hAnsi="Arial" w:cs="Arial"/>
          <w:sz w:val="24"/>
          <w:szCs w:val="24"/>
        </w:rPr>
        <w:t>ó</w:t>
      </w:r>
      <w:r w:rsidR="00883EFE">
        <w:rPr>
          <w:rFonts w:ascii="Arial" w:hAnsi="Arial" w:cs="Arial"/>
          <w:sz w:val="24"/>
          <w:szCs w:val="24"/>
        </w:rPr>
        <w:t xml:space="preserve"> en el Sistema T</w:t>
      </w:r>
      <w:r w:rsidRPr="00BF055E">
        <w:rPr>
          <w:rFonts w:ascii="Arial" w:hAnsi="Arial" w:cs="Arial"/>
          <w:sz w:val="24"/>
          <w:szCs w:val="24"/>
        </w:rPr>
        <w:t>radicional (juzga</w:t>
      </w:r>
      <w:r w:rsidR="00883EFE">
        <w:rPr>
          <w:rFonts w:ascii="Arial" w:hAnsi="Arial" w:cs="Arial"/>
          <w:sz w:val="24"/>
          <w:szCs w:val="24"/>
        </w:rPr>
        <w:t>dos de distrito) y 76.9% en el Sistema Penal A</w:t>
      </w:r>
      <w:r w:rsidRPr="00BF055E">
        <w:rPr>
          <w:rFonts w:ascii="Arial" w:hAnsi="Arial" w:cs="Arial"/>
          <w:sz w:val="24"/>
          <w:szCs w:val="24"/>
        </w:rPr>
        <w:t>cusatorio (ju</w:t>
      </w:r>
      <w:r w:rsidR="00883EFE">
        <w:rPr>
          <w:rFonts w:ascii="Arial" w:hAnsi="Arial" w:cs="Arial"/>
          <w:sz w:val="24"/>
          <w:szCs w:val="24"/>
        </w:rPr>
        <w:t>eces</w:t>
      </w:r>
      <w:r>
        <w:rPr>
          <w:rFonts w:ascii="Arial" w:hAnsi="Arial" w:cs="Arial"/>
          <w:sz w:val="24"/>
          <w:szCs w:val="24"/>
        </w:rPr>
        <w:t xml:space="preserve"> de control o garantías).</w:t>
      </w:r>
    </w:p>
    <w:p w14:paraId="617EE497" w14:textId="77777777" w:rsidR="006E1799" w:rsidRDefault="006E1799" w:rsidP="006E1799">
      <w:pPr>
        <w:jc w:val="both"/>
        <w:rPr>
          <w:rFonts w:ascii="Arial" w:hAnsi="Arial" w:cs="Arial"/>
          <w:sz w:val="24"/>
          <w:szCs w:val="24"/>
        </w:rPr>
      </w:pPr>
    </w:p>
    <w:p w14:paraId="5C145AFB" w14:textId="77777777" w:rsidR="006E1799"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1B1F99">
        <w:rPr>
          <w:b/>
          <w:bCs/>
          <w:i/>
          <w:iCs/>
          <w:color w:val="4472C4" w:themeColor="accent1"/>
          <w:sz w:val="20"/>
        </w:rPr>
        <w:t>26</w:t>
      </w:r>
      <w:r w:rsidRPr="00173D8F">
        <w:rPr>
          <w:b/>
          <w:bCs/>
          <w:i/>
          <w:iCs/>
          <w:color w:val="4472C4" w:themeColor="accent1"/>
          <w:sz w:val="20"/>
        </w:rPr>
        <w:t xml:space="preserve">. </w:t>
      </w:r>
      <w:r>
        <w:rPr>
          <w:b/>
          <w:bCs/>
          <w:i/>
          <w:iCs/>
          <w:color w:val="4472C4" w:themeColor="accent1"/>
          <w:sz w:val="20"/>
        </w:rPr>
        <w:t>P</w:t>
      </w:r>
      <w:r w:rsidRPr="00173D8F">
        <w:rPr>
          <w:b/>
          <w:bCs/>
          <w:i/>
          <w:iCs/>
          <w:color w:val="4472C4" w:themeColor="accent1"/>
          <w:sz w:val="20"/>
        </w:rPr>
        <w:t>rocesados registrados en las causas penales ingresadas, 201</w:t>
      </w:r>
      <w:r w:rsidR="00883EFE">
        <w:rPr>
          <w:b/>
          <w:bCs/>
          <w:i/>
          <w:iCs/>
          <w:color w:val="4472C4" w:themeColor="accent1"/>
          <w:sz w:val="20"/>
        </w:rPr>
        <w:t xml:space="preserve">8 a </w:t>
      </w:r>
      <w:r>
        <w:rPr>
          <w:b/>
          <w:bCs/>
          <w:i/>
          <w:iCs/>
          <w:color w:val="4472C4" w:themeColor="accent1"/>
          <w:sz w:val="20"/>
        </w:rPr>
        <w:t>2019</w:t>
      </w:r>
    </w:p>
    <w:p w14:paraId="13F33F21" w14:textId="77777777" w:rsidR="006E1799" w:rsidRPr="00173D8F" w:rsidRDefault="00144121" w:rsidP="006E1799">
      <w:pPr>
        <w:pStyle w:val="Default"/>
        <w:spacing w:after="10"/>
        <w:ind w:left="-567"/>
        <w:jc w:val="center"/>
        <w:rPr>
          <w:b/>
          <w:bCs/>
          <w:i/>
          <w:iCs/>
          <w:color w:val="4472C4" w:themeColor="accent1"/>
          <w:sz w:val="20"/>
        </w:rPr>
      </w:pPr>
      <w:r>
        <w:rPr>
          <w:b/>
          <w:bCs/>
          <w:i/>
          <w:iCs/>
          <w:noProof/>
          <w:color w:val="4472C4" w:themeColor="accent1"/>
          <w:sz w:val="20"/>
          <w:lang w:val="en-US"/>
        </w:rPr>
        <w:drawing>
          <wp:inline distT="0" distB="0" distL="0" distR="0" wp14:anchorId="5E2955D1" wp14:editId="72CE1335">
            <wp:extent cx="3715385" cy="20942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5385" cy="2094230"/>
                    </a:xfrm>
                    <a:prstGeom prst="rect">
                      <a:avLst/>
                    </a:prstGeom>
                    <a:noFill/>
                    <a:ln>
                      <a:noFill/>
                    </a:ln>
                  </pic:spPr>
                </pic:pic>
              </a:graphicData>
            </a:graphic>
          </wp:inline>
        </w:drawing>
      </w:r>
    </w:p>
    <w:p w14:paraId="75C996B3" w14:textId="77777777" w:rsidR="006E1799" w:rsidRPr="00173D8F" w:rsidRDefault="00883EFE" w:rsidP="006E1799">
      <w:pPr>
        <w:rPr>
          <w:sz w:val="16"/>
          <w:szCs w:val="16"/>
        </w:rPr>
      </w:pPr>
      <w:r>
        <w:rPr>
          <w:rFonts w:ascii="Arial" w:hAnsi="Arial" w:cs="Arial"/>
          <w:sz w:val="16"/>
          <w:szCs w:val="16"/>
        </w:rPr>
        <w:t>Nota: i</w:t>
      </w:r>
      <w:r w:rsidR="006E1799" w:rsidRPr="00BF055E">
        <w:rPr>
          <w:rFonts w:ascii="Arial" w:hAnsi="Arial" w:cs="Arial"/>
          <w:sz w:val="16"/>
          <w:szCs w:val="16"/>
        </w:rPr>
        <w:t>ncluye información tant</w:t>
      </w:r>
      <w:r>
        <w:rPr>
          <w:rFonts w:ascii="Arial" w:hAnsi="Arial" w:cs="Arial"/>
          <w:sz w:val="16"/>
          <w:szCs w:val="16"/>
        </w:rPr>
        <w:t>o de los juzgados de distrito (Sistema Tradicional) como de los jueces de control o garantías (Sistema Penal A</w:t>
      </w:r>
      <w:r w:rsidR="006E1799" w:rsidRPr="00BF055E">
        <w:rPr>
          <w:rFonts w:ascii="Arial" w:hAnsi="Arial" w:cs="Arial"/>
          <w:sz w:val="16"/>
          <w:szCs w:val="16"/>
        </w:rPr>
        <w:t>cusatorio)</w:t>
      </w:r>
      <w:r w:rsidR="006E1799">
        <w:rPr>
          <w:rFonts w:ascii="Arial" w:hAnsi="Arial" w:cs="Arial"/>
          <w:sz w:val="16"/>
          <w:szCs w:val="16"/>
        </w:rPr>
        <w:t xml:space="preserve"> para ambos años. </w:t>
      </w:r>
    </w:p>
    <w:p w14:paraId="51A73654" w14:textId="77777777" w:rsidR="006E1799" w:rsidRDefault="006E1799" w:rsidP="006E1799">
      <w:pPr>
        <w:pStyle w:val="Default"/>
        <w:spacing w:after="10"/>
        <w:ind w:left="-567"/>
        <w:jc w:val="center"/>
        <w:rPr>
          <w:b/>
          <w:bCs/>
          <w:i/>
          <w:iCs/>
          <w:color w:val="4472C4" w:themeColor="accent1"/>
          <w:sz w:val="20"/>
        </w:rPr>
      </w:pPr>
    </w:p>
    <w:p w14:paraId="16DC2489" w14:textId="77777777" w:rsidR="006E1799" w:rsidRDefault="006E1799" w:rsidP="006E1799">
      <w:pPr>
        <w:pStyle w:val="Default"/>
        <w:spacing w:after="10"/>
        <w:ind w:left="-567"/>
        <w:jc w:val="center"/>
        <w:rPr>
          <w:b/>
          <w:bCs/>
          <w:i/>
          <w:iCs/>
          <w:color w:val="4472C4" w:themeColor="accent1"/>
          <w:sz w:val="20"/>
        </w:rPr>
      </w:pPr>
    </w:p>
    <w:p w14:paraId="16726474" w14:textId="77777777" w:rsidR="006E1799" w:rsidRPr="00173D8F"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1B1F99">
        <w:rPr>
          <w:b/>
          <w:bCs/>
          <w:i/>
          <w:iCs/>
          <w:color w:val="4472C4" w:themeColor="accent1"/>
          <w:sz w:val="20"/>
        </w:rPr>
        <w:t>27</w:t>
      </w:r>
      <w:r w:rsidRPr="00173D8F">
        <w:rPr>
          <w:b/>
          <w:bCs/>
          <w:i/>
          <w:iCs/>
          <w:color w:val="4472C4" w:themeColor="accent1"/>
          <w:sz w:val="20"/>
        </w:rPr>
        <w:t>. Distribución de procesados registrados en las causas penales ingresadas, según sexo y tipo de sistema, 2019</w:t>
      </w:r>
    </w:p>
    <w:p w14:paraId="3D8470F6" w14:textId="77777777" w:rsidR="006E1799" w:rsidRDefault="006E1799" w:rsidP="006E1799">
      <w:pPr>
        <w:jc w:val="center"/>
        <w:rPr>
          <w:b/>
          <w:bCs/>
          <w:i/>
          <w:iCs/>
          <w:sz w:val="20"/>
          <w:szCs w:val="20"/>
        </w:rPr>
      </w:pPr>
    </w:p>
    <w:p w14:paraId="1CEE5766" w14:textId="77777777" w:rsidR="006E1799" w:rsidRDefault="00144121" w:rsidP="006E1799">
      <w:pPr>
        <w:jc w:val="center"/>
        <w:rPr>
          <w:rFonts w:ascii="Arial" w:hAnsi="Arial" w:cs="Arial"/>
          <w:sz w:val="16"/>
          <w:szCs w:val="16"/>
        </w:rPr>
      </w:pPr>
      <w:r>
        <w:rPr>
          <w:rFonts w:ascii="Arial" w:hAnsi="Arial" w:cs="Arial"/>
          <w:noProof/>
          <w:sz w:val="16"/>
          <w:szCs w:val="16"/>
          <w:lang w:val="en-US"/>
        </w:rPr>
        <w:drawing>
          <wp:inline distT="0" distB="0" distL="0" distR="0" wp14:anchorId="66C3C1C0" wp14:editId="7EECD95C">
            <wp:extent cx="5163185" cy="18808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63185" cy="1880870"/>
                    </a:xfrm>
                    <a:prstGeom prst="rect">
                      <a:avLst/>
                    </a:prstGeom>
                    <a:noFill/>
                    <a:ln>
                      <a:noFill/>
                    </a:ln>
                  </pic:spPr>
                </pic:pic>
              </a:graphicData>
            </a:graphic>
          </wp:inline>
        </w:drawing>
      </w:r>
    </w:p>
    <w:p w14:paraId="7E9BA936" w14:textId="77777777" w:rsidR="006E1799" w:rsidRPr="00173D8F" w:rsidRDefault="005A2CA5" w:rsidP="006E1799">
      <w:pPr>
        <w:rPr>
          <w:sz w:val="16"/>
          <w:szCs w:val="16"/>
        </w:rPr>
      </w:pPr>
      <w:r>
        <w:rPr>
          <w:rFonts w:ascii="Arial" w:hAnsi="Arial" w:cs="Arial"/>
          <w:sz w:val="16"/>
          <w:szCs w:val="16"/>
        </w:rPr>
        <w:t>Nota: i</w:t>
      </w:r>
      <w:r w:rsidR="006E1799" w:rsidRPr="00BF055E">
        <w:rPr>
          <w:rFonts w:ascii="Arial" w:hAnsi="Arial" w:cs="Arial"/>
          <w:sz w:val="16"/>
          <w:szCs w:val="16"/>
        </w:rPr>
        <w:t>ncluye información tant</w:t>
      </w:r>
      <w:r>
        <w:rPr>
          <w:rFonts w:ascii="Arial" w:hAnsi="Arial" w:cs="Arial"/>
          <w:sz w:val="16"/>
          <w:szCs w:val="16"/>
        </w:rPr>
        <w:t>o de los juzgados de distrito (Sistema Tradicional) como de los jueces de control o garantías (Sistema Penal A</w:t>
      </w:r>
      <w:r w:rsidR="006E1799" w:rsidRPr="00BF055E">
        <w:rPr>
          <w:rFonts w:ascii="Arial" w:hAnsi="Arial" w:cs="Arial"/>
          <w:sz w:val="16"/>
          <w:szCs w:val="16"/>
        </w:rPr>
        <w:t>cusatorio).</w:t>
      </w:r>
    </w:p>
    <w:p w14:paraId="34B76F8F" w14:textId="77777777" w:rsidR="00AD417E" w:rsidRDefault="00AD417E" w:rsidP="006B087A">
      <w:pPr>
        <w:ind w:left="-567"/>
        <w:rPr>
          <w:rFonts w:ascii="Arial" w:hAnsi="Arial" w:cs="Arial"/>
          <w:b/>
          <w:bCs/>
          <w:iCs/>
          <w:sz w:val="24"/>
          <w:szCs w:val="24"/>
        </w:rPr>
      </w:pPr>
    </w:p>
    <w:p w14:paraId="7C3F8D00" w14:textId="77777777" w:rsidR="006E1799" w:rsidRPr="00BF055E" w:rsidRDefault="006E1799" w:rsidP="006B087A">
      <w:pPr>
        <w:ind w:left="-567"/>
        <w:rPr>
          <w:rFonts w:ascii="Arial" w:hAnsi="Arial" w:cs="Arial"/>
          <w:b/>
          <w:bCs/>
          <w:iCs/>
          <w:sz w:val="24"/>
          <w:szCs w:val="24"/>
        </w:rPr>
      </w:pPr>
      <w:r w:rsidRPr="00BF055E">
        <w:rPr>
          <w:rFonts w:ascii="Arial" w:hAnsi="Arial" w:cs="Arial"/>
          <w:b/>
          <w:bCs/>
          <w:iCs/>
          <w:sz w:val="24"/>
          <w:szCs w:val="24"/>
        </w:rPr>
        <w:t>Vinculaciones a proceso</w:t>
      </w:r>
    </w:p>
    <w:p w14:paraId="2D1120DA" w14:textId="77777777" w:rsidR="006E1799" w:rsidRPr="00BF055E" w:rsidRDefault="006E1799" w:rsidP="006B087A">
      <w:pPr>
        <w:ind w:left="-567"/>
        <w:jc w:val="both"/>
        <w:rPr>
          <w:rFonts w:ascii="Arial" w:hAnsi="Arial" w:cs="Arial"/>
          <w:sz w:val="24"/>
          <w:szCs w:val="24"/>
        </w:rPr>
      </w:pPr>
      <w:r w:rsidRPr="00BF055E">
        <w:rPr>
          <w:rFonts w:ascii="Arial" w:hAnsi="Arial" w:cs="Arial"/>
          <w:sz w:val="24"/>
          <w:szCs w:val="24"/>
        </w:rPr>
        <w:t>Durante 201</w:t>
      </w:r>
      <w:r w:rsidR="00C051D8">
        <w:rPr>
          <w:rFonts w:ascii="Arial" w:hAnsi="Arial" w:cs="Arial"/>
          <w:sz w:val="24"/>
          <w:szCs w:val="24"/>
        </w:rPr>
        <w:t>9, se registró un total de 4</w:t>
      </w:r>
      <w:r w:rsidR="00881B6C">
        <w:rPr>
          <w:rFonts w:ascii="Arial" w:hAnsi="Arial" w:cs="Arial"/>
          <w:sz w:val="24"/>
          <w:szCs w:val="24"/>
        </w:rPr>
        <w:t xml:space="preserve"> </w:t>
      </w:r>
      <w:r w:rsidRPr="00BF055E">
        <w:rPr>
          <w:rFonts w:ascii="Arial" w:hAnsi="Arial" w:cs="Arial"/>
          <w:sz w:val="24"/>
          <w:szCs w:val="24"/>
        </w:rPr>
        <w:t xml:space="preserve">187 procesados y/o imputados a quienes se les determinó una resolución sobre la vinculación a proceso por parte de los jueces de control o garantías. De ellos, 84.5% fue vinculado a proceso y 15.5% no </w:t>
      </w:r>
      <w:r>
        <w:rPr>
          <w:rFonts w:ascii="Arial" w:hAnsi="Arial" w:cs="Arial"/>
          <w:sz w:val="24"/>
          <w:szCs w:val="24"/>
        </w:rPr>
        <w:t xml:space="preserve">fue </w:t>
      </w:r>
      <w:r w:rsidRPr="00BF055E">
        <w:rPr>
          <w:rFonts w:ascii="Arial" w:hAnsi="Arial" w:cs="Arial"/>
          <w:sz w:val="24"/>
          <w:szCs w:val="24"/>
        </w:rPr>
        <w:t xml:space="preserve">vinculado. </w:t>
      </w:r>
    </w:p>
    <w:p w14:paraId="05261BBF" w14:textId="77777777" w:rsidR="006E1799" w:rsidRPr="00BF055E" w:rsidRDefault="006E1799" w:rsidP="006E1799">
      <w:pPr>
        <w:jc w:val="both"/>
        <w:rPr>
          <w:rFonts w:ascii="Arial" w:hAnsi="Arial" w:cs="Arial"/>
          <w:sz w:val="24"/>
          <w:szCs w:val="24"/>
        </w:rPr>
      </w:pPr>
    </w:p>
    <w:p w14:paraId="22032BFB" w14:textId="77777777" w:rsidR="006E1799" w:rsidRPr="00173D8F" w:rsidRDefault="006E1799" w:rsidP="006E1799">
      <w:pPr>
        <w:pStyle w:val="Default"/>
        <w:spacing w:after="10"/>
        <w:ind w:left="-567"/>
        <w:jc w:val="center"/>
        <w:rPr>
          <w:b/>
          <w:bCs/>
          <w:i/>
          <w:iCs/>
          <w:color w:val="4472C4" w:themeColor="accent1"/>
          <w:sz w:val="20"/>
        </w:rPr>
      </w:pPr>
      <w:r w:rsidRPr="00173D8F">
        <w:rPr>
          <w:b/>
          <w:bCs/>
          <w:i/>
          <w:iCs/>
          <w:color w:val="4472C4" w:themeColor="accent1"/>
          <w:sz w:val="20"/>
        </w:rPr>
        <w:t xml:space="preserve">Gráfica </w:t>
      </w:r>
      <w:r w:rsidR="001B1F99">
        <w:rPr>
          <w:b/>
          <w:bCs/>
          <w:i/>
          <w:iCs/>
          <w:color w:val="4472C4" w:themeColor="accent1"/>
          <w:sz w:val="20"/>
        </w:rPr>
        <w:t>28</w:t>
      </w:r>
      <w:r w:rsidRPr="00173D8F">
        <w:rPr>
          <w:b/>
          <w:bCs/>
          <w:i/>
          <w:iCs/>
          <w:color w:val="4472C4" w:themeColor="accent1"/>
          <w:sz w:val="20"/>
        </w:rPr>
        <w:t>.</w:t>
      </w:r>
      <w:r>
        <w:rPr>
          <w:b/>
          <w:bCs/>
          <w:i/>
          <w:iCs/>
          <w:color w:val="4472C4" w:themeColor="accent1"/>
          <w:sz w:val="20"/>
        </w:rPr>
        <w:t xml:space="preserve"> Distribución porcentual  de </w:t>
      </w:r>
      <w:r w:rsidRPr="00051300">
        <w:rPr>
          <w:b/>
          <w:bCs/>
          <w:i/>
          <w:iCs/>
          <w:color w:val="4472C4" w:themeColor="accent1"/>
          <w:sz w:val="20"/>
        </w:rPr>
        <w:t>procesados y/o imputados con resoluciones sobre la vinculación a proceso</w:t>
      </w:r>
      <w:r w:rsidRPr="00173D8F">
        <w:rPr>
          <w:b/>
          <w:bCs/>
          <w:i/>
          <w:iCs/>
          <w:color w:val="4472C4" w:themeColor="accent1"/>
          <w:sz w:val="20"/>
        </w:rPr>
        <w:t>,</w:t>
      </w:r>
      <w:r>
        <w:rPr>
          <w:b/>
          <w:bCs/>
          <w:i/>
          <w:iCs/>
          <w:color w:val="4472C4" w:themeColor="accent1"/>
          <w:sz w:val="20"/>
        </w:rPr>
        <w:t xml:space="preserve"> según tipo,</w:t>
      </w:r>
      <w:r w:rsidRPr="00173D8F">
        <w:rPr>
          <w:b/>
          <w:bCs/>
          <w:i/>
          <w:iCs/>
          <w:color w:val="4472C4" w:themeColor="accent1"/>
          <w:sz w:val="20"/>
        </w:rPr>
        <w:t xml:space="preserve"> 2019</w:t>
      </w:r>
    </w:p>
    <w:p w14:paraId="6EBAFB7F" w14:textId="77777777" w:rsidR="006E1799" w:rsidRDefault="00144121" w:rsidP="006E1799">
      <w:pPr>
        <w:jc w:val="center"/>
        <w:rPr>
          <w:sz w:val="24"/>
          <w:szCs w:val="24"/>
        </w:rPr>
      </w:pPr>
      <w:r>
        <w:rPr>
          <w:noProof/>
          <w:sz w:val="24"/>
          <w:szCs w:val="24"/>
          <w:lang w:val="en-US"/>
        </w:rPr>
        <w:drawing>
          <wp:inline distT="0" distB="0" distL="0" distR="0" wp14:anchorId="5F5B8CDD" wp14:editId="5637F099">
            <wp:extent cx="3282950" cy="2563495"/>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2950" cy="2563495"/>
                    </a:xfrm>
                    <a:prstGeom prst="rect">
                      <a:avLst/>
                    </a:prstGeom>
                    <a:noFill/>
                    <a:ln>
                      <a:noFill/>
                    </a:ln>
                  </pic:spPr>
                </pic:pic>
              </a:graphicData>
            </a:graphic>
          </wp:inline>
        </w:drawing>
      </w:r>
    </w:p>
    <w:p w14:paraId="164F23A3" w14:textId="77777777" w:rsidR="006E1799" w:rsidRPr="00BF055E" w:rsidRDefault="005A2CA5" w:rsidP="006E1799">
      <w:pPr>
        <w:jc w:val="center"/>
        <w:rPr>
          <w:rFonts w:ascii="Arial" w:hAnsi="Arial" w:cs="Arial"/>
          <w:b/>
          <w:bCs/>
          <w:i/>
          <w:iCs/>
          <w:sz w:val="20"/>
          <w:szCs w:val="20"/>
        </w:rPr>
      </w:pPr>
      <w:r>
        <w:rPr>
          <w:rFonts w:ascii="Arial" w:hAnsi="Arial" w:cs="Arial"/>
          <w:sz w:val="16"/>
          <w:szCs w:val="16"/>
        </w:rPr>
        <w:t>Nota: i</w:t>
      </w:r>
      <w:r w:rsidR="006E1799" w:rsidRPr="00BF055E">
        <w:rPr>
          <w:rFonts w:ascii="Arial" w:hAnsi="Arial" w:cs="Arial"/>
          <w:sz w:val="16"/>
          <w:szCs w:val="16"/>
        </w:rPr>
        <w:t>ncluye inform</w:t>
      </w:r>
      <w:r>
        <w:rPr>
          <w:rFonts w:ascii="Arial" w:hAnsi="Arial" w:cs="Arial"/>
          <w:sz w:val="16"/>
          <w:szCs w:val="16"/>
        </w:rPr>
        <w:t>ación únicamente de los jueces</w:t>
      </w:r>
      <w:r w:rsidR="006E1799" w:rsidRPr="00BF055E">
        <w:rPr>
          <w:rFonts w:ascii="Arial" w:hAnsi="Arial" w:cs="Arial"/>
          <w:sz w:val="16"/>
          <w:szCs w:val="16"/>
        </w:rPr>
        <w:t xml:space="preserve"> de control o garantías </w:t>
      </w:r>
      <w:r>
        <w:rPr>
          <w:rFonts w:ascii="Arial" w:hAnsi="Arial" w:cs="Arial"/>
          <w:sz w:val="16"/>
          <w:szCs w:val="16"/>
        </w:rPr>
        <w:t>(Sistema Penal A</w:t>
      </w:r>
      <w:r w:rsidR="006E1799" w:rsidRPr="00BF055E">
        <w:rPr>
          <w:rFonts w:ascii="Arial" w:hAnsi="Arial" w:cs="Arial"/>
          <w:sz w:val="16"/>
          <w:szCs w:val="16"/>
        </w:rPr>
        <w:t>cusatorio).</w:t>
      </w:r>
    </w:p>
    <w:p w14:paraId="7516D849" w14:textId="77777777" w:rsidR="006E1799" w:rsidRDefault="006E1799" w:rsidP="006E1799">
      <w:pPr>
        <w:jc w:val="center"/>
        <w:rPr>
          <w:sz w:val="24"/>
          <w:szCs w:val="24"/>
        </w:rPr>
      </w:pPr>
    </w:p>
    <w:p w14:paraId="087471F1" w14:textId="77777777" w:rsidR="00D40C2A" w:rsidRPr="00D40C2A" w:rsidRDefault="00D40C2A" w:rsidP="00D40C2A">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Productos y documentos del CNIJF 2020</w:t>
      </w:r>
    </w:p>
    <w:p w14:paraId="7643E31E" w14:textId="77777777" w:rsidR="00D40C2A" w:rsidRDefault="00D40C2A" w:rsidP="00D40C2A">
      <w:pPr>
        <w:autoSpaceDE w:val="0"/>
        <w:autoSpaceDN w:val="0"/>
        <w:adjustRightInd w:val="0"/>
        <w:spacing w:after="0" w:line="240" w:lineRule="auto"/>
        <w:rPr>
          <w:rFonts w:ascii="Arial" w:hAnsi="Arial" w:cs="Arial"/>
          <w:color w:val="000000"/>
        </w:rPr>
      </w:pPr>
    </w:p>
    <w:p w14:paraId="256CFB6C" w14:textId="77777777" w:rsidR="00D40C2A" w:rsidRPr="000B1D7F" w:rsidRDefault="00D40C2A" w:rsidP="00D40C2A">
      <w:pPr>
        <w:autoSpaceDE w:val="0"/>
        <w:autoSpaceDN w:val="0"/>
        <w:adjustRightInd w:val="0"/>
        <w:spacing w:after="0" w:line="240" w:lineRule="auto"/>
        <w:ind w:left="-567"/>
        <w:jc w:val="both"/>
        <w:rPr>
          <w:rFonts w:ascii="Arial" w:hAnsi="Arial" w:cs="Arial"/>
          <w:color w:val="000000"/>
        </w:rPr>
      </w:pPr>
      <w:r w:rsidRPr="000B1D7F">
        <w:rPr>
          <w:rFonts w:ascii="Arial" w:hAnsi="Arial" w:cs="Arial"/>
          <w:color w:val="000000"/>
        </w:rPr>
        <w:t>Los productos y documentos derivados de</w:t>
      </w:r>
      <w:r>
        <w:rPr>
          <w:rFonts w:ascii="Arial" w:hAnsi="Arial" w:cs="Arial"/>
          <w:color w:val="000000"/>
        </w:rPr>
        <w:t>l CNIJF 2020</w:t>
      </w:r>
      <w:r w:rsidRPr="000B1D7F">
        <w:rPr>
          <w:rFonts w:ascii="Arial" w:hAnsi="Arial" w:cs="Arial"/>
          <w:color w:val="000000"/>
        </w:rPr>
        <w:t xml:space="preserve"> que el INEGI pone a disposición de los usuarios son los siguientes: </w:t>
      </w:r>
    </w:p>
    <w:p w14:paraId="60F62C15" w14:textId="77777777" w:rsidR="00D40C2A" w:rsidRPr="000B1D7F" w:rsidRDefault="00D40C2A" w:rsidP="00D40C2A">
      <w:pPr>
        <w:autoSpaceDE w:val="0"/>
        <w:autoSpaceDN w:val="0"/>
        <w:adjustRightInd w:val="0"/>
        <w:spacing w:after="0" w:line="240" w:lineRule="auto"/>
        <w:rPr>
          <w:rFonts w:ascii="Arial" w:hAnsi="Arial" w:cs="Arial"/>
          <w:color w:val="000000"/>
        </w:rPr>
      </w:pPr>
      <w:r w:rsidRPr="000B1D7F">
        <w:rPr>
          <w:rFonts w:ascii="Arial" w:hAnsi="Arial" w:cs="Arial"/>
          <w:color w:val="000000"/>
        </w:rPr>
        <w:t xml:space="preserve"> </w:t>
      </w:r>
    </w:p>
    <w:p w14:paraId="5F061744" w14:textId="77777777" w:rsidR="00D40C2A" w:rsidRDefault="00D40C2A" w:rsidP="00D40C2A">
      <w:pPr>
        <w:pStyle w:val="Prrafodelista"/>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Presentación de resultados</w:t>
      </w:r>
    </w:p>
    <w:p w14:paraId="07B76C4A" w14:textId="77777777" w:rsidR="00D40C2A" w:rsidRDefault="00D40C2A" w:rsidP="00D40C2A">
      <w:pPr>
        <w:pStyle w:val="Prrafodelista"/>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Cuestionarios</w:t>
      </w:r>
    </w:p>
    <w:p w14:paraId="22C20B88" w14:textId="77777777" w:rsidR="00D40C2A" w:rsidRDefault="00D40C2A" w:rsidP="00D40C2A">
      <w:pPr>
        <w:pStyle w:val="Prrafodelista"/>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Glosario</w:t>
      </w:r>
    </w:p>
    <w:p w14:paraId="0941202D" w14:textId="77777777" w:rsidR="00D40C2A" w:rsidRDefault="00D40C2A" w:rsidP="00D40C2A">
      <w:pPr>
        <w:pStyle w:val="Prrafodelista"/>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Marco conceptual</w:t>
      </w:r>
    </w:p>
    <w:p w14:paraId="227C0191" w14:textId="77777777" w:rsidR="00D40C2A" w:rsidRPr="00D40C2A" w:rsidRDefault="00D40C2A" w:rsidP="00D40C2A">
      <w:pPr>
        <w:pStyle w:val="Prrafodelista"/>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Tabulados predefinidos</w:t>
      </w:r>
    </w:p>
    <w:p w14:paraId="0A54D964" w14:textId="77777777" w:rsidR="00D40C2A" w:rsidRDefault="00D40C2A" w:rsidP="00D40C2A">
      <w:pPr>
        <w:autoSpaceDE w:val="0"/>
        <w:autoSpaceDN w:val="0"/>
        <w:adjustRightInd w:val="0"/>
        <w:spacing w:after="0" w:line="240" w:lineRule="auto"/>
        <w:rPr>
          <w:rFonts w:ascii="Arial" w:hAnsi="Arial" w:cs="Arial"/>
          <w:color w:val="000000"/>
        </w:rPr>
      </w:pPr>
    </w:p>
    <w:p w14:paraId="74249044" w14:textId="77777777" w:rsidR="00D40C2A" w:rsidRDefault="00D40C2A" w:rsidP="00D40C2A">
      <w:pPr>
        <w:autoSpaceDE w:val="0"/>
        <w:autoSpaceDN w:val="0"/>
        <w:adjustRightInd w:val="0"/>
        <w:spacing w:after="0" w:line="240" w:lineRule="auto"/>
        <w:ind w:left="-567"/>
        <w:rPr>
          <w:rFonts w:ascii="Arial" w:hAnsi="Arial" w:cs="Arial"/>
          <w:color w:val="000000"/>
        </w:rPr>
      </w:pPr>
      <w:r w:rsidRPr="00EC3E02">
        <w:rPr>
          <w:rFonts w:ascii="Arial" w:hAnsi="Arial" w:cs="Arial"/>
          <w:color w:val="000000"/>
        </w:rPr>
        <w:t>Estos productos pueden ser consultados en el sitio de Internet del Instituto.</w:t>
      </w:r>
    </w:p>
    <w:p w14:paraId="39BF70B9" w14:textId="77777777" w:rsidR="00D40C2A" w:rsidRPr="00EC3E02" w:rsidRDefault="00D40C2A" w:rsidP="00D40C2A">
      <w:pPr>
        <w:autoSpaceDE w:val="0"/>
        <w:autoSpaceDN w:val="0"/>
        <w:adjustRightInd w:val="0"/>
        <w:spacing w:after="0" w:line="240" w:lineRule="auto"/>
        <w:rPr>
          <w:rFonts w:ascii="Arial" w:hAnsi="Arial" w:cs="Arial"/>
          <w:color w:val="000000"/>
        </w:rPr>
      </w:pPr>
    </w:p>
    <w:p w14:paraId="005431F7" w14:textId="77777777" w:rsidR="006E1799" w:rsidRDefault="00ED5379" w:rsidP="00D40C2A">
      <w:pPr>
        <w:autoSpaceDE w:val="0"/>
        <w:autoSpaceDN w:val="0"/>
        <w:adjustRightInd w:val="0"/>
        <w:spacing w:after="0" w:line="240" w:lineRule="auto"/>
        <w:ind w:left="-567"/>
        <w:rPr>
          <w:rFonts w:ascii="Arial" w:hAnsi="Arial" w:cs="Arial"/>
          <w:color w:val="000000"/>
          <w:sz w:val="24"/>
          <w:szCs w:val="24"/>
        </w:rPr>
      </w:pPr>
      <w:hyperlink r:id="rId51" w:history="1">
        <w:r w:rsidR="00D40C2A" w:rsidRPr="007D40B2">
          <w:rPr>
            <w:rStyle w:val="Hipervnculo"/>
            <w:rFonts w:ascii="Arial" w:hAnsi="Arial" w:cs="Arial"/>
          </w:rPr>
          <w:t>https://www.inegi.org.mx/programas/cnijf/2020/</w:t>
        </w:r>
      </w:hyperlink>
    </w:p>
    <w:p w14:paraId="390D9285" w14:textId="77777777" w:rsidR="006E1799" w:rsidRDefault="006E1799" w:rsidP="006E1799">
      <w:pPr>
        <w:autoSpaceDE w:val="0"/>
        <w:autoSpaceDN w:val="0"/>
        <w:adjustRightInd w:val="0"/>
        <w:spacing w:after="0" w:line="240" w:lineRule="auto"/>
        <w:ind w:left="-567"/>
        <w:jc w:val="both"/>
        <w:rPr>
          <w:rFonts w:ascii="Arial" w:hAnsi="Arial" w:cs="Arial"/>
          <w:color w:val="000000"/>
          <w:sz w:val="24"/>
          <w:szCs w:val="24"/>
        </w:rPr>
      </w:pPr>
    </w:p>
    <w:p w14:paraId="58BABE3A" w14:textId="77777777" w:rsidR="006E1799" w:rsidRDefault="006E1799" w:rsidP="006E1799">
      <w:pPr>
        <w:autoSpaceDE w:val="0"/>
        <w:autoSpaceDN w:val="0"/>
        <w:adjustRightInd w:val="0"/>
        <w:spacing w:after="0" w:line="240" w:lineRule="auto"/>
        <w:ind w:left="-567"/>
        <w:jc w:val="both"/>
        <w:rPr>
          <w:rFonts w:ascii="Arial" w:hAnsi="Arial" w:cs="Arial"/>
          <w:color w:val="000000"/>
          <w:sz w:val="24"/>
          <w:szCs w:val="24"/>
        </w:rPr>
      </w:pPr>
    </w:p>
    <w:p w14:paraId="0F208AFE" w14:textId="77777777" w:rsidR="006E1799" w:rsidRDefault="006E1799" w:rsidP="006E1799">
      <w:pPr>
        <w:autoSpaceDE w:val="0"/>
        <w:autoSpaceDN w:val="0"/>
        <w:adjustRightInd w:val="0"/>
        <w:spacing w:after="0" w:line="240" w:lineRule="auto"/>
        <w:ind w:left="-567"/>
        <w:jc w:val="both"/>
        <w:rPr>
          <w:rFonts w:ascii="Arial" w:hAnsi="Arial" w:cs="Arial"/>
          <w:color w:val="000000"/>
          <w:sz w:val="24"/>
          <w:szCs w:val="24"/>
        </w:rPr>
      </w:pPr>
    </w:p>
    <w:p w14:paraId="6E80F688" w14:textId="77777777" w:rsidR="006E1799" w:rsidRPr="0062632C" w:rsidRDefault="006E1799" w:rsidP="0062632C">
      <w:pPr>
        <w:tabs>
          <w:tab w:val="left" w:pos="7360"/>
        </w:tabs>
        <w:rPr>
          <w:rFonts w:ascii="Arial" w:hAnsi="Arial" w:cs="Arial"/>
          <w:sz w:val="24"/>
          <w:szCs w:val="24"/>
        </w:rPr>
      </w:pPr>
    </w:p>
    <w:sectPr w:rsidR="006E1799" w:rsidRPr="0062632C" w:rsidSect="006D13F5">
      <w:headerReference w:type="default" r:id="rId52"/>
      <w:type w:val="continuous"/>
      <w:pgSz w:w="12240" w:h="15840"/>
      <w:pgMar w:top="1417" w:right="1183" w:bottom="127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5A0E1" w14:textId="77777777" w:rsidR="00ED5379" w:rsidRDefault="00ED5379" w:rsidP="00EC2F19">
      <w:pPr>
        <w:spacing w:after="0" w:line="240" w:lineRule="auto"/>
      </w:pPr>
      <w:r>
        <w:separator/>
      </w:r>
    </w:p>
  </w:endnote>
  <w:endnote w:type="continuationSeparator" w:id="0">
    <w:p w14:paraId="72336EB1" w14:textId="77777777" w:rsidR="00ED5379" w:rsidRDefault="00ED5379" w:rsidP="00EC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84ED6" w14:textId="77777777" w:rsidR="0036483E" w:rsidRPr="0036483E" w:rsidRDefault="0036483E" w:rsidP="0036483E">
    <w:pPr>
      <w:pStyle w:val="Piedepgina"/>
      <w:jc w:val="center"/>
      <w:rPr>
        <w:rFonts w:ascii="Arial" w:hAnsi="Arial" w:cs="Arial"/>
        <w:b/>
        <w:bCs/>
        <w:color w:val="002060"/>
        <w:sz w:val="20"/>
        <w:szCs w:val="20"/>
      </w:rPr>
    </w:pPr>
    <w:r w:rsidRPr="0036483E">
      <w:rPr>
        <w:rFonts w:ascii="Arial" w:hAnsi="Arial" w:cs="Arial"/>
        <w:b/>
        <w:bCs/>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FFB5B" w14:textId="77777777" w:rsidR="00ED5379" w:rsidRDefault="00ED5379" w:rsidP="00EC2F19">
      <w:pPr>
        <w:spacing w:after="0" w:line="240" w:lineRule="auto"/>
      </w:pPr>
      <w:r>
        <w:separator/>
      </w:r>
    </w:p>
  </w:footnote>
  <w:footnote w:type="continuationSeparator" w:id="0">
    <w:p w14:paraId="007593A1" w14:textId="77777777" w:rsidR="00ED5379" w:rsidRDefault="00ED5379" w:rsidP="00EC2F19">
      <w:pPr>
        <w:spacing w:after="0" w:line="240" w:lineRule="auto"/>
      </w:pPr>
      <w:r>
        <w:continuationSeparator/>
      </w:r>
    </w:p>
  </w:footnote>
  <w:footnote w:id="1">
    <w:p w14:paraId="1760BF1D" w14:textId="77777777" w:rsidR="00707F74" w:rsidRPr="00FE2441" w:rsidRDefault="00707F74">
      <w:pPr>
        <w:pStyle w:val="Textonotapie"/>
        <w:rPr>
          <w:rFonts w:ascii="Arial" w:hAnsi="Arial" w:cs="Arial"/>
          <w:sz w:val="16"/>
          <w:szCs w:val="16"/>
        </w:rPr>
      </w:pPr>
      <w:r w:rsidRPr="00FE2441">
        <w:rPr>
          <w:rStyle w:val="Refdenotaalpie"/>
          <w:rFonts w:ascii="Arial" w:hAnsi="Arial" w:cs="Arial"/>
          <w:sz w:val="16"/>
          <w:szCs w:val="16"/>
        </w:rPr>
        <w:footnoteRef/>
      </w:r>
      <w:r w:rsidRPr="00FE2441">
        <w:rPr>
          <w:rFonts w:ascii="Arial" w:hAnsi="Arial" w:cs="Arial"/>
          <w:sz w:val="16"/>
          <w:szCs w:val="16"/>
        </w:rPr>
        <w:t xml:space="preserve"> La informació</w:t>
      </w:r>
      <w:r w:rsidR="00286958">
        <w:rPr>
          <w:rFonts w:ascii="Arial" w:hAnsi="Arial" w:cs="Arial"/>
          <w:sz w:val="16"/>
          <w:szCs w:val="16"/>
        </w:rPr>
        <w:t>n relativa a los órganos del</w:t>
      </w:r>
      <w:r w:rsidRPr="00FE2441">
        <w:rPr>
          <w:rFonts w:ascii="Arial" w:hAnsi="Arial" w:cs="Arial"/>
          <w:sz w:val="16"/>
          <w:szCs w:val="16"/>
        </w:rPr>
        <w:t xml:space="preserve"> Consejo de la Judicatura </w:t>
      </w:r>
      <w:r w:rsidR="00FE2441" w:rsidRPr="00FE2441">
        <w:rPr>
          <w:rFonts w:ascii="Arial" w:hAnsi="Arial" w:cs="Arial"/>
          <w:sz w:val="16"/>
          <w:szCs w:val="16"/>
        </w:rPr>
        <w:t>Federal es de carácter preliminar.</w:t>
      </w:r>
    </w:p>
  </w:footnote>
  <w:footnote w:id="2">
    <w:p w14:paraId="7590771A" w14:textId="77777777" w:rsidR="0004518F" w:rsidRPr="0090142E" w:rsidRDefault="0004518F" w:rsidP="0004518F">
      <w:pPr>
        <w:pStyle w:val="Textonotapie"/>
        <w:ind w:left="-567"/>
        <w:rPr>
          <w:rFonts w:ascii="Arial" w:hAnsi="Arial" w:cs="Arial"/>
          <w:sz w:val="16"/>
          <w:szCs w:val="16"/>
        </w:rPr>
      </w:pPr>
      <w:r w:rsidRPr="0090142E">
        <w:rPr>
          <w:rStyle w:val="Refdenotaalpie"/>
          <w:rFonts w:ascii="Arial" w:hAnsi="Arial" w:cs="Arial"/>
          <w:sz w:val="16"/>
          <w:szCs w:val="16"/>
        </w:rPr>
        <w:footnoteRef/>
      </w:r>
      <w:r w:rsidRPr="0090142E">
        <w:rPr>
          <w:rStyle w:val="Refdenotaalpie"/>
          <w:rFonts w:ascii="Arial" w:hAnsi="Arial" w:cs="Arial"/>
          <w:sz w:val="16"/>
          <w:szCs w:val="16"/>
        </w:rPr>
        <w:t xml:space="preserve"> </w:t>
      </w:r>
      <w:r w:rsidRPr="0090142E">
        <w:rPr>
          <w:rFonts w:ascii="Arial" w:hAnsi="Arial" w:cs="Arial"/>
          <w:sz w:val="16"/>
          <w:szCs w:val="16"/>
        </w:rPr>
        <w:t>En 2018, se registraron 14 mil 686 delitos en materia de armas, explosivos y otros materiales destructivos.</w:t>
      </w:r>
    </w:p>
  </w:footnote>
  <w:footnote w:id="3">
    <w:p w14:paraId="423609CB" w14:textId="77777777" w:rsidR="0004518F" w:rsidRPr="0090142E" w:rsidRDefault="0004518F" w:rsidP="0004518F">
      <w:pPr>
        <w:pStyle w:val="Textonotapie"/>
        <w:ind w:left="-567"/>
        <w:rPr>
          <w:rFonts w:ascii="Arial" w:hAnsi="Arial" w:cs="Arial"/>
          <w:sz w:val="16"/>
          <w:szCs w:val="16"/>
          <w:lang w:val="es-ES"/>
        </w:rPr>
      </w:pPr>
      <w:r w:rsidRPr="0090142E">
        <w:rPr>
          <w:rStyle w:val="Refdenotaalpie"/>
          <w:rFonts w:ascii="Arial" w:hAnsi="Arial" w:cs="Arial"/>
          <w:sz w:val="16"/>
          <w:szCs w:val="16"/>
        </w:rPr>
        <w:footnoteRef/>
      </w:r>
      <w:r w:rsidRPr="0090142E">
        <w:rPr>
          <w:rFonts w:ascii="Arial" w:hAnsi="Arial" w:cs="Arial"/>
          <w:sz w:val="16"/>
          <w:szCs w:val="16"/>
        </w:rPr>
        <w:t xml:space="preserve"> </w:t>
      </w:r>
      <w:bookmarkStart w:id="0" w:name="_Hlk44486004"/>
      <w:r w:rsidRPr="0090142E">
        <w:rPr>
          <w:rFonts w:ascii="Arial" w:hAnsi="Arial" w:cs="Arial"/>
          <w:sz w:val="16"/>
          <w:szCs w:val="16"/>
        </w:rPr>
        <w:t>No se incluye al Consejero Presidente, toda vez que se contabiliza dentro de la SCJN.</w:t>
      </w:r>
      <w:bookmarkEnd w:id="0"/>
    </w:p>
  </w:footnote>
  <w:footnote w:id="4">
    <w:p w14:paraId="2E229992" w14:textId="77777777" w:rsidR="00286958" w:rsidRPr="00286958" w:rsidRDefault="00286958">
      <w:pPr>
        <w:pStyle w:val="Textonotapie"/>
        <w:rPr>
          <w:rFonts w:ascii="Arial" w:hAnsi="Arial" w:cs="Arial"/>
          <w:sz w:val="16"/>
          <w:szCs w:val="16"/>
        </w:rPr>
      </w:pPr>
      <w:r w:rsidRPr="00286958">
        <w:rPr>
          <w:rStyle w:val="Refdenotaalpie"/>
          <w:rFonts w:ascii="Arial" w:hAnsi="Arial" w:cs="Arial"/>
          <w:sz w:val="16"/>
          <w:szCs w:val="16"/>
        </w:rPr>
        <w:footnoteRef/>
      </w:r>
      <w:r w:rsidRPr="00286958">
        <w:rPr>
          <w:rFonts w:ascii="Arial" w:hAnsi="Arial" w:cs="Arial"/>
          <w:sz w:val="16"/>
          <w:szCs w:val="16"/>
        </w:rPr>
        <w:t xml:space="preserve"> La información relativa a los órganos del Consejo de la Judicatura Federal es de carácter preliminar.</w:t>
      </w:r>
    </w:p>
  </w:footnote>
  <w:footnote w:id="5">
    <w:p w14:paraId="006A544E" w14:textId="77777777" w:rsidR="00E33993" w:rsidRPr="007247BF" w:rsidRDefault="00E33993" w:rsidP="00C33BB4">
      <w:pPr>
        <w:pStyle w:val="Textonotapie"/>
        <w:ind w:left="-426" w:hanging="141"/>
        <w:jc w:val="both"/>
        <w:rPr>
          <w:rFonts w:ascii="Arial" w:hAnsi="Arial" w:cs="Arial"/>
          <w:sz w:val="16"/>
          <w:szCs w:val="16"/>
        </w:rPr>
      </w:pPr>
      <w:r w:rsidRPr="007247BF">
        <w:rPr>
          <w:rStyle w:val="Refdenotaalpie"/>
          <w:rFonts w:ascii="Arial" w:hAnsi="Arial" w:cs="Arial"/>
          <w:sz w:val="16"/>
          <w:szCs w:val="16"/>
        </w:rPr>
        <w:footnoteRef/>
      </w:r>
      <w:r w:rsidRPr="007247BF">
        <w:rPr>
          <w:rFonts w:ascii="Arial" w:hAnsi="Arial" w:cs="Arial"/>
          <w:sz w:val="16"/>
          <w:szCs w:val="16"/>
        </w:rPr>
        <w:t xml:space="preserve"> Además de los 6 consejeros, se encuentra el Consejero Presidente, que corresponde al Ministro Presidente de la Suprema Corte de Justicia de la Nación.  </w:t>
      </w:r>
    </w:p>
  </w:footnote>
  <w:footnote w:id="6">
    <w:p w14:paraId="0A30D4C9" w14:textId="77777777" w:rsidR="00997A58" w:rsidRPr="00997A58" w:rsidRDefault="00997A58" w:rsidP="00997A58">
      <w:pPr>
        <w:pStyle w:val="Textonotapie"/>
        <w:ind w:left="-567"/>
        <w:rPr>
          <w:rFonts w:ascii="Arial" w:hAnsi="Arial" w:cs="Arial"/>
          <w:sz w:val="16"/>
          <w:szCs w:val="16"/>
        </w:rPr>
      </w:pPr>
      <w:r w:rsidRPr="00997A58">
        <w:rPr>
          <w:rStyle w:val="Refdenotaalpie"/>
          <w:rFonts w:ascii="Arial" w:hAnsi="Arial" w:cs="Arial"/>
          <w:sz w:val="16"/>
          <w:szCs w:val="16"/>
        </w:rPr>
        <w:footnoteRef/>
      </w:r>
      <w:r>
        <w:rPr>
          <w:rFonts w:ascii="Arial" w:hAnsi="Arial" w:cs="Arial"/>
          <w:sz w:val="16"/>
          <w:szCs w:val="16"/>
        </w:rPr>
        <w:t xml:space="preserve"> Se incluye al personal de </w:t>
      </w:r>
      <w:r w:rsidRPr="00C4675E">
        <w:rPr>
          <w:rFonts w:ascii="Arial" w:hAnsi="Arial" w:cs="Arial"/>
          <w:sz w:val="16"/>
          <w:szCs w:val="16"/>
        </w:rPr>
        <w:t>la Defensoría Pública Electoral para Pueblos y Comunidades Indígenas</w:t>
      </w:r>
      <w:r>
        <w:rPr>
          <w:rFonts w:ascii="Arial" w:hAnsi="Arial" w:cs="Arial"/>
          <w:sz w:val="16"/>
          <w:szCs w:val="16"/>
        </w:rPr>
        <w:t>.</w:t>
      </w:r>
    </w:p>
  </w:footnote>
  <w:footnote w:id="7">
    <w:p w14:paraId="0E5FC916" w14:textId="77777777" w:rsidR="00E33993" w:rsidRPr="007247BF" w:rsidRDefault="00E33993" w:rsidP="00EC2F19">
      <w:pPr>
        <w:pStyle w:val="Textonotapie"/>
        <w:ind w:left="-426" w:right="-518" w:hanging="141"/>
        <w:jc w:val="both"/>
        <w:rPr>
          <w:rFonts w:ascii="Arial" w:hAnsi="Arial" w:cs="Arial"/>
          <w:sz w:val="16"/>
          <w:szCs w:val="16"/>
        </w:rPr>
      </w:pPr>
      <w:r w:rsidRPr="007247BF">
        <w:rPr>
          <w:rStyle w:val="Refdenotaalpie"/>
          <w:rFonts w:ascii="Arial" w:hAnsi="Arial" w:cs="Arial"/>
          <w:sz w:val="16"/>
          <w:szCs w:val="16"/>
        </w:rPr>
        <w:footnoteRef/>
      </w:r>
      <w:r w:rsidR="00951BBA">
        <w:rPr>
          <w:rFonts w:ascii="Arial" w:hAnsi="Arial" w:cs="Arial"/>
          <w:sz w:val="16"/>
          <w:szCs w:val="16"/>
        </w:rPr>
        <w:t xml:space="preserve"> No se incluye al Consejero P</w:t>
      </w:r>
      <w:r w:rsidRPr="007247BF">
        <w:rPr>
          <w:rFonts w:ascii="Arial" w:hAnsi="Arial" w:cs="Arial"/>
          <w:sz w:val="16"/>
          <w:szCs w:val="16"/>
        </w:rPr>
        <w:t>residente, toda vez que se contabiliza dentro de la SCJN.</w:t>
      </w:r>
    </w:p>
  </w:footnote>
  <w:footnote w:id="8">
    <w:p w14:paraId="0BB21A77" w14:textId="77777777" w:rsidR="00C4675E" w:rsidRDefault="00C4675E" w:rsidP="00C4675E">
      <w:pPr>
        <w:pStyle w:val="Textonotapie"/>
        <w:ind w:left="-567"/>
      </w:pPr>
      <w:r>
        <w:rPr>
          <w:rStyle w:val="Refdenotaalpie"/>
        </w:rPr>
        <w:footnoteRef/>
      </w:r>
      <w:r>
        <w:t xml:space="preserve"> </w:t>
      </w:r>
      <w:r>
        <w:rPr>
          <w:rFonts w:ascii="Arial" w:hAnsi="Arial" w:cs="Arial"/>
          <w:sz w:val="16"/>
          <w:szCs w:val="16"/>
        </w:rPr>
        <w:t>S</w:t>
      </w:r>
      <w:r w:rsidRPr="00C4675E">
        <w:rPr>
          <w:rFonts w:ascii="Arial" w:hAnsi="Arial" w:cs="Arial"/>
          <w:sz w:val="16"/>
          <w:szCs w:val="16"/>
        </w:rPr>
        <w:t>e contabiliza también al personal de los TCC, los TUC, los JD, los CJPF</w:t>
      </w:r>
      <w:r>
        <w:rPr>
          <w:rFonts w:ascii="Arial" w:hAnsi="Arial" w:cs="Arial"/>
          <w:sz w:val="16"/>
          <w:szCs w:val="16"/>
        </w:rPr>
        <w:t xml:space="preserve"> (Centros de Justicia Penal Federal)</w:t>
      </w:r>
      <w:r w:rsidRPr="00C4675E">
        <w:rPr>
          <w:rFonts w:ascii="Arial" w:hAnsi="Arial" w:cs="Arial"/>
          <w:sz w:val="16"/>
          <w:szCs w:val="16"/>
        </w:rPr>
        <w:t xml:space="preserve">, PC </w:t>
      </w:r>
      <w:r>
        <w:rPr>
          <w:rFonts w:ascii="Arial" w:hAnsi="Arial" w:cs="Arial"/>
          <w:sz w:val="16"/>
          <w:szCs w:val="16"/>
        </w:rPr>
        <w:t>(Plenos de Circuito)</w:t>
      </w:r>
      <w:r w:rsidR="00997A58">
        <w:rPr>
          <w:rFonts w:ascii="Arial" w:hAnsi="Arial" w:cs="Arial"/>
          <w:sz w:val="16"/>
          <w:szCs w:val="16"/>
        </w:rPr>
        <w:t xml:space="preserve">, así como </w:t>
      </w:r>
      <w:r w:rsidRPr="00C4675E">
        <w:rPr>
          <w:rFonts w:ascii="Arial" w:hAnsi="Arial" w:cs="Arial"/>
          <w:sz w:val="16"/>
          <w:szCs w:val="16"/>
        </w:rPr>
        <w:t>del Instituto Federal de Defensoría Pública</w:t>
      </w:r>
      <w:r>
        <w:rPr>
          <w:rFonts w:ascii="Arial" w:hAnsi="Arial" w:cs="Arial"/>
          <w:sz w:val="16"/>
          <w:szCs w:val="16"/>
        </w:rPr>
        <w:t>.</w:t>
      </w:r>
    </w:p>
  </w:footnote>
  <w:footnote w:id="9">
    <w:p w14:paraId="4AADEB4F" w14:textId="77777777" w:rsidR="00E33993" w:rsidRPr="004B001F" w:rsidRDefault="00E33993" w:rsidP="00EC2F19">
      <w:pPr>
        <w:pStyle w:val="Textonotapie"/>
        <w:ind w:left="-426" w:right="-518" w:hanging="141"/>
        <w:jc w:val="both"/>
        <w:rPr>
          <w:rFonts w:ascii="Arial" w:hAnsi="Arial" w:cs="Arial"/>
          <w:sz w:val="16"/>
          <w:szCs w:val="16"/>
        </w:rPr>
      </w:pPr>
      <w:r w:rsidRPr="004B001F">
        <w:rPr>
          <w:rStyle w:val="Refdenotaalpie"/>
          <w:rFonts w:ascii="Arial" w:hAnsi="Arial" w:cs="Arial"/>
          <w:sz w:val="16"/>
          <w:szCs w:val="16"/>
        </w:rPr>
        <w:footnoteRef/>
      </w:r>
      <w:r w:rsidR="00035EE8">
        <w:rPr>
          <w:rFonts w:ascii="Arial" w:hAnsi="Arial" w:cs="Arial"/>
          <w:sz w:val="16"/>
          <w:szCs w:val="16"/>
        </w:rPr>
        <w:t xml:space="preserve">  Incluye los jueces de distrito e</w:t>
      </w:r>
      <w:r w:rsidRPr="004B001F">
        <w:rPr>
          <w:rFonts w:ascii="Arial" w:hAnsi="Arial" w:cs="Arial"/>
          <w:sz w:val="16"/>
          <w:szCs w:val="16"/>
        </w:rPr>
        <w:t>specializados en el Sistema Penal Acusatorio.</w:t>
      </w:r>
    </w:p>
  </w:footnote>
  <w:footnote w:id="10">
    <w:p w14:paraId="0D290E01" w14:textId="77777777" w:rsidR="00BF055E" w:rsidRPr="006405ED" w:rsidRDefault="00BF055E" w:rsidP="00BF055E">
      <w:pPr>
        <w:pStyle w:val="Textonotapie"/>
        <w:ind w:left="-567"/>
        <w:rPr>
          <w:rFonts w:ascii="Arial" w:hAnsi="Arial" w:cs="Arial"/>
          <w:sz w:val="16"/>
          <w:szCs w:val="16"/>
        </w:rPr>
      </w:pPr>
      <w:r>
        <w:rPr>
          <w:rStyle w:val="Refdenotaalpie"/>
        </w:rPr>
        <w:footnoteRef/>
      </w:r>
      <w:r>
        <w:t xml:space="preserve"> </w:t>
      </w:r>
      <w:r w:rsidRPr="006405ED">
        <w:rPr>
          <w:rFonts w:ascii="Arial" w:hAnsi="Arial" w:cs="Arial"/>
          <w:sz w:val="16"/>
          <w:szCs w:val="16"/>
        </w:rPr>
        <w:t xml:space="preserve">El CJF reportó no contar con elementos para responder sobre la cantidad de sentencias por materia publicadas. </w:t>
      </w:r>
    </w:p>
  </w:footnote>
  <w:footnote w:id="11">
    <w:p w14:paraId="7B0B057D" w14:textId="77777777" w:rsidR="00D879A3" w:rsidRDefault="00D879A3" w:rsidP="00D879A3">
      <w:pPr>
        <w:pStyle w:val="Textonotapie"/>
        <w:ind w:left="-567"/>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Incluye los asuntos que no se turnan a los Ministros que conforman el Pleno ni a las Salas de la Suprema Corte de Justicia de la Nación.</w:t>
      </w:r>
    </w:p>
  </w:footnote>
  <w:footnote w:id="12">
    <w:p w14:paraId="70DE9766" w14:textId="77777777" w:rsidR="0079209E" w:rsidRDefault="0079209E" w:rsidP="0079209E">
      <w:pPr>
        <w:pStyle w:val="Textonotapie"/>
        <w:ind w:left="-567"/>
        <w:jc w:val="both"/>
      </w:pPr>
      <w:r>
        <w:rPr>
          <w:rStyle w:val="Refdenotaalpie"/>
        </w:rPr>
        <w:footnoteRef/>
      </w:r>
      <w:r>
        <w:t xml:space="preserve"> </w:t>
      </w:r>
      <w:r w:rsidRPr="003559A0">
        <w:rPr>
          <w:rFonts w:ascii="Arial" w:hAnsi="Arial" w:cs="Arial"/>
          <w:sz w:val="16"/>
          <w:szCs w:val="16"/>
        </w:rPr>
        <w:t>La cantidad de personas involucradas es menor a la de asuntos y servicios atendidos en virtud de qu</w:t>
      </w:r>
      <w:r>
        <w:rPr>
          <w:rFonts w:ascii="Arial" w:hAnsi="Arial" w:cs="Arial"/>
          <w:sz w:val="16"/>
          <w:szCs w:val="16"/>
        </w:rPr>
        <w:t>e, una persona pudo</w:t>
      </w:r>
      <w:r w:rsidRPr="003559A0">
        <w:rPr>
          <w:rFonts w:ascii="Arial" w:hAnsi="Arial" w:cs="Arial"/>
          <w:sz w:val="16"/>
          <w:szCs w:val="16"/>
        </w:rPr>
        <w:t xml:space="preserve"> recibir más de un </w:t>
      </w:r>
      <w:r>
        <w:rPr>
          <w:rFonts w:ascii="Arial" w:hAnsi="Arial" w:cs="Arial"/>
          <w:sz w:val="16"/>
          <w:szCs w:val="16"/>
        </w:rPr>
        <w:t xml:space="preserve">asunto o </w:t>
      </w:r>
      <w:r w:rsidRPr="003559A0">
        <w:rPr>
          <w:rFonts w:ascii="Arial" w:hAnsi="Arial" w:cs="Arial"/>
          <w:sz w:val="16"/>
          <w:szCs w:val="16"/>
        </w:rPr>
        <w:t>servicio.</w:t>
      </w:r>
      <w:r>
        <w:t xml:space="preserve"> </w:t>
      </w:r>
    </w:p>
  </w:footnote>
  <w:footnote w:id="13">
    <w:p w14:paraId="26632229" w14:textId="77777777" w:rsidR="006E1799" w:rsidRPr="00173D8F" w:rsidRDefault="006E1799" w:rsidP="00AD417E">
      <w:pPr>
        <w:pStyle w:val="Textonotapie"/>
        <w:ind w:left="-567"/>
        <w:jc w:val="both"/>
        <w:rPr>
          <w:rFonts w:ascii="Arial" w:hAnsi="Arial" w:cs="Arial"/>
          <w:sz w:val="16"/>
          <w:szCs w:val="16"/>
        </w:rPr>
      </w:pPr>
      <w:r w:rsidRPr="00173D8F">
        <w:rPr>
          <w:rStyle w:val="Refdenotaalpie"/>
          <w:rFonts w:ascii="Arial" w:hAnsi="Arial" w:cs="Arial"/>
          <w:sz w:val="16"/>
          <w:szCs w:val="16"/>
        </w:rPr>
        <w:footnoteRef/>
      </w:r>
      <w:r w:rsidR="006B55AB">
        <w:rPr>
          <w:rFonts w:ascii="Arial" w:hAnsi="Arial" w:cs="Arial"/>
          <w:sz w:val="16"/>
          <w:szCs w:val="16"/>
        </w:rPr>
        <w:t xml:space="preserve"> La cifra incluye</w:t>
      </w:r>
      <w:r w:rsidRPr="00173D8F">
        <w:rPr>
          <w:rFonts w:ascii="Arial" w:hAnsi="Arial" w:cs="Arial"/>
          <w:sz w:val="16"/>
          <w:szCs w:val="16"/>
        </w:rPr>
        <w:t xml:space="preserve"> conclusiones y/o determinaciones que pudieron haber tenido los imputados en el año 2018, </w:t>
      </w:r>
      <w:r w:rsidR="006B55AB">
        <w:rPr>
          <w:rFonts w:ascii="Arial" w:hAnsi="Arial" w:cs="Arial"/>
          <w:sz w:val="16"/>
          <w:szCs w:val="16"/>
        </w:rPr>
        <w:t>pero que, sin embargo, forman parte de causas penales concluidas completamente (egresadas)</w:t>
      </w:r>
      <w:r w:rsidRPr="00173D8F">
        <w:rPr>
          <w:rFonts w:ascii="Arial" w:hAnsi="Arial" w:cs="Arial"/>
          <w:sz w:val="16"/>
          <w:szCs w:val="16"/>
        </w:rPr>
        <w:t xml:space="preserve"> durante 2019.</w:t>
      </w:r>
    </w:p>
  </w:footnote>
  <w:footnote w:id="14">
    <w:p w14:paraId="44224D58" w14:textId="77777777" w:rsidR="006C1201" w:rsidRPr="00FB6506" w:rsidRDefault="006C1201" w:rsidP="00AD417E">
      <w:pPr>
        <w:pStyle w:val="Textonotapie"/>
        <w:ind w:left="-567"/>
        <w:jc w:val="both"/>
        <w:rPr>
          <w:rFonts w:ascii="Arial" w:hAnsi="Arial" w:cs="Arial"/>
          <w:sz w:val="16"/>
          <w:szCs w:val="16"/>
        </w:rPr>
      </w:pPr>
      <w:r w:rsidRPr="00FB6506">
        <w:rPr>
          <w:rStyle w:val="Refdenotaalpie"/>
          <w:rFonts w:ascii="Arial" w:hAnsi="Arial" w:cs="Arial"/>
          <w:sz w:val="16"/>
          <w:szCs w:val="16"/>
        </w:rPr>
        <w:footnoteRef/>
      </w:r>
      <w:r w:rsidRPr="00FB6506">
        <w:rPr>
          <w:rFonts w:ascii="Arial" w:hAnsi="Arial" w:cs="Arial"/>
          <w:sz w:val="16"/>
          <w:szCs w:val="16"/>
        </w:rPr>
        <w:t xml:space="preserve"> </w:t>
      </w:r>
      <w:r w:rsidR="006B55AB">
        <w:rPr>
          <w:rFonts w:ascii="Arial" w:hAnsi="Arial" w:cs="Arial"/>
          <w:sz w:val="16"/>
          <w:szCs w:val="16"/>
        </w:rPr>
        <w:t>Para los juzgados de distrito</w:t>
      </w:r>
      <w:r w:rsidRPr="00FB6506">
        <w:rPr>
          <w:rFonts w:ascii="Arial" w:hAnsi="Arial" w:cs="Arial"/>
          <w:sz w:val="16"/>
          <w:szCs w:val="16"/>
        </w:rPr>
        <w:t xml:space="preserve"> </w:t>
      </w:r>
      <w:r w:rsidR="006B55AB">
        <w:rPr>
          <w:rFonts w:ascii="Arial" w:hAnsi="Arial" w:cs="Arial"/>
          <w:sz w:val="16"/>
          <w:szCs w:val="16"/>
        </w:rPr>
        <w:t>(</w:t>
      </w:r>
      <w:r w:rsidRPr="00FB6506">
        <w:rPr>
          <w:rFonts w:ascii="Arial" w:hAnsi="Arial" w:cs="Arial"/>
          <w:sz w:val="16"/>
          <w:szCs w:val="16"/>
        </w:rPr>
        <w:t>Sistema Tradicional</w:t>
      </w:r>
      <w:r w:rsidR="006B55AB">
        <w:rPr>
          <w:rFonts w:ascii="Arial" w:hAnsi="Arial" w:cs="Arial"/>
          <w:sz w:val="16"/>
          <w:szCs w:val="16"/>
        </w:rPr>
        <w:t>)</w:t>
      </w:r>
      <w:r w:rsidRPr="00FB6506">
        <w:rPr>
          <w:rFonts w:ascii="Arial" w:hAnsi="Arial" w:cs="Arial"/>
          <w:sz w:val="16"/>
          <w:szCs w:val="16"/>
        </w:rPr>
        <w:t xml:space="preserve"> se consideran las causas penales concluidas durante el año en su totalidad, es decir, que todos los procesados y/o indiciados registrados en la causa hayan tenido una resolución conforme a los delitos cometidos</w:t>
      </w:r>
      <w:r w:rsidR="006B55AB">
        <w:rPr>
          <w:rFonts w:ascii="Arial" w:hAnsi="Arial" w:cs="Arial"/>
          <w:sz w:val="16"/>
          <w:szCs w:val="16"/>
        </w:rPr>
        <w:t>. Para los jueces de control o garantías y jueces de enjuiciamiento o juicio oral</w:t>
      </w:r>
      <w:r w:rsidRPr="00FB6506">
        <w:rPr>
          <w:rFonts w:ascii="Arial" w:hAnsi="Arial" w:cs="Arial"/>
          <w:sz w:val="16"/>
          <w:szCs w:val="16"/>
        </w:rPr>
        <w:t xml:space="preserve"> </w:t>
      </w:r>
      <w:r w:rsidR="006B55AB">
        <w:rPr>
          <w:rFonts w:ascii="Arial" w:hAnsi="Arial" w:cs="Arial"/>
          <w:sz w:val="16"/>
          <w:szCs w:val="16"/>
        </w:rPr>
        <w:t>(</w:t>
      </w:r>
      <w:r w:rsidRPr="00FB6506">
        <w:rPr>
          <w:rFonts w:ascii="Arial" w:hAnsi="Arial" w:cs="Arial"/>
          <w:sz w:val="16"/>
          <w:szCs w:val="16"/>
        </w:rPr>
        <w:t>Sistema Penal Acusatorio</w:t>
      </w:r>
      <w:r w:rsidR="006B55AB">
        <w:rPr>
          <w:rFonts w:ascii="Arial" w:hAnsi="Arial" w:cs="Arial"/>
          <w:sz w:val="16"/>
          <w:szCs w:val="16"/>
        </w:rPr>
        <w:t>)</w:t>
      </w:r>
      <w:r w:rsidRPr="00FB6506">
        <w:rPr>
          <w:rFonts w:ascii="Arial" w:hAnsi="Arial" w:cs="Arial"/>
          <w:sz w:val="16"/>
          <w:szCs w:val="16"/>
        </w:rPr>
        <w:t xml:space="preserve"> se consideran las conclusiones</w:t>
      </w:r>
      <w:r w:rsidR="006B55AB">
        <w:rPr>
          <w:rFonts w:ascii="Arial" w:hAnsi="Arial" w:cs="Arial"/>
          <w:sz w:val="16"/>
          <w:szCs w:val="16"/>
        </w:rPr>
        <w:t xml:space="preserve"> y/o determinaciones</w:t>
      </w:r>
      <w:r w:rsidRPr="00FB6506">
        <w:rPr>
          <w:rFonts w:ascii="Arial" w:hAnsi="Arial" w:cs="Arial"/>
          <w:sz w:val="16"/>
          <w:szCs w:val="16"/>
        </w:rPr>
        <w:t xml:space="preserve"> efectuadas en las causas penales, es decir, la medición se hace a nivel de procesado y/o imputado, toda vez que la causa penal se individualiza de acuerdo con la resolución que el juzgador emite a cada persona</w:t>
      </w:r>
      <w:r w:rsidR="00FB6506" w:rsidRPr="00FB6506">
        <w:rPr>
          <w:rFonts w:ascii="Arial" w:hAnsi="Arial" w:cs="Arial"/>
          <w:sz w:val="16"/>
          <w:szCs w:val="16"/>
        </w:rPr>
        <w:t>.</w:t>
      </w:r>
      <w:r w:rsidR="006B55AB">
        <w:rPr>
          <w:rFonts w:ascii="Arial" w:hAnsi="Arial" w:cs="Arial"/>
          <w:sz w:val="16"/>
          <w:szCs w:val="16"/>
        </w:rPr>
        <w:t xml:space="preserve"> Para ambos sistema</w:t>
      </w:r>
      <w:r w:rsidR="00283D6B">
        <w:rPr>
          <w:rFonts w:ascii="Arial" w:hAnsi="Arial" w:cs="Arial"/>
          <w:sz w:val="16"/>
          <w:szCs w:val="16"/>
        </w:rPr>
        <w:t xml:space="preserve">s, las causas penales pudieron haber </w:t>
      </w:r>
      <w:r w:rsidR="006B55AB" w:rsidRPr="006B55AB">
        <w:rPr>
          <w:rFonts w:ascii="Arial" w:hAnsi="Arial" w:cs="Arial"/>
          <w:sz w:val="16"/>
          <w:szCs w:val="16"/>
        </w:rPr>
        <w:t>ingresado durante el año o en ejercicios anteriores</w:t>
      </w:r>
      <w:r w:rsidR="006B55AB">
        <w:rPr>
          <w:rFonts w:ascii="Arial" w:hAnsi="Arial" w:cs="Arial"/>
          <w:sz w:val="16"/>
          <w:szCs w:val="16"/>
        </w:rPr>
        <w:t>.</w:t>
      </w:r>
    </w:p>
  </w:footnote>
  <w:footnote w:id="15">
    <w:p w14:paraId="72FE09A0" w14:textId="77777777" w:rsidR="006E1799" w:rsidRPr="00B455B7" w:rsidRDefault="006E1799" w:rsidP="006E1799">
      <w:pPr>
        <w:pStyle w:val="Textonotapie"/>
        <w:rPr>
          <w:rFonts w:ascii="Arial" w:hAnsi="Arial" w:cs="Arial"/>
        </w:rPr>
      </w:pPr>
      <w:r w:rsidRPr="00B455B7">
        <w:rPr>
          <w:rStyle w:val="Refdenotaalpie"/>
          <w:rFonts w:ascii="Arial" w:hAnsi="Arial" w:cs="Arial"/>
          <w:sz w:val="18"/>
          <w:szCs w:val="18"/>
        </w:rPr>
        <w:footnoteRef/>
      </w:r>
      <w:r w:rsidRPr="00B455B7">
        <w:rPr>
          <w:rFonts w:ascii="Arial" w:hAnsi="Arial" w:cs="Arial"/>
          <w:sz w:val="18"/>
          <w:szCs w:val="18"/>
        </w:rPr>
        <w:t xml:space="preserve"> El 41.8% restante, corresponde a la categoría “No identificado”.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E8DD" w14:textId="77777777" w:rsidR="00E33993" w:rsidRDefault="0036483E" w:rsidP="00EC2F19">
    <w:pPr>
      <w:pStyle w:val="Encabezado"/>
      <w:tabs>
        <w:tab w:val="center" w:pos="4164"/>
        <w:tab w:val="center" w:pos="4537"/>
        <w:tab w:val="left" w:pos="7410"/>
      </w:tabs>
      <w:ind w:left="-510"/>
      <w:rPr>
        <w:b/>
        <w:color w:val="000000"/>
        <w:spacing w:val="5"/>
      </w:rPr>
    </w:pPr>
    <w:r>
      <w:rPr>
        <w:noProof/>
        <w:lang w:val="en-US"/>
      </w:rPr>
      <w:drawing>
        <wp:anchor distT="0" distB="0" distL="114300" distR="114300" simplePos="0" relativeHeight="251660288" behindDoc="0" locked="0" layoutInCell="1" allowOverlap="1" wp14:anchorId="22422310" wp14:editId="5E47DCE0">
          <wp:simplePos x="0" y="0"/>
          <wp:positionH relativeFrom="page">
            <wp:posOffset>857250</wp:posOffset>
          </wp:positionH>
          <wp:positionV relativeFrom="margin">
            <wp:posOffset>-1000125</wp:posOffset>
          </wp:positionV>
          <wp:extent cx="733425" cy="762000"/>
          <wp:effectExtent l="0" t="0" r="952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D25E6" w14:textId="4DAFECCA" w:rsidR="00883FAB" w:rsidRPr="00DC2415" w:rsidRDefault="00883FAB" w:rsidP="00883FAB">
    <w:pPr>
      <w:pStyle w:val="Encabezado"/>
      <w:tabs>
        <w:tab w:val="clear" w:pos="4419"/>
        <w:tab w:val="clear" w:pos="8838"/>
      </w:tabs>
      <w:ind w:left="-567" w:right="51"/>
      <w:jc w:val="right"/>
      <w:rPr>
        <w:rFonts w:ascii="Arial" w:hAnsi="Arial" w:cs="Arial"/>
        <w:b/>
        <w:color w:val="002060"/>
        <w:sz w:val="24"/>
        <w:szCs w:val="24"/>
        <w:lang w:val="pt-BR"/>
      </w:rPr>
    </w:pPr>
    <w:r w:rsidRPr="00DC2415">
      <w:rPr>
        <w:rFonts w:ascii="Arial" w:hAnsi="Arial" w:cs="Arial"/>
        <w:b/>
        <w:color w:val="002060"/>
        <w:sz w:val="24"/>
        <w:szCs w:val="24"/>
      </w:rPr>
      <w:t xml:space="preserve">COMUNICADO DE PRENSA NÚM. </w:t>
    </w:r>
    <w:r w:rsidR="00DC2415" w:rsidRPr="00DC2415">
      <w:rPr>
        <w:rFonts w:ascii="Arial" w:hAnsi="Arial" w:cs="Arial"/>
        <w:b/>
        <w:color w:val="002060"/>
        <w:sz w:val="24"/>
        <w:szCs w:val="24"/>
      </w:rPr>
      <w:t>296/20</w:t>
    </w:r>
  </w:p>
  <w:p w14:paraId="1B63CA90" w14:textId="77777777" w:rsidR="00883FAB" w:rsidRPr="00DC2415" w:rsidRDefault="00431E2A" w:rsidP="00883FAB">
    <w:pPr>
      <w:pStyle w:val="Encabezado"/>
      <w:tabs>
        <w:tab w:val="clear" w:pos="4419"/>
        <w:tab w:val="clear" w:pos="8838"/>
      </w:tabs>
      <w:ind w:left="-567" w:right="51"/>
      <w:jc w:val="right"/>
      <w:rPr>
        <w:rFonts w:ascii="Arial" w:hAnsi="Arial" w:cs="Arial"/>
        <w:b/>
        <w:color w:val="002060"/>
        <w:sz w:val="24"/>
        <w:szCs w:val="24"/>
        <w:lang w:val="pt-BR"/>
      </w:rPr>
    </w:pPr>
    <w:r w:rsidRPr="00DC2415">
      <w:rPr>
        <w:rFonts w:ascii="Arial" w:hAnsi="Arial" w:cs="Arial"/>
        <w:b/>
        <w:color w:val="002060"/>
        <w:sz w:val="24"/>
        <w:szCs w:val="24"/>
        <w:lang w:val="pt-BR"/>
      </w:rPr>
      <w:t>2 DE JULIO</w:t>
    </w:r>
    <w:r w:rsidR="00883FAB" w:rsidRPr="00DC2415">
      <w:rPr>
        <w:rFonts w:ascii="Arial" w:hAnsi="Arial" w:cs="Arial"/>
        <w:b/>
        <w:color w:val="002060"/>
        <w:sz w:val="24"/>
        <w:szCs w:val="24"/>
        <w:lang w:val="pt-BR"/>
      </w:rPr>
      <w:t xml:space="preserve"> DE 2020</w:t>
    </w:r>
  </w:p>
  <w:p w14:paraId="5E5EC044" w14:textId="2933BF6D" w:rsidR="00883FAB" w:rsidRPr="00DC2415" w:rsidRDefault="00883FAB" w:rsidP="00883FAB">
    <w:pPr>
      <w:pStyle w:val="Encabezado"/>
      <w:tabs>
        <w:tab w:val="clear" w:pos="4419"/>
        <w:tab w:val="clear" w:pos="8838"/>
      </w:tabs>
      <w:ind w:left="-567" w:right="51"/>
      <w:jc w:val="right"/>
      <w:rPr>
        <w:rFonts w:ascii="Arial" w:hAnsi="Arial" w:cs="Arial"/>
        <w:b/>
        <w:color w:val="002060"/>
        <w:sz w:val="24"/>
        <w:szCs w:val="24"/>
      </w:rPr>
    </w:pPr>
    <w:r w:rsidRPr="00DC2415">
      <w:rPr>
        <w:rFonts w:ascii="Arial" w:hAnsi="Arial" w:cs="Arial"/>
        <w:b/>
        <w:color w:val="002060"/>
        <w:sz w:val="24"/>
        <w:szCs w:val="24"/>
      </w:rPr>
      <w:t xml:space="preserve">PÁGINA </w:t>
    </w:r>
    <w:r w:rsidRPr="00DC2415">
      <w:rPr>
        <w:rFonts w:ascii="Arial" w:hAnsi="Arial" w:cs="Arial"/>
        <w:b/>
        <w:color w:val="002060"/>
        <w:sz w:val="24"/>
        <w:szCs w:val="24"/>
      </w:rPr>
      <w:fldChar w:fldCharType="begin"/>
    </w:r>
    <w:r w:rsidRPr="00DC2415">
      <w:rPr>
        <w:rFonts w:ascii="Arial" w:hAnsi="Arial" w:cs="Arial"/>
        <w:b/>
        <w:color w:val="002060"/>
        <w:sz w:val="24"/>
        <w:szCs w:val="24"/>
      </w:rPr>
      <w:instrText xml:space="preserve"> PAGE  \* Arabic </w:instrText>
    </w:r>
    <w:r w:rsidRPr="00DC2415">
      <w:rPr>
        <w:rFonts w:ascii="Arial" w:hAnsi="Arial" w:cs="Arial"/>
        <w:b/>
        <w:color w:val="002060"/>
        <w:sz w:val="24"/>
        <w:szCs w:val="24"/>
      </w:rPr>
      <w:fldChar w:fldCharType="separate"/>
    </w:r>
    <w:r w:rsidR="00210FE5">
      <w:rPr>
        <w:rFonts w:ascii="Arial" w:hAnsi="Arial" w:cs="Arial"/>
        <w:b/>
        <w:noProof/>
        <w:color w:val="002060"/>
        <w:sz w:val="24"/>
        <w:szCs w:val="24"/>
      </w:rPr>
      <w:t>1</w:t>
    </w:r>
    <w:r w:rsidRPr="00DC2415">
      <w:rPr>
        <w:rFonts w:ascii="Arial" w:hAnsi="Arial" w:cs="Arial"/>
        <w:b/>
        <w:color w:val="002060"/>
        <w:sz w:val="24"/>
        <w:szCs w:val="24"/>
      </w:rPr>
      <w:fldChar w:fldCharType="end"/>
    </w:r>
    <w:r w:rsidRPr="00DC2415">
      <w:rPr>
        <w:rFonts w:ascii="Arial" w:hAnsi="Arial" w:cs="Arial"/>
        <w:b/>
        <w:color w:val="002060"/>
        <w:sz w:val="24"/>
        <w:szCs w:val="24"/>
      </w:rPr>
      <w:t>/2</w:t>
    </w:r>
  </w:p>
  <w:p w14:paraId="7402D541" w14:textId="77777777" w:rsidR="00E33993" w:rsidRDefault="00E33993" w:rsidP="00EC2F19">
    <w:pPr>
      <w:pStyle w:val="Encabezado"/>
      <w:tabs>
        <w:tab w:val="center" w:pos="4164"/>
        <w:tab w:val="center" w:pos="4537"/>
        <w:tab w:val="left" w:pos="7410"/>
      </w:tabs>
      <w:ind w:left="-510"/>
      <w:rPr>
        <w:b/>
        <w:color w:val="000000"/>
        <w:spacing w:val="5"/>
      </w:rPr>
    </w:pPr>
  </w:p>
  <w:p w14:paraId="2BBC15AD" w14:textId="77777777" w:rsidR="00E33993" w:rsidRDefault="00E33993" w:rsidP="00EC2F19">
    <w:pPr>
      <w:pStyle w:val="Encabezado"/>
      <w:tabs>
        <w:tab w:val="center" w:pos="4164"/>
        <w:tab w:val="center" w:pos="4537"/>
        <w:tab w:val="left" w:pos="7410"/>
      </w:tabs>
      <w:ind w:left="-510"/>
      <w:rPr>
        <w:b/>
        <w:color w:val="000000"/>
        <w:spacing w:val="5"/>
      </w:rPr>
    </w:pPr>
  </w:p>
  <w:p w14:paraId="69985973" w14:textId="77777777" w:rsidR="00E33993" w:rsidRDefault="00E33993" w:rsidP="00EC2F19">
    <w:pPr>
      <w:pStyle w:val="Encabezado"/>
      <w:tabs>
        <w:tab w:val="center" w:pos="4164"/>
        <w:tab w:val="center" w:pos="4537"/>
        <w:tab w:val="left" w:pos="7410"/>
      </w:tabs>
      <w:ind w:left="-510"/>
      <w:rPr>
        <w:b/>
        <w:color w:val="000000"/>
        <w:spacing w:val="5"/>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ED48" w14:textId="77777777" w:rsidR="00883FAB" w:rsidRDefault="00883FAB" w:rsidP="00EC2F19">
    <w:pPr>
      <w:pStyle w:val="Encabezado"/>
      <w:tabs>
        <w:tab w:val="center" w:pos="4164"/>
        <w:tab w:val="center" w:pos="4537"/>
        <w:tab w:val="left" w:pos="7410"/>
      </w:tabs>
      <w:ind w:left="-510"/>
      <w:rPr>
        <w:b/>
        <w:color w:val="000000"/>
        <w:spacing w:val="5"/>
      </w:rPr>
    </w:pPr>
    <w:r>
      <w:rPr>
        <w:noProof/>
        <w:lang w:val="en-US"/>
      </w:rPr>
      <w:drawing>
        <wp:anchor distT="0" distB="0" distL="114300" distR="114300" simplePos="0" relativeHeight="251662336" behindDoc="0" locked="0" layoutInCell="1" allowOverlap="1" wp14:anchorId="05F162D5" wp14:editId="1869369C">
          <wp:simplePos x="0" y="0"/>
          <wp:positionH relativeFrom="page">
            <wp:align>center</wp:align>
          </wp:positionH>
          <wp:positionV relativeFrom="margin">
            <wp:posOffset>-828675</wp:posOffset>
          </wp:positionV>
          <wp:extent cx="806450" cy="8382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838200"/>
                  </a:xfrm>
                  <a:prstGeom prst="rect">
                    <a:avLst/>
                  </a:prstGeom>
                  <a:noFill/>
                  <a:ln>
                    <a:noFill/>
                  </a:ln>
                </pic:spPr>
              </pic:pic>
            </a:graphicData>
          </a:graphic>
        </wp:anchor>
      </w:drawing>
    </w:r>
  </w:p>
  <w:p w14:paraId="79538AB7" w14:textId="77777777" w:rsidR="00883FAB" w:rsidRDefault="00883FAB" w:rsidP="00EC2F19">
    <w:pPr>
      <w:pStyle w:val="Encabezado"/>
      <w:tabs>
        <w:tab w:val="center" w:pos="4164"/>
        <w:tab w:val="center" w:pos="4537"/>
        <w:tab w:val="left" w:pos="7410"/>
      </w:tabs>
      <w:ind w:left="-510"/>
      <w:rPr>
        <w:b/>
        <w:color w:val="000000"/>
        <w:spacing w:val="5"/>
      </w:rPr>
    </w:pPr>
  </w:p>
  <w:p w14:paraId="14FD8B17" w14:textId="77777777" w:rsidR="00883FAB" w:rsidRDefault="00883FAB" w:rsidP="00EC2F19">
    <w:pPr>
      <w:pStyle w:val="Encabezado"/>
      <w:tabs>
        <w:tab w:val="center" w:pos="4164"/>
        <w:tab w:val="center" w:pos="4537"/>
        <w:tab w:val="left" w:pos="7410"/>
      </w:tabs>
      <w:ind w:left="-510"/>
      <w:rPr>
        <w:b/>
        <w:color w:val="000000"/>
        <w:spacing w:val="5"/>
      </w:rPr>
    </w:pPr>
  </w:p>
  <w:p w14:paraId="5DCDA787" w14:textId="77777777" w:rsidR="00883FAB" w:rsidRDefault="00883FAB" w:rsidP="00EC2F19">
    <w:pPr>
      <w:pStyle w:val="Encabezado"/>
      <w:tabs>
        <w:tab w:val="center" w:pos="4164"/>
        <w:tab w:val="center" w:pos="4537"/>
        <w:tab w:val="left" w:pos="7410"/>
      </w:tabs>
      <w:ind w:left="-510"/>
      <w:rPr>
        <w:b/>
        <w:color w:val="000000"/>
        <w:spacing w:val="5"/>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895A99"/>
    <w:multiLevelType w:val="hybridMultilevel"/>
    <w:tmpl w:val="81B46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0"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8C62B1"/>
    <w:multiLevelType w:val="hybridMultilevel"/>
    <w:tmpl w:val="F9668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4"/>
  </w:num>
  <w:num w:numId="4">
    <w:abstractNumId w:val="6"/>
  </w:num>
  <w:num w:numId="5">
    <w:abstractNumId w:val="2"/>
  </w:num>
  <w:num w:numId="6">
    <w:abstractNumId w:val="10"/>
  </w:num>
  <w:num w:numId="7">
    <w:abstractNumId w:val="8"/>
  </w:num>
  <w:num w:numId="8">
    <w:abstractNumId w:val="7"/>
  </w:num>
  <w:num w:numId="9">
    <w:abstractNumId w:val="0"/>
  </w:num>
  <w:num w:numId="10">
    <w:abstractNumId w:val="1"/>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F19"/>
    <w:rsid w:val="00011423"/>
    <w:rsid w:val="000118D1"/>
    <w:rsid w:val="000159F4"/>
    <w:rsid w:val="00017B66"/>
    <w:rsid w:val="00021BBB"/>
    <w:rsid w:val="00023505"/>
    <w:rsid w:val="00035EE8"/>
    <w:rsid w:val="00044690"/>
    <w:rsid w:val="0004518F"/>
    <w:rsid w:val="00060A7C"/>
    <w:rsid w:val="000713B9"/>
    <w:rsid w:val="000A7C7C"/>
    <w:rsid w:val="000B3AB5"/>
    <w:rsid w:val="000B7486"/>
    <w:rsid w:val="000C2A4A"/>
    <w:rsid w:val="000C5133"/>
    <w:rsid w:val="000D2C85"/>
    <w:rsid w:val="000D55A2"/>
    <w:rsid w:val="000F4488"/>
    <w:rsid w:val="000F67E2"/>
    <w:rsid w:val="00121528"/>
    <w:rsid w:val="00130E80"/>
    <w:rsid w:val="001337AA"/>
    <w:rsid w:val="001405B9"/>
    <w:rsid w:val="00144121"/>
    <w:rsid w:val="00151B69"/>
    <w:rsid w:val="00151E12"/>
    <w:rsid w:val="00173D8F"/>
    <w:rsid w:val="00174FA4"/>
    <w:rsid w:val="00186C3B"/>
    <w:rsid w:val="001930D2"/>
    <w:rsid w:val="00194928"/>
    <w:rsid w:val="00197808"/>
    <w:rsid w:val="001A284A"/>
    <w:rsid w:val="001A3AE5"/>
    <w:rsid w:val="001A3E5B"/>
    <w:rsid w:val="001B1F99"/>
    <w:rsid w:val="001B4C3F"/>
    <w:rsid w:val="001D0DC8"/>
    <w:rsid w:val="001D10E5"/>
    <w:rsid w:val="001D20DC"/>
    <w:rsid w:val="001D497A"/>
    <w:rsid w:val="001D4C70"/>
    <w:rsid w:val="001D7D51"/>
    <w:rsid w:val="001E2552"/>
    <w:rsid w:val="001F076A"/>
    <w:rsid w:val="001F4D01"/>
    <w:rsid w:val="001F5BAC"/>
    <w:rsid w:val="00210FE5"/>
    <w:rsid w:val="00216E09"/>
    <w:rsid w:val="0022460C"/>
    <w:rsid w:val="00227748"/>
    <w:rsid w:val="002465DC"/>
    <w:rsid w:val="002524DD"/>
    <w:rsid w:val="00260D14"/>
    <w:rsid w:val="00263712"/>
    <w:rsid w:val="00263756"/>
    <w:rsid w:val="00266E54"/>
    <w:rsid w:val="0027238B"/>
    <w:rsid w:val="002743CA"/>
    <w:rsid w:val="00274D91"/>
    <w:rsid w:val="00283D6B"/>
    <w:rsid w:val="00286958"/>
    <w:rsid w:val="00287B4A"/>
    <w:rsid w:val="002923AD"/>
    <w:rsid w:val="00295059"/>
    <w:rsid w:val="00296500"/>
    <w:rsid w:val="002A1F50"/>
    <w:rsid w:val="002A5C93"/>
    <w:rsid w:val="002B0E2F"/>
    <w:rsid w:val="002B6CE5"/>
    <w:rsid w:val="002C76F1"/>
    <w:rsid w:val="002D2897"/>
    <w:rsid w:val="002E731C"/>
    <w:rsid w:val="003052FE"/>
    <w:rsid w:val="0031509C"/>
    <w:rsid w:val="003179C4"/>
    <w:rsid w:val="00334FAC"/>
    <w:rsid w:val="003559A0"/>
    <w:rsid w:val="0036483E"/>
    <w:rsid w:val="00373B06"/>
    <w:rsid w:val="00375731"/>
    <w:rsid w:val="003860D1"/>
    <w:rsid w:val="00386F1F"/>
    <w:rsid w:val="003937FB"/>
    <w:rsid w:val="003B1634"/>
    <w:rsid w:val="003B3367"/>
    <w:rsid w:val="003B7494"/>
    <w:rsid w:val="003C29EB"/>
    <w:rsid w:val="003C39A6"/>
    <w:rsid w:val="003D19F2"/>
    <w:rsid w:val="003D6672"/>
    <w:rsid w:val="003E2A83"/>
    <w:rsid w:val="003E4C85"/>
    <w:rsid w:val="00400939"/>
    <w:rsid w:val="00417E51"/>
    <w:rsid w:val="00427401"/>
    <w:rsid w:val="0042745D"/>
    <w:rsid w:val="00431B6F"/>
    <w:rsid w:val="00431E2A"/>
    <w:rsid w:val="004322D7"/>
    <w:rsid w:val="00445B3D"/>
    <w:rsid w:val="004463E6"/>
    <w:rsid w:val="00446712"/>
    <w:rsid w:val="00454BD7"/>
    <w:rsid w:val="00460DBA"/>
    <w:rsid w:val="004621F0"/>
    <w:rsid w:val="00467724"/>
    <w:rsid w:val="00472DDE"/>
    <w:rsid w:val="00473064"/>
    <w:rsid w:val="00475EB5"/>
    <w:rsid w:val="00476EC4"/>
    <w:rsid w:val="00480ED8"/>
    <w:rsid w:val="004857C1"/>
    <w:rsid w:val="00485ED3"/>
    <w:rsid w:val="004869A4"/>
    <w:rsid w:val="004961C5"/>
    <w:rsid w:val="004A1DF7"/>
    <w:rsid w:val="004A5EF4"/>
    <w:rsid w:val="004A68B2"/>
    <w:rsid w:val="004A6EDE"/>
    <w:rsid w:val="004B414C"/>
    <w:rsid w:val="004B6C8D"/>
    <w:rsid w:val="004C5568"/>
    <w:rsid w:val="004E65B5"/>
    <w:rsid w:val="004F2A41"/>
    <w:rsid w:val="004F5FF4"/>
    <w:rsid w:val="004F7C08"/>
    <w:rsid w:val="00502E0F"/>
    <w:rsid w:val="00506E90"/>
    <w:rsid w:val="00521E03"/>
    <w:rsid w:val="00526AA6"/>
    <w:rsid w:val="00542D60"/>
    <w:rsid w:val="00557932"/>
    <w:rsid w:val="00563B9B"/>
    <w:rsid w:val="00563CD2"/>
    <w:rsid w:val="005A2CA5"/>
    <w:rsid w:val="005A6AE4"/>
    <w:rsid w:val="005B2940"/>
    <w:rsid w:val="005B5AC0"/>
    <w:rsid w:val="005B5B4A"/>
    <w:rsid w:val="005C3D89"/>
    <w:rsid w:val="005C3E14"/>
    <w:rsid w:val="005D083B"/>
    <w:rsid w:val="005D2637"/>
    <w:rsid w:val="005D4505"/>
    <w:rsid w:val="005E35E0"/>
    <w:rsid w:val="005E72D9"/>
    <w:rsid w:val="00602142"/>
    <w:rsid w:val="00602565"/>
    <w:rsid w:val="00617FF9"/>
    <w:rsid w:val="0062072F"/>
    <w:rsid w:val="00623F76"/>
    <w:rsid w:val="0062632C"/>
    <w:rsid w:val="006364D1"/>
    <w:rsid w:val="006405ED"/>
    <w:rsid w:val="00640F02"/>
    <w:rsid w:val="006411B0"/>
    <w:rsid w:val="006502A5"/>
    <w:rsid w:val="0065563A"/>
    <w:rsid w:val="006627FE"/>
    <w:rsid w:val="00665792"/>
    <w:rsid w:val="00670A65"/>
    <w:rsid w:val="00692E93"/>
    <w:rsid w:val="006A12CD"/>
    <w:rsid w:val="006A3261"/>
    <w:rsid w:val="006A3E2F"/>
    <w:rsid w:val="006B087A"/>
    <w:rsid w:val="006B55AB"/>
    <w:rsid w:val="006B5F18"/>
    <w:rsid w:val="006C1201"/>
    <w:rsid w:val="006C35A5"/>
    <w:rsid w:val="006C5371"/>
    <w:rsid w:val="006D13F5"/>
    <w:rsid w:val="006D56E5"/>
    <w:rsid w:val="006D7A76"/>
    <w:rsid w:val="006E1799"/>
    <w:rsid w:val="006E3BCD"/>
    <w:rsid w:val="006E59DB"/>
    <w:rsid w:val="006F4072"/>
    <w:rsid w:val="00707F74"/>
    <w:rsid w:val="007101A2"/>
    <w:rsid w:val="00716A6B"/>
    <w:rsid w:val="007171D1"/>
    <w:rsid w:val="007203D6"/>
    <w:rsid w:val="0072057D"/>
    <w:rsid w:val="00720C88"/>
    <w:rsid w:val="00723DC0"/>
    <w:rsid w:val="0073459C"/>
    <w:rsid w:val="00734D62"/>
    <w:rsid w:val="007364A4"/>
    <w:rsid w:val="00745292"/>
    <w:rsid w:val="007653F4"/>
    <w:rsid w:val="0077201A"/>
    <w:rsid w:val="00772065"/>
    <w:rsid w:val="00773A66"/>
    <w:rsid w:val="007834A2"/>
    <w:rsid w:val="00783E44"/>
    <w:rsid w:val="0079209E"/>
    <w:rsid w:val="007A52F4"/>
    <w:rsid w:val="007A7DFB"/>
    <w:rsid w:val="007C7066"/>
    <w:rsid w:val="007D7FCA"/>
    <w:rsid w:val="007F13AE"/>
    <w:rsid w:val="007F2636"/>
    <w:rsid w:val="008132D0"/>
    <w:rsid w:val="00821AF2"/>
    <w:rsid w:val="0083043B"/>
    <w:rsid w:val="00844F86"/>
    <w:rsid w:val="008535A2"/>
    <w:rsid w:val="0085509C"/>
    <w:rsid w:val="0087035A"/>
    <w:rsid w:val="00881B6C"/>
    <w:rsid w:val="00883EFE"/>
    <w:rsid w:val="00883FAB"/>
    <w:rsid w:val="00892167"/>
    <w:rsid w:val="008929CE"/>
    <w:rsid w:val="008A0EC2"/>
    <w:rsid w:val="008B149B"/>
    <w:rsid w:val="008C320B"/>
    <w:rsid w:val="008C5454"/>
    <w:rsid w:val="008C6CFB"/>
    <w:rsid w:val="008D749B"/>
    <w:rsid w:val="009028AD"/>
    <w:rsid w:val="0090555B"/>
    <w:rsid w:val="0091513A"/>
    <w:rsid w:val="00917B85"/>
    <w:rsid w:val="00927864"/>
    <w:rsid w:val="009321D8"/>
    <w:rsid w:val="00936B90"/>
    <w:rsid w:val="009371EF"/>
    <w:rsid w:val="0094027B"/>
    <w:rsid w:val="00940C30"/>
    <w:rsid w:val="009454A4"/>
    <w:rsid w:val="00951BBA"/>
    <w:rsid w:val="00953DCF"/>
    <w:rsid w:val="00960EEB"/>
    <w:rsid w:val="009635D3"/>
    <w:rsid w:val="009641B5"/>
    <w:rsid w:val="00964883"/>
    <w:rsid w:val="00972CA9"/>
    <w:rsid w:val="0097404B"/>
    <w:rsid w:val="00977530"/>
    <w:rsid w:val="009931B5"/>
    <w:rsid w:val="00997A58"/>
    <w:rsid w:val="009B4DA2"/>
    <w:rsid w:val="009C271C"/>
    <w:rsid w:val="009D0DB8"/>
    <w:rsid w:val="009D699C"/>
    <w:rsid w:val="00A04612"/>
    <w:rsid w:val="00A23F22"/>
    <w:rsid w:val="00A27505"/>
    <w:rsid w:val="00A40045"/>
    <w:rsid w:val="00A51503"/>
    <w:rsid w:val="00A51C4E"/>
    <w:rsid w:val="00A51EEC"/>
    <w:rsid w:val="00A61E38"/>
    <w:rsid w:val="00A642BA"/>
    <w:rsid w:val="00A76682"/>
    <w:rsid w:val="00A77184"/>
    <w:rsid w:val="00A80731"/>
    <w:rsid w:val="00A87076"/>
    <w:rsid w:val="00A91343"/>
    <w:rsid w:val="00A95EAB"/>
    <w:rsid w:val="00AA3CD4"/>
    <w:rsid w:val="00AA7C18"/>
    <w:rsid w:val="00AB0FE5"/>
    <w:rsid w:val="00AB59D9"/>
    <w:rsid w:val="00AB7E29"/>
    <w:rsid w:val="00AD0A74"/>
    <w:rsid w:val="00AD153E"/>
    <w:rsid w:val="00AD417E"/>
    <w:rsid w:val="00AD6787"/>
    <w:rsid w:val="00AF49FE"/>
    <w:rsid w:val="00B02656"/>
    <w:rsid w:val="00B04D93"/>
    <w:rsid w:val="00B32936"/>
    <w:rsid w:val="00B33EB0"/>
    <w:rsid w:val="00B3555E"/>
    <w:rsid w:val="00B37E0A"/>
    <w:rsid w:val="00B45AF7"/>
    <w:rsid w:val="00B50325"/>
    <w:rsid w:val="00B53F21"/>
    <w:rsid w:val="00B56B3D"/>
    <w:rsid w:val="00B57A41"/>
    <w:rsid w:val="00B7509F"/>
    <w:rsid w:val="00B8230D"/>
    <w:rsid w:val="00B87197"/>
    <w:rsid w:val="00B90F52"/>
    <w:rsid w:val="00BA30C5"/>
    <w:rsid w:val="00BA4A9E"/>
    <w:rsid w:val="00BA4C0A"/>
    <w:rsid w:val="00BA5685"/>
    <w:rsid w:val="00BB54F9"/>
    <w:rsid w:val="00BD11CE"/>
    <w:rsid w:val="00BD2F8A"/>
    <w:rsid w:val="00BD5D26"/>
    <w:rsid w:val="00BE08DA"/>
    <w:rsid w:val="00BF055E"/>
    <w:rsid w:val="00BF614C"/>
    <w:rsid w:val="00BF6B43"/>
    <w:rsid w:val="00C01E4F"/>
    <w:rsid w:val="00C044A8"/>
    <w:rsid w:val="00C051D8"/>
    <w:rsid w:val="00C0544B"/>
    <w:rsid w:val="00C24743"/>
    <w:rsid w:val="00C27653"/>
    <w:rsid w:val="00C31D75"/>
    <w:rsid w:val="00C324D0"/>
    <w:rsid w:val="00C33BB4"/>
    <w:rsid w:val="00C4077D"/>
    <w:rsid w:val="00C43519"/>
    <w:rsid w:val="00C46648"/>
    <w:rsid w:val="00C4675E"/>
    <w:rsid w:val="00C62982"/>
    <w:rsid w:val="00C677A2"/>
    <w:rsid w:val="00C74A52"/>
    <w:rsid w:val="00C750FD"/>
    <w:rsid w:val="00C80426"/>
    <w:rsid w:val="00C82FB4"/>
    <w:rsid w:val="00C852A9"/>
    <w:rsid w:val="00C90C7C"/>
    <w:rsid w:val="00C928D6"/>
    <w:rsid w:val="00C96CD5"/>
    <w:rsid w:val="00CD08FC"/>
    <w:rsid w:val="00CD0C90"/>
    <w:rsid w:val="00CE0057"/>
    <w:rsid w:val="00CF1B7A"/>
    <w:rsid w:val="00CF2511"/>
    <w:rsid w:val="00CF598B"/>
    <w:rsid w:val="00D1771B"/>
    <w:rsid w:val="00D31708"/>
    <w:rsid w:val="00D336E9"/>
    <w:rsid w:val="00D34F97"/>
    <w:rsid w:val="00D401F1"/>
    <w:rsid w:val="00D40C2A"/>
    <w:rsid w:val="00D55B6D"/>
    <w:rsid w:val="00D66422"/>
    <w:rsid w:val="00D76E65"/>
    <w:rsid w:val="00D77579"/>
    <w:rsid w:val="00D879A3"/>
    <w:rsid w:val="00DA09A3"/>
    <w:rsid w:val="00DA5FC9"/>
    <w:rsid w:val="00DB4FA3"/>
    <w:rsid w:val="00DC2415"/>
    <w:rsid w:val="00DD3679"/>
    <w:rsid w:val="00DD3D6A"/>
    <w:rsid w:val="00DD7B55"/>
    <w:rsid w:val="00DE0B1B"/>
    <w:rsid w:val="00DE1481"/>
    <w:rsid w:val="00DE4F0E"/>
    <w:rsid w:val="00DE5CE1"/>
    <w:rsid w:val="00DE7762"/>
    <w:rsid w:val="00E01120"/>
    <w:rsid w:val="00E01C04"/>
    <w:rsid w:val="00E04D37"/>
    <w:rsid w:val="00E112A6"/>
    <w:rsid w:val="00E1491B"/>
    <w:rsid w:val="00E179CA"/>
    <w:rsid w:val="00E2114E"/>
    <w:rsid w:val="00E33993"/>
    <w:rsid w:val="00E33BA9"/>
    <w:rsid w:val="00E36C69"/>
    <w:rsid w:val="00E45F2C"/>
    <w:rsid w:val="00E45F31"/>
    <w:rsid w:val="00E46E6F"/>
    <w:rsid w:val="00E47048"/>
    <w:rsid w:val="00E62723"/>
    <w:rsid w:val="00E64DDF"/>
    <w:rsid w:val="00E728D6"/>
    <w:rsid w:val="00E7609C"/>
    <w:rsid w:val="00E82E2F"/>
    <w:rsid w:val="00E94DBE"/>
    <w:rsid w:val="00E953E3"/>
    <w:rsid w:val="00EB1126"/>
    <w:rsid w:val="00EB1321"/>
    <w:rsid w:val="00EB73CB"/>
    <w:rsid w:val="00EC2F19"/>
    <w:rsid w:val="00EC43E3"/>
    <w:rsid w:val="00EC78FE"/>
    <w:rsid w:val="00ED5379"/>
    <w:rsid w:val="00ED7AEF"/>
    <w:rsid w:val="00EE0DD5"/>
    <w:rsid w:val="00EE7395"/>
    <w:rsid w:val="00EF18DF"/>
    <w:rsid w:val="00EF3EF3"/>
    <w:rsid w:val="00EF5B63"/>
    <w:rsid w:val="00EF7577"/>
    <w:rsid w:val="00F05680"/>
    <w:rsid w:val="00F226E2"/>
    <w:rsid w:val="00F263B7"/>
    <w:rsid w:val="00F26486"/>
    <w:rsid w:val="00F27E93"/>
    <w:rsid w:val="00F337ED"/>
    <w:rsid w:val="00F34E1F"/>
    <w:rsid w:val="00F36237"/>
    <w:rsid w:val="00F453C6"/>
    <w:rsid w:val="00F61D6A"/>
    <w:rsid w:val="00F63DA6"/>
    <w:rsid w:val="00F7500E"/>
    <w:rsid w:val="00F75B75"/>
    <w:rsid w:val="00F76141"/>
    <w:rsid w:val="00F87671"/>
    <w:rsid w:val="00F924D9"/>
    <w:rsid w:val="00FB6506"/>
    <w:rsid w:val="00FC6760"/>
    <w:rsid w:val="00FD1D15"/>
    <w:rsid w:val="00FE04D0"/>
    <w:rsid w:val="00FE2441"/>
    <w:rsid w:val="00FE50A1"/>
    <w:rsid w:val="00FE6B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563F7"/>
  <w15:chartTrackingRefBased/>
  <w15:docId w15:val="{7961DE4D-131A-4187-B8E1-C0F0130D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D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2F1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C2F19"/>
    <w:pPr>
      <w:ind w:left="720"/>
      <w:contextualSpacing/>
    </w:pPr>
  </w:style>
  <w:style w:type="paragraph" w:styleId="Textonotapie">
    <w:name w:val="footnote text"/>
    <w:basedOn w:val="Normal"/>
    <w:link w:val="TextonotapieCar"/>
    <w:uiPriority w:val="99"/>
    <w:unhideWhenUsed/>
    <w:rsid w:val="00EC2F19"/>
    <w:pPr>
      <w:spacing w:after="0" w:line="240" w:lineRule="auto"/>
    </w:pPr>
    <w:rPr>
      <w:sz w:val="20"/>
      <w:szCs w:val="20"/>
    </w:rPr>
  </w:style>
  <w:style w:type="character" w:customStyle="1" w:styleId="TextonotapieCar">
    <w:name w:val="Texto nota pie Car"/>
    <w:basedOn w:val="Fuentedeprrafopredeter"/>
    <w:link w:val="Textonotapie"/>
    <w:uiPriority w:val="99"/>
    <w:rsid w:val="00EC2F19"/>
    <w:rPr>
      <w:sz w:val="20"/>
      <w:szCs w:val="20"/>
    </w:rPr>
  </w:style>
  <w:style w:type="character" w:styleId="Refdenotaalpie">
    <w:name w:val="footnote reference"/>
    <w:basedOn w:val="Fuentedeprrafopredeter"/>
    <w:uiPriority w:val="99"/>
    <w:unhideWhenUsed/>
    <w:rsid w:val="00EC2F19"/>
    <w:rPr>
      <w:vertAlign w:val="superscript"/>
    </w:rPr>
  </w:style>
  <w:style w:type="paragraph" w:styleId="NormalWeb">
    <w:name w:val="Normal (Web)"/>
    <w:basedOn w:val="Normal"/>
    <w:uiPriority w:val="99"/>
    <w:unhideWhenUsed/>
    <w:rsid w:val="00EC2F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EC2F19"/>
    <w:rPr>
      <w:color w:val="0000FF"/>
      <w:u w:val="single"/>
    </w:rPr>
  </w:style>
  <w:style w:type="paragraph" w:styleId="Encabezado">
    <w:name w:val="header"/>
    <w:basedOn w:val="Normal"/>
    <w:link w:val="EncabezadoCar"/>
    <w:unhideWhenUsed/>
    <w:rsid w:val="00EC2F19"/>
    <w:pPr>
      <w:tabs>
        <w:tab w:val="center" w:pos="4419"/>
        <w:tab w:val="right" w:pos="8838"/>
      </w:tabs>
      <w:spacing w:after="0" w:line="240" w:lineRule="auto"/>
    </w:pPr>
  </w:style>
  <w:style w:type="character" w:customStyle="1" w:styleId="EncabezadoCar">
    <w:name w:val="Encabezado Car"/>
    <w:basedOn w:val="Fuentedeprrafopredeter"/>
    <w:link w:val="Encabezado"/>
    <w:rsid w:val="00EC2F19"/>
  </w:style>
  <w:style w:type="paragraph" w:styleId="Piedepgina">
    <w:name w:val="footer"/>
    <w:basedOn w:val="Normal"/>
    <w:link w:val="PiedepginaCar"/>
    <w:uiPriority w:val="99"/>
    <w:unhideWhenUsed/>
    <w:rsid w:val="00EC2F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F19"/>
  </w:style>
  <w:style w:type="character" w:styleId="Refdecomentario">
    <w:name w:val="annotation reference"/>
    <w:basedOn w:val="Fuentedeprrafopredeter"/>
    <w:uiPriority w:val="99"/>
    <w:semiHidden/>
    <w:unhideWhenUsed/>
    <w:rsid w:val="009454A4"/>
    <w:rPr>
      <w:sz w:val="16"/>
      <w:szCs w:val="16"/>
    </w:rPr>
  </w:style>
  <w:style w:type="paragraph" w:styleId="Textocomentario">
    <w:name w:val="annotation text"/>
    <w:basedOn w:val="Normal"/>
    <w:link w:val="TextocomentarioCar"/>
    <w:uiPriority w:val="99"/>
    <w:semiHidden/>
    <w:unhideWhenUsed/>
    <w:rsid w:val="009454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54A4"/>
    <w:rPr>
      <w:sz w:val="20"/>
      <w:szCs w:val="20"/>
    </w:rPr>
  </w:style>
  <w:style w:type="paragraph" w:styleId="Asuntodelcomentario">
    <w:name w:val="annotation subject"/>
    <w:basedOn w:val="Textocomentario"/>
    <w:next w:val="Textocomentario"/>
    <w:link w:val="AsuntodelcomentarioCar"/>
    <w:uiPriority w:val="99"/>
    <w:semiHidden/>
    <w:unhideWhenUsed/>
    <w:rsid w:val="009454A4"/>
    <w:rPr>
      <w:b/>
      <w:bCs/>
    </w:rPr>
  </w:style>
  <w:style w:type="character" w:customStyle="1" w:styleId="AsuntodelcomentarioCar">
    <w:name w:val="Asunto del comentario Car"/>
    <w:basedOn w:val="TextocomentarioCar"/>
    <w:link w:val="Asuntodelcomentario"/>
    <w:uiPriority w:val="99"/>
    <w:semiHidden/>
    <w:rsid w:val="009454A4"/>
    <w:rPr>
      <w:b/>
      <w:bCs/>
      <w:sz w:val="20"/>
      <w:szCs w:val="20"/>
    </w:rPr>
  </w:style>
  <w:style w:type="paragraph" w:styleId="Textodeglobo">
    <w:name w:val="Balloon Text"/>
    <w:basedOn w:val="Normal"/>
    <w:link w:val="TextodegloboCar"/>
    <w:uiPriority w:val="99"/>
    <w:semiHidden/>
    <w:unhideWhenUsed/>
    <w:rsid w:val="00945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4A4"/>
    <w:rPr>
      <w:rFonts w:ascii="Segoe UI" w:hAnsi="Segoe UI" w:cs="Segoe UI"/>
      <w:sz w:val="18"/>
      <w:szCs w:val="18"/>
    </w:rPr>
  </w:style>
  <w:style w:type="paragraph" w:styleId="Revisin">
    <w:name w:val="Revision"/>
    <w:hidden/>
    <w:uiPriority w:val="99"/>
    <w:semiHidden/>
    <w:rsid w:val="009321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368641">
      <w:bodyDiv w:val="1"/>
      <w:marLeft w:val="0"/>
      <w:marRight w:val="0"/>
      <w:marTop w:val="0"/>
      <w:marBottom w:val="0"/>
      <w:divBdr>
        <w:top w:val="none" w:sz="0" w:space="0" w:color="auto"/>
        <w:left w:val="none" w:sz="0" w:space="0" w:color="auto"/>
        <w:bottom w:val="none" w:sz="0" w:space="0" w:color="auto"/>
        <w:right w:val="none" w:sz="0" w:space="0" w:color="auto"/>
      </w:divBdr>
    </w:div>
    <w:div w:id="302662559">
      <w:bodyDiv w:val="1"/>
      <w:marLeft w:val="0"/>
      <w:marRight w:val="0"/>
      <w:marTop w:val="0"/>
      <w:marBottom w:val="0"/>
      <w:divBdr>
        <w:top w:val="none" w:sz="0" w:space="0" w:color="auto"/>
        <w:left w:val="none" w:sz="0" w:space="0" w:color="auto"/>
        <w:bottom w:val="none" w:sz="0" w:space="0" w:color="auto"/>
        <w:right w:val="none" w:sz="0" w:space="0" w:color="auto"/>
      </w:divBdr>
    </w:div>
    <w:div w:id="544218686">
      <w:bodyDiv w:val="1"/>
      <w:marLeft w:val="0"/>
      <w:marRight w:val="0"/>
      <w:marTop w:val="0"/>
      <w:marBottom w:val="0"/>
      <w:divBdr>
        <w:top w:val="none" w:sz="0" w:space="0" w:color="auto"/>
        <w:left w:val="none" w:sz="0" w:space="0" w:color="auto"/>
        <w:bottom w:val="none" w:sz="0" w:space="0" w:color="auto"/>
        <w:right w:val="none" w:sz="0" w:space="0" w:color="auto"/>
      </w:divBdr>
    </w:div>
    <w:div w:id="586429067">
      <w:bodyDiv w:val="1"/>
      <w:marLeft w:val="0"/>
      <w:marRight w:val="0"/>
      <w:marTop w:val="0"/>
      <w:marBottom w:val="0"/>
      <w:divBdr>
        <w:top w:val="none" w:sz="0" w:space="0" w:color="auto"/>
        <w:left w:val="none" w:sz="0" w:space="0" w:color="auto"/>
        <w:bottom w:val="none" w:sz="0" w:space="0" w:color="auto"/>
        <w:right w:val="none" w:sz="0" w:space="0" w:color="auto"/>
      </w:divBdr>
    </w:div>
    <w:div w:id="1017926505">
      <w:bodyDiv w:val="1"/>
      <w:marLeft w:val="0"/>
      <w:marRight w:val="0"/>
      <w:marTop w:val="0"/>
      <w:marBottom w:val="0"/>
      <w:divBdr>
        <w:top w:val="none" w:sz="0" w:space="0" w:color="auto"/>
        <w:left w:val="none" w:sz="0" w:space="0" w:color="auto"/>
        <w:bottom w:val="none" w:sz="0" w:space="0" w:color="auto"/>
        <w:right w:val="none" w:sz="0" w:space="0" w:color="auto"/>
      </w:divBdr>
    </w:div>
    <w:div w:id="1360665141">
      <w:bodyDiv w:val="1"/>
      <w:marLeft w:val="0"/>
      <w:marRight w:val="0"/>
      <w:marTop w:val="0"/>
      <w:marBottom w:val="0"/>
      <w:divBdr>
        <w:top w:val="none" w:sz="0" w:space="0" w:color="auto"/>
        <w:left w:val="none" w:sz="0" w:space="0" w:color="auto"/>
        <w:bottom w:val="none" w:sz="0" w:space="0" w:color="auto"/>
        <w:right w:val="none" w:sz="0" w:space="0" w:color="auto"/>
      </w:divBdr>
    </w:div>
    <w:div w:id="1440644804">
      <w:bodyDiv w:val="1"/>
      <w:marLeft w:val="0"/>
      <w:marRight w:val="0"/>
      <w:marTop w:val="0"/>
      <w:marBottom w:val="0"/>
      <w:divBdr>
        <w:top w:val="none" w:sz="0" w:space="0" w:color="auto"/>
        <w:left w:val="none" w:sz="0" w:space="0" w:color="auto"/>
        <w:bottom w:val="none" w:sz="0" w:space="0" w:color="auto"/>
        <w:right w:val="none" w:sz="0" w:space="0" w:color="auto"/>
      </w:divBdr>
      <w:divsChild>
        <w:div w:id="1276522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negi_informa/" TargetMode="External"/><Relationship Id="rId18" Type="http://schemas.openxmlformats.org/officeDocument/2006/relationships/image" Target="media/image5.jpe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www.inegi.inegi.org.mx/programas/cnijf/2020/"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youtube.com/user/INEGIInforma"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INEGIInform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INEGI_INFORM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hyperlink" Target="http://www.inegi.org.mx/"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image" Target="media/image15.png"/><Relationship Id="rId35" Type="http://schemas.openxmlformats.org/officeDocument/2006/relationships/image" Target="media/image20.tiff"/><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mailto:comunicacionsocial@inegi.org.mx" TargetMode="External"/><Relationship Id="rId51" Type="http://schemas.openxmlformats.org/officeDocument/2006/relationships/hyperlink" Target="https://www.inegi.org.mx/programas/cnijf/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01A55660-2A98-4778-9B42-373F25F0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3827</Words>
  <Characters>21820</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COLLAZO GALLEGOS MARCOS DARIO</dc:creator>
  <cp:keywords/>
  <dc:description/>
  <cp:lastModifiedBy>MORONES RUIZ FABIOLA CRISTINA</cp:lastModifiedBy>
  <cp:revision>2</cp:revision>
  <dcterms:created xsi:type="dcterms:W3CDTF">2020-07-02T11:39:00Z</dcterms:created>
  <dcterms:modified xsi:type="dcterms:W3CDTF">2020-07-02T11:39:00Z</dcterms:modified>
</cp:coreProperties>
</file>