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CCCAF" w14:textId="77777777" w:rsidR="00A54FD3" w:rsidRDefault="00A54FD3" w:rsidP="00A54FD3">
      <w:pPr>
        <w:pStyle w:val="Ttulo2"/>
        <w:spacing w:before="48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4AFD6A06" wp14:editId="76D94F47">
                <wp:simplePos x="0" y="0"/>
                <wp:positionH relativeFrom="column">
                  <wp:posOffset>3000138</wp:posOffset>
                </wp:positionH>
                <wp:positionV relativeFrom="paragraph">
                  <wp:posOffset>16</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C70A46E" w14:textId="77777777" w:rsidR="00A54FD3" w:rsidRPr="00265B8C" w:rsidRDefault="00A54FD3" w:rsidP="00A54FD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D6A06" id="_x0000_t202" coordsize="21600,21600" o:spt="202" path="m,l,21600r21600,l21600,xe">
                <v:stroke joinstyle="miter"/>
                <v:path gradientshapeok="t" o:connecttype="rect"/>
              </v:shapetype>
              <v:shape id="Cuadro de texto 217" o:spid="_x0000_s1026" type="#_x0000_t202" style="position:absolute;left:0;text-align:left;margin-left:236.2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" stroked="f">
                <v:textbox>
                  <w:txbxContent>
                    <w:p w14:paraId="5C70A46E" w14:textId="77777777" w:rsidR="00A54FD3" w:rsidRPr="00265B8C" w:rsidRDefault="00A54FD3" w:rsidP="00A54FD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14:paraId="76B553C0" w14:textId="77777777" w:rsidR="00A54FD3" w:rsidRPr="00366B35" w:rsidRDefault="00A54FD3" w:rsidP="00A54FD3">
      <w:pPr>
        <w:pStyle w:val="Ttulo2"/>
        <w:spacing w:before="480"/>
        <w:jc w:val="center"/>
        <w:rPr>
          <w:rFonts w:ascii="Arial" w:hAnsi="Arial" w:cs="Arial"/>
          <w:b/>
          <w:color w:val="auto"/>
          <w:sz w:val="28"/>
          <w:szCs w:val="28"/>
        </w:rPr>
      </w:pPr>
      <w:r w:rsidRPr="00366B35">
        <w:rPr>
          <w:rFonts w:ascii="Arial" w:hAnsi="Arial" w:cs="Arial"/>
          <w:b/>
          <w:color w:val="auto"/>
          <w:sz w:val="28"/>
          <w:szCs w:val="28"/>
        </w:rPr>
        <w:t>INDICADOR MENSUAL DE LA ACTIVIDAD INDUSTRIAL</w:t>
      </w:r>
    </w:p>
    <w:p w14:paraId="255AE875" w14:textId="77777777" w:rsidR="00A54FD3" w:rsidRPr="00366B35" w:rsidRDefault="00A54FD3" w:rsidP="00A54FD3">
      <w:pPr>
        <w:pStyle w:val="Ttulo2"/>
        <w:spacing w:before="0"/>
        <w:jc w:val="center"/>
        <w:rPr>
          <w:rFonts w:ascii="Arial" w:hAnsi="Arial" w:cs="Arial"/>
          <w:b/>
          <w:color w:val="auto"/>
          <w:sz w:val="28"/>
          <w:szCs w:val="28"/>
        </w:rPr>
      </w:pPr>
      <w:r w:rsidRPr="00366B35">
        <w:rPr>
          <w:rFonts w:ascii="Arial" w:hAnsi="Arial" w:cs="Arial"/>
          <w:b/>
          <w:color w:val="auto"/>
          <w:sz w:val="28"/>
          <w:szCs w:val="28"/>
        </w:rPr>
        <w:t>DURANTE JUNIO DE 2020</w:t>
      </w:r>
    </w:p>
    <w:p w14:paraId="2B94A626" w14:textId="77777777" w:rsidR="00A54FD3" w:rsidRPr="00366B35" w:rsidRDefault="00A54FD3" w:rsidP="00A54FD3">
      <w:pPr>
        <w:jc w:val="center"/>
        <w:rPr>
          <w:b/>
          <w:spacing w:val="25"/>
          <w:lang w:val="es-MX"/>
        </w:rPr>
      </w:pPr>
      <w:r w:rsidRPr="00366B35">
        <w:rPr>
          <w:b/>
          <w:spacing w:val="25"/>
          <w:lang w:val="es-MX"/>
        </w:rPr>
        <w:t>(</w:t>
      </w:r>
      <w:r w:rsidRPr="00366B35">
        <w:rPr>
          <w:b/>
          <w:i/>
          <w:spacing w:val="25"/>
          <w:lang w:val="es-MX"/>
        </w:rPr>
        <w:t>Cifras desestacionalizadas</w:t>
      </w:r>
      <w:r w:rsidRPr="00366B35">
        <w:rPr>
          <w:b/>
          <w:spacing w:val="25"/>
          <w:lang w:val="es-MX"/>
        </w:rPr>
        <w:t>)</w:t>
      </w:r>
    </w:p>
    <w:p w14:paraId="00B6CAE3" w14:textId="77777777" w:rsidR="00A54FD3" w:rsidRPr="00366B35" w:rsidRDefault="00A54FD3" w:rsidP="00A54FD3">
      <w:pPr>
        <w:pStyle w:val="bullet"/>
        <w:spacing w:before="360"/>
        <w:ind w:left="-426" w:right="-547" w:firstLine="0"/>
        <w:jc w:val="both"/>
        <w:rPr>
          <w:rFonts w:ascii="Arial" w:hAnsi="Arial" w:cs="Arial"/>
          <w:b w:val="0"/>
          <w:bCs/>
          <w:color w:val="000000" w:themeColor="text1"/>
          <w:sz w:val="24"/>
          <w:szCs w:val="24"/>
        </w:rPr>
      </w:pPr>
      <w:r w:rsidRPr="00366B35">
        <w:rPr>
          <w:rFonts w:ascii="Arial" w:hAnsi="Arial" w:cs="Arial"/>
          <w:b w:val="0"/>
          <w:bCs/>
          <w:color w:val="000000" w:themeColor="text1"/>
          <w:sz w:val="24"/>
          <w:szCs w:val="24"/>
        </w:rPr>
        <w:t>El INEGI informa que el Indicador Mensual de la Actividad Industrial (IMAI) registró un aumento real de 17.9% en el sexto mes de este año respecto al mes previo, con base en cifras desestacionalizadas</w:t>
      </w:r>
      <w:r w:rsidRPr="00366B35">
        <w:rPr>
          <w:rFonts w:ascii="Arial" w:hAnsi="Arial" w:cs="Arial"/>
          <w:b w:val="0"/>
          <w:bCs/>
          <w:color w:val="000000" w:themeColor="text1"/>
          <w:sz w:val="24"/>
          <w:szCs w:val="24"/>
          <w:vertAlign w:val="superscript"/>
        </w:rPr>
        <w:footnoteReference w:id="1"/>
      </w:r>
      <w:r w:rsidRPr="00366B35">
        <w:rPr>
          <w:rFonts w:ascii="Arial" w:hAnsi="Arial" w:cs="Arial"/>
          <w:b w:val="0"/>
          <w:bCs/>
          <w:color w:val="000000" w:themeColor="text1"/>
          <w:sz w:val="24"/>
          <w:szCs w:val="24"/>
        </w:rPr>
        <w:t xml:space="preserve">.  </w:t>
      </w:r>
    </w:p>
    <w:p w14:paraId="7F921A16" w14:textId="77777777" w:rsidR="00A54FD3" w:rsidRPr="000D1E2C" w:rsidRDefault="00A54FD3" w:rsidP="00A54FD3">
      <w:pPr>
        <w:pStyle w:val="p0"/>
        <w:keepNext/>
        <w:spacing w:before="48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 xml:space="preserve">a junio </w:t>
      </w:r>
      <w:r w:rsidRPr="000D1E2C">
        <w:rPr>
          <w:rFonts w:ascii="Arial" w:hAnsi="Arial"/>
          <w:b/>
          <w:smallCaps/>
          <w:color w:val="auto"/>
          <w:sz w:val="22"/>
          <w:lang w:val="es-MX"/>
        </w:rPr>
        <w:t>de 20</w:t>
      </w:r>
      <w:r>
        <w:rPr>
          <w:rFonts w:ascii="Arial" w:hAnsi="Arial"/>
          <w:b/>
          <w:smallCaps/>
          <w:color w:val="auto"/>
          <w:sz w:val="22"/>
          <w:lang w:val="es-MX"/>
        </w:rPr>
        <w:t>20</w:t>
      </w:r>
    </w:p>
    <w:p w14:paraId="22FFC3F8" w14:textId="77777777" w:rsidR="00A54FD3" w:rsidRPr="000D1E2C" w:rsidRDefault="00A54FD3" w:rsidP="00A54FD3">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490DB76B" w14:textId="77777777" w:rsidR="00A54FD3" w:rsidRDefault="00A54FD3" w:rsidP="00A54FD3">
      <w:pPr>
        <w:pStyle w:val="p0"/>
        <w:keepNext/>
        <w:spacing w:before="0"/>
        <w:jc w:val="center"/>
        <w:rPr>
          <w:color w:val="auto"/>
          <w:sz w:val="20"/>
          <w:lang w:val="es-MX"/>
        </w:rPr>
      </w:pPr>
      <w:r w:rsidRPr="000D1E2C">
        <w:rPr>
          <w:rFonts w:ascii="Arial" w:hAnsi="Arial"/>
          <w:color w:val="auto"/>
          <w:sz w:val="18"/>
          <w:lang w:val="es-MX"/>
        </w:rPr>
        <w:t>(Índice base 2013=100)</w:t>
      </w:r>
    </w:p>
    <w:p w14:paraId="2E4251CC" w14:textId="77777777" w:rsidR="00A54FD3" w:rsidRPr="009B51BF" w:rsidRDefault="00A54FD3" w:rsidP="00A54FD3">
      <w:pPr>
        <w:pStyle w:val="p0"/>
        <w:keepNext/>
        <w:spacing w:before="0"/>
        <w:jc w:val="center"/>
        <w:rPr>
          <w:color w:val="auto"/>
        </w:rPr>
      </w:pPr>
      <w:r>
        <w:rPr>
          <w:noProof/>
          <w:lang w:val="es-MX" w:eastAsia="es-MX"/>
        </w:rPr>
        <w:drawing>
          <wp:inline distT="0" distB="0" distL="0" distR="0" wp14:anchorId="09C3549A" wp14:editId="25914A86">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48D55A" w14:textId="77777777" w:rsidR="00A54FD3" w:rsidRDefault="00A54FD3" w:rsidP="00A54FD3">
      <w:pPr>
        <w:pStyle w:val="parrafo1"/>
        <w:spacing w:before="0"/>
        <w:ind w:left="1134" w:right="584" w:hanging="84"/>
        <w:rPr>
          <w:b/>
          <w:i/>
        </w:rPr>
      </w:pPr>
      <w:r>
        <w:rPr>
          <w:rFonts w:cs="Arial"/>
          <w:sz w:val="16"/>
          <w:lang w:val="es-MX"/>
        </w:rPr>
        <w:t>Fuente: INEGI.</w:t>
      </w:r>
    </w:p>
    <w:p w14:paraId="222DBA29" w14:textId="77777777" w:rsidR="00A54FD3" w:rsidRDefault="00A54FD3" w:rsidP="00A54FD3">
      <w:pPr>
        <w:pStyle w:val="bullet"/>
        <w:ind w:left="1276" w:right="-547" w:hanging="426"/>
        <w:jc w:val="both"/>
        <w:rPr>
          <w:rFonts w:ascii="Arial" w:hAnsi="Arial" w:cs="Arial"/>
          <w:b w:val="0"/>
          <w:color w:val="000000" w:themeColor="text1"/>
          <w:sz w:val="24"/>
          <w:szCs w:val="24"/>
        </w:rPr>
      </w:pPr>
    </w:p>
    <w:p w14:paraId="4F4B6FEA" w14:textId="77777777" w:rsidR="00A54FD3" w:rsidRPr="00B44CEC" w:rsidRDefault="00A54FD3" w:rsidP="00A54FD3">
      <w:pPr>
        <w:pStyle w:val="bullet"/>
        <w:spacing w:before="240"/>
        <w:ind w:left="-426" w:right="-547" w:firstLine="0"/>
        <w:jc w:val="both"/>
        <w:rPr>
          <w:rFonts w:ascii="Arial" w:hAnsi="Arial" w:cs="Arial"/>
          <w:b w:val="0"/>
          <w:bCs/>
          <w:color w:val="000000" w:themeColor="text1"/>
          <w:sz w:val="24"/>
          <w:szCs w:val="24"/>
        </w:rPr>
      </w:pPr>
      <w:r w:rsidRPr="00B44CEC">
        <w:rPr>
          <w:rFonts w:ascii="Arial" w:hAnsi="Arial" w:cs="Arial"/>
          <w:b w:val="0"/>
          <w:bCs/>
          <w:color w:val="000000" w:themeColor="text1"/>
          <w:sz w:val="24"/>
          <w:szCs w:val="24"/>
        </w:rPr>
        <w:t xml:space="preserve">Por componentes, las Industrias manufactureras se incrementaron 26.7%, la Construcción 17.5%, la Minería 1.6% y la Generación, transmisión y distribución de energía eléctrica, suministro de agua y de gas por ductos al consumidor final 0.7% durante junio de 2020 frente al mes anterior.   </w:t>
      </w:r>
    </w:p>
    <w:p w14:paraId="1C11469E" w14:textId="77777777" w:rsidR="00A54FD3" w:rsidRPr="003E20D6" w:rsidRDefault="00A54FD3" w:rsidP="00A54FD3">
      <w:pPr>
        <w:pStyle w:val="bullet"/>
        <w:tabs>
          <w:tab w:val="left" w:pos="8931"/>
          <w:tab w:val="left" w:pos="9072"/>
        </w:tabs>
        <w:ind w:left="-426" w:right="-547" w:firstLine="0"/>
        <w:jc w:val="both"/>
        <w:rPr>
          <w:rFonts w:ascii="Arial" w:hAnsi="Arial" w:cs="Arial"/>
          <w:b w:val="0"/>
          <w:color w:val="000000" w:themeColor="text1"/>
          <w:sz w:val="24"/>
          <w:szCs w:val="24"/>
        </w:rPr>
      </w:pPr>
    </w:p>
    <w:p w14:paraId="5DCED05F" w14:textId="77777777" w:rsidR="00A54FD3" w:rsidRDefault="00A54FD3" w:rsidP="00A54FD3">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14:paraId="621CB675" w14:textId="77777777" w:rsidR="00A54FD3" w:rsidRDefault="00A54FD3" w:rsidP="00A54FD3">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0290A091" w14:textId="77777777" w:rsidR="00A54FD3" w:rsidRPr="009E4F0A" w:rsidRDefault="00A54FD3" w:rsidP="00A54FD3">
      <w:pPr>
        <w:pStyle w:val="bullet"/>
        <w:tabs>
          <w:tab w:val="left" w:pos="8931"/>
          <w:tab w:val="left" w:pos="9072"/>
        </w:tabs>
        <w:spacing w:before="240"/>
        <w:ind w:left="-426" w:right="-547" w:firstLine="0"/>
        <w:jc w:val="both"/>
        <w:rPr>
          <w:rFonts w:ascii="Arial" w:hAnsi="Arial"/>
          <w:b w:val="0"/>
          <w:bCs/>
          <w:color w:val="auto"/>
          <w:sz w:val="24"/>
          <w:szCs w:val="24"/>
        </w:rPr>
      </w:pPr>
      <w:r w:rsidRPr="009E4F0A">
        <w:rPr>
          <w:rFonts w:ascii="Arial" w:hAnsi="Arial" w:cs="Arial"/>
          <w:b w:val="0"/>
          <w:bCs/>
          <w:color w:val="000000" w:themeColor="text1"/>
          <w:sz w:val="24"/>
          <w:szCs w:val="24"/>
        </w:rPr>
        <w:t>En su comparación anual</w:t>
      </w:r>
      <w:r w:rsidRPr="009E4F0A">
        <w:rPr>
          <w:rFonts w:ascii="Arial" w:hAnsi="Arial" w:cs="Arial"/>
          <w:b w:val="0"/>
          <w:bCs/>
          <w:color w:val="000000" w:themeColor="text1"/>
          <w:sz w:val="24"/>
          <w:szCs w:val="24"/>
          <w:vertAlign w:val="superscript"/>
        </w:rPr>
        <w:footnoteReference w:id="2"/>
      </w:r>
      <w:r w:rsidRPr="009E4F0A">
        <w:rPr>
          <w:rFonts w:ascii="Arial" w:hAnsi="Arial" w:cs="Arial"/>
          <w:b w:val="0"/>
          <w:bCs/>
          <w:color w:val="000000" w:themeColor="text1"/>
          <w:sz w:val="24"/>
          <w:szCs w:val="24"/>
        </w:rPr>
        <w:t>, la Producción Industrial retrocedió (-)17.5% en términos reales en el mes de referencia. Por sectores de actividad económica, la Construcción disminuyó (</w:t>
      </w:r>
      <w:r w:rsidRPr="009E4F0A">
        <w:rPr>
          <w:rFonts w:ascii="Arial" w:hAnsi="Arial" w:cs="Arial"/>
          <w:b w:val="0"/>
          <w:bCs/>
          <w:color w:val="000000" w:themeColor="text1"/>
          <w:sz w:val="24"/>
          <w:szCs w:val="24"/>
        </w:rPr>
        <w:noBreakHyphen/>
        <w:t>)26.1%, las Industrias manufactureras (-)18.3%, la Generación, transmisión y distribución de energía eléctrica, suministro de agua y de gas por ductos al consumidor final (</w:t>
      </w:r>
      <w:r w:rsidRPr="009E4F0A">
        <w:rPr>
          <w:rFonts w:ascii="Arial" w:hAnsi="Arial" w:cs="Arial"/>
          <w:b w:val="0"/>
          <w:bCs/>
          <w:color w:val="000000" w:themeColor="text1"/>
          <w:sz w:val="24"/>
          <w:szCs w:val="24"/>
        </w:rPr>
        <w:noBreakHyphen/>
        <w:t>)13.3% y la Minería (-)5.3 por ciento.</w:t>
      </w:r>
    </w:p>
    <w:p w14:paraId="016C8A09" w14:textId="77777777" w:rsidR="00A54FD3" w:rsidRDefault="00A54FD3" w:rsidP="00A54FD3">
      <w:pPr>
        <w:pStyle w:val="p0"/>
        <w:keepLines w:val="0"/>
        <w:widowControl/>
        <w:ind w:left="709" w:right="392" w:hanging="425"/>
        <w:jc w:val="center"/>
        <w:rPr>
          <w:rFonts w:ascii="Arial" w:hAnsi="Arial"/>
          <w:b/>
          <w:smallCaps/>
          <w:color w:val="auto"/>
          <w:sz w:val="22"/>
          <w:szCs w:val="22"/>
        </w:rPr>
      </w:pPr>
    </w:p>
    <w:p w14:paraId="3BF826F5" w14:textId="77777777" w:rsidR="00A54FD3" w:rsidRPr="000D1E2C" w:rsidRDefault="00A54FD3" w:rsidP="00A54FD3">
      <w:pPr>
        <w:pStyle w:val="p0"/>
        <w:keepLines w:val="0"/>
        <w:widowControl/>
        <w:spacing w:before="12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junio</w:t>
      </w:r>
      <w:r w:rsidRPr="000D1E2C">
        <w:rPr>
          <w:rFonts w:ascii="Arial" w:hAnsi="Arial"/>
          <w:b/>
          <w:smallCaps/>
          <w:color w:val="auto"/>
          <w:sz w:val="22"/>
          <w:szCs w:val="22"/>
        </w:rPr>
        <w:t xml:space="preserve"> de 20</w:t>
      </w:r>
      <w:r>
        <w:rPr>
          <w:rFonts w:ascii="Arial" w:hAnsi="Arial"/>
          <w:b/>
          <w:smallCaps/>
          <w:color w:val="auto"/>
          <w:sz w:val="22"/>
          <w:szCs w:val="22"/>
        </w:rPr>
        <w:t>20</w:t>
      </w:r>
    </w:p>
    <w:p w14:paraId="39FB4B82" w14:textId="77777777" w:rsidR="00A54FD3" w:rsidRDefault="00A54FD3" w:rsidP="00A54FD3">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A54FD3" w14:paraId="10F84C52" w14:textId="77777777" w:rsidTr="008D6E32">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788C7E09" w14:textId="77777777" w:rsidR="00A54FD3" w:rsidRPr="00576640" w:rsidRDefault="00A54FD3" w:rsidP="008D6E32">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40CC07DF" w14:textId="77777777" w:rsidR="00A54FD3" w:rsidRPr="00576640" w:rsidRDefault="00A54FD3" w:rsidP="008D6E32">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6E56BF5D" w14:textId="77777777" w:rsidR="00A54FD3" w:rsidRPr="00576640" w:rsidRDefault="00A54FD3" w:rsidP="008D6E32">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Pr>
                <w:rFonts w:ascii="Arial" w:hAnsi="Arial"/>
                <w:color w:val="auto"/>
                <w:sz w:val="18"/>
              </w:rPr>
              <w:t>19</w:t>
            </w:r>
          </w:p>
        </w:tc>
      </w:tr>
      <w:tr w:rsidR="00A54FD3" w14:paraId="33419AD1" w14:textId="77777777" w:rsidTr="008D6E32">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2094B13E" w14:textId="77777777" w:rsidR="00A54FD3" w:rsidRPr="005A4B45" w:rsidRDefault="00A54FD3" w:rsidP="008D6E32">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03606DFF" w14:textId="77777777" w:rsidR="00A54FD3" w:rsidRPr="00576640" w:rsidRDefault="00A54FD3" w:rsidP="008D6E32">
            <w:pPr>
              <w:widowControl w:val="0"/>
              <w:spacing w:before="20" w:after="20"/>
              <w:ind w:right="454"/>
              <w:jc w:val="right"/>
              <w:rPr>
                <w:b/>
                <w:bCs/>
                <w:sz w:val="18"/>
              </w:rPr>
            </w:pPr>
            <w:r>
              <w:rPr>
                <w:b/>
                <w:bCs/>
                <w:sz w:val="18"/>
              </w:rPr>
              <w:t>17.9</w:t>
            </w:r>
          </w:p>
        </w:tc>
        <w:tc>
          <w:tcPr>
            <w:tcW w:w="1418" w:type="dxa"/>
            <w:tcBorders>
              <w:top w:val="double" w:sz="4" w:space="0" w:color="000000" w:themeColor="text1"/>
              <w:left w:val="nil"/>
              <w:bottom w:val="nil"/>
              <w:right w:val="double" w:sz="4" w:space="0" w:color="000000" w:themeColor="text1"/>
            </w:tcBorders>
            <w:vAlign w:val="center"/>
            <w:hideMark/>
          </w:tcPr>
          <w:p w14:paraId="25687447" w14:textId="77777777" w:rsidR="00A54FD3" w:rsidRPr="00576640" w:rsidRDefault="00A54FD3" w:rsidP="008D6E32">
            <w:pPr>
              <w:widowControl w:val="0"/>
              <w:tabs>
                <w:tab w:val="left" w:pos="275"/>
                <w:tab w:val="decimal" w:pos="694"/>
              </w:tabs>
              <w:spacing w:before="20" w:after="20"/>
              <w:ind w:right="454"/>
              <w:jc w:val="right"/>
              <w:rPr>
                <w:b/>
                <w:bCs/>
                <w:sz w:val="18"/>
              </w:rPr>
            </w:pPr>
            <w:r>
              <w:rPr>
                <w:b/>
                <w:bCs/>
                <w:sz w:val="18"/>
              </w:rPr>
              <w:t>(-</w:t>
            </w:r>
            <w:proofErr w:type="gramStart"/>
            <w:r>
              <w:rPr>
                <w:b/>
                <w:bCs/>
                <w:sz w:val="18"/>
              </w:rPr>
              <w:t>)  17</w:t>
            </w:r>
            <w:proofErr w:type="gramEnd"/>
            <w:r>
              <w:rPr>
                <w:b/>
                <w:bCs/>
                <w:sz w:val="18"/>
              </w:rPr>
              <w:t>.5</w:t>
            </w:r>
          </w:p>
        </w:tc>
      </w:tr>
      <w:tr w:rsidR="00A54FD3" w14:paraId="3B0AA31E" w14:textId="77777777" w:rsidTr="008D6E32">
        <w:trPr>
          <w:jc w:val="center"/>
        </w:trPr>
        <w:tc>
          <w:tcPr>
            <w:tcW w:w="4253" w:type="dxa"/>
            <w:tcBorders>
              <w:top w:val="nil"/>
              <w:left w:val="double" w:sz="4" w:space="0" w:color="000000" w:themeColor="text1"/>
              <w:bottom w:val="nil"/>
              <w:right w:val="double" w:sz="4" w:space="0" w:color="000000" w:themeColor="text1"/>
            </w:tcBorders>
            <w:hideMark/>
          </w:tcPr>
          <w:p w14:paraId="76DD014A" w14:textId="77777777" w:rsidR="00A54FD3" w:rsidRPr="00576640" w:rsidRDefault="00A54FD3" w:rsidP="008D6E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14:paraId="17876B06" w14:textId="77777777" w:rsidR="00A54FD3" w:rsidRPr="00576640" w:rsidRDefault="00A54FD3" w:rsidP="008D6E32">
            <w:pPr>
              <w:widowControl w:val="0"/>
              <w:tabs>
                <w:tab w:val="left" w:pos="164"/>
                <w:tab w:val="decimal" w:pos="305"/>
              </w:tabs>
              <w:spacing w:before="20" w:after="20"/>
              <w:ind w:right="454"/>
              <w:jc w:val="right"/>
              <w:rPr>
                <w:bCs/>
                <w:sz w:val="18"/>
              </w:rPr>
            </w:pPr>
            <w:r>
              <w:rPr>
                <w:bCs/>
                <w:sz w:val="18"/>
              </w:rPr>
              <w:t>1.6</w:t>
            </w:r>
          </w:p>
        </w:tc>
        <w:tc>
          <w:tcPr>
            <w:tcW w:w="1418" w:type="dxa"/>
            <w:tcBorders>
              <w:top w:val="nil"/>
              <w:left w:val="nil"/>
              <w:bottom w:val="nil"/>
              <w:right w:val="double" w:sz="4" w:space="0" w:color="000000" w:themeColor="text1"/>
            </w:tcBorders>
            <w:hideMark/>
          </w:tcPr>
          <w:p w14:paraId="41217176" w14:textId="77777777" w:rsidR="00A54FD3" w:rsidRPr="00576640" w:rsidRDefault="00A54FD3" w:rsidP="008D6E32">
            <w:pPr>
              <w:widowControl w:val="0"/>
              <w:tabs>
                <w:tab w:val="left" w:pos="216"/>
                <w:tab w:val="decimal" w:pos="580"/>
              </w:tabs>
              <w:spacing w:before="20" w:after="20"/>
              <w:ind w:right="454"/>
              <w:jc w:val="right"/>
              <w:rPr>
                <w:sz w:val="18"/>
              </w:rPr>
            </w:pPr>
            <w:r>
              <w:rPr>
                <w:sz w:val="18"/>
              </w:rPr>
              <w:t>(-)    5.3</w:t>
            </w:r>
          </w:p>
        </w:tc>
      </w:tr>
      <w:tr w:rsidR="00A54FD3" w14:paraId="41CAF185" w14:textId="77777777" w:rsidTr="008D6E32">
        <w:trPr>
          <w:jc w:val="center"/>
        </w:trPr>
        <w:tc>
          <w:tcPr>
            <w:tcW w:w="4253" w:type="dxa"/>
            <w:tcBorders>
              <w:top w:val="nil"/>
              <w:left w:val="double" w:sz="4" w:space="0" w:color="000000" w:themeColor="text1"/>
              <w:bottom w:val="nil"/>
              <w:right w:val="double" w:sz="4" w:space="0" w:color="000000" w:themeColor="text1"/>
            </w:tcBorders>
            <w:hideMark/>
          </w:tcPr>
          <w:p w14:paraId="22209B47" w14:textId="77777777" w:rsidR="00A54FD3" w:rsidRPr="00576640" w:rsidRDefault="00A54FD3" w:rsidP="008D6E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57F1C36A" w14:textId="77777777" w:rsidR="00A54FD3" w:rsidRPr="00576640" w:rsidRDefault="00A54FD3" w:rsidP="008D6E32">
            <w:pPr>
              <w:widowControl w:val="0"/>
              <w:tabs>
                <w:tab w:val="left" w:pos="164"/>
                <w:tab w:val="decimal" w:pos="305"/>
              </w:tabs>
              <w:spacing w:before="20" w:after="20"/>
              <w:ind w:right="454"/>
              <w:jc w:val="right"/>
              <w:rPr>
                <w:bCs/>
                <w:sz w:val="18"/>
              </w:rPr>
            </w:pPr>
            <w:r>
              <w:rPr>
                <w:sz w:val="18"/>
              </w:rPr>
              <w:t>0.7</w:t>
            </w:r>
          </w:p>
        </w:tc>
        <w:tc>
          <w:tcPr>
            <w:tcW w:w="1418" w:type="dxa"/>
            <w:tcBorders>
              <w:top w:val="nil"/>
              <w:left w:val="nil"/>
              <w:bottom w:val="nil"/>
              <w:right w:val="double" w:sz="4" w:space="0" w:color="000000" w:themeColor="text1"/>
            </w:tcBorders>
            <w:vAlign w:val="center"/>
            <w:hideMark/>
          </w:tcPr>
          <w:p w14:paraId="70E2A46E" w14:textId="77777777" w:rsidR="00A54FD3" w:rsidRPr="00576640" w:rsidRDefault="00A54FD3" w:rsidP="008D6E32">
            <w:pPr>
              <w:widowControl w:val="0"/>
              <w:tabs>
                <w:tab w:val="left" w:pos="275"/>
                <w:tab w:val="decimal" w:pos="694"/>
              </w:tabs>
              <w:spacing w:before="20" w:after="20"/>
              <w:ind w:right="454"/>
              <w:jc w:val="right"/>
              <w:rPr>
                <w:bCs/>
                <w:sz w:val="18"/>
              </w:rPr>
            </w:pPr>
            <w:r>
              <w:rPr>
                <w:sz w:val="18"/>
              </w:rPr>
              <w:t>(-</w:t>
            </w:r>
            <w:proofErr w:type="gramStart"/>
            <w:r>
              <w:rPr>
                <w:sz w:val="18"/>
              </w:rPr>
              <w:t>)  13</w:t>
            </w:r>
            <w:proofErr w:type="gramEnd"/>
            <w:r>
              <w:rPr>
                <w:sz w:val="18"/>
              </w:rPr>
              <w:t>.3</w:t>
            </w:r>
          </w:p>
        </w:tc>
      </w:tr>
      <w:tr w:rsidR="00A54FD3" w14:paraId="047DF17A" w14:textId="77777777" w:rsidTr="008D6E32">
        <w:trPr>
          <w:jc w:val="center"/>
        </w:trPr>
        <w:tc>
          <w:tcPr>
            <w:tcW w:w="4253" w:type="dxa"/>
            <w:tcBorders>
              <w:top w:val="nil"/>
              <w:left w:val="double" w:sz="4" w:space="0" w:color="000000" w:themeColor="text1"/>
              <w:bottom w:val="nil"/>
              <w:right w:val="double" w:sz="4" w:space="0" w:color="000000" w:themeColor="text1"/>
            </w:tcBorders>
            <w:hideMark/>
          </w:tcPr>
          <w:p w14:paraId="21A041FA" w14:textId="77777777" w:rsidR="00A54FD3" w:rsidRPr="00576640" w:rsidRDefault="00A54FD3" w:rsidP="008D6E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1C0FD250" w14:textId="77777777" w:rsidR="00A54FD3" w:rsidRPr="00576640" w:rsidRDefault="00A54FD3" w:rsidP="008D6E32">
            <w:pPr>
              <w:widowControl w:val="0"/>
              <w:tabs>
                <w:tab w:val="left" w:pos="164"/>
                <w:tab w:val="decimal" w:pos="305"/>
              </w:tabs>
              <w:spacing w:before="20" w:after="20"/>
              <w:ind w:right="454"/>
              <w:jc w:val="right"/>
              <w:rPr>
                <w:sz w:val="18"/>
              </w:rPr>
            </w:pPr>
            <w:r>
              <w:rPr>
                <w:bCs/>
                <w:sz w:val="18"/>
              </w:rPr>
              <w:t>17.5</w:t>
            </w:r>
          </w:p>
        </w:tc>
        <w:tc>
          <w:tcPr>
            <w:tcW w:w="1418" w:type="dxa"/>
            <w:tcBorders>
              <w:top w:val="nil"/>
              <w:left w:val="nil"/>
              <w:bottom w:val="nil"/>
              <w:right w:val="double" w:sz="4" w:space="0" w:color="000000" w:themeColor="text1"/>
            </w:tcBorders>
            <w:vAlign w:val="bottom"/>
            <w:hideMark/>
          </w:tcPr>
          <w:p w14:paraId="26040D46" w14:textId="77777777" w:rsidR="00A54FD3" w:rsidRPr="00576640" w:rsidRDefault="00A54FD3" w:rsidP="008D6E32">
            <w:pPr>
              <w:widowControl w:val="0"/>
              <w:tabs>
                <w:tab w:val="left" w:pos="216"/>
                <w:tab w:val="decimal" w:pos="580"/>
              </w:tabs>
              <w:spacing w:before="20" w:after="20"/>
              <w:ind w:right="454"/>
              <w:jc w:val="right"/>
              <w:rPr>
                <w:sz w:val="18"/>
              </w:rPr>
            </w:pPr>
            <w:r>
              <w:rPr>
                <w:sz w:val="18"/>
              </w:rPr>
              <w:t>(-</w:t>
            </w:r>
            <w:proofErr w:type="gramStart"/>
            <w:r>
              <w:rPr>
                <w:sz w:val="18"/>
              </w:rPr>
              <w:t>)  26</w:t>
            </w:r>
            <w:proofErr w:type="gramEnd"/>
            <w:r>
              <w:rPr>
                <w:sz w:val="18"/>
              </w:rPr>
              <w:t>.1</w:t>
            </w:r>
          </w:p>
        </w:tc>
      </w:tr>
      <w:tr w:rsidR="00A54FD3" w14:paraId="02B7551E" w14:textId="77777777" w:rsidTr="008D6E32">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6EA58DE3" w14:textId="77777777" w:rsidR="00A54FD3" w:rsidRPr="00576640" w:rsidRDefault="00A54FD3" w:rsidP="008D6E3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604142FC" w14:textId="77777777" w:rsidR="00A54FD3" w:rsidRPr="00576640" w:rsidRDefault="00A54FD3" w:rsidP="008D6E32">
            <w:pPr>
              <w:widowControl w:val="0"/>
              <w:spacing w:before="20" w:after="20"/>
              <w:ind w:right="454"/>
              <w:jc w:val="right"/>
              <w:rPr>
                <w:bCs/>
                <w:sz w:val="18"/>
              </w:rPr>
            </w:pPr>
            <w:r>
              <w:rPr>
                <w:sz w:val="18"/>
              </w:rPr>
              <w:t>26.7</w:t>
            </w:r>
          </w:p>
        </w:tc>
        <w:tc>
          <w:tcPr>
            <w:tcW w:w="1418" w:type="dxa"/>
            <w:tcBorders>
              <w:top w:val="nil"/>
              <w:left w:val="nil"/>
              <w:bottom w:val="double" w:sz="4" w:space="0" w:color="000000" w:themeColor="text1"/>
              <w:right w:val="double" w:sz="4" w:space="0" w:color="000000" w:themeColor="text1"/>
            </w:tcBorders>
            <w:vAlign w:val="center"/>
            <w:hideMark/>
          </w:tcPr>
          <w:p w14:paraId="42B3B1C3" w14:textId="77777777" w:rsidR="00A54FD3" w:rsidRPr="00576640" w:rsidRDefault="00A54FD3" w:rsidP="008D6E32">
            <w:pPr>
              <w:widowControl w:val="0"/>
              <w:tabs>
                <w:tab w:val="left" w:pos="275"/>
                <w:tab w:val="decimal" w:pos="694"/>
              </w:tabs>
              <w:spacing w:before="20" w:after="20"/>
              <w:ind w:right="454"/>
              <w:jc w:val="right"/>
              <w:rPr>
                <w:bCs/>
                <w:sz w:val="18"/>
              </w:rPr>
            </w:pPr>
            <w:r>
              <w:rPr>
                <w:sz w:val="18"/>
              </w:rPr>
              <w:t>(-</w:t>
            </w:r>
            <w:proofErr w:type="gramStart"/>
            <w:r>
              <w:rPr>
                <w:sz w:val="18"/>
              </w:rPr>
              <w:t>)  18</w:t>
            </w:r>
            <w:proofErr w:type="gramEnd"/>
            <w:r>
              <w:rPr>
                <w:sz w:val="18"/>
              </w:rPr>
              <w:t>.3</w:t>
            </w:r>
          </w:p>
        </w:tc>
      </w:tr>
    </w:tbl>
    <w:p w14:paraId="4E491A1E" w14:textId="77777777" w:rsidR="00A54FD3" w:rsidRPr="00057C0B" w:rsidRDefault="00A54FD3" w:rsidP="00A54FD3">
      <w:pPr>
        <w:pStyle w:val="bullet"/>
        <w:tabs>
          <w:tab w:val="left" w:pos="8280"/>
        </w:tabs>
        <w:spacing w:before="0"/>
        <w:ind w:left="1843"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color w:val="000000" w:themeColor="text1"/>
          <w:sz w:val="22"/>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657BCFE8" w14:textId="77777777" w:rsidR="00A54FD3" w:rsidRDefault="00A54FD3" w:rsidP="00A54FD3">
      <w:pPr>
        <w:pStyle w:val="parrafo1"/>
        <w:spacing w:before="0" w:after="240"/>
        <w:ind w:left="1701" w:right="584" w:hanging="425"/>
        <w:rPr>
          <w:b/>
          <w:i/>
        </w:rPr>
      </w:pPr>
      <w:r>
        <w:rPr>
          <w:color w:val="000000" w:themeColor="text1"/>
          <w:sz w:val="16"/>
          <w:szCs w:val="16"/>
        </w:rPr>
        <w:t>Fuente: INEGI.</w:t>
      </w:r>
    </w:p>
    <w:p w14:paraId="59E3F469" w14:textId="77777777" w:rsidR="00A54FD3" w:rsidRDefault="00A54FD3" w:rsidP="00A54FD3">
      <w:pPr>
        <w:jc w:val="center"/>
        <w:rPr>
          <w:b/>
        </w:rPr>
      </w:pPr>
    </w:p>
    <w:p w14:paraId="19244706" w14:textId="77777777" w:rsidR="00A54FD3" w:rsidRDefault="00A54FD3" w:rsidP="00A54FD3">
      <w:pPr>
        <w:pStyle w:val="parr2"/>
        <w:widowControl w:val="0"/>
        <w:spacing w:before="360"/>
        <w:ind w:left="-426" w:right="-547"/>
        <w:rPr>
          <w:b/>
          <w:i/>
        </w:rPr>
      </w:pPr>
    </w:p>
    <w:p w14:paraId="1FC573B8" w14:textId="77777777" w:rsidR="00A54FD3" w:rsidRDefault="00A54FD3" w:rsidP="00A54FD3">
      <w:pPr>
        <w:pStyle w:val="parr2"/>
        <w:widowControl w:val="0"/>
        <w:spacing w:before="240"/>
        <w:ind w:left="-426" w:right="-547"/>
        <w:rPr>
          <w:b/>
          <w:i/>
        </w:rPr>
      </w:pPr>
      <w:r w:rsidRPr="00FC1B91">
        <w:rPr>
          <w:b/>
          <w:i/>
        </w:rPr>
        <w:t>Nota al usuario</w:t>
      </w:r>
    </w:p>
    <w:p w14:paraId="74F518B5" w14:textId="77777777" w:rsidR="00A54FD3" w:rsidRPr="007F7386" w:rsidRDefault="00A54FD3" w:rsidP="00A54FD3">
      <w:pPr>
        <w:pStyle w:val="parrafo1"/>
        <w:widowControl w:val="0"/>
        <w:spacing w:before="240"/>
        <w:ind w:left="-426" w:right="-547"/>
      </w:pPr>
      <w:r w:rsidRPr="007F7386">
        <w:t xml:space="preserve">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 la Actividad Industrial (IMAI) correspondiente al mes de junio de 2020 como son la Encuesta Nacional de Empresas Constructoras (ENEC), la Encuesta Mensual de la Industria Manufacturera (EMIM) así como la Estadística de la Industria </w:t>
      </w:r>
      <w:proofErr w:type="spellStart"/>
      <w:r w:rsidRPr="007F7386">
        <w:t>Minerometalúrgica</w:t>
      </w:r>
      <w:proofErr w:type="spellEnd"/>
      <w:r w:rsidRPr="007F7386">
        <w:t xml:space="preserve"> </w:t>
      </w:r>
      <w:r>
        <w:t xml:space="preserve">(EIMM) </w:t>
      </w:r>
      <w:r w:rsidRPr="007F7386">
        <w:t>se realizó en los tiempos establecidos mediante Internet y asistencia telefónica con el fin de evitar el contacto presencial.</w:t>
      </w:r>
    </w:p>
    <w:p w14:paraId="79C1C0CD" w14:textId="77777777" w:rsidR="00A54FD3" w:rsidRDefault="00A54FD3" w:rsidP="00A54FD3">
      <w:pPr>
        <w:pStyle w:val="parrafo1"/>
        <w:widowControl w:val="0"/>
        <w:spacing w:before="240"/>
        <w:ind w:left="-426" w:right="-547"/>
      </w:pPr>
    </w:p>
    <w:p w14:paraId="190E6BCA" w14:textId="77777777" w:rsidR="00A54FD3" w:rsidRDefault="00A54FD3" w:rsidP="00A54FD3">
      <w:pPr>
        <w:pStyle w:val="parrafo1"/>
        <w:widowControl w:val="0"/>
        <w:spacing w:before="240"/>
        <w:ind w:left="-426" w:right="-547"/>
      </w:pPr>
    </w:p>
    <w:p w14:paraId="5949ECD6" w14:textId="77777777" w:rsidR="00A54FD3" w:rsidRDefault="00A54FD3" w:rsidP="00A54FD3">
      <w:pPr>
        <w:pStyle w:val="parrafo1"/>
        <w:widowControl w:val="0"/>
        <w:spacing w:before="240"/>
        <w:ind w:left="-426" w:right="-547"/>
      </w:pPr>
    </w:p>
    <w:p w14:paraId="040FC063" w14:textId="77777777" w:rsidR="00A54FD3" w:rsidRDefault="00A54FD3" w:rsidP="00A54FD3">
      <w:pPr>
        <w:pStyle w:val="parrafo1"/>
        <w:widowControl w:val="0"/>
        <w:spacing w:before="240"/>
        <w:ind w:left="-426" w:right="-547"/>
      </w:pPr>
    </w:p>
    <w:p w14:paraId="6B5445FE" w14:textId="77777777" w:rsidR="00A54FD3" w:rsidRDefault="00A54FD3" w:rsidP="00A54FD3">
      <w:pPr>
        <w:pStyle w:val="parrafo1"/>
        <w:widowControl w:val="0"/>
        <w:spacing w:before="240"/>
        <w:ind w:left="-426" w:right="-547"/>
      </w:pPr>
    </w:p>
    <w:p w14:paraId="1B0E0BAD" w14:textId="77777777" w:rsidR="00A54FD3" w:rsidRPr="007801D2" w:rsidRDefault="00A54FD3" w:rsidP="00EC12F5">
      <w:pPr>
        <w:pStyle w:val="parrafo1"/>
        <w:widowControl w:val="0"/>
        <w:spacing w:before="0"/>
        <w:ind w:left="-426" w:right="-547"/>
      </w:pPr>
      <w:r w:rsidRPr="007F7386">
        <w:t>En este contexto, la Tasa de No Respuesta en el levantamiento de la información correspondiente al mes de junio de 2020 registró porcentajes apropiados conforme al diseño estadístico de cada una de las Encuestas mencionadas, lo que permitió la generación de estadísticas con niveles altos de cobertura y precisión estadística para su integración en el IMAI del mes de referencia.</w:t>
      </w:r>
    </w:p>
    <w:p w14:paraId="04E29CA1" w14:textId="77777777" w:rsidR="00A54FD3" w:rsidRDefault="00A54FD3" w:rsidP="00A54FD3">
      <w:pPr>
        <w:jc w:val="center"/>
        <w:rPr>
          <w:b/>
        </w:rPr>
      </w:pPr>
    </w:p>
    <w:p w14:paraId="049F897C" w14:textId="77777777" w:rsidR="00A54FD3" w:rsidRDefault="00A54FD3" w:rsidP="00A54FD3">
      <w:pPr>
        <w:jc w:val="center"/>
        <w:rPr>
          <w:b/>
        </w:rPr>
      </w:pPr>
    </w:p>
    <w:p w14:paraId="776A07FA" w14:textId="77777777" w:rsidR="00A54FD3" w:rsidRDefault="00A54FD3" w:rsidP="00A54FD3">
      <w:pPr>
        <w:jc w:val="center"/>
        <w:rPr>
          <w:b/>
        </w:rPr>
      </w:pPr>
      <w:r>
        <w:rPr>
          <w:b/>
        </w:rPr>
        <w:t xml:space="preserve"> </w:t>
      </w:r>
    </w:p>
    <w:p w14:paraId="39C0E8EC" w14:textId="77777777" w:rsidR="00A54FD3" w:rsidRDefault="00A54FD3" w:rsidP="00A54FD3">
      <w:pPr>
        <w:jc w:val="center"/>
        <w:rPr>
          <w:b/>
        </w:rPr>
      </w:pPr>
      <w:r>
        <w:rPr>
          <w:b/>
        </w:rPr>
        <w:t xml:space="preserve"> </w:t>
      </w:r>
    </w:p>
    <w:p w14:paraId="38B47D2D" w14:textId="77777777" w:rsidR="00A54FD3" w:rsidRDefault="00A54FD3" w:rsidP="00A54FD3">
      <w:pPr>
        <w:jc w:val="center"/>
        <w:rPr>
          <w:b/>
        </w:rPr>
      </w:pPr>
    </w:p>
    <w:p w14:paraId="7F330036" w14:textId="77777777" w:rsidR="00A54FD3" w:rsidRPr="00795A9B" w:rsidRDefault="00A54FD3" w:rsidP="00A54FD3">
      <w:pPr>
        <w:jc w:val="center"/>
        <w:rPr>
          <w:b/>
        </w:rPr>
      </w:pPr>
      <w:r w:rsidRPr="00795A9B">
        <w:rPr>
          <w:b/>
        </w:rPr>
        <w:t>Se anexa Nota Técnica</w:t>
      </w:r>
    </w:p>
    <w:p w14:paraId="629C01CA"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15FD8B0F"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3ACC8EC6"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548E10FA"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692E38DC"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2D483B4C"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47179140"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6E2C1864"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2CB0B3DC"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11F0B865"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5ADEBA61"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2DA10437" w14:textId="77777777" w:rsidR="00A54FD3" w:rsidRDefault="00A54FD3" w:rsidP="00A54FD3">
      <w:pPr>
        <w:pStyle w:val="NormalWeb"/>
        <w:spacing w:before="0" w:beforeAutospacing="0" w:after="0" w:afterAutospacing="0"/>
        <w:ind w:left="-567" w:right="-518"/>
        <w:contextualSpacing/>
        <w:jc w:val="center"/>
        <w:rPr>
          <w:rFonts w:ascii="Arial" w:hAnsi="Arial" w:cs="Arial"/>
          <w:sz w:val="22"/>
          <w:szCs w:val="22"/>
        </w:rPr>
      </w:pPr>
    </w:p>
    <w:p w14:paraId="152B77D1"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3FA04B7E"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037CEDF4"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6AC16090"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17A253A0"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496ED666"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3C23E684"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484F192A" w14:textId="77777777" w:rsidR="00A54FD3"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1D85377A" w14:textId="77777777" w:rsidR="00A54FD3" w:rsidRPr="009E4F0A" w:rsidRDefault="00A54FD3" w:rsidP="00A54FD3">
      <w:pPr>
        <w:pStyle w:val="NormalWeb"/>
        <w:spacing w:before="0" w:beforeAutospacing="0" w:after="0" w:afterAutospacing="0"/>
        <w:ind w:left="-426" w:right="-518"/>
        <w:contextualSpacing/>
        <w:jc w:val="center"/>
        <w:rPr>
          <w:rFonts w:ascii="Arial" w:hAnsi="Arial" w:cs="Arial"/>
          <w:sz w:val="22"/>
          <w:szCs w:val="22"/>
        </w:rPr>
      </w:pPr>
    </w:p>
    <w:p w14:paraId="1AAE0748" w14:textId="77777777" w:rsidR="00A54FD3" w:rsidRPr="009E4F0A" w:rsidRDefault="00A54FD3" w:rsidP="00A54FD3">
      <w:pPr>
        <w:pStyle w:val="NormalWeb"/>
        <w:spacing w:after="0" w:afterAutospacing="0"/>
        <w:ind w:left="-426" w:right="-518"/>
        <w:contextualSpacing/>
        <w:jc w:val="center"/>
        <w:rPr>
          <w:rFonts w:ascii="Arial" w:hAnsi="Arial" w:cs="Arial"/>
          <w:sz w:val="22"/>
          <w:szCs w:val="22"/>
        </w:rPr>
      </w:pPr>
      <w:r w:rsidRPr="009E4F0A">
        <w:rPr>
          <w:rFonts w:ascii="Arial" w:hAnsi="Arial" w:cs="Arial"/>
          <w:sz w:val="22"/>
          <w:szCs w:val="22"/>
        </w:rPr>
        <w:t xml:space="preserve">Para consultas de medios y periodistas, contactar a: </w:t>
      </w:r>
      <w:hyperlink r:id="rId9" w:history="1">
        <w:r w:rsidRPr="009E4F0A">
          <w:rPr>
            <w:rStyle w:val="Hipervnculo"/>
            <w:rFonts w:ascii="Arial" w:hAnsi="Arial" w:cs="Arial"/>
            <w:sz w:val="22"/>
            <w:szCs w:val="22"/>
          </w:rPr>
          <w:t>comunicacionsocial@inegi.org.mx</w:t>
        </w:r>
      </w:hyperlink>
      <w:r w:rsidRPr="009E4F0A">
        <w:rPr>
          <w:rFonts w:ascii="Arial" w:hAnsi="Arial" w:cs="Arial"/>
          <w:sz w:val="22"/>
          <w:szCs w:val="22"/>
        </w:rPr>
        <w:t xml:space="preserve"> </w:t>
      </w:r>
    </w:p>
    <w:p w14:paraId="215A2555" w14:textId="77777777" w:rsidR="00A54FD3" w:rsidRPr="009E4F0A" w:rsidRDefault="00A54FD3" w:rsidP="00A54FD3">
      <w:pPr>
        <w:pStyle w:val="NormalWeb"/>
        <w:spacing w:before="0" w:beforeAutospacing="0" w:after="0" w:afterAutospacing="0"/>
        <w:ind w:left="-426" w:right="-518"/>
        <w:contextualSpacing/>
        <w:jc w:val="center"/>
        <w:rPr>
          <w:rFonts w:ascii="Arial" w:hAnsi="Arial" w:cs="Arial"/>
          <w:sz w:val="22"/>
          <w:szCs w:val="22"/>
        </w:rPr>
      </w:pPr>
      <w:r w:rsidRPr="009E4F0A">
        <w:rPr>
          <w:rFonts w:ascii="Arial" w:hAnsi="Arial" w:cs="Arial"/>
          <w:sz w:val="22"/>
          <w:szCs w:val="22"/>
        </w:rPr>
        <w:t xml:space="preserve">o llamar al teléfono (55) 52-78-10-00, </w:t>
      </w:r>
      <w:proofErr w:type="spellStart"/>
      <w:r w:rsidRPr="009E4F0A">
        <w:rPr>
          <w:rFonts w:ascii="Arial" w:hAnsi="Arial" w:cs="Arial"/>
          <w:sz w:val="22"/>
          <w:szCs w:val="22"/>
        </w:rPr>
        <w:t>exts</w:t>
      </w:r>
      <w:proofErr w:type="spellEnd"/>
      <w:r w:rsidRPr="009E4F0A">
        <w:rPr>
          <w:rFonts w:ascii="Arial" w:hAnsi="Arial" w:cs="Arial"/>
          <w:sz w:val="22"/>
          <w:szCs w:val="22"/>
        </w:rPr>
        <w:t>. 1134, 1260 y 1241.</w:t>
      </w:r>
    </w:p>
    <w:p w14:paraId="1A56EEFF" w14:textId="77777777" w:rsidR="00A54FD3" w:rsidRPr="009E4F0A" w:rsidRDefault="00A54FD3" w:rsidP="00A54FD3">
      <w:pPr>
        <w:ind w:left="-426" w:right="-518"/>
        <w:contextualSpacing/>
        <w:jc w:val="center"/>
        <w:rPr>
          <w:sz w:val="22"/>
          <w:szCs w:val="22"/>
        </w:rPr>
      </w:pPr>
    </w:p>
    <w:p w14:paraId="141B5A32" w14:textId="77777777" w:rsidR="00A54FD3" w:rsidRPr="009E4F0A" w:rsidRDefault="00A54FD3" w:rsidP="00A54FD3">
      <w:pPr>
        <w:ind w:left="-426" w:right="-518"/>
        <w:contextualSpacing/>
        <w:jc w:val="center"/>
        <w:rPr>
          <w:sz w:val="22"/>
          <w:szCs w:val="22"/>
        </w:rPr>
      </w:pPr>
      <w:r w:rsidRPr="009E4F0A">
        <w:rPr>
          <w:sz w:val="22"/>
          <w:szCs w:val="22"/>
        </w:rPr>
        <w:t>Dirección de Atención a Medios / Dirección General Adjunta de Comunicación</w:t>
      </w:r>
    </w:p>
    <w:p w14:paraId="785FF46C" w14:textId="77777777" w:rsidR="00A54FD3" w:rsidRPr="009C6D9F" w:rsidRDefault="00A54FD3" w:rsidP="00A54FD3">
      <w:pPr>
        <w:ind w:left="-426" w:right="-518"/>
        <w:contextualSpacing/>
        <w:jc w:val="center"/>
        <w:rPr>
          <w:sz w:val="22"/>
          <w:szCs w:val="22"/>
        </w:rPr>
      </w:pPr>
    </w:p>
    <w:p w14:paraId="1430BF49" w14:textId="77777777" w:rsidR="00A54FD3" w:rsidRDefault="00A54FD3" w:rsidP="00A54FD3">
      <w:pPr>
        <w:ind w:left="-425" w:right="-516"/>
        <w:contextualSpacing/>
        <w:jc w:val="center"/>
      </w:pPr>
      <w:r w:rsidRPr="00FF1218">
        <w:rPr>
          <w:noProof/>
          <w:lang w:val="es-MX" w:eastAsia="es-MX"/>
        </w:rPr>
        <w:drawing>
          <wp:inline distT="0" distB="0" distL="0" distR="0" wp14:anchorId="51E4C175" wp14:editId="4FDE89FB">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605247" wp14:editId="35413D71">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DEF51D" wp14:editId="5E6E23F0">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659630" wp14:editId="4E3F8DC6">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72EB2B4" wp14:editId="558A920F">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D27044D" w14:textId="77777777" w:rsidR="00A54FD3" w:rsidRPr="00157C43" w:rsidRDefault="00A54FD3" w:rsidP="00A54FD3">
      <w:pPr>
        <w:pStyle w:val="bullet"/>
        <w:tabs>
          <w:tab w:val="left" w:pos="8789"/>
        </w:tabs>
        <w:spacing w:before="0"/>
        <w:ind w:left="0" w:right="51" w:firstLine="0"/>
        <w:jc w:val="center"/>
        <w:rPr>
          <w:rFonts w:cs="Arial"/>
          <w:szCs w:val="24"/>
        </w:rPr>
        <w:sectPr w:rsidR="00A54FD3"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371DE0B" w14:textId="77777777" w:rsidR="00A54FD3" w:rsidRDefault="00A54FD3" w:rsidP="00A54FD3">
      <w:pPr>
        <w:tabs>
          <w:tab w:val="left" w:pos="8789"/>
        </w:tabs>
        <w:spacing w:before="240"/>
        <w:ind w:right="51"/>
        <w:jc w:val="center"/>
        <w:rPr>
          <w:b/>
          <w:sz w:val="28"/>
          <w:szCs w:val="28"/>
        </w:rPr>
      </w:pPr>
      <w:r>
        <w:rPr>
          <w:rStyle w:val="Hipervnculo"/>
          <w:b/>
          <w:color w:val="000000" w:themeColor="text1"/>
          <w:sz w:val="28"/>
          <w:szCs w:val="28"/>
          <w:u w:val="none"/>
        </w:rPr>
        <w:lastRenderedPageBreak/>
        <w:t xml:space="preserve"> </w:t>
      </w:r>
      <w:r w:rsidRPr="00262E75">
        <w:rPr>
          <w:b/>
          <w:sz w:val="28"/>
          <w:szCs w:val="28"/>
        </w:rPr>
        <w:t>NOTA TÉCNICA</w:t>
      </w:r>
    </w:p>
    <w:p w14:paraId="581CE29F" w14:textId="2C2F08D0" w:rsidR="00893918" w:rsidRPr="009B51BF" w:rsidRDefault="00A244D8" w:rsidP="00A54FD3">
      <w:pPr>
        <w:tabs>
          <w:tab w:val="left" w:pos="8789"/>
        </w:tabs>
        <w:spacing w:before="120"/>
        <w:ind w:right="51"/>
        <w:jc w:val="center"/>
        <w:rPr>
          <w:b/>
          <w:sz w:val="28"/>
          <w:szCs w:val="28"/>
        </w:rPr>
      </w:pPr>
      <w:r w:rsidRPr="00516290">
        <w:rPr>
          <w:b/>
          <w:sz w:val="28"/>
          <w:szCs w:val="28"/>
        </w:rPr>
        <w:t>INDICADOR</w:t>
      </w:r>
      <w:r w:rsidR="00EC2181" w:rsidRPr="00516290">
        <w:rPr>
          <w:b/>
          <w:sz w:val="28"/>
          <w:szCs w:val="28"/>
        </w:rPr>
        <w:t xml:space="preserve"> </w:t>
      </w:r>
      <w:r w:rsidR="005A4B45" w:rsidRPr="00516290">
        <w:rPr>
          <w:b/>
          <w:sz w:val="28"/>
          <w:szCs w:val="28"/>
        </w:rPr>
        <w:t>MENSUAL DE</w:t>
      </w:r>
      <w:r w:rsidR="00EC2181" w:rsidRPr="00516290">
        <w:rPr>
          <w:b/>
          <w:sz w:val="28"/>
          <w:szCs w:val="28"/>
        </w:rPr>
        <w:t xml:space="preserve"> LA ACTIVIDAD INDUSTRIAL</w:t>
      </w:r>
    </w:p>
    <w:p w14:paraId="672ED3E3" w14:textId="5F366575" w:rsidR="00EC2181" w:rsidRPr="009B51BF" w:rsidRDefault="00EC2181" w:rsidP="004A454B">
      <w:pPr>
        <w:pStyle w:val="Ttulo2"/>
        <w:spacing w:before="0"/>
        <w:jc w:val="center"/>
        <w:rPr>
          <w:rFonts w:ascii="Arial" w:hAnsi="Arial" w:cs="Arial"/>
          <w:b/>
          <w:color w:val="auto"/>
        </w:rPr>
      </w:pPr>
      <w:r w:rsidRPr="00516290">
        <w:rPr>
          <w:rFonts w:ascii="Arial" w:hAnsi="Arial" w:cs="Arial"/>
          <w:b/>
          <w:color w:val="auto"/>
          <w:sz w:val="28"/>
          <w:szCs w:val="28"/>
        </w:rPr>
        <w:t>DURANTE</w:t>
      </w:r>
      <w:r w:rsidR="00AE0D7B" w:rsidRPr="00516290">
        <w:rPr>
          <w:rFonts w:ascii="Arial" w:hAnsi="Arial" w:cs="Arial"/>
          <w:b/>
          <w:color w:val="auto"/>
          <w:sz w:val="28"/>
          <w:szCs w:val="28"/>
        </w:rPr>
        <w:t xml:space="preserve"> </w:t>
      </w:r>
      <w:r w:rsidR="00224A15">
        <w:rPr>
          <w:rFonts w:ascii="Arial" w:hAnsi="Arial" w:cs="Arial"/>
          <w:b/>
          <w:color w:val="auto"/>
          <w:sz w:val="28"/>
          <w:szCs w:val="28"/>
        </w:rPr>
        <w:t>JUNIO</w:t>
      </w:r>
      <w:r w:rsidR="002F5C06" w:rsidRPr="00516290">
        <w:rPr>
          <w:rFonts w:ascii="Arial" w:hAnsi="Arial" w:cs="Arial"/>
          <w:b/>
          <w:color w:val="auto"/>
          <w:sz w:val="28"/>
          <w:szCs w:val="28"/>
        </w:rPr>
        <w:t xml:space="preserve"> </w:t>
      </w:r>
      <w:r w:rsidRPr="00516290">
        <w:rPr>
          <w:rFonts w:ascii="Arial" w:hAnsi="Arial" w:cs="Arial"/>
          <w:b/>
          <w:color w:val="auto"/>
          <w:sz w:val="28"/>
          <w:szCs w:val="28"/>
        </w:rPr>
        <w:t>DE 20</w:t>
      </w:r>
      <w:r w:rsidR="002F5C06" w:rsidRPr="00516290">
        <w:rPr>
          <w:rFonts w:ascii="Arial" w:hAnsi="Arial" w:cs="Arial"/>
          <w:b/>
          <w:color w:val="auto"/>
          <w:sz w:val="28"/>
          <w:szCs w:val="28"/>
        </w:rPr>
        <w:t>20</w:t>
      </w:r>
    </w:p>
    <w:p w14:paraId="0A839B69" w14:textId="77777777" w:rsidR="00EC2181" w:rsidRDefault="00EC2181" w:rsidP="00EC2181">
      <w:pPr>
        <w:jc w:val="center"/>
        <w:rPr>
          <w:b/>
          <w:spacing w:val="25"/>
          <w:lang w:val="es-MX"/>
        </w:rPr>
      </w:pPr>
      <w:r w:rsidRPr="00EC2181">
        <w:rPr>
          <w:b/>
          <w:spacing w:val="25"/>
          <w:lang w:val="es-MX"/>
        </w:rPr>
        <w:t>(</w:t>
      </w:r>
      <w:r w:rsidRPr="00EC2181">
        <w:rPr>
          <w:b/>
          <w:i/>
          <w:spacing w:val="25"/>
          <w:lang w:val="es-MX"/>
        </w:rPr>
        <w:t>Cifras desestacionalizadas</w:t>
      </w:r>
      <w:r w:rsidRPr="00EC2181">
        <w:rPr>
          <w:b/>
          <w:spacing w:val="25"/>
          <w:lang w:val="es-MX"/>
        </w:rPr>
        <w:t>)</w:t>
      </w:r>
    </w:p>
    <w:p w14:paraId="35B747C3" w14:textId="77777777" w:rsidR="00902D2C" w:rsidRDefault="00902D2C" w:rsidP="0017782D">
      <w:pPr>
        <w:pStyle w:val="parrafo1"/>
        <w:spacing w:before="120"/>
        <w:ind w:left="567" w:right="584"/>
        <w:rPr>
          <w:b/>
          <w:i/>
        </w:rPr>
      </w:pPr>
    </w:p>
    <w:p w14:paraId="5348D630" w14:textId="77777777" w:rsidR="00EC2181" w:rsidRDefault="00EC2181" w:rsidP="0017782D">
      <w:pPr>
        <w:pStyle w:val="parrafo1"/>
        <w:spacing w:before="120"/>
        <w:ind w:left="567" w:right="584"/>
        <w:rPr>
          <w:b/>
          <w:i/>
        </w:rPr>
      </w:pPr>
      <w:r>
        <w:rPr>
          <w:b/>
          <w:i/>
        </w:rPr>
        <w:t>Principales resultados</w:t>
      </w:r>
    </w:p>
    <w:p w14:paraId="2C4DD1D2" w14:textId="3EAD4B3B" w:rsidR="00EC2181" w:rsidRPr="00215014" w:rsidRDefault="00EC2181" w:rsidP="00065319">
      <w:pPr>
        <w:pStyle w:val="parrafo1"/>
        <w:widowControl w:val="0"/>
        <w:spacing w:before="36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376234">
        <w:rPr>
          <w:szCs w:val="24"/>
        </w:rPr>
        <w:t>creció</w:t>
      </w:r>
      <w:r w:rsidR="00FE34DC">
        <w:rPr>
          <w:szCs w:val="24"/>
        </w:rPr>
        <w:t xml:space="preserve"> </w:t>
      </w:r>
      <w:r w:rsidR="00A44818">
        <w:rPr>
          <w:szCs w:val="24"/>
        </w:rPr>
        <w:t>17.9</w:t>
      </w:r>
      <w:r w:rsidR="002F5245">
        <w:rPr>
          <w:szCs w:val="24"/>
        </w:rPr>
        <w:t>%</w:t>
      </w:r>
      <w:r w:rsidR="00755D08">
        <w:rPr>
          <w:szCs w:val="24"/>
        </w:rPr>
        <w:t xml:space="preserve"> </w:t>
      </w:r>
      <w:r w:rsidR="00A231DF">
        <w:rPr>
          <w:szCs w:val="24"/>
        </w:rPr>
        <w:t>en términos reales</w:t>
      </w:r>
      <w:r w:rsidR="00565339">
        <w:rPr>
          <w:szCs w:val="24"/>
        </w:rPr>
        <w:t xml:space="preserve"> </w:t>
      </w:r>
      <w:r w:rsidR="00516290">
        <w:rPr>
          <w:szCs w:val="24"/>
        </w:rPr>
        <w:t>durante</w:t>
      </w:r>
      <w:r w:rsidR="000B1B4D">
        <w:rPr>
          <w:szCs w:val="24"/>
        </w:rPr>
        <w:t xml:space="preserve"> </w:t>
      </w:r>
      <w:r w:rsidR="00D36DA4">
        <w:rPr>
          <w:szCs w:val="24"/>
        </w:rPr>
        <w:t xml:space="preserve">el </w:t>
      </w:r>
      <w:r w:rsidR="005727CE">
        <w:rPr>
          <w:szCs w:val="24"/>
        </w:rPr>
        <w:t>sexto</w:t>
      </w:r>
      <w:r w:rsidR="00954115">
        <w:rPr>
          <w:szCs w:val="24"/>
        </w:rPr>
        <w:t xml:space="preserve"> </w:t>
      </w:r>
      <w:r w:rsidR="00D36DA4">
        <w:rPr>
          <w:szCs w:val="24"/>
        </w:rPr>
        <w:t xml:space="preserve">mes </w:t>
      </w:r>
      <w:r w:rsidR="000B1B4D">
        <w:rPr>
          <w:rFonts w:cs="Arial"/>
          <w:color w:val="000000" w:themeColor="text1"/>
          <w:szCs w:val="24"/>
        </w:rPr>
        <w:t>de 20</w:t>
      </w:r>
      <w:r w:rsidR="005325F6">
        <w:rPr>
          <w:rFonts w:cs="Arial"/>
          <w:color w:val="000000" w:themeColor="text1"/>
          <w:szCs w:val="24"/>
        </w:rPr>
        <w:t>20</w:t>
      </w:r>
      <w:r w:rsidR="000B1B4D">
        <w:rPr>
          <w:rFonts w:cs="Arial"/>
          <w:color w:val="000000" w:themeColor="text1"/>
          <w:szCs w:val="24"/>
        </w:rPr>
        <w:t xml:space="preserve">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40772BB9" w14:textId="607077D8"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604684">
        <w:rPr>
          <w:rFonts w:ascii="Arial" w:hAnsi="Arial"/>
          <w:b/>
          <w:smallCaps/>
          <w:color w:val="auto"/>
          <w:sz w:val="22"/>
          <w:lang w:val="es-MX"/>
        </w:rPr>
        <w:t xml:space="preserve">a </w:t>
      </w:r>
      <w:r w:rsidR="005727CE">
        <w:rPr>
          <w:rFonts w:ascii="Arial" w:hAnsi="Arial"/>
          <w:b/>
          <w:smallCaps/>
          <w:color w:val="auto"/>
          <w:sz w:val="22"/>
          <w:lang w:val="es-MX"/>
        </w:rPr>
        <w:t>junio</w:t>
      </w:r>
      <w:r w:rsidR="00C80962">
        <w:rPr>
          <w:rFonts w:ascii="Arial" w:hAnsi="Arial"/>
          <w:b/>
          <w:smallCaps/>
          <w:color w:val="auto"/>
          <w:sz w:val="22"/>
          <w:lang w:val="es-MX"/>
        </w:rPr>
        <w:t xml:space="preserve"> </w:t>
      </w:r>
      <w:r w:rsidR="00EC2181" w:rsidRPr="000D1E2C">
        <w:rPr>
          <w:rFonts w:ascii="Arial" w:hAnsi="Arial"/>
          <w:b/>
          <w:smallCaps/>
          <w:color w:val="auto"/>
          <w:sz w:val="22"/>
          <w:lang w:val="es-MX"/>
        </w:rPr>
        <w:t>de 20</w:t>
      </w:r>
      <w:r w:rsidR="00C80962">
        <w:rPr>
          <w:rFonts w:ascii="Arial" w:hAnsi="Arial"/>
          <w:b/>
          <w:smallCaps/>
          <w:color w:val="auto"/>
          <w:sz w:val="22"/>
          <w:lang w:val="es-MX"/>
        </w:rPr>
        <w:t>20</w:t>
      </w:r>
    </w:p>
    <w:p w14:paraId="36D52828"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7FD11AB9" w14:textId="38845990" w:rsidR="00EC2181" w:rsidRPr="009B51BF" w:rsidRDefault="00941930" w:rsidP="00EC2181">
      <w:pPr>
        <w:pStyle w:val="p0"/>
        <w:keepNext/>
        <w:spacing w:before="0"/>
        <w:jc w:val="center"/>
        <w:rPr>
          <w:color w:val="auto"/>
        </w:rPr>
      </w:pPr>
      <w:r>
        <w:rPr>
          <w:noProof/>
          <w:lang w:val="es-MX" w:eastAsia="es-MX"/>
        </w:rPr>
        <w:drawing>
          <wp:inline distT="0" distB="0" distL="0" distR="0" wp14:anchorId="486CC89F" wp14:editId="10595767">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FB3B13" w14:textId="77777777" w:rsidR="00EC2181" w:rsidRDefault="00EC2181" w:rsidP="0049723E">
      <w:pPr>
        <w:pStyle w:val="parrafo1"/>
        <w:spacing w:before="0"/>
        <w:ind w:left="1560" w:right="584" w:hanging="84"/>
        <w:rPr>
          <w:b/>
          <w:i/>
        </w:rPr>
      </w:pPr>
      <w:r>
        <w:rPr>
          <w:rFonts w:cs="Arial"/>
          <w:sz w:val="16"/>
          <w:lang w:val="es-MX"/>
        </w:rPr>
        <w:t>Fuente: INEGI.</w:t>
      </w:r>
    </w:p>
    <w:p w14:paraId="2815F1CA" w14:textId="778ADDE3" w:rsidR="005800C8" w:rsidRPr="00672C83" w:rsidRDefault="00EC2181" w:rsidP="00065319">
      <w:pPr>
        <w:pStyle w:val="parrafo1"/>
        <w:widowControl w:val="0"/>
        <w:spacing w:before="360"/>
        <w:ind w:left="567" w:right="584"/>
        <w:rPr>
          <w:rFonts w:cs="Arial"/>
          <w:color w:val="000000" w:themeColor="text1"/>
          <w:szCs w:val="24"/>
        </w:rPr>
      </w:pPr>
      <w:r w:rsidRPr="00672C83">
        <w:rPr>
          <w:szCs w:val="24"/>
        </w:rPr>
        <w:t>Por s</w:t>
      </w:r>
      <w:r w:rsidR="001A1DCD" w:rsidRPr="00672C83">
        <w:rPr>
          <w:szCs w:val="24"/>
        </w:rPr>
        <w:t>ectores de actividad económica</w:t>
      </w:r>
      <w:r w:rsidR="0048654A">
        <w:rPr>
          <w:rFonts w:cs="Arial"/>
          <w:color w:val="000000" w:themeColor="text1"/>
          <w:sz w:val="22"/>
        </w:rPr>
        <w:t>,</w:t>
      </w:r>
      <w:r w:rsidR="0048654A" w:rsidRPr="00E207C3">
        <w:rPr>
          <w:rFonts w:cs="Arial"/>
          <w:color w:val="000000" w:themeColor="text1"/>
          <w:sz w:val="22"/>
        </w:rPr>
        <w:t xml:space="preserve"> </w:t>
      </w:r>
      <w:r w:rsidR="00A44818" w:rsidRPr="00A44818">
        <w:rPr>
          <w:rFonts w:cs="Arial"/>
          <w:color w:val="000000" w:themeColor="text1"/>
        </w:rPr>
        <w:t xml:space="preserve">las Industrias manufactureras se incrementaron 26.7%, la Construcción 17.5%, la Minería 1.6% y la Generación, transmisión y distribución de energía eléctrica, suministro de agua y de gas por ductos al consumidor final 0.7% </w:t>
      </w:r>
      <w:r w:rsidR="00897945">
        <w:rPr>
          <w:rFonts w:cs="Arial"/>
          <w:color w:val="000000" w:themeColor="text1"/>
        </w:rPr>
        <w:t>en</w:t>
      </w:r>
      <w:r w:rsidR="00A44818" w:rsidRPr="00A44818">
        <w:rPr>
          <w:rFonts w:cs="Arial"/>
          <w:color w:val="000000" w:themeColor="text1"/>
        </w:rPr>
        <w:t xml:space="preserve"> junio de </w:t>
      </w:r>
      <w:r w:rsidR="00A44818">
        <w:rPr>
          <w:rFonts w:cs="Arial"/>
          <w:color w:val="000000" w:themeColor="text1"/>
        </w:rPr>
        <w:t>este año</w:t>
      </w:r>
      <w:r w:rsidR="00A44818" w:rsidRPr="00A44818">
        <w:rPr>
          <w:rFonts w:cs="Arial"/>
          <w:color w:val="000000" w:themeColor="text1"/>
        </w:rPr>
        <w:t xml:space="preserve"> frente al mes anterior.</w:t>
      </w:r>
      <w:r w:rsidR="00696F84" w:rsidRPr="00A44818">
        <w:rPr>
          <w:rFonts w:cs="Arial"/>
          <w:color w:val="000000" w:themeColor="text1"/>
        </w:rPr>
        <w:t xml:space="preserve"> </w:t>
      </w:r>
      <w:r w:rsidR="008737A2" w:rsidRPr="00A44818">
        <w:rPr>
          <w:rFonts w:cs="Arial"/>
          <w:color w:val="000000" w:themeColor="text1"/>
          <w:sz w:val="28"/>
        </w:rPr>
        <w:t xml:space="preserve">   </w:t>
      </w:r>
    </w:p>
    <w:p w14:paraId="6CE99A76" w14:textId="77777777" w:rsidR="00EC2181" w:rsidRPr="00E472E6" w:rsidRDefault="00EC2181" w:rsidP="000F6AC4">
      <w:pPr>
        <w:pStyle w:val="parrafo1"/>
        <w:widowControl w:val="0"/>
        <w:spacing w:before="360"/>
        <w:ind w:left="567" w:right="584"/>
        <w:rPr>
          <w:rFonts w:cs="Arial"/>
          <w:color w:val="000000" w:themeColor="text1"/>
          <w:szCs w:val="24"/>
        </w:rPr>
      </w:pPr>
    </w:p>
    <w:p w14:paraId="58D79707"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61C9D29D" w14:textId="24CD72A3"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604684">
        <w:rPr>
          <w:rFonts w:ascii="Arial" w:hAnsi="Arial"/>
          <w:b/>
          <w:smallCaps/>
          <w:color w:val="000000"/>
          <w:sz w:val="22"/>
          <w:lang w:val="es-MX"/>
        </w:rPr>
        <w:t xml:space="preserve">a </w:t>
      </w:r>
      <w:r w:rsidR="005727CE">
        <w:rPr>
          <w:rFonts w:ascii="Arial" w:hAnsi="Arial"/>
          <w:b/>
          <w:smallCaps/>
          <w:color w:val="000000"/>
          <w:sz w:val="22"/>
          <w:lang w:val="es-MX"/>
        </w:rPr>
        <w:t>junio</w:t>
      </w:r>
      <w:r w:rsidR="00C80962">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C80962">
        <w:rPr>
          <w:rFonts w:ascii="Arial" w:hAnsi="Arial"/>
          <w:b/>
          <w:smallCaps/>
          <w:color w:val="000000"/>
          <w:sz w:val="22"/>
          <w:lang w:val="es-MX"/>
        </w:rPr>
        <w:t>20</w:t>
      </w:r>
    </w:p>
    <w:p w14:paraId="16A1C08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787BB093" w:rsidR="001B6A8A" w:rsidRDefault="00941930" w:rsidP="001B6A8A">
      <w:pPr>
        <w:widowControl w:val="0"/>
        <w:jc w:val="center"/>
        <w:rPr>
          <w:sz w:val="16"/>
          <w:lang w:val="es-MX"/>
        </w:rPr>
      </w:pPr>
      <w:r>
        <w:rPr>
          <w:noProof/>
          <w:lang w:val="es-MX" w:eastAsia="es-MX"/>
        </w:rPr>
        <w:drawing>
          <wp:inline distT="0" distB="0" distL="0" distR="0" wp14:anchorId="3C31EC4B" wp14:editId="6242BA82">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10B6B3EB"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604684">
        <w:rPr>
          <w:rFonts w:ascii="Arial" w:hAnsi="Arial"/>
          <w:b/>
          <w:smallCaps/>
          <w:color w:val="000000"/>
          <w:sz w:val="22"/>
          <w:lang w:val="es-MX"/>
        </w:rPr>
        <w:t xml:space="preserve">a </w:t>
      </w:r>
      <w:r w:rsidR="005727CE">
        <w:rPr>
          <w:rFonts w:ascii="Arial" w:hAnsi="Arial"/>
          <w:b/>
          <w:smallCaps/>
          <w:color w:val="000000"/>
          <w:sz w:val="22"/>
          <w:lang w:val="es-MX"/>
        </w:rPr>
        <w:t>junio</w:t>
      </w:r>
      <w:r w:rsidR="00C80962">
        <w:rPr>
          <w:rFonts w:ascii="Arial" w:hAnsi="Arial"/>
          <w:b/>
          <w:smallCaps/>
          <w:color w:val="000000"/>
          <w:sz w:val="22"/>
          <w:lang w:val="es-MX"/>
        </w:rPr>
        <w:t xml:space="preserve"> d</w:t>
      </w:r>
      <w:r w:rsidR="007B2DAE" w:rsidRPr="000D1E2C">
        <w:rPr>
          <w:rFonts w:ascii="Arial" w:hAnsi="Arial"/>
          <w:b/>
          <w:smallCaps/>
          <w:color w:val="000000"/>
          <w:sz w:val="22"/>
          <w:lang w:val="es-MX"/>
        </w:rPr>
        <w:t>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w:t>
      </w:r>
      <w:r w:rsidR="00C80962">
        <w:rPr>
          <w:rFonts w:ascii="Arial" w:hAnsi="Arial"/>
          <w:b/>
          <w:smallCaps/>
          <w:color w:val="000000"/>
          <w:sz w:val="22"/>
          <w:lang w:val="es-MX"/>
        </w:rPr>
        <w:t>20</w:t>
      </w:r>
    </w:p>
    <w:p w14:paraId="25A3686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6D18689C" w:rsidR="00EC2181" w:rsidRDefault="007656E2" w:rsidP="00EC2181">
      <w:pPr>
        <w:widowControl w:val="0"/>
        <w:jc w:val="center"/>
        <w:rPr>
          <w:sz w:val="18"/>
          <w:szCs w:val="18"/>
          <w:lang w:val="es-MX"/>
        </w:rPr>
      </w:pPr>
      <w:r>
        <w:rPr>
          <w:noProof/>
          <w:lang w:val="es-MX" w:eastAsia="es-MX"/>
        </w:rPr>
        <w:drawing>
          <wp:inline distT="0" distB="0" distL="0" distR="0" wp14:anchorId="5C722294" wp14:editId="21A575FD">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7777777" w:rsidR="00EC2181" w:rsidRDefault="00EC2181" w:rsidP="00FC2B96">
      <w:pPr>
        <w:pStyle w:val="parrafo1"/>
        <w:widowControl w:val="0"/>
        <w:spacing w:before="120"/>
        <w:ind w:left="567" w:right="584"/>
        <w:rPr>
          <w:szCs w:val="24"/>
        </w:rPr>
      </w:pPr>
    </w:p>
    <w:p w14:paraId="7D836A97" w14:textId="77777777" w:rsidR="008F2A95" w:rsidRPr="000B1B4D" w:rsidRDefault="008F2A95" w:rsidP="00FC2B96">
      <w:pPr>
        <w:pStyle w:val="parrafo1"/>
        <w:widowControl w:val="0"/>
        <w:spacing w:before="120"/>
        <w:ind w:left="567" w:right="584"/>
        <w:rPr>
          <w:szCs w:val="24"/>
        </w:rPr>
      </w:pPr>
    </w:p>
    <w:p w14:paraId="359D23E2" w14:textId="77777777" w:rsidR="00EC2181" w:rsidRDefault="00EC2181" w:rsidP="00EC2181">
      <w:pPr>
        <w:rPr>
          <w:sz w:val="18"/>
          <w:szCs w:val="18"/>
          <w:lang w:val="es-MX"/>
        </w:rPr>
      </w:pPr>
    </w:p>
    <w:p w14:paraId="687666D9" w14:textId="77777777" w:rsidR="00EC2181" w:rsidRDefault="00EC2181" w:rsidP="00EC2181">
      <w:pPr>
        <w:widowControl w:val="0"/>
        <w:jc w:val="center"/>
        <w:rPr>
          <w:sz w:val="18"/>
          <w:szCs w:val="18"/>
          <w:lang w:val="es-MX"/>
        </w:rPr>
      </w:pPr>
    </w:p>
    <w:p w14:paraId="21547331" w14:textId="77777777" w:rsidR="00EC2181" w:rsidRDefault="00EC2181" w:rsidP="00EC2181">
      <w:pPr>
        <w:widowControl w:val="0"/>
        <w:jc w:val="center"/>
        <w:rPr>
          <w:sz w:val="18"/>
          <w:szCs w:val="18"/>
          <w:lang w:val="es-MX"/>
        </w:rPr>
      </w:pPr>
    </w:p>
    <w:p w14:paraId="3FD3E8E8" w14:textId="74977BFD"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604684">
        <w:rPr>
          <w:rFonts w:ascii="Arial" w:hAnsi="Arial"/>
          <w:b/>
          <w:smallCaps/>
          <w:color w:val="000000"/>
          <w:sz w:val="22"/>
          <w:lang w:val="es-MX"/>
        </w:rPr>
        <w:t xml:space="preserve">a </w:t>
      </w:r>
      <w:r w:rsidR="005727CE">
        <w:rPr>
          <w:rFonts w:ascii="Arial" w:hAnsi="Arial"/>
          <w:b/>
          <w:smallCaps/>
          <w:color w:val="000000"/>
          <w:sz w:val="22"/>
          <w:lang w:val="es-MX"/>
        </w:rPr>
        <w:t>junio</w:t>
      </w:r>
      <w:r w:rsidR="00D36DA4">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AB25A3">
        <w:rPr>
          <w:rFonts w:ascii="Arial" w:hAnsi="Arial"/>
          <w:b/>
          <w:smallCaps/>
          <w:color w:val="000000"/>
          <w:sz w:val="22"/>
          <w:lang w:val="es-MX"/>
        </w:rPr>
        <w:t>20</w:t>
      </w:r>
    </w:p>
    <w:p w14:paraId="3F9AD86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6BD06FB2" w:rsidR="00EC2181" w:rsidRDefault="007656E2" w:rsidP="00EC2181">
      <w:pPr>
        <w:widowControl w:val="0"/>
        <w:jc w:val="center"/>
        <w:rPr>
          <w:sz w:val="18"/>
          <w:szCs w:val="18"/>
          <w:lang w:val="es-MX"/>
        </w:rPr>
      </w:pPr>
      <w:r>
        <w:rPr>
          <w:noProof/>
          <w:lang w:val="es-MX" w:eastAsia="es-MX"/>
        </w:rPr>
        <w:drawing>
          <wp:inline distT="0" distB="0" distL="0" distR="0" wp14:anchorId="3659FA3F" wp14:editId="34E22305">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1470D756"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604684">
        <w:rPr>
          <w:rFonts w:ascii="Arial" w:hAnsi="Arial"/>
          <w:b/>
          <w:smallCaps/>
          <w:color w:val="000000"/>
          <w:sz w:val="22"/>
          <w:lang w:val="es-MX"/>
        </w:rPr>
        <w:t xml:space="preserve">a </w:t>
      </w:r>
      <w:r w:rsidR="005727CE">
        <w:rPr>
          <w:rFonts w:ascii="Arial" w:hAnsi="Arial"/>
          <w:b/>
          <w:smallCaps/>
          <w:color w:val="000000"/>
          <w:sz w:val="22"/>
          <w:lang w:val="es-MX"/>
        </w:rPr>
        <w:t>junio</w:t>
      </w:r>
      <w:r w:rsidR="00AB5F33">
        <w:rPr>
          <w:rFonts w:ascii="Arial" w:hAnsi="Arial"/>
          <w:b/>
          <w:smallCaps/>
          <w:color w:val="000000"/>
          <w:sz w:val="22"/>
          <w:lang w:val="es-MX"/>
        </w:rPr>
        <w:t xml:space="preserve"> </w:t>
      </w:r>
      <w:r w:rsidR="00A86507" w:rsidRPr="000D1E2C">
        <w:rPr>
          <w:rFonts w:ascii="Arial" w:hAnsi="Arial"/>
          <w:b/>
          <w:smallCaps/>
          <w:color w:val="000000"/>
          <w:sz w:val="22"/>
          <w:lang w:val="es-MX"/>
        </w:rPr>
        <w:t>de 20</w:t>
      </w:r>
      <w:r w:rsidR="00AB5F33">
        <w:rPr>
          <w:rFonts w:ascii="Arial" w:hAnsi="Arial"/>
          <w:b/>
          <w:smallCaps/>
          <w:color w:val="000000"/>
          <w:sz w:val="22"/>
          <w:lang w:val="es-MX"/>
        </w:rPr>
        <w:t>20</w:t>
      </w:r>
    </w:p>
    <w:p w14:paraId="3CF4020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4174C453" w:rsidR="00EC2181" w:rsidRDefault="007656E2" w:rsidP="00EC2181">
      <w:pPr>
        <w:widowControl w:val="0"/>
        <w:jc w:val="center"/>
        <w:rPr>
          <w:sz w:val="18"/>
          <w:szCs w:val="18"/>
          <w:lang w:val="es-MX"/>
        </w:rPr>
      </w:pPr>
      <w:r>
        <w:rPr>
          <w:noProof/>
          <w:lang w:val="es-MX" w:eastAsia="es-MX"/>
        </w:rPr>
        <w:drawing>
          <wp:inline distT="0" distB="0" distL="0" distR="0" wp14:anchorId="379C78E6" wp14:editId="08D6D3BE">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77777777" w:rsidR="00902D2C" w:rsidRDefault="00902D2C" w:rsidP="000B1B4D">
      <w:pPr>
        <w:rPr>
          <w:b/>
          <w:i/>
        </w:rPr>
      </w:pPr>
    </w:p>
    <w:p w14:paraId="59E7FD11" w14:textId="77777777" w:rsidR="0072578B" w:rsidRDefault="0072578B" w:rsidP="00853669">
      <w:pPr>
        <w:pStyle w:val="parr2"/>
        <w:keepNext/>
        <w:keepLines/>
        <w:spacing w:before="360"/>
        <w:ind w:right="584"/>
        <w:rPr>
          <w:b/>
          <w:i/>
        </w:rPr>
      </w:pPr>
    </w:p>
    <w:p w14:paraId="33E45A8E" w14:textId="77777777" w:rsidR="00853669" w:rsidRDefault="00853669" w:rsidP="00853669">
      <w:pPr>
        <w:pStyle w:val="parr2"/>
        <w:keepNext/>
        <w:keepLines/>
        <w:spacing w:before="360"/>
        <w:ind w:right="584"/>
        <w:rPr>
          <w:b/>
          <w:i/>
        </w:rPr>
      </w:pPr>
      <w:r>
        <w:rPr>
          <w:b/>
          <w:i/>
        </w:rPr>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00C43E2E" w14:textId="509847B9"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proofErr w:type="spellStart"/>
      <w:r w:rsidR="005727CE">
        <w:rPr>
          <w:rFonts w:ascii="Arial" w:hAnsi="Arial"/>
          <w:b/>
          <w:smallCaps/>
          <w:color w:val="auto"/>
          <w:sz w:val="22"/>
          <w:szCs w:val="22"/>
        </w:rPr>
        <w:t>junio</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w:t>
      </w:r>
      <w:r w:rsidR="00AB5F33">
        <w:rPr>
          <w:rFonts w:ascii="Arial" w:hAnsi="Arial"/>
          <w:b/>
          <w:smallCaps/>
          <w:color w:val="auto"/>
          <w:sz w:val="22"/>
          <w:szCs w:val="22"/>
        </w:rPr>
        <w:t>20</w:t>
      </w:r>
    </w:p>
    <w:p w14:paraId="039225E9" w14:textId="2E114FAE"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586243">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C70099" w:rsidRPr="004815EA" w14:paraId="75CF3080" w14:textId="319B74A5" w:rsidTr="0044394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C70099" w:rsidRPr="00E464CF" w:rsidRDefault="00C70099"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C70099" w:rsidRPr="0036176C" w:rsidRDefault="00C70099"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112DD888" w:rsidR="00C70099" w:rsidRPr="0036176C" w:rsidRDefault="005727CE" w:rsidP="00EE756F">
            <w:pPr>
              <w:pStyle w:val="p0"/>
              <w:keepNext/>
              <w:spacing w:before="120" w:after="120"/>
              <w:jc w:val="center"/>
              <w:rPr>
                <w:rFonts w:ascii="Arial" w:hAnsi="Arial"/>
                <w:color w:val="auto"/>
                <w:sz w:val="18"/>
                <w:szCs w:val="16"/>
              </w:rPr>
            </w:pPr>
            <w:r>
              <w:rPr>
                <w:rFonts w:ascii="Arial" w:hAnsi="Arial"/>
                <w:color w:val="auto"/>
                <w:sz w:val="18"/>
                <w:szCs w:val="16"/>
              </w:rPr>
              <w:t>Junio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14:paraId="33D6A353" w14:textId="70A43F11" w:rsidR="00C70099" w:rsidRDefault="00C70099" w:rsidP="005727CE">
            <w:pPr>
              <w:pStyle w:val="p0"/>
              <w:keepNext/>
              <w:spacing w:before="120" w:after="120"/>
              <w:jc w:val="center"/>
              <w:rPr>
                <w:rFonts w:ascii="Arial" w:hAnsi="Arial"/>
                <w:color w:val="auto"/>
                <w:sz w:val="18"/>
                <w:szCs w:val="16"/>
              </w:rPr>
            </w:pPr>
            <w:r>
              <w:rPr>
                <w:rFonts w:ascii="Arial" w:hAnsi="Arial"/>
                <w:color w:val="auto"/>
                <w:sz w:val="18"/>
                <w:szCs w:val="16"/>
              </w:rPr>
              <w:t>Ene-</w:t>
            </w:r>
            <w:r w:rsidR="005727CE">
              <w:rPr>
                <w:rFonts w:ascii="Arial" w:hAnsi="Arial"/>
                <w:color w:val="auto"/>
                <w:sz w:val="18"/>
                <w:szCs w:val="16"/>
              </w:rPr>
              <w:t>Jun</w:t>
            </w:r>
          </w:p>
        </w:tc>
      </w:tr>
      <w:tr w:rsidR="00C70099" w:rsidRPr="00E464CF" w14:paraId="1D93E5E5" w14:textId="4C4488A2" w:rsidTr="0044394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C70099" w:rsidRPr="000D1E2C" w:rsidRDefault="00C70099" w:rsidP="00C70099">
            <w:pPr>
              <w:pStyle w:val="p0"/>
              <w:spacing w:before="120" w:after="2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shd w:val="clear" w:color="auto" w:fill="auto"/>
            <w:vAlign w:val="center"/>
          </w:tcPr>
          <w:p w14:paraId="7EB5C001" w14:textId="75946F6C" w:rsidR="00C70099" w:rsidRPr="000D1E2C" w:rsidRDefault="00C70099" w:rsidP="005D65EA">
            <w:pPr>
              <w:ind w:left="-180" w:right="285"/>
              <w:jc w:val="right"/>
              <w:rPr>
                <w:b/>
                <w:bCs/>
                <w:color w:val="000000"/>
                <w:sz w:val="18"/>
                <w:szCs w:val="18"/>
                <w:lang w:eastAsia="es-MX"/>
              </w:rPr>
            </w:pPr>
            <w:r w:rsidRPr="000D1E2C">
              <w:rPr>
                <w:b/>
                <w:bCs/>
                <w:color w:val="000000"/>
                <w:sz w:val="18"/>
                <w:szCs w:val="18"/>
                <w:lang w:eastAsia="es-MX"/>
              </w:rPr>
              <w:t>(-</w:t>
            </w:r>
            <w:proofErr w:type="gramStart"/>
            <w:r w:rsidRPr="000D1E2C">
              <w:rPr>
                <w:b/>
                <w:bCs/>
                <w:color w:val="000000"/>
                <w:sz w:val="18"/>
                <w:szCs w:val="18"/>
                <w:lang w:eastAsia="es-MX"/>
              </w:rPr>
              <w:t>)</w:t>
            </w:r>
            <w:r w:rsidR="00F054AF">
              <w:rPr>
                <w:b/>
                <w:bCs/>
                <w:color w:val="000000"/>
                <w:sz w:val="18"/>
                <w:szCs w:val="18"/>
                <w:lang w:eastAsia="es-MX"/>
              </w:rPr>
              <w:t xml:space="preserve">  </w:t>
            </w:r>
            <w:r w:rsidR="005D65EA">
              <w:rPr>
                <w:b/>
                <w:bCs/>
                <w:color w:val="000000"/>
                <w:sz w:val="18"/>
                <w:szCs w:val="18"/>
                <w:lang w:eastAsia="es-MX"/>
              </w:rPr>
              <w:t>16</w:t>
            </w:r>
            <w:proofErr w:type="gramEnd"/>
            <w:r w:rsidR="005D65EA">
              <w:rPr>
                <w:b/>
                <w:bCs/>
                <w:color w:val="000000"/>
                <w:sz w:val="18"/>
                <w:szCs w:val="18"/>
                <w:lang w:eastAsia="es-MX"/>
              </w:rPr>
              <w:t>.7</w:t>
            </w:r>
          </w:p>
        </w:tc>
        <w:tc>
          <w:tcPr>
            <w:tcW w:w="1156" w:type="dxa"/>
            <w:tcBorders>
              <w:top w:val="single" w:sz="4" w:space="0" w:color="000000" w:themeColor="text1"/>
              <w:left w:val="single" w:sz="4" w:space="0" w:color="000000" w:themeColor="text1"/>
              <w:bottom w:val="nil"/>
              <w:right w:val="double" w:sz="4" w:space="0" w:color="000000" w:themeColor="text1"/>
            </w:tcBorders>
            <w:vAlign w:val="center"/>
          </w:tcPr>
          <w:p w14:paraId="7C3A94C0" w14:textId="75A00828" w:rsidR="00C70099" w:rsidRPr="000D1E2C" w:rsidRDefault="00C70099" w:rsidP="00D10847">
            <w:pPr>
              <w:ind w:left="-180" w:right="285"/>
              <w:jc w:val="right"/>
              <w:rPr>
                <w:b/>
                <w:bCs/>
                <w:color w:val="000000"/>
                <w:sz w:val="18"/>
                <w:szCs w:val="18"/>
                <w:lang w:eastAsia="es-MX"/>
              </w:rPr>
            </w:pPr>
            <w:r w:rsidRPr="000D1E2C">
              <w:rPr>
                <w:b/>
                <w:bCs/>
                <w:color w:val="000000"/>
                <w:sz w:val="18"/>
                <w:szCs w:val="18"/>
                <w:lang w:eastAsia="es-MX"/>
              </w:rPr>
              <w:t>(-</w:t>
            </w:r>
            <w:proofErr w:type="gramStart"/>
            <w:r w:rsidRPr="000D1E2C">
              <w:rPr>
                <w:b/>
                <w:bCs/>
                <w:color w:val="000000"/>
                <w:sz w:val="18"/>
                <w:szCs w:val="18"/>
                <w:lang w:eastAsia="es-MX"/>
              </w:rPr>
              <w:t>)</w:t>
            </w:r>
            <w:r w:rsidR="00322C8A">
              <w:rPr>
                <w:b/>
                <w:bCs/>
                <w:color w:val="000000"/>
                <w:sz w:val="18"/>
                <w:szCs w:val="18"/>
                <w:lang w:eastAsia="es-MX"/>
              </w:rPr>
              <w:t xml:space="preserve">  </w:t>
            </w:r>
            <w:r w:rsidR="00D10847">
              <w:rPr>
                <w:b/>
                <w:bCs/>
                <w:color w:val="000000"/>
                <w:sz w:val="18"/>
                <w:szCs w:val="18"/>
                <w:lang w:eastAsia="es-MX"/>
              </w:rPr>
              <w:t>14</w:t>
            </w:r>
            <w:proofErr w:type="gramEnd"/>
            <w:r w:rsidR="00D10847">
              <w:rPr>
                <w:b/>
                <w:bCs/>
                <w:color w:val="000000"/>
                <w:sz w:val="18"/>
                <w:szCs w:val="18"/>
                <w:lang w:eastAsia="es-MX"/>
              </w:rPr>
              <w:t>.1</w:t>
            </w:r>
          </w:p>
        </w:tc>
      </w:tr>
      <w:tr w:rsidR="00C70099" w:rsidRPr="00E464CF" w14:paraId="4568F029" w14:textId="6E698B26" w:rsidTr="00443948">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C70099" w:rsidRPr="000D1E2C" w:rsidRDefault="00C70099" w:rsidP="00C70099">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A930664" w14:textId="43D3EB40" w:rsidR="00C70099" w:rsidRPr="000D1E2C" w:rsidRDefault="00F054AF" w:rsidP="00D63A1F">
            <w:pPr>
              <w:ind w:left="-180" w:right="285"/>
              <w:jc w:val="right"/>
              <w:rPr>
                <w:bCs/>
                <w:color w:val="000000"/>
                <w:sz w:val="18"/>
                <w:szCs w:val="18"/>
                <w:lang w:eastAsia="es-MX"/>
              </w:rPr>
            </w:pPr>
            <w:r>
              <w:rPr>
                <w:b/>
                <w:bCs/>
                <w:color w:val="000000"/>
                <w:sz w:val="18"/>
                <w:szCs w:val="18"/>
                <w:lang w:eastAsia="es-MX"/>
              </w:rPr>
              <w:t xml:space="preserve">(-)    </w:t>
            </w:r>
            <w:r w:rsidR="00D63A1F">
              <w:rPr>
                <w:b/>
                <w:bCs/>
                <w:color w:val="000000"/>
                <w:sz w:val="18"/>
                <w:szCs w:val="18"/>
                <w:lang w:eastAsia="es-MX"/>
              </w:rPr>
              <w:t>5.</w:t>
            </w:r>
            <w:r w:rsidR="005D65EA">
              <w:rPr>
                <w:b/>
                <w:bCs/>
                <w:color w:val="000000"/>
                <w:sz w:val="18"/>
                <w:szCs w:val="18"/>
                <w:lang w:eastAsia="es-MX"/>
              </w:rPr>
              <w:t>2</w:t>
            </w:r>
          </w:p>
        </w:tc>
        <w:tc>
          <w:tcPr>
            <w:tcW w:w="1156" w:type="dxa"/>
            <w:tcBorders>
              <w:top w:val="nil"/>
              <w:left w:val="single" w:sz="4" w:space="0" w:color="000000" w:themeColor="text1"/>
              <w:bottom w:val="nil"/>
              <w:right w:val="double" w:sz="4" w:space="0" w:color="000000" w:themeColor="text1"/>
            </w:tcBorders>
            <w:vAlign w:val="center"/>
          </w:tcPr>
          <w:p w14:paraId="620C2551" w14:textId="6AA3A1F8" w:rsidR="00C70099" w:rsidRDefault="00D10847" w:rsidP="00C70099">
            <w:pPr>
              <w:ind w:left="-180" w:right="285"/>
              <w:jc w:val="right"/>
              <w:rPr>
                <w:b/>
                <w:bCs/>
                <w:color w:val="000000"/>
                <w:sz w:val="18"/>
                <w:szCs w:val="18"/>
                <w:lang w:eastAsia="es-MX"/>
              </w:rPr>
            </w:pPr>
            <w:r>
              <w:rPr>
                <w:b/>
                <w:bCs/>
                <w:color w:val="000000"/>
                <w:sz w:val="18"/>
                <w:szCs w:val="18"/>
                <w:lang w:eastAsia="es-MX"/>
              </w:rPr>
              <w:t>0.1</w:t>
            </w:r>
          </w:p>
        </w:tc>
      </w:tr>
      <w:tr w:rsidR="00C70099" w:rsidRPr="00E464CF" w14:paraId="44DD6348" w14:textId="07007FA7" w:rsidTr="00443948">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C70099" w:rsidRPr="000D1E2C" w:rsidRDefault="00C70099" w:rsidP="00C70099">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C70099" w:rsidRPr="000D1E2C" w:rsidRDefault="00C70099" w:rsidP="00C70099">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F55424D" w14:textId="1508A7B0" w:rsidR="00C70099" w:rsidRPr="000D1E2C" w:rsidRDefault="00D63A1F" w:rsidP="005D65EA">
            <w:pPr>
              <w:ind w:left="-180" w:right="285"/>
              <w:jc w:val="right"/>
              <w:rPr>
                <w:bCs/>
                <w:color w:val="000000"/>
                <w:sz w:val="18"/>
                <w:szCs w:val="18"/>
                <w:lang w:eastAsia="es-MX"/>
              </w:rPr>
            </w:pPr>
            <w:r>
              <w:rPr>
                <w:bCs/>
                <w:color w:val="000000"/>
                <w:sz w:val="18"/>
                <w:szCs w:val="18"/>
                <w:lang w:eastAsia="es-MX"/>
              </w:rPr>
              <w:t xml:space="preserve">(-)    </w:t>
            </w:r>
            <w:r w:rsidR="005D65EA">
              <w:rPr>
                <w:bCs/>
                <w:color w:val="000000"/>
                <w:sz w:val="18"/>
                <w:szCs w:val="18"/>
                <w:lang w:eastAsia="es-MX"/>
              </w:rPr>
              <w:t>2</w:t>
            </w:r>
            <w:r>
              <w:rPr>
                <w:bCs/>
                <w:color w:val="000000"/>
                <w:sz w:val="18"/>
                <w:szCs w:val="18"/>
                <w:lang w:eastAsia="es-MX"/>
              </w:rPr>
              <w:t>.9</w:t>
            </w:r>
          </w:p>
        </w:tc>
        <w:tc>
          <w:tcPr>
            <w:tcW w:w="1156" w:type="dxa"/>
            <w:tcBorders>
              <w:top w:val="nil"/>
              <w:left w:val="single" w:sz="4" w:space="0" w:color="000000" w:themeColor="text1"/>
              <w:bottom w:val="nil"/>
              <w:right w:val="double" w:sz="4" w:space="0" w:color="000000" w:themeColor="text1"/>
            </w:tcBorders>
            <w:vAlign w:val="center"/>
          </w:tcPr>
          <w:p w14:paraId="392DDA5F" w14:textId="0C2E0EF0" w:rsidR="00C70099" w:rsidRDefault="00D10847" w:rsidP="00C70099">
            <w:pPr>
              <w:ind w:left="-180" w:right="285"/>
              <w:jc w:val="right"/>
              <w:rPr>
                <w:bCs/>
                <w:color w:val="000000"/>
                <w:sz w:val="18"/>
                <w:szCs w:val="18"/>
                <w:lang w:eastAsia="es-MX"/>
              </w:rPr>
            </w:pPr>
            <w:r>
              <w:rPr>
                <w:bCs/>
                <w:color w:val="000000"/>
                <w:sz w:val="18"/>
                <w:szCs w:val="18"/>
                <w:lang w:eastAsia="es-MX"/>
              </w:rPr>
              <w:t>2.5</w:t>
            </w:r>
          </w:p>
        </w:tc>
      </w:tr>
      <w:tr w:rsidR="00C70099" w:rsidRPr="00E464CF" w14:paraId="6FAFBF30" w14:textId="2F1F4AE6" w:rsidTr="00443948">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C70099" w:rsidRPr="000D1E2C" w:rsidRDefault="00C70099" w:rsidP="00C70099">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C70099" w:rsidRPr="000D1E2C" w:rsidRDefault="00C70099" w:rsidP="00C70099">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2FD6F9E" w14:textId="7F41D546" w:rsidR="00C70099" w:rsidRPr="000D1E2C" w:rsidRDefault="004C1A6B" w:rsidP="005D65E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F054AF">
              <w:rPr>
                <w:bCs/>
                <w:color w:val="000000"/>
                <w:sz w:val="18"/>
                <w:szCs w:val="18"/>
                <w:lang w:eastAsia="es-MX"/>
              </w:rPr>
              <w:t xml:space="preserve"> </w:t>
            </w:r>
            <w:r w:rsidR="005D65EA">
              <w:rPr>
                <w:bCs/>
                <w:color w:val="000000"/>
                <w:sz w:val="18"/>
                <w:szCs w:val="18"/>
                <w:lang w:eastAsia="es-MX"/>
              </w:rPr>
              <w:t>12</w:t>
            </w:r>
            <w:proofErr w:type="gramEnd"/>
            <w:r w:rsidR="005D65EA">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vAlign w:val="center"/>
          </w:tcPr>
          <w:p w14:paraId="5E8931F8" w14:textId="24D0B3E1" w:rsidR="00C70099" w:rsidRDefault="00322C8A" w:rsidP="00D10847">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D10847">
              <w:rPr>
                <w:bCs/>
                <w:color w:val="000000"/>
                <w:sz w:val="18"/>
                <w:szCs w:val="18"/>
                <w:lang w:eastAsia="es-MX"/>
              </w:rPr>
              <w:t>11</w:t>
            </w:r>
            <w:proofErr w:type="gramEnd"/>
            <w:r w:rsidR="00D10847">
              <w:rPr>
                <w:bCs/>
                <w:color w:val="000000"/>
                <w:sz w:val="18"/>
                <w:szCs w:val="18"/>
                <w:lang w:eastAsia="es-MX"/>
              </w:rPr>
              <w:t>.2</w:t>
            </w:r>
          </w:p>
        </w:tc>
      </w:tr>
      <w:tr w:rsidR="00C70099" w:rsidRPr="00E464CF" w14:paraId="434ABB2F" w14:textId="504EDDD2" w:rsidTr="00443948">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C70099" w:rsidRPr="000D1E2C" w:rsidRDefault="00C70099" w:rsidP="00C70099">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C70099" w:rsidRPr="000D1E2C" w:rsidRDefault="00C70099" w:rsidP="00C70099">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CC8ED76" w14:textId="270865EB" w:rsidR="00C70099" w:rsidRPr="000D1E2C" w:rsidRDefault="005D65EA" w:rsidP="00C70099">
            <w:pPr>
              <w:ind w:left="-180" w:right="285"/>
              <w:jc w:val="right"/>
              <w:rPr>
                <w:bCs/>
                <w:color w:val="000000"/>
                <w:sz w:val="18"/>
                <w:szCs w:val="18"/>
                <w:lang w:eastAsia="es-MX"/>
              </w:rPr>
            </w:pPr>
            <w:r>
              <w:rPr>
                <w:bCs/>
                <w:color w:val="000000"/>
                <w:sz w:val="18"/>
                <w:szCs w:val="18"/>
                <w:lang w:eastAsia="es-MX"/>
              </w:rPr>
              <w:t>(-)    5.9</w:t>
            </w:r>
          </w:p>
        </w:tc>
        <w:tc>
          <w:tcPr>
            <w:tcW w:w="1156" w:type="dxa"/>
            <w:tcBorders>
              <w:top w:val="nil"/>
              <w:left w:val="single" w:sz="4" w:space="0" w:color="000000" w:themeColor="text1"/>
              <w:bottom w:val="nil"/>
              <w:right w:val="double" w:sz="4" w:space="0" w:color="000000" w:themeColor="text1"/>
            </w:tcBorders>
            <w:vAlign w:val="center"/>
          </w:tcPr>
          <w:p w14:paraId="7CA09C40" w14:textId="32F0AF35" w:rsidR="00C70099" w:rsidRDefault="00D10847" w:rsidP="00C70099">
            <w:pPr>
              <w:ind w:left="-180" w:right="285"/>
              <w:jc w:val="right"/>
              <w:rPr>
                <w:bCs/>
                <w:color w:val="000000"/>
                <w:sz w:val="18"/>
                <w:szCs w:val="18"/>
                <w:lang w:eastAsia="es-MX"/>
              </w:rPr>
            </w:pPr>
            <w:r>
              <w:rPr>
                <w:bCs/>
                <w:color w:val="000000"/>
                <w:sz w:val="18"/>
                <w:szCs w:val="18"/>
                <w:lang w:eastAsia="es-MX"/>
              </w:rPr>
              <w:t>7.2</w:t>
            </w:r>
          </w:p>
        </w:tc>
      </w:tr>
      <w:tr w:rsidR="00C70099" w:rsidRPr="00E464CF" w14:paraId="715C8020" w14:textId="389730B9" w:rsidTr="00443948">
        <w:trPr>
          <w:jc w:val="center"/>
        </w:trPr>
        <w:tc>
          <w:tcPr>
            <w:tcW w:w="693" w:type="dxa"/>
            <w:tcBorders>
              <w:top w:val="nil"/>
              <w:left w:val="double" w:sz="4" w:space="0" w:color="000000" w:themeColor="text1"/>
              <w:bottom w:val="nil"/>
              <w:right w:val="nil"/>
            </w:tcBorders>
            <w:shd w:val="clear" w:color="auto" w:fill="auto"/>
          </w:tcPr>
          <w:p w14:paraId="24FBC288" w14:textId="77777777" w:rsidR="00C70099" w:rsidRPr="000D1E2C" w:rsidRDefault="00C70099" w:rsidP="00C70099">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8C7BAF8" w14:textId="6982863B" w:rsidR="00C70099" w:rsidRPr="000D1E2C" w:rsidRDefault="004C1A6B" w:rsidP="00D63A1F">
            <w:pPr>
              <w:ind w:left="-180" w:right="285"/>
              <w:jc w:val="right"/>
              <w:rPr>
                <w:b/>
                <w:bCs/>
                <w:color w:val="000000"/>
                <w:sz w:val="18"/>
                <w:szCs w:val="18"/>
                <w:lang w:eastAsia="es-MX"/>
              </w:rPr>
            </w:pPr>
            <w:r>
              <w:rPr>
                <w:b/>
                <w:bCs/>
                <w:color w:val="000000"/>
                <w:sz w:val="18"/>
                <w:szCs w:val="18"/>
                <w:lang w:eastAsia="es-MX"/>
              </w:rPr>
              <w:t>(-</w:t>
            </w:r>
            <w:proofErr w:type="gramStart"/>
            <w:r>
              <w:rPr>
                <w:b/>
                <w:bCs/>
                <w:color w:val="000000"/>
                <w:sz w:val="18"/>
                <w:szCs w:val="18"/>
                <w:lang w:eastAsia="es-MX"/>
              </w:rPr>
              <w:t xml:space="preserve">) </w:t>
            </w:r>
            <w:r w:rsidR="00014920">
              <w:rPr>
                <w:b/>
                <w:bCs/>
                <w:color w:val="000000"/>
                <w:sz w:val="18"/>
                <w:szCs w:val="18"/>
                <w:lang w:eastAsia="es-MX"/>
              </w:rPr>
              <w:t xml:space="preserve"> </w:t>
            </w:r>
            <w:r w:rsidR="00D63A1F">
              <w:rPr>
                <w:b/>
                <w:bCs/>
                <w:color w:val="000000"/>
                <w:sz w:val="18"/>
                <w:szCs w:val="18"/>
                <w:lang w:eastAsia="es-MX"/>
              </w:rPr>
              <w:t>13</w:t>
            </w:r>
            <w:proofErr w:type="gramEnd"/>
            <w:r w:rsidR="00D63A1F">
              <w:rPr>
                <w:b/>
                <w:bCs/>
                <w:color w:val="000000"/>
                <w:sz w:val="18"/>
                <w:szCs w:val="18"/>
                <w:lang w:eastAsia="es-MX"/>
              </w:rPr>
              <w:t>.</w:t>
            </w:r>
            <w:r w:rsidR="005D65EA">
              <w:rPr>
                <w:b/>
                <w:bCs/>
                <w:color w:val="000000"/>
                <w:sz w:val="18"/>
                <w:szCs w:val="18"/>
                <w:lang w:eastAsia="es-MX"/>
              </w:rPr>
              <w:t>3</w:t>
            </w:r>
          </w:p>
        </w:tc>
        <w:tc>
          <w:tcPr>
            <w:tcW w:w="1156" w:type="dxa"/>
            <w:tcBorders>
              <w:top w:val="nil"/>
              <w:left w:val="single" w:sz="4" w:space="0" w:color="000000" w:themeColor="text1"/>
              <w:bottom w:val="nil"/>
              <w:right w:val="double" w:sz="4" w:space="0" w:color="000000" w:themeColor="text1"/>
            </w:tcBorders>
            <w:vAlign w:val="center"/>
          </w:tcPr>
          <w:p w14:paraId="1B34EB39" w14:textId="3B5EE35E" w:rsidR="00C70099" w:rsidRDefault="00CB16BA" w:rsidP="00D10847">
            <w:pPr>
              <w:ind w:left="-180" w:right="285"/>
              <w:jc w:val="right"/>
              <w:rPr>
                <w:b/>
                <w:bCs/>
                <w:color w:val="000000"/>
                <w:sz w:val="18"/>
                <w:szCs w:val="18"/>
                <w:lang w:eastAsia="es-MX"/>
              </w:rPr>
            </w:pPr>
            <w:r>
              <w:rPr>
                <w:b/>
                <w:bCs/>
                <w:color w:val="000000"/>
                <w:sz w:val="18"/>
                <w:szCs w:val="18"/>
                <w:lang w:eastAsia="es-MX"/>
              </w:rPr>
              <w:t xml:space="preserve">(-)    </w:t>
            </w:r>
            <w:r w:rsidR="00D10847">
              <w:rPr>
                <w:b/>
                <w:bCs/>
                <w:color w:val="000000"/>
                <w:sz w:val="18"/>
                <w:szCs w:val="18"/>
                <w:lang w:eastAsia="es-MX"/>
              </w:rPr>
              <w:t>5.1</w:t>
            </w:r>
          </w:p>
        </w:tc>
      </w:tr>
      <w:tr w:rsidR="00C70099" w:rsidRPr="00E464CF" w14:paraId="700F7954" w14:textId="58309E28" w:rsidTr="00443948">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C70099" w:rsidRPr="000D1E2C" w:rsidRDefault="00C70099" w:rsidP="00C70099">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C70099" w:rsidRPr="000D1E2C" w:rsidRDefault="00C70099" w:rsidP="00C70099">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6A5F9622" w14:textId="0FD9390B" w:rsidR="00C70099" w:rsidRPr="000D1E2C" w:rsidRDefault="004C1A6B" w:rsidP="00D63A1F">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014920">
              <w:rPr>
                <w:bCs/>
                <w:color w:val="000000"/>
                <w:sz w:val="18"/>
                <w:szCs w:val="18"/>
                <w:lang w:eastAsia="es-MX"/>
              </w:rPr>
              <w:t xml:space="preserve"> </w:t>
            </w:r>
            <w:r w:rsidR="00D63A1F">
              <w:rPr>
                <w:bCs/>
                <w:color w:val="000000"/>
                <w:sz w:val="18"/>
                <w:szCs w:val="18"/>
                <w:lang w:eastAsia="es-MX"/>
              </w:rPr>
              <w:t>15</w:t>
            </w:r>
            <w:proofErr w:type="gramEnd"/>
            <w:r w:rsidR="00D63A1F">
              <w:rPr>
                <w:bCs/>
                <w:color w:val="000000"/>
                <w:sz w:val="18"/>
                <w:szCs w:val="18"/>
                <w:lang w:eastAsia="es-MX"/>
              </w:rPr>
              <w:t>.</w:t>
            </w:r>
            <w:r w:rsidR="005D65EA">
              <w:rPr>
                <w:bCs/>
                <w:color w:val="000000"/>
                <w:sz w:val="18"/>
                <w:szCs w:val="18"/>
                <w:lang w:eastAsia="es-MX"/>
              </w:rPr>
              <w:t>6</w:t>
            </w:r>
          </w:p>
        </w:tc>
        <w:tc>
          <w:tcPr>
            <w:tcW w:w="1156" w:type="dxa"/>
            <w:tcBorders>
              <w:top w:val="nil"/>
              <w:left w:val="single" w:sz="4" w:space="0" w:color="000000" w:themeColor="text1"/>
              <w:bottom w:val="nil"/>
              <w:right w:val="double" w:sz="4" w:space="0" w:color="000000" w:themeColor="text1"/>
            </w:tcBorders>
            <w:vAlign w:val="center"/>
          </w:tcPr>
          <w:p w14:paraId="5C304410" w14:textId="20C80401" w:rsidR="00C70099" w:rsidRDefault="00CB16BA" w:rsidP="00D10847">
            <w:pPr>
              <w:ind w:left="-180" w:right="285"/>
              <w:jc w:val="right"/>
              <w:rPr>
                <w:bCs/>
                <w:color w:val="000000"/>
                <w:sz w:val="18"/>
                <w:szCs w:val="18"/>
                <w:lang w:eastAsia="es-MX"/>
              </w:rPr>
            </w:pPr>
            <w:r>
              <w:rPr>
                <w:bCs/>
                <w:color w:val="000000"/>
                <w:sz w:val="18"/>
                <w:szCs w:val="18"/>
                <w:lang w:eastAsia="es-MX"/>
              </w:rPr>
              <w:t xml:space="preserve">(-)    </w:t>
            </w:r>
            <w:r w:rsidR="00D10847">
              <w:rPr>
                <w:bCs/>
                <w:color w:val="000000"/>
                <w:sz w:val="18"/>
                <w:szCs w:val="18"/>
                <w:lang w:eastAsia="es-MX"/>
              </w:rPr>
              <w:t>5.9</w:t>
            </w:r>
          </w:p>
        </w:tc>
      </w:tr>
      <w:tr w:rsidR="00C70099" w:rsidRPr="00E464CF" w14:paraId="325940DF" w14:textId="42B00A5B" w:rsidTr="00443948">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C70099" w:rsidRPr="000D1E2C" w:rsidRDefault="00C70099" w:rsidP="00C70099">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C70099" w:rsidRPr="000D1E2C" w:rsidRDefault="00C70099" w:rsidP="00C70099">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6CE1ED4B" w14:textId="38FE8185" w:rsidR="00C70099" w:rsidRPr="000D1E2C" w:rsidRDefault="004C1A6B" w:rsidP="005D65EA">
            <w:pPr>
              <w:ind w:left="-180" w:right="285"/>
              <w:jc w:val="right"/>
              <w:rPr>
                <w:bCs/>
                <w:color w:val="000000"/>
                <w:sz w:val="18"/>
                <w:szCs w:val="18"/>
                <w:lang w:eastAsia="es-MX"/>
              </w:rPr>
            </w:pPr>
            <w:r>
              <w:rPr>
                <w:bCs/>
                <w:color w:val="000000"/>
                <w:sz w:val="18"/>
                <w:szCs w:val="18"/>
                <w:lang w:eastAsia="es-MX"/>
              </w:rPr>
              <w:t xml:space="preserve">(-) </w:t>
            </w:r>
            <w:r w:rsidR="00014920">
              <w:rPr>
                <w:bCs/>
                <w:color w:val="000000"/>
                <w:sz w:val="18"/>
                <w:szCs w:val="18"/>
                <w:lang w:eastAsia="es-MX"/>
              </w:rPr>
              <w:t xml:space="preserve"> </w:t>
            </w:r>
            <w:r>
              <w:rPr>
                <w:bCs/>
                <w:color w:val="000000"/>
                <w:sz w:val="18"/>
                <w:szCs w:val="18"/>
                <w:lang w:eastAsia="es-MX"/>
              </w:rPr>
              <w:t xml:space="preserve">  </w:t>
            </w:r>
            <w:r w:rsidR="005D65EA">
              <w:rPr>
                <w:bCs/>
                <w:color w:val="000000"/>
                <w:sz w:val="18"/>
                <w:szCs w:val="18"/>
                <w:lang w:eastAsia="es-MX"/>
              </w:rPr>
              <w:t>4.3</w:t>
            </w:r>
          </w:p>
        </w:tc>
        <w:tc>
          <w:tcPr>
            <w:tcW w:w="1156" w:type="dxa"/>
            <w:tcBorders>
              <w:top w:val="nil"/>
              <w:left w:val="single" w:sz="4" w:space="0" w:color="000000" w:themeColor="text1"/>
              <w:bottom w:val="nil"/>
              <w:right w:val="double" w:sz="4" w:space="0" w:color="000000" w:themeColor="text1"/>
            </w:tcBorders>
            <w:vAlign w:val="center"/>
          </w:tcPr>
          <w:p w14:paraId="768A1827" w14:textId="4938814B" w:rsidR="00C70099" w:rsidRDefault="00CB16BA" w:rsidP="00D10847">
            <w:pPr>
              <w:ind w:left="-180" w:right="285"/>
              <w:jc w:val="right"/>
              <w:rPr>
                <w:bCs/>
                <w:color w:val="000000"/>
                <w:sz w:val="18"/>
                <w:szCs w:val="18"/>
                <w:lang w:eastAsia="es-MX"/>
              </w:rPr>
            </w:pPr>
            <w:r>
              <w:rPr>
                <w:bCs/>
                <w:color w:val="000000"/>
                <w:sz w:val="18"/>
                <w:szCs w:val="18"/>
                <w:lang w:eastAsia="es-MX"/>
              </w:rPr>
              <w:t xml:space="preserve">(-)    </w:t>
            </w:r>
            <w:r w:rsidR="00D10847">
              <w:rPr>
                <w:bCs/>
                <w:color w:val="000000"/>
                <w:sz w:val="18"/>
                <w:szCs w:val="18"/>
                <w:lang w:eastAsia="es-MX"/>
              </w:rPr>
              <w:t>2.3</w:t>
            </w:r>
          </w:p>
        </w:tc>
      </w:tr>
      <w:tr w:rsidR="00C70099" w:rsidRPr="00E464CF" w14:paraId="0B462D86" w14:textId="2ACD7ADE" w:rsidTr="00443948">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C70099" w:rsidRPr="000D1E2C" w:rsidRDefault="00C70099" w:rsidP="00C70099">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AAAF356" w14:textId="79EF0233" w:rsidR="00C70099" w:rsidRPr="000D1E2C" w:rsidRDefault="00C70099" w:rsidP="005D65EA">
            <w:pPr>
              <w:ind w:left="-180" w:right="285"/>
              <w:jc w:val="right"/>
              <w:rPr>
                <w:b/>
                <w:bCs/>
                <w:color w:val="000000"/>
                <w:sz w:val="18"/>
                <w:szCs w:val="18"/>
                <w:lang w:eastAsia="es-MX"/>
              </w:rPr>
            </w:pPr>
            <w:r w:rsidRPr="000D1E2C">
              <w:rPr>
                <w:b/>
                <w:bCs/>
                <w:color w:val="000000"/>
                <w:sz w:val="18"/>
                <w:szCs w:val="18"/>
                <w:lang w:eastAsia="es-MX"/>
              </w:rPr>
              <w:t>(-</w:t>
            </w:r>
            <w:proofErr w:type="gramStart"/>
            <w:r w:rsidRPr="000D1E2C">
              <w:rPr>
                <w:b/>
                <w:bCs/>
                <w:color w:val="000000"/>
                <w:sz w:val="18"/>
                <w:szCs w:val="18"/>
                <w:lang w:eastAsia="es-MX"/>
              </w:rPr>
              <w:t>)</w:t>
            </w:r>
            <w:r w:rsidR="00F054AF">
              <w:rPr>
                <w:b/>
                <w:bCs/>
                <w:color w:val="000000"/>
                <w:sz w:val="18"/>
                <w:szCs w:val="18"/>
                <w:lang w:eastAsia="es-MX"/>
              </w:rPr>
              <w:t xml:space="preserve">  </w:t>
            </w:r>
            <w:r w:rsidR="005D65EA">
              <w:rPr>
                <w:b/>
                <w:bCs/>
                <w:color w:val="000000"/>
                <w:sz w:val="18"/>
                <w:szCs w:val="18"/>
                <w:lang w:eastAsia="es-MX"/>
              </w:rPr>
              <w:t>26</w:t>
            </w:r>
            <w:proofErr w:type="gramEnd"/>
            <w:r w:rsidR="005D65EA">
              <w:rPr>
                <w:b/>
                <w:bCs/>
                <w:color w:val="000000"/>
                <w:sz w:val="18"/>
                <w:szCs w:val="18"/>
                <w:lang w:eastAsia="es-MX"/>
              </w:rPr>
              <w:t>.1</w:t>
            </w:r>
          </w:p>
        </w:tc>
        <w:tc>
          <w:tcPr>
            <w:tcW w:w="1156" w:type="dxa"/>
            <w:tcBorders>
              <w:top w:val="nil"/>
              <w:left w:val="single" w:sz="4" w:space="0" w:color="000000" w:themeColor="text1"/>
              <w:bottom w:val="nil"/>
              <w:right w:val="double" w:sz="4" w:space="0" w:color="000000" w:themeColor="text1"/>
            </w:tcBorders>
            <w:vAlign w:val="center"/>
          </w:tcPr>
          <w:p w14:paraId="27EF634D" w14:textId="5C66F6D9" w:rsidR="00C70099" w:rsidRPr="000D1E2C" w:rsidRDefault="00C70099" w:rsidP="00D10847">
            <w:pPr>
              <w:ind w:left="-180" w:right="285"/>
              <w:jc w:val="right"/>
              <w:rPr>
                <w:b/>
                <w:bCs/>
                <w:color w:val="000000"/>
                <w:sz w:val="18"/>
                <w:szCs w:val="18"/>
                <w:lang w:eastAsia="es-MX"/>
              </w:rPr>
            </w:pPr>
            <w:r w:rsidRPr="000D1E2C">
              <w:rPr>
                <w:b/>
                <w:bCs/>
                <w:color w:val="000000"/>
                <w:sz w:val="18"/>
                <w:szCs w:val="18"/>
                <w:lang w:eastAsia="es-MX"/>
              </w:rPr>
              <w:t>(-</w:t>
            </w:r>
            <w:proofErr w:type="gramStart"/>
            <w:r w:rsidRPr="000D1E2C">
              <w:rPr>
                <w:b/>
                <w:bCs/>
                <w:color w:val="000000"/>
                <w:sz w:val="18"/>
                <w:szCs w:val="18"/>
                <w:lang w:eastAsia="es-MX"/>
              </w:rPr>
              <w:t>)</w:t>
            </w:r>
            <w:r w:rsidR="00CB16BA">
              <w:rPr>
                <w:b/>
                <w:bCs/>
                <w:color w:val="000000"/>
                <w:sz w:val="18"/>
                <w:szCs w:val="18"/>
                <w:lang w:eastAsia="es-MX"/>
              </w:rPr>
              <w:t xml:space="preserve">  </w:t>
            </w:r>
            <w:r w:rsidR="00D10847">
              <w:rPr>
                <w:b/>
                <w:bCs/>
                <w:color w:val="000000"/>
                <w:sz w:val="18"/>
                <w:szCs w:val="18"/>
                <w:lang w:eastAsia="es-MX"/>
              </w:rPr>
              <w:t>20</w:t>
            </w:r>
            <w:proofErr w:type="gramEnd"/>
            <w:r w:rsidR="00D10847">
              <w:rPr>
                <w:b/>
                <w:bCs/>
                <w:color w:val="000000"/>
                <w:sz w:val="18"/>
                <w:szCs w:val="18"/>
                <w:lang w:eastAsia="es-MX"/>
              </w:rPr>
              <w:t>.9</w:t>
            </w:r>
          </w:p>
        </w:tc>
      </w:tr>
      <w:tr w:rsidR="00C70099" w:rsidRPr="00E464CF" w14:paraId="4E83D059" w14:textId="25C153D8" w:rsidTr="00443948">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C70099" w:rsidRPr="000D1E2C" w:rsidRDefault="00C70099" w:rsidP="00C70099">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C70099" w:rsidRPr="000D1E2C" w:rsidRDefault="00C70099" w:rsidP="00C70099">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679B5E76" w14:textId="01A8A2E3" w:rsidR="00C70099" w:rsidRPr="000D1E2C" w:rsidRDefault="00F054AF" w:rsidP="005D65E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5D65EA">
              <w:rPr>
                <w:bCs/>
                <w:color w:val="000000"/>
                <w:sz w:val="18"/>
                <w:szCs w:val="18"/>
                <w:lang w:eastAsia="es-MX"/>
              </w:rPr>
              <w:t>26</w:t>
            </w:r>
            <w:proofErr w:type="gramEnd"/>
            <w:r w:rsidR="005D65EA">
              <w:rPr>
                <w:bCs/>
                <w:color w:val="000000"/>
                <w:sz w:val="18"/>
                <w:szCs w:val="18"/>
                <w:lang w:eastAsia="es-MX"/>
              </w:rPr>
              <w:t>.2</w:t>
            </w:r>
          </w:p>
        </w:tc>
        <w:tc>
          <w:tcPr>
            <w:tcW w:w="1156" w:type="dxa"/>
            <w:tcBorders>
              <w:top w:val="nil"/>
              <w:left w:val="single" w:sz="4" w:space="0" w:color="000000" w:themeColor="text1"/>
              <w:bottom w:val="nil"/>
              <w:right w:val="double" w:sz="4" w:space="0" w:color="000000" w:themeColor="text1"/>
            </w:tcBorders>
            <w:vAlign w:val="center"/>
          </w:tcPr>
          <w:p w14:paraId="04BA5B44" w14:textId="7D758019" w:rsidR="00C70099" w:rsidRDefault="00110751" w:rsidP="00D10847">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D10847">
              <w:rPr>
                <w:bCs/>
                <w:color w:val="000000"/>
                <w:sz w:val="18"/>
                <w:szCs w:val="18"/>
                <w:lang w:eastAsia="es-MX"/>
              </w:rPr>
              <w:t>20</w:t>
            </w:r>
            <w:proofErr w:type="gramEnd"/>
            <w:r w:rsidR="00D10847">
              <w:rPr>
                <w:bCs/>
                <w:color w:val="000000"/>
                <w:sz w:val="18"/>
                <w:szCs w:val="18"/>
                <w:lang w:eastAsia="es-MX"/>
              </w:rPr>
              <w:t>.5</w:t>
            </w:r>
          </w:p>
        </w:tc>
      </w:tr>
      <w:tr w:rsidR="00C70099" w:rsidRPr="00E464CF" w14:paraId="7E5A8038" w14:textId="7C4BF25A" w:rsidTr="00443948">
        <w:trPr>
          <w:jc w:val="center"/>
        </w:trPr>
        <w:tc>
          <w:tcPr>
            <w:tcW w:w="693" w:type="dxa"/>
            <w:tcBorders>
              <w:top w:val="nil"/>
              <w:left w:val="double" w:sz="4" w:space="0" w:color="000000" w:themeColor="text1"/>
              <w:bottom w:val="nil"/>
              <w:right w:val="nil"/>
            </w:tcBorders>
            <w:vAlign w:val="center"/>
          </w:tcPr>
          <w:p w14:paraId="31DCCD5C" w14:textId="77777777" w:rsidR="00C70099" w:rsidRPr="000D1E2C" w:rsidRDefault="00C70099" w:rsidP="00C70099">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C70099" w:rsidRPr="000D1E2C" w:rsidRDefault="00C70099" w:rsidP="00C70099">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344B82E" w14:textId="542B79D9" w:rsidR="00C70099" w:rsidRPr="000D1E2C" w:rsidRDefault="00C70099" w:rsidP="005D65EA">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4C1A6B">
              <w:rPr>
                <w:bCs/>
                <w:color w:val="000000"/>
                <w:sz w:val="18"/>
                <w:szCs w:val="18"/>
                <w:lang w:eastAsia="es-MX"/>
              </w:rPr>
              <w:t xml:space="preserve">  </w:t>
            </w:r>
            <w:r w:rsidR="005D65EA">
              <w:rPr>
                <w:bCs/>
                <w:color w:val="000000"/>
                <w:sz w:val="18"/>
                <w:szCs w:val="18"/>
                <w:lang w:eastAsia="es-MX"/>
              </w:rPr>
              <w:t>29</w:t>
            </w:r>
            <w:proofErr w:type="gramEnd"/>
            <w:r w:rsidR="005D65EA">
              <w:rPr>
                <w:bCs/>
                <w:color w:val="000000"/>
                <w:sz w:val="18"/>
                <w:szCs w:val="18"/>
                <w:lang w:eastAsia="es-MX"/>
              </w:rPr>
              <w:t>.2</w:t>
            </w:r>
          </w:p>
        </w:tc>
        <w:tc>
          <w:tcPr>
            <w:tcW w:w="1156" w:type="dxa"/>
            <w:tcBorders>
              <w:top w:val="nil"/>
              <w:left w:val="single" w:sz="4" w:space="0" w:color="000000" w:themeColor="text1"/>
              <w:bottom w:val="nil"/>
              <w:right w:val="double" w:sz="4" w:space="0" w:color="000000" w:themeColor="text1"/>
            </w:tcBorders>
            <w:vAlign w:val="center"/>
          </w:tcPr>
          <w:p w14:paraId="089D5ECF" w14:textId="7072947D" w:rsidR="00C70099" w:rsidRPr="000D1E2C" w:rsidRDefault="00C70099" w:rsidP="00D10847">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Pr>
                <w:bCs/>
                <w:color w:val="000000"/>
                <w:sz w:val="18"/>
                <w:szCs w:val="18"/>
                <w:lang w:eastAsia="es-MX"/>
              </w:rPr>
              <w:t xml:space="preserve">  </w:t>
            </w:r>
            <w:r w:rsidR="00D10847">
              <w:rPr>
                <w:bCs/>
                <w:color w:val="000000"/>
                <w:sz w:val="18"/>
                <w:szCs w:val="18"/>
                <w:lang w:eastAsia="es-MX"/>
              </w:rPr>
              <w:t>24</w:t>
            </w:r>
            <w:proofErr w:type="gramEnd"/>
            <w:r w:rsidR="00D10847">
              <w:rPr>
                <w:bCs/>
                <w:color w:val="000000"/>
                <w:sz w:val="18"/>
                <w:szCs w:val="18"/>
                <w:lang w:eastAsia="es-MX"/>
              </w:rPr>
              <w:t>.3</w:t>
            </w:r>
          </w:p>
        </w:tc>
      </w:tr>
      <w:tr w:rsidR="00C70099" w:rsidRPr="00E464CF" w14:paraId="007B850D" w14:textId="184AE545" w:rsidTr="00443948">
        <w:trPr>
          <w:jc w:val="center"/>
        </w:trPr>
        <w:tc>
          <w:tcPr>
            <w:tcW w:w="693" w:type="dxa"/>
            <w:tcBorders>
              <w:top w:val="nil"/>
              <w:left w:val="double" w:sz="4" w:space="0" w:color="000000" w:themeColor="text1"/>
              <w:bottom w:val="nil"/>
              <w:right w:val="nil"/>
            </w:tcBorders>
            <w:vAlign w:val="center"/>
          </w:tcPr>
          <w:p w14:paraId="70F5D76F" w14:textId="77777777" w:rsidR="00C70099" w:rsidRPr="000D1E2C" w:rsidRDefault="00C70099" w:rsidP="00C70099">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C70099" w:rsidRPr="000D1E2C" w:rsidRDefault="00C70099" w:rsidP="00C70099">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267502B" w14:textId="5672B0E2" w:rsidR="00C70099" w:rsidRPr="000D1E2C" w:rsidRDefault="00C70099" w:rsidP="005D65EA">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F054AF">
              <w:rPr>
                <w:bCs/>
                <w:color w:val="000000"/>
                <w:sz w:val="18"/>
                <w:szCs w:val="18"/>
                <w:lang w:eastAsia="es-MX"/>
              </w:rPr>
              <w:t xml:space="preserve">  </w:t>
            </w:r>
            <w:r w:rsidR="005D65EA">
              <w:rPr>
                <w:bCs/>
                <w:color w:val="000000"/>
                <w:sz w:val="18"/>
                <w:szCs w:val="18"/>
                <w:lang w:eastAsia="es-MX"/>
              </w:rPr>
              <w:t>21</w:t>
            </w:r>
            <w:proofErr w:type="gramEnd"/>
            <w:r w:rsidR="005D65EA">
              <w:rPr>
                <w:bCs/>
                <w:color w:val="000000"/>
                <w:sz w:val="18"/>
                <w:szCs w:val="18"/>
                <w:lang w:eastAsia="es-MX"/>
              </w:rPr>
              <w:t>.7</w:t>
            </w:r>
          </w:p>
        </w:tc>
        <w:tc>
          <w:tcPr>
            <w:tcW w:w="1156" w:type="dxa"/>
            <w:tcBorders>
              <w:top w:val="nil"/>
              <w:left w:val="single" w:sz="4" w:space="0" w:color="000000" w:themeColor="text1"/>
              <w:bottom w:val="nil"/>
              <w:right w:val="double" w:sz="4" w:space="0" w:color="000000" w:themeColor="text1"/>
            </w:tcBorders>
            <w:vAlign w:val="center"/>
          </w:tcPr>
          <w:p w14:paraId="0C4A5924" w14:textId="6CB5919B" w:rsidR="00C70099" w:rsidRPr="000D1E2C" w:rsidRDefault="00C70099" w:rsidP="00D10847">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110751">
              <w:rPr>
                <w:bCs/>
                <w:color w:val="000000"/>
                <w:sz w:val="18"/>
                <w:szCs w:val="18"/>
                <w:lang w:eastAsia="es-MX"/>
              </w:rPr>
              <w:t xml:space="preserve">  </w:t>
            </w:r>
            <w:r w:rsidR="00D10847">
              <w:rPr>
                <w:bCs/>
                <w:color w:val="000000"/>
                <w:sz w:val="18"/>
                <w:szCs w:val="18"/>
                <w:lang w:eastAsia="es-MX"/>
              </w:rPr>
              <w:t>18</w:t>
            </w:r>
            <w:proofErr w:type="gramEnd"/>
            <w:r w:rsidR="00D10847">
              <w:rPr>
                <w:bCs/>
                <w:color w:val="000000"/>
                <w:sz w:val="18"/>
                <w:szCs w:val="18"/>
                <w:lang w:eastAsia="es-MX"/>
              </w:rPr>
              <w:t>.2</w:t>
            </w:r>
          </w:p>
        </w:tc>
      </w:tr>
      <w:tr w:rsidR="00C70099" w:rsidRPr="00E464CF" w14:paraId="479B3A6B" w14:textId="1B4A8216" w:rsidTr="00443948">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C70099" w:rsidRPr="000D1E2C" w:rsidRDefault="00C70099" w:rsidP="00C70099">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54AF4BA" w14:textId="5A894C28" w:rsidR="00C70099" w:rsidRPr="000D1E2C" w:rsidRDefault="00423327" w:rsidP="005D65EA">
            <w:pPr>
              <w:ind w:left="-180" w:right="285"/>
              <w:jc w:val="right"/>
              <w:rPr>
                <w:b/>
                <w:bCs/>
                <w:color w:val="000000"/>
                <w:sz w:val="18"/>
                <w:szCs w:val="18"/>
                <w:lang w:eastAsia="es-MX"/>
              </w:rPr>
            </w:pPr>
            <w:r>
              <w:rPr>
                <w:b/>
                <w:bCs/>
                <w:color w:val="000000"/>
                <w:sz w:val="18"/>
                <w:szCs w:val="18"/>
                <w:lang w:eastAsia="es-MX"/>
              </w:rPr>
              <w:t>(-</w:t>
            </w:r>
            <w:proofErr w:type="gramStart"/>
            <w:r>
              <w:rPr>
                <w:b/>
                <w:bCs/>
                <w:color w:val="000000"/>
                <w:sz w:val="18"/>
                <w:szCs w:val="18"/>
                <w:lang w:eastAsia="es-MX"/>
              </w:rPr>
              <w:t xml:space="preserve">)  </w:t>
            </w:r>
            <w:r w:rsidR="005D65EA">
              <w:rPr>
                <w:b/>
                <w:bCs/>
                <w:color w:val="000000"/>
                <w:sz w:val="18"/>
                <w:szCs w:val="18"/>
                <w:lang w:eastAsia="es-MX"/>
              </w:rPr>
              <w:t>16</w:t>
            </w:r>
            <w:proofErr w:type="gramEnd"/>
            <w:r w:rsidR="005D65EA">
              <w:rPr>
                <w:b/>
                <w:bCs/>
                <w:color w:val="000000"/>
                <w:sz w:val="18"/>
                <w:szCs w:val="18"/>
                <w:lang w:eastAsia="es-MX"/>
              </w:rPr>
              <w:t>.5</w:t>
            </w:r>
          </w:p>
        </w:tc>
        <w:tc>
          <w:tcPr>
            <w:tcW w:w="1156" w:type="dxa"/>
            <w:tcBorders>
              <w:top w:val="nil"/>
              <w:left w:val="single" w:sz="4" w:space="0" w:color="000000" w:themeColor="text1"/>
              <w:bottom w:val="nil"/>
              <w:right w:val="double" w:sz="4" w:space="0" w:color="000000" w:themeColor="text1"/>
            </w:tcBorders>
            <w:vAlign w:val="center"/>
          </w:tcPr>
          <w:p w14:paraId="146D4ED3" w14:textId="703AFEEC" w:rsidR="00C70099" w:rsidRDefault="00110751" w:rsidP="00322C8A">
            <w:pPr>
              <w:ind w:left="-180" w:right="285"/>
              <w:jc w:val="right"/>
              <w:rPr>
                <w:b/>
                <w:bCs/>
                <w:color w:val="000000"/>
                <w:sz w:val="18"/>
                <w:szCs w:val="18"/>
                <w:lang w:eastAsia="es-MX"/>
              </w:rPr>
            </w:pPr>
            <w:r>
              <w:rPr>
                <w:b/>
                <w:bCs/>
                <w:color w:val="000000"/>
                <w:sz w:val="18"/>
                <w:szCs w:val="18"/>
                <w:lang w:eastAsia="es-MX"/>
              </w:rPr>
              <w:t>(-</w:t>
            </w:r>
            <w:proofErr w:type="gramStart"/>
            <w:r>
              <w:rPr>
                <w:b/>
                <w:bCs/>
                <w:color w:val="000000"/>
                <w:sz w:val="18"/>
                <w:szCs w:val="18"/>
                <w:lang w:eastAsia="es-MX"/>
              </w:rPr>
              <w:t xml:space="preserve">)  </w:t>
            </w:r>
            <w:r w:rsidR="00322C8A">
              <w:rPr>
                <w:b/>
                <w:bCs/>
                <w:color w:val="000000"/>
                <w:sz w:val="18"/>
                <w:szCs w:val="18"/>
                <w:lang w:eastAsia="es-MX"/>
              </w:rPr>
              <w:t>16</w:t>
            </w:r>
            <w:proofErr w:type="gramEnd"/>
            <w:r w:rsidR="00322C8A">
              <w:rPr>
                <w:b/>
                <w:bCs/>
                <w:color w:val="000000"/>
                <w:sz w:val="18"/>
                <w:szCs w:val="18"/>
                <w:lang w:eastAsia="es-MX"/>
              </w:rPr>
              <w:t>.</w:t>
            </w:r>
            <w:r w:rsidR="00D10847">
              <w:rPr>
                <w:b/>
                <w:bCs/>
                <w:color w:val="000000"/>
                <w:sz w:val="18"/>
                <w:szCs w:val="18"/>
                <w:lang w:eastAsia="es-MX"/>
              </w:rPr>
              <w:t>2</w:t>
            </w:r>
          </w:p>
        </w:tc>
      </w:tr>
      <w:tr w:rsidR="00C70099" w:rsidRPr="00E464CF" w14:paraId="3AF7EF1A" w14:textId="4075BD68" w:rsidTr="00443948">
        <w:trPr>
          <w:jc w:val="center"/>
        </w:trPr>
        <w:tc>
          <w:tcPr>
            <w:tcW w:w="693" w:type="dxa"/>
            <w:tcBorders>
              <w:top w:val="nil"/>
              <w:left w:val="double" w:sz="4" w:space="0" w:color="000000" w:themeColor="text1"/>
              <w:bottom w:val="nil"/>
              <w:right w:val="nil"/>
            </w:tcBorders>
            <w:vAlign w:val="center"/>
          </w:tcPr>
          <w:p w14:paraId="291CF337" w14:textId="77777777" w:rsidR="00C70099" w:rsidRPr="000D1E2C" w:rsidRDefault="00C70099" w:rsidP="00C70099">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C70099" w:rsidRPr="000D1E2C" w:rsidRDefault="00C70099" w:rsidP="00C70099">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284C7F7" w14:textId="205AC7FA" w:rsidR="00C70099" w:rsidRPr="000D1E2C" w:rsidRDefault="00D63A1F" w:rsidP="005D65EA">
            <w:pPr>
              <w:ind w:left="-180" w:right="285"/>
              <w:jc w:val="right"/>
              <w:rPr>
                <w:bCs/>
                <w:color w:val="000000"/>
                <w:sz w:val="18"/>
                <w:szCs w:val="18"/>
                <w:lang w:eastAsia="es-MX"/>
              </w:rPr>
            </w:pPr>
            <w:r>
              <w:rPr>
                <w:bCs/>
                <w:color w:val="000000"/>
                <w:sz w:val="18"/>
                <w:szCs w:val="18"/>
                <w:lang w:eastAsia="es-MX"/>
              </w:rPr>
              <w:t xml:space="preserve">(-)    </w:t>
            </w:r>
            <w:r w:rsidR="005D65EA">
              <w:rPr>
                <w:bCs/>
                <w:color w:val="000000"/>
                <w:sz w:val="18"/>
                <w:szCs w:val="18"/>
                <w:lang w:eastAsia="es-MX"/>
              </w:rPr>
              <w:t>0.6</w:t>
            </w:r>
          </w:p>
        </w:tc>
        <w:tc>
          <w:tcPr>
            <w:tcW w:w="1156" w:type="dxa"/>
            <w:tcBorders>
              <w:top w:val="nil"/>
              <w:left w:val="single" w:sz="4" w:space="0" w:color="000000" w:themeColor="text1"/>
              <w:bottom w:val="nil"/>
              <w:right w:val="double" w:sz="4" w:space="0" w:color="000000" w:themeColor="text1"/>
            </w:tcBorders>
            <w:vAlign w:val="center"/>
          </w:tcPr>
          <w:p w14:paraId="7FF026EE" w14:textId="17BFFD09" w:rsidR="00C70099" w:rsidRDefault="00D10847" w:rsidP="00C70099">
            <w:pPr>
              <w:ind w:left="-180" w:right="285"/>
              <w:jc w:val="right"/>
              <w:rPr>
                <w:bCs/>
                <w:color w:val="000000"/>
                <w:sz w:val="18"/>
                <w:szCs w:val="18"/>
                <w:lang w:eastAsia="es-MX"/>
              </w:rPr>
            </w:pPr>
            <w:r>
              <w:rPr>
                <w:bCs/>
                <w:color w:val="000000"/>
                <w:sz w:val="18"/>
                <w:szCs w:val="18"/>
                <w:lang w:eastAsia="es-MX"/>
              </w:rPr>
              <w:t>1.1</w:t>
            </w:r>
          </w:p>
        </w:tc>
      </w:tr>
      <w:tr w:rsidR="00C70099" w:rsidRPr="00E464CF" w14:paraId="0B0BE450" w14:textId="3B1264BC" w:rsidTr="00443948">
        <w:trPr>
          <w:jc w:val="center"/>
        </w:trPr>
        <w:tc>
          <w:tcPr>
            <w:tcW w:w="693" w:type="dxa"/>
            <w:tcBorders>
              <w:top w:val="nil"/>
              <w:left w:val="double" w:sz="4" w:space="0" w:color="000000" w:themeColor="text1"/>
              <w:bottom w:val="nil"/>
              <w:right w:val="nil"/>
            </w:tcBorders>
            <w:vAlign w:val="center"/>
          </w:tcPr>
          <w:p w14:paraId="549C7DE8" w14:textId="77777777" w:rsidR="00C70099" w:rsidRPr="000D1E2C" w:rsidRDefault="00C70099" w:rsidP="00C70099">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C70099" w:rsidRPr="000D1E2C" w:rsidRDefault="00C70099" w:rsidP="00C70099">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46DC433A" w14:textId="0836446C" w:rsidR="00C70099" w:rsidRPr="000D1E2C" w:rsidRDefault="00423327" w:rsidP="005D65E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5D65EA">
              <w:rPr>
                <w:bCs/>
                <w:color w:val="000000"/>
                <w:sz w:val="18"/>
                <w:szCs w:val="18"/>
                <w:lang w:eastAsia="es-MX"/>
              </w:rPr>
              <w:t>15</w:t>
            </w:r>
            <w:proofErr w:type="gramEnd"/>
            <w:r w:rsidR="005D65EA">
              <w:rPr>
                <w:bCs/>
                <w:color w:val="000000"/>
                <w:sz w:val="18"/>
                <w:szCs w:val="18"/>
                <w:lang w:eastAsia="es-MX"/>
              </w:rPr>
              <w:t>.2</w:t>
            </w:r>
          </w:p>
        </w:tc>
        <w:tc>
          <w:tcPr>
            <w:tcW w:w="1156" w:type="dxa"/>
            <w:tcBorders>
              <w:top w:val="nil"/>
              <w:left w:val="single" w:sz="4" w:space="0" w:color="000000" w:themeColor="text1"/>
              <w:bottom w:val="nil"/>
              <w:right w:val="double" w:sz="4" w:space="0" w:color="000000" w:themeColor="text1"/>
            </w:tcBorders>
            <w:vAlign w:val="center"/>
          </w:tcPr>
          <w:p w14:paraId="4BAF45E8" w14:textId="5493EA98" w:rsidR="00C70099" w:rsidRDefault="00264A16" w:rsidP="00322C8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322C8A">
              <w:rPr>
                <w:bCs/>
                <w:color w:val="000000"/>
                <w:sz w:val="18"/>
                <w:szCs w:val="18"/>
                <w:lang w:eastAsia="es-MX"/>
              </w:rPr>
              <w:t>16</w:t>
            </w:r>
            <w:proofErr w:type="gramEnd"/>
            <w:r w:rsidR="00322C8A">
              <w:rPr>
                <w:bCs/>
                <w:color w:val="000000"/>
                <w:sz w:val="18"/>
                <w:szCs w:val="18"/>
                <w:lang w:eastAsia="es-MX"/>
              </w:rPr>
              <w:t>.</w:t>
            </w:r>
            <w:r w:rsidR="00D10847">
              <w:rPr>
                <w:bCs/>
                <w:color w:val="000000"/>
                <w:sz w:val="18"/>
                <w:szCs w:val="18"/>
                <w:lang w:eastAsia="es-MX"/>
              </w:rPr>
              <w:t>2</w:t>
            </w:r>
          </w:p>
        </w:tc>
      </w:tr>
      <w:tr w:rsidR="00C70099" w:rsidRPr="00E464CF" w14:paraId="4AA768BA" w14:textId="1E19A54F" w:rsidTr="00443948">
        <w:trPr>
          <w:jc w:val="center"/>
        </w:trPr>
        <w:tc>
          <w:tcPr>
            <w:tcW w:w="693" w:type="dxa"/>
            <w:tcBorders>
              <w:top w:val="nil"/>
              <w:left w:val="double" w:sz="4" w:space="0" w:color="000000" w:themeColor="text1"/>
              <w:bottom w:val="nil"/>
              <w:right w:val="nil"/>
            </w:tcBorders>
            <w:vAlign w:val="center"/>
          </w:tcPr>
          <w:p w14:paraId="6242752D" w14:textId="77777777" w:rsidR="00C70099" w:rsidRPr="000D1E2C" w:rsidRDefault="00C70099" w:rsidP="00C70099">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C70099" w:rsidRPr="000D1E2C" w:rsidRDefault="00C70099" w:rsidP="00C70099">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5E7BB3A3" w14:textId="0393E5B1" w:rsidR="00C70099" w:rsidRPr="000D1E2C" w:rsidRDefault="0051261A" w:rsidP="005D65E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5D65EA">
              <w:rPr>
                <w:bCs/>
                <w:color w:val="000000"/>
                <w:sz w:val="18"/>
                <w:szCs w:val="18"/>
                <w:lang w:eastAsia="es-MX"/>
              </w:rPr>
              <w:t>51</w:t>
            </w:r>
            <w:proofErr w:type="gramEnd"/>
            <w:r w:rsidR="005D65EA">
              <w:rPr>
                <w:bCs/>
                <w:color w:val="000000"/>
                <w:sz w:val="18"/>
                <w:szCs w:val="18"/>
                <w:lang w:eastAsia="es-MX"/>
              </w:rPr>
              <w:t>.2</w:t>
            </w:r>
          </w:p>
        </w:tc>
        <w:tc>
          <w:tcPr>
            <w:tcW w:w="1156" w:type="dxa"/>
            <w:tcBorders>
              <w:top w:val="nil"/>
              <w:left w:val="single" w:sz="4" w:space="0" w:color="000000" w:themeColor="text1"/>
              <w:bottom w:val="nil"/>
              <w:right w:val="double" w:sz="4" w:space="0" w:color="000000" w:themeColor="text1"/>
            </w:tcBorders>
            <w:vAlign w:val="center"/>
          </w:tcPr>
          <w:p w14:paraId="58E77AE0" w14:textId="006B0021" w:rsidR="00C70099" w:rsidRDefault="00C70099" w:rsidP="00D10847">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D10847">
              <w:rPr>
                <w:bCs/>
                <w:color w:val="000000"/>
                <w:sz w:val="18"/>
                <w:szCs w:val="18"/>
                <w:lang w:eastAsia="es-MX"/>
              </w:rPr>
              <w:t>41</w:t>
            </w:r>
            <w:proofErr w:type="gramEnd"/>
            <w:r w:rsidR="00D10847">
              <w:rPr>
                <w:bCs/>
                <w:color w:val="000000"/>
                <w:sz w:val="18"/>
                <w:szCs w:val="18"/>
                <w:lang w:eastAsia="es-MX"/>
              </w:rPr>
              <w:t>.4</w:t>
            </w:r>
          </w:p>
        </w:tc>
      </w:tr>
      <w:tr w:rsidR="00C70099" w:rsidRPr="00E464CF" w14:paraId="33BE297E" w14:textId="4361BF89" w:rsidTr="00443948">
        <w:trPr>
          <w:jc w:val="center"/>
        </w:trPr>
        <w:tc>
          <w:tcPr>
            <w:tcW w:w="693" w:type="dxa"/>
            <w:tcBorders>
              <w:top w:val="nil"/>
              <w:left w:val="double" w:sz="4" w:space="0" w:color="000000" w:themeColor="text1"/>
              <w:bottom w:val="nil"/>
              <w:right w:val="nil"/>
            </w:tcBorders>
            <w:vAlign w:val="center"/>
          </w:tcPr>
          <w:p w14:paraId="136992B9" w14:textId="77777777" w:rsidR="00C70099" w:rsidRPr="000D1E2C" w:rsidRDefault="00C70099" w:rsidP="00C70099">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C70099" w:rsidRPr="000D1E2C" w:rsidRDefault="00C70099" w:rsidP="00C70099">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14163A10" w14:textId="0539DA65" w:rsidR="00C70099" w:rsidRPr="000D1E2C" w:rsidRDefault="00C70099" w:rsidP="005D65EA">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423327">
              <w:rPr>
                <w:bCs/>
                <w:color w:val="000000"/>
                <w:sz w:val="18"/>
                <w:szCs w:val="18"/>
                <w:lang w:eastAsia="es-MX"/>
              </w:rPr>
              <w:t xml:space="preserve"> </w:t>
            </w:r>
            <w:r>
              <w:rPr>
                <w:bCs/>
                <w:color w:val="000000"/>
                <w:sz w:val="18"/>
                <w:szCs w:val="18"/>
                <w:lang w:eastAsia="es-MX"/>
              </w:rPr>
              <w:t xml:space="preserve"> </w:t>
            </w:r>
            <w:r w:rsidR="005D65EA">
              <w:rPr>
                <w:bCs/>
                <w:color w:val="000000"/>
                <w:sz w:val="18"/>
                <w:szCs w:val="18"/>
                <w:lang w:eastAsia="es-MX"/>
              </w:rPr>
              <w:t>28</w:t>
            </w:r>
            <w:proofErr w:type="gramEnd"/>
            <w:r w:rsidR="005D65EA">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vAlign w:val="center"/>
          </w:tcPr>
          <w:p w14:paraId="17FDD4A5" w14:textId="6D9FBFFC" w:rsidR="00C70099" w:rsidRPr="000D1E2C" w:rsidRDefault="00C70099" w:rsidP="002746B6">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264A16">
              <w:rPr>
                <w:bCs/>
                <w:color w:val="000000"/>
                <w:sz w:val="18"/>
                <w:szCs w:val="18"/>
                <w:lang w:eastAsia="es-MX"/>
              </w:rPr>
              <w:t xml:space="preserve">  </w:t>
            </w:r>
            <w:r w:rsidR="002746B6">
              <w:rPr>
                <w:bCs/>
                <w:color w:val="000000"/>
                <w:sz w:val="18"/>
                <w:szCs w:val="18"/>
                <w:lang w:eastAsia="es-MX"/>
              </w:rPr>
              <w:t>24</w:t>
            </w:r>
            <w:proofErr w:type="gramEnd"/>
            <w:r w:rsidR="002746B6">
              <w:rPr>
                <w:bCs/>
                <w:color w:val="000000"/>
                <w:sz w:val="18"/>
                <w:szCs w:val="18"/>
                <w:lang w:eastAsia="es-MX"/>
              </w:rPr>
              <w:t>.4</w:t>
            </w:r>
          </w:p>
        </w:tc>
      </w:tr>
      <w:tr w:rsidR="00C70099" w:rsidRPr="00E464CF" w14:paraId="412C3B42" w14:textId="7FD38AAA" w:rsidTr="00443948">
        <w:trPr>
          <w:jc w:val="center"/>
        </w:trPr>
        <w:tc>
          <w:tcPr>
            <w:tcW w:w="693" w:type="dxa"/>
            <w:tcBorders>
              <w:top w:val="nil"/>
              <w:left w:val="double" w:sz="4" w:space="0" w:color="000000" w:themeColor="text1"/>
              <w:bottom w:val="nil"/>
              <w:right w:val="nil"/>
            </w:tcBorders>
            <w:vAlign w:val="center"/>
          </w:tcPr>
          <w:p w14:paraId="214A8AA9" w14:textId="77777777" w:rsidR="00C70099" w:rsidRPr="000D1E2C" w:rsidRDefault="00C70099" w:rsidP="00C70099">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C70099" w:rsidRPr="000D1E2C" w:rsidRDefault="00C70099" w:rsidP="00C70099">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418C5F2E" w14:textId="08CD5A39" w:rsidR="00C70099" w:rsidRPr="000D1E2C" w:rsidRDefault="00F70803"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57</w:t>
            </w:r>
            <w:proofErr w:type="gramEnd"/>
            <w:r w:rsidR="004F39B3">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vAlign w:val="center"/>
          </w:tcPr>
          <w:p w14:paraId="717B9BF5" w14:textId="6370AA38" w:rsidR="00C70099" w:rsidRDefault="00264A16" w:rsidP="002746B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2746B6">
              <w:rPr>
                <w:bCs/>
                <w:color w:val="000000"/>
                <w:sz w:val="18"/>
                <w:szCs w:val="18"/>
                <w:lang w:eastAsia="es-MX"/>
              </w:rPr>
              <w:t>39</w:t>
            </w:r>
            <w:proofErr w:type="gramEnd"/>
            <w:r w:rsidR="002746B6">
              <w:rPr>
                <w:bCs/>
                <w:color w:val="000000"/>
                <w:sz w:val="18"/>
                <w:szCs w:val="18"/>
                <w:lang w:eastAsia="es-MX"/>
              </w:rPr>
              <w:t>.3</w:t>
            </w:r>
          </w:p>
        </w:tc>
      </w:tr>
      <w:tr w:rsidR="00C70099" w:rsidRPr="00E464CF" w14:paraId="272EE2D1" w14:textId="2E1AFE1E" w:rsidTr="00443948">
        <w:trPr>
          <w:jc w:val="center"/>
        </w:trPr>
        <w:tc>
          <w:tcPr>
            <w:tcW w:w="693" w:type="dxa"/>
            <w:tcBorders>
              <w:top w:val="nil"/>
              <w:left w:val="double" w:sz="4" w:space="0" w:color="000000" w:themeColor="text1"/>
              <w:bottom w:val="nil"/>
              <w:right w:val="nil"/>
            </w:tcBorders>
          </w:tcPr>
          <w:p w14:paraId="58EA1AC2" w14:textId="77777777" w:rsidR="00C70099" w:rsidRPr="000D1E2C" w:rsidRDefault="00C70099" w:rsidP="00C70099">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C70099" w:rsidRPr="000D1E2C" w:rsidRDefault="00C70099" w:rsidP="00C70099">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D6D5A52" w14:textId="5A4798FB" w:rsidR="00C70099" w:rsidRPr="000D1E2C" w:rsidRDefault="0051261A"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55</w:t>
            </w:r>
            <w:proofErr w:type="gramEnd"/>
            <w:r w:rsidR="004F39B3">
              <w:rPr>
                <w:bCs/>
                <w:color w:val="000000"/>
                <w:sz w:val="18"/>
                <w:szCs w:val="18"/>
                <w:lang w:eastAsia="es-MX"/>
              </w:rPr>
              <w:t>.8</w:t>
            </w:r>
          </w:p>
        </w:tc>
        <w:tc>
          <w:tcPr>
            <w:tcW w:w="1156" w:type="dxa"/>
            <w:tcBorders>
              <w:top w:val="nil"/>
              <w:left w:val="single" w:sz="4" w:space="0" w:color="000000" w:themeColor="text1"/>
              <w:bottom w:val="nil"/>
              <w:right w:val="double" w:sz="4" w:space="0" w:color="000000" w:themeColor="text1"/>
            </w:tcBorders>
            <w:vAlign w:val="center"/>
          </w:tcPr>
          <w:p w14:paraId="5C937EF7" w14:textId="1BD29B85" w:rsidR="00C70099" w:rsidRDefault="00D05C23" w:rsidP="002746B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2746B6">
              <w:rPr>
                <w:bCs/>
                <w:color w:val="000000"/>
                <w:sz w:val="18"/>
                <w:szCs w:val="18"/>
                <w:lang w:eastAsia="es-MX"/>
              </w:rPr>
              <w:t>44</w:t>
            </w:r>
            <w:proofErr w:type="gramEnd"/>
            <w:r w:rsidR="002746B6">
              <w:rPr>
                <w:bCs/>
                <w:color w:val="000000"/>
                <w:sz w:val="18"/>
                <w:szCs w:val="18"/>
                <w:lang w:eastAsia="es-MX"/>
              </w:rPr>
              <w:t>.1</w:t>
            </w:r>
          </w:p>
        </w:tc>
      </w:tr>
      <w:tr w:rsidR="00C70099" w:rsidRPr="00E464CF" w14:paraId="20B88F16" w14:textId="217AC12B" w:rsidTr="00443948">
        <w:trPr>
          <w:jc w:val="center"/>
        </w:trPr>
        <w:tc>
          <w:tcPr>
            <w:tcW w:w="693" w:type="dxa"/>
            <w:tcBorders>
              <w:top w:val="nil"/>
              <w:left w:val="double" w:sz="4" w:space="0" w:color="000000" w:themeColor="text1"/>
              <w:bottom w:val="nil"/>
              <w:right w:val="nil"/>
            </w:tcBorders>
            <w:vAlign w:val="center"/>
          </w:tcPr>
          <w:p w14:paraId="4CC03C66" w14:textId="77777777" w:rsidR="00C70099" w:rsidRPr="000D1E2C" w:rsidRDefault="00C70099" w:rsidP="00C70099">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C70099" w:rsidRPr="000D1E2C" w:rsidRDefault="00C70099" w:rsidP="00C70099">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1527536F" w14:textId="03D4F415" w:rsidR="00C70099" w:rsidRPr="000D1E2C" w:rsidRDefault="00F70803"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4F39B3">
              <w:rPr>
                <w:bCs/>
                <w:color w:val="000000"/>
                <w:sz w:val="18"/>
                <w:szCs w:val="18"/>
                <w:lang w:eastAsia="es-MX"/>
              </w:rPr>
              <w:t>25</w:t>
            </w:r>
            <w:proofErr w:type="gramEnd"/>
            <w:r w:rsidR="004F39B3">
              <w:rPr>
                <w:bCs/>
                <w:color w:val="000000"/>
                <w:sz w:val="18"/>
                <w:szCs w:val="18"/>
                <w:lang w:eastAsia="es-MX"/>
              </w:rPr>
              <w:t>.8</w:t>
            </w:r>
          </w:p>
        </w:tc>
        <w:tc>
          <w:tcPr>
            <w:tcW w:w="1156" w:type="dxa"/>
            <w:tcBorders>
              <w:top w:val="nil"/>
              <w:left w:val="single" w:sz="4" w:space="0" w:color="000000" w:themeColor="text1"/>
              <w:bottom w:val="nil"/>
              <w:right w:val="double" w:sz="4" w:space="0" w:color="000000" w:themeColor="text1"/>
            </w:tcBorders>
            <w:vAlign w:val="center"/>
          </w:tcPr>
          <w:p w14:paraId="7D5156A0" w14:textId="5F84848A" w:rsidR="00C70099" w:rsidRDefault="00264A16" w:rsidP="002746B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2746B6">
              <w:rPr>
                <w:bCs/>
                <w:color w:val="000000"/>
                <w:sz w:val="18"/>
                <w:szCs w:val="18"/>
                <w:lang w:eastAsia="es-MX"/>
              </w:rPr>
              <w:t>21</w:t>
            </w:r>
            <w:proofErr w:type="gramEnd"/>
            <w:r w:rsidR="002746B6">
              <w:rPr>
                <w:bCs/>
                <w:color w:val="000000"/>
                <w:sz w:val="18"/>
                <w:szCs w:val="18"/>
                <w:lang w:eastAsia="es-MX"/>
              </w:rPr>
              <w:t>.1</w:t>
            </w:r>
          </w:p>
        </w:tc>
      </w:tr>
      <w:tr w:rsidR="00C70099" w:rsidRPr="00E464CF" w14:paraId="1A95F319" w14:textId="34752752" w:rsidTr="00443948">
        <w:trPr>
          <w:jc w:val="center"/>
        </w:trPr>
        <w:tc>
          <w:tcPr>
            <w:tcW w:w="693" w:type="dxa"/>
            <w:tcBorders>
              <w:top w:val="nil"/>
              <w:left w:val="double" w:sz="4" w:space="0" w:color="000000" w:themeColor="text1"/>
              <w:bottom w:val="nil"/>
              <w:right w:val="nil"/>
            </w:tcBorders>
            <w:vAlign w:val="center"/>
          </w:tcPr>
          <w:p w14:paraId="6355F696" w14:textId="77777777" w:rsidR="00C70099" w:rsidRPr="000D1E2C" w:rsidRDefault="00C70099" w:rsidP="00C70099">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C70099" w:rsidRPr="000D1E2C" w:rsidRDefault="00C70099" w:rsidP="00C70099">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8FB4514" w14:textId="0A737CC5" w:rsidR="00C70099" w:rsidRPr="000D1E2C" w:rsidRDefault="00423327"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14</w:t>
            </w:r>
            <w:proofErr w:type="gramEnd"/>
            <w:r w:rsidR="004F39B3">
              <w:rPr>
                <w:bCs/>
                <w:color w:val="000000"/>
                <w:sz w:val="18"/>
                <w:szCs w:val="18"/>
                <w:lang w:eastAsia="es-MX"/>
              </w:rPr>
              <w:t>.7</w:t>
            </w:r>
          </w:p>
        </w:tc>
        <w:tc>
          <w:tcPr>
            <w:tcW w:w="1156" w:type="dxa"/>
            <w:tcBorders>
              <w:top w:val="nil"/>
              <w:left w:val="single" w:sz="4" w:space="0" w:color="000000" w:themeColor="text1"/>
              <w:bottom w:val="nil"/>
              <w:right w:val="double" w:sz="4" w:space="0" w:color="000000" w:themeColor="text1"/>
            </w:tcBorders>
            <w:vAlign w:val="center"/>
          </w:tcPr>
          <w:p w14:paraId="0D723D8C" w14:textId="7674C1DD" w:rsidR="00C70099" w:rsidRDefault="00C70099" w:rsidP="002746B6">
            <w:pPr>
              <w:ind w:left="-180" w:right="285"/>
              <w:jc w:val="right"/>
              <w:rPr>
                <w:bCs/>
                <w:color w:val="000000"/>
                <w:sz w:val="18"/>
                <w:szCs w:val="18"/>
                <w:lang w:eastAsia="es-MX"/>
              </w:rPr>
            </w:pPr>
            <w:r>
              <w:rPr>
                <w:bCs/>
                <w:color w:val="000000"/>
                <w:sz w:val="18"/>
                <w:szCs w:val="18"/>
                <w:lang w:eastAsia="es-MX"/>
              </w:rPr>
              <w:t xml:space="preserve">(-)    </w:t>
            </w:r>
            <w:r w:rsidR="002746B6">
              <w:rPr>
                <w:bCs/>
                <w:color w:val="000000"/>
                <w:sz w:val="18"/>
                <w:szCs w:val="18"/>
                <w:lang w:eastAsia="es-MX"/>
              </w:rPr>
              <w:t>9.0</w:t>
            </w:r>
          </w:p>
        </w:tc>
      </w:tr>
      <w:tr w:rsidR="00C70099" w:rsidRPr="00E464CF" w14:paraId="1A2E4006" w14:textId="72AFE5A5" w:rsidTr="00443948">
        <w:trPr>
          <w:jc w:val="center"/>
        </w:trPr>
        <w:tc>
          <w:tcPr>
            <w:tcW w:w="693" w:type="dxa"/>
            <w:tcBorders>
              <w:top w:val="nil"/>
              <w:left w:val="double" w:sz="4" w:space="0" w:color="000000" w:themeColor="text1"/>
              <w:bottom w:val="nil"/>
              <w:right w:val="nil"/>
            </w:tcBorders>
            <w:vAlign w:val="center"/>
          </w:tcPr>
          <w:p w14:paraId="059BCFF7" w14:textId="77777777" w:rsidR="00C70099" w:rsidRPr="000D1E2C" w:rsidRDefault="00C70099" w:rsidP="00C70099">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C70099" w:rsidRPr="000D1E2C" w:rsidRDefault="00C70099" w:rsidP="00C70099">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E067E76" w14:textId="35444880" w:rsidR="00C70099" w:rsidRPr="000D1E2C" w:rsidRDefault="00C70099" w:rsidP="004F39B3">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423327">
              <w:rPr>
                <w:bCs/>
                <w:color w:val="000000"/>
                <w:sz w:val="18"/>
                <w:szCs w:val="18"/>
                <w:lang w:eastAsia="es-MX"/>
              </w:rPr>
              <w:t xml:space="preserve">  </w:t>
            </w:r>
            <w:r w:rsidR="004F39B3">
              <w:rPr>
                <w:bCs/>
                <w:color w:val="000000"/>
                <w:sz w:val="18"/>
                <w:szCs w:val="18"/>
                <w:lang w:eastAsia="es-MX"/>
              </w:rPr>
              <w:t>30</w:t>
            </w:r>
            <w:proofErr w:type="gramEnd"/>
            <w:r w:rsidR="004F39B3">
              <w:rPr>
                <w:bCs/>
                <w:color w:val="000000"/>
                <w:sz w:val="18"/>
                <w:szCs w:val="18"/>
                <w:lang w:eastAsia="es-MX"/>
              </w:rPr>
              <w:t>.5</w:t>
            </w:r>
          </w:p>
        </w:tc>
        <w:tc>
          <w:tcPr>
            <w:tcW w:w="1156" w:type="dxa"/>
            <w:tcBorders>
              <w:top w:val="nil"/>
              <w:left w:val="single" w:sz="4" w:space="0" w:color="000000" w:themeColor="text1"/>
              <w:bottom w:val="nil"/>
              <w:right w:val="double" w:sz="4" w:space="0" w:color="000000" w:themeColor="text1"/>
            </w:tcBorders>
            <w:vAlign w:val="center"/>
          </w:tcPr>
          <w:p w14:paraId="6109D736" w14:textId="68027776" w:rsidR="00C70099" w:rsidRPr="000D1E2C" w:rsidRDefault="00C70099" w:rsidP="002746B6">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sidR="00264A16">
              <w:rPr>
                <w:bCs/>
                <w:color w:val="000000"/>
                <w:sz w:val="18"/>
                <w:szCs w:val="18"/>
                <w:lang w:eastAsia="es-MX"/>
              </w:rPr>
              <w:t xml:space="preserve">  </w:t>
            </w:r>
            <w:r w:rsidR="002746B6">
              <w:rPr>
                <w:bCs/>
                <w:color w:val="000000"/>
                <w:sz w:val="18"/>
                <w:szCs w:val="18"/>
                <w:lang w:eastAsia="es-MX"/>
              </w:rPr>
              <w:t>19</w:t>
            </w:r>
            <w:proofErr w:type="gramEnd"/>
            <w:r w:rsidR="002746B6">
              <w:rPr>
                <w:bCs/>
                <w:color w:val="000000"/>
                <w:sz w:val="18"/>
                <w:szCs w:val="18"/>
                <w:lang w:eastAsia="es-MX"/>
              </w:rPr>
              <w:t>.7</w:t>
            </w:r>
          </w:p>
        </w:tc>
      </w:tr>
      <w:tr w:rsidR="00C70099" w:rsidRPr="00E464CF" w14:paraId="37CB5F04" w14:textId="51921E97" w:rsidTr="00443948">
        <w:trPr>
          <w:jc w:val="center"/>
        </w:trPr>
        <w:tc>
          <w:tcPr>
            <w:tcW w:w="693" w:type="dxa"/>
            <w:tcBorders>
              <w:top w:val="nil"/>
              <w:left w:val="double" w:sz="4" w:space="0" w:color="000000" w:themeColor="text1"/>
              <w:bottom w:val="nil"/>
              <w:right w:val="nil"/>
            </w:tcBorders>
            <w:vAlign w:val="center"/>
          </w:tcPr>
          <w:p w14:paraId="7B5AE0C5" w14:textId="77777777" w:rsidR="00C70099" w:rsidRPr="000D1E2C" w:rsidRDefault="00C70099" w:rsidP="00C70099">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C70099" w:rsidRPr="000D1E2C" w:rsidRDefault="00C70099" w:rsidP="00C70099">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5B53C577" w14:textId="0077F66B" w:rsidR="00C70099" w:rsidRPr="000D1E2C" w:rsidRDefault="0051261A" w:rsidP="004F39B3">
            <w:pPr>
              <w:ind w:left="-180" w:right="285"/>
              <w:jc w:val="right"/>
              <w:rPr>
                <w:bCs/>
                <w:color w:val="000000"/>
                <w:sz w:val="18"/>
                <w:szCs w:val="18"/>
                <w:lang w:eastAsia="es-MX"/>
              </w:rPr>
            </w:pPr>
            <w:r>
              <w:rPr>
                <w:bCs/>
                <w:color w:val="000000"/>
                <w:sz w:val="18"/>
                <w:szCs w:val="18"/>
                <w:lang w:eastAsia="es-MX"/>
              </w:rPr>
              <w:t xml:space="preserve">(-)  </w:t>
            </w:r>
            <w:r w:rsidR="00F70803">
              <w:rPr>
                <w:bCs/>
                <w:color w:val="000000"/>
                <w:sz w:val="18"/>
                <w:szCs w:val="18"/>
                <w:lang w:eastAsia="es-MX"/>
              </w:rPr>
              <w:t xml:space="preserve">  </w:t>
            </w:r>
            <w:r w:rsidR="004F39B3">
              <w:rPr>
                <w:bCs/>
                <w:color w:val="000000"/>
                <w:sz w:val="18"/>
                <w:szCs w:val="18"/>
                <w:lang w:eastAsia="es-MX"/>
              </w:rPr>
              <w:t>9.7</w:t>
            </w:r>
          </w:p>
        </w:tc>
        <w:tc>
          <w:tcPr>
            <w:tcW w:w="1156" w:type="dxa"/>
            <w:tcBorders>
              <w:top w:val="nil"/>
              <w:left w:val="single" w:sz="4" w:space="0" w:color="000000" w:themeColor="text1"/>
              <w:bottom w:val="nil"/>
              <w:right w:val="double" w:sz="4" w:space="0" w:color="000000" w:themeColor="text1"/>
            </w:tcBorders>
            <w:vAlign w:val="center"/>
          </w:tcPr>
          <w:p w14:paraId="6DAC56E0" w14:textId="6F55991B" w:rsidR="00C70099" w:rsidRDefault="00CD2FAD" w:rsidP="002746B6">
            <w:pPr>
              <w:ind w:left="-180" w:right="285"/>
              <w:jc w:val="right"/>
              <w:rPr>
                <w:bCs/>
                <w:color w:val="000000"/>
                <w:sz w:val="18"/>
                <w:szCs w:val="18"/>
                <w:lang w:eastAsia="es-MX"/>
              </w:rPr>
            </w:pPr>
            <w:r>
              <w:rPr>
                <w:bCs/>
                <w:color w:val="000000"/>
                <w:sz w:val="18"/>
                <w:szCs w:val="18"/>
                <w:lang w:eastAsia="es-MX"/>
              </w:rPr>
              <w:t xml:space="preserve">(-)    </w:t>
            </w:r>
            <w:r w:rsidR="002746B6">
              <w:rPr>
                <w:bCs/>
                <w:color w:val="000000"/>
                <w:sz w:val="18"/>
                <w:szCs w:val="18"/>
                <w:lang w:eastAsia="es-MX"/>
              </w:rPr>
              <w:t>5.0</w:t>
            </w:r>
          </w:p>
        </w:tc>
      </w:tr>
      <w:tr w:rsidR="00C70099" w:rsidRPr="00E464CF" w14:paraId="60C64EC9" w14:textId="078DCF48" w:rsidTr="00443948">
        <w:trPr>
          <w:jc w:val="center"/>
        </w:trPr>
        <w:tc>
          <w:tcPr>
            <w:tcW w:w="693" w:type="dxa"/>
            <w:tcBorders>
              <w:top w:val="nil"/>
              <w:left w:val="double" w:sz="4" w:space="0" w:color="000000" w:themeColor="text1"/>
              <w:bottom w:val="nil"/>
              <w:right w:val="nil"/>
            </w:tcBorders>
            <w:vAlign w:val="center"/>
          </w:tcPr>
          <w:p w14:paraId="1008EECD" w14:textId="77777777" w:rsidR="00C70099" w:rsidRPr="000D1E2C" w:rsidRDefault="00C70099" w:rsidP="00C70099">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C70099" w:rsidRPr="000D1E2C" w:rsidRDefault="00C70099" w:rsidP="00C70099">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026EFB2" w14:textId="6DC25277" w:rsidR="00C70099" w:rsidRPr="000D1E2C" w:rsidRDefault="00D63A1F" w:rsidP="004F39B3">
            <w:pPr>
              <w:ind w:left="-180" w:right="285"/>
              <w:jc w:val="right"/>
              <w:rPr>
                <w:bCs/>
                <w:color w:val="000000"/>
                <w:sz w:val="18"/>
                <w:szCs w:val="18"/>
                <w:lang w:eastAsia="es-MX"/>
              </w:rPr>
            </w:pPr>
            <w:r>
              <w:rPr>
                <w:bCs/>
                <w:color w:val="000000"/>
                <w:sz w:val="18"/>
                <w:szCs w:val="18"/>
                <w:lang w:eastAsia="es-MX"/>
              </w:rPr>
              <w:t xml:space="preserve">(-) </w:t>
            </w:r>
            <w:r w:rsidR="004F39B3">
              <w:rPr>
                <w:bCs/>
                <w:color w:val="000000"/>
                <w:sz w:val="18"/>
                <w:szCs w:val="18"/>
                <w:lang w:eastAsia="es-MX"/>
              </w:rPr>
              <w:t xml:space="preserve">  </w:t>
            </w:r>
            <w:r>
              <w:rPr>
                <w:bCs/>
                <w:color w:val="000000"/>
                <w:sz w:val="18"/>
                <w:szCs w:val="18"/>
                <w:lang w:eastAsia="es-MX"/>
              </w:rPr>
              <w:t xml:space="preserve"> </w:t>
            </w:r>
            <w:r w:rsidR="004F39B3">
              <w:rPr>
                <w:bCs/>
                <w:color w:val="000000"/>
                <w:sz w:val="18"/>
                <w:szCs w:val="18"/>
                <w:lang w:eastAsia="es-MX"/>
              </w:rPr>
              <w:t>8.2</w:t>
            </w:r>
          </w:p>
        </w:tc>
        <w:tc>
          <w:tcPr>
            <w:tcW w:w="1156" w:type="dxa"/>
            <w:tcBorders>
              <w:top w:val="nil"/>
              <w:left w:val="single" w:sz="4" w:space="0" w:color="000000" w:themeColor="text1"/>
              <w:bottom w:val="nil"/>
              <w:right w:val="double" w:sz="4" w:space="0" w:color="000000" w:themeColor="text1"/>
            </w:tcBorders>
            <w:vAlign w:val="center"/>
          </w:tcPr>
          <w:p w14:paraId="6655B307" w14:textId="1C1E2852" w:rsidR="00C70099" w:rsidRDefault="00264A16" w:rsidP="002746B6">
            <w:pPr>
              <w:ind w:left="-180" w:right="285"/>
              <w:jc w:val="right"/>
              <w:rPr>
                <w:bCs/>
                <w:color w:val="000000"/>
                <w:sz w:val="18"/>
                <w:szCs w:val="18"/>
                <w:lang w:eastAsia="es-MX"/>
              </w:rPr>
            </w:pPr>
            <w:r>
              <w:rPr>
                <w:bCs/>
                <w:color w:val="000000"/>
                <w:sz w:val="18"/>
                <w:szCs w:val="18"/>
                <w:lang w:eastAsia="es-MX"/>
              </w:rPr>
              <w:t xml:space="preserve">(-)    </w:t>
            </w:r>
            <w:r w:rsidR="002746B6">
              <w:rPr>
                <w:bCs/>
                <w:color w:val="000000"/>
                <w:sz w:val="18"/>
                <w:szCs w:val="18"/>
                <w:lang w:eastAsia="es-MX"/>
              </w:rPr>
              <w:t>5.2</w:t>
            </w:r>
          </w:p>
        </w:tc>
      </w:tr>
      <w:tr w:rsidR="00C70099" w:rsidRPr="00E464CF" w14:paraId="450DFA53" w14:textId="00C20464" w:rsidTr="00443948">
        <w:trPr>
          <w:jc w:val="center"/>
        </w:trPr>
        <w:tc>
          <w:tcPr>
            <w:tcW w:w="693" w:type="dxa"/>
            <w:tcBorders>
              <w:top w:val="nil"/>
              <w:left w:val="double" w:sz="4" w:space="0" w:color="000000" w:themeColor="text1"/>
              <w:bottom w:val="nil"/>
              <w:right w:val="nil"/>
            </w:tcBorders>
            <w:vAlign w:val="center"/>
          </w:tcPr>
          <w:p w14:paraId="32C96E08" w14:textId="77777777" w:rsidR="00C70099" w:rsidRPr="000D1E2C" w:rsidRDefault="00C70099" w:rsidP="00C70099">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C70099" w:rsidRPr="000D1E2C" w:rsidRDefault="00C70099" w:rsidP="00C70099">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9ABF620" w14:textId="7A8C844A" w:rsidR="00C70099" w:rsidRPr="000D1E2C" w:rsidRDefault="00423327"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19</w:t>
            </w:r>
            <w:proofErr w:type="gramEnd"/>
            <w:r w:rsidR="004F39B3">
              <w:rPr>
                <w:bCs/>
                <w:color w:val="000000"/>
                <w:sz w:val="18"/>
                <w:szCs w:val="18"/>
                <w:lang w:eastAsia="es-MX"/>
              </w:rPr>
              <w:t>.1</w:t>
            </w:r>
          </w:p>
        </w:tc>
        <w:tc>
          <w:tcPr>
            <w:tcW w:w="1156" w:type="dxa"/>
            <w:tcBorders>
              <w:top w:val="nil"/>
              <w:left w:val="single" w:sz="4" w:space="0" w:color="000000" w:themeColor="text1"/>
              <w:bottom w:val="nil"/>
              <w:right w:val="double" w:sz="4" w:space="0" w:color="000000" w:themeColor="text1"/>
            </w:tcBorders>
            <w:vAlign w:val="center"/>
          </w:tcPr>
          <w:p w14:paraId="2E2F1292" w14:textId="785E1AC7" w:rsidR="00C70099" w:rsidRDefault="00264A16" w:rsidP="00322C8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322C8A">
              <w:rPr>
                <w:bCs/>
                <w:color w:val="000000"/>
                <w:sz w:val="18"/>
                <w:szCs w:val="18"/>
                <w:lang w:eastAsia="es-MX"/>
              </w:rPr>
              <w:t>18</w:t>
            </w:r>
            <w:proofErr w:type="gramEnd"/>
            <w:r w:rsidR="00322C8A">
              <w:rPr>
                <w:bCs/>
                <w:color w:val="000000"/>
                <w:sz w:val="18"/>
                <w:szCs w:val="18"/>
                <w:lang w:eastAsia="es-MX"/>
              </w:rPr>
              <w:t>.1</w:t>
            </w:r>
          </w:p>
        </w:tc>
      </w:tr>
      <w:tr w:rsidR="00C70099" w:rsidRPr="00E464CF" w14:paraId="4DE360D5" w14:textId="5EE84541" w:rsidTr="00443948">
        <w:trPr>
          <w:jc w:val="center"/>
        </w:trPr>
        <w:tc>
          <w:tcPr>
            <w:tcW w:w="693" w:type="dxa"/>
            <w:tcBorders>
              <w:top w:val="nil"/>
              <w:left w:val="double" w:sz="4" w:space="0" w:color="000000" w:themeColor="text1"/>
              <w:bottom w:val="nil"/>
              <w:right w:val="nil"/>
            </w:tcBorders>
            <w:vAlign w:val="center"/>
          </w:tcPr>
          <w:p w14:paraId="44490DAE" w14:textId="77777777" w:rsidR="00C70099" w:rsidRPr="000D1E2C" w:rsidRDefault="00C70099" w:rsidP="00C70099">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C70099" w:rsidRPr="000D1E2C" w:rsidRDefault="00C70099" w:rsidP="00C70099">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EDF0C2F" w14:textId="1511F4CC" w:rsidR="00C70099" w:rsidRPr="000D1E2C" w:rsidRDefault="00423327"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16</w:t>
            </w:r>
            <w:proofErr w:type="gramEnd"/>
            <w:r w:rsidR="004F39B3">
              <w:rPr>
                <w:bCs/>
                <w:color w:val="000000"/>
                <w:sz w:val="18"/>
                <w:szCs w:val="18"/>
                <w:lang w:eastAsia="es-MX"/>
              </w:rPr>
              <w:t>.7</w:t>
            </w:r>
          </w:p>
        </w:tc>
        <w:tc>
          <w:tcPr>
            <w:tcW w:w="1156" w:type="dxa"/>
            <w:tcBorders>
              <w:top w:val="nil"/>
              <w:left w:val="single" w:sz="4" w:space="0" w:color="000000" w:themeColor="text1"/>
              <w:bottom w:val="nil"/>
              <w:right w:val="double" w:sz="4" w:space="0" w:color="000000" w:themeColor="text1"/>
            </w:tcBorders>
            <w:vAlign w:val="center"/>
          </w:tcPr>
          <w:p w14:paraId="0FB5A845" w14:textId="13C6051E" w:rsidR="00C70099" w:rsidRDefault="00322C8A" w:rsidP="00322C8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14</w:t>
            </w:r>
            <w:proofErr w:type="gramEnd"/>
            <w:r>
              <w:rPr>
                <w:bCs/>
                <w:color w:val="000000"/>
                <w:sz w:val="18"/>
                <w:szCs w:val="18"/>
                <w:lang w:eastAsia="es-MX"/>
              </w:rPr>
              <w:t>.</w:t>
            </w:r>
            <w:r w:rsidR="00077192">
              <w:rPr>
                <w:bCs/>
                <w:color w:val="000000"/>
                <w:sz w:val="18"/>
                <w:szCs w:val="18"/>
                <w:lang w:eastAsia="es-MX"/>
              </w:rPr>
              <w:t>5</w:t>
            </w:r>
          </w:p>
        </w:tc>
      </w:tr>
      <w:tr w:rsidR="00C70099" w:rsidRPr="00E464CF" w14:paraId="332D2722" w14:textId="47050C2C" w:rsidTr="00443948">
        <w:trPr>
          <w:jc w:val="center"/>
        </w:trPr>
        <w:tc>
          <w:tcPr>
            <w:tcW w:w="693" w:type="dxa"/>
            <w:tcBorders>
              <w:top w:val="nil"/>
              <w:left w:val="double" w:sz="4" w:space="0" w:color="000000" w:themeColor="text1"/>
              <w:bottom w:val="nil"/>
              <w:right w:val="nil"/>
            </w:tcBorders>
            <w:vAlign w:val="center"/>
          </w:tcPr>
          <w:p w14:paraId="2706ABAA" w14:textId="77777777" w:rsidR="00C70099" w:rsidRPr="000D1E2C" w:rsidRDefault="00C70099" w:rsidP="00C70099">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C70099" w:rsidRPr="000D1E2C" w:rsidRDefault="00C70099" w:rsidP="00C70099">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4A763070" w14:textId="05EE1EA5" w:rsidR="00C70099" w:rsidRPr="000D1E2C" w:rsidRDefault="0051261A"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19</w:t>
            </w:r>
            <w:proofErr w:type="gramEnd"/>
            <w:r w:rsidR="004F39B3">
              <w:rPr>
                <w:bCs/>
                <w:color w:val="000000"/>
                <w:sz w:val="18"/>
                <w:szCs w:val="18"/>
                <w:lang w:eastAsia="es-MX"/>
              </w:rPr>
              <w:t>.0</w:t>
            </w:r>
          </w:p>
        </w:tc>
        <w:tc>
          <w:tcPr>
            <w:tcW w:w="1156" w:type="dxa"/>
            <w:tcBorders>
              <w:top w:val="nil"/>
              <w:left w:val="single" w:sz="4" w:space="0" w:color="000000" w:themeColor="text1"/>
              <w:bottom w:val="nil"/>
              <w:right w:val="double" w:sz="4" w:space="0" w:color="000000" w:themeColor="text1"/>
            </w:tcBorders>
            <w:vAlign w:val="center"/>
          </w:tcPr>
          <w:p w14:paraId="27B0DB2A" w14:textId="5529A456" w:rsidR="00C70099" w:rsidRDefault="00520B46"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077192">
              <w:rPr>
                <w:bCs/>
                <w:color w:val="000000"/>
                <w:sz w:val="18"/>
                <w:szCs w:val="18"/>
                <w:lang w:eastAsia="es-MX"/>
              </w:rPr>
              <w:t>12</w:t>
            </w:r>
            <w:proofErr w:type="gramEnd"/>
            <w:r w:rsidR="00077192">
              <w:rPr>
                <w:bCs/>
                <w:color w:val="000000"/>
                <w:sz w:val="18"/>
                <w:szCs w:val="18"/>
                <w:lang w:eastAsia="es-MX"/>
              </w:rPr>
              <w:t>.6</w:t>
            </w:r>
          </w:p>
        </w:tc>
      </w:tr>
      <w:tr w:rsidR="00C70099" w:rsidRPr="00E464CF" w14:paraId="65BC1A62" w14:textId="46D4924E" w:rsidTr="00443948">
        <w:trPr>
          <w:jc w:val="center"/>
        </w:trPr>
        <w:tc>
          <w:tcPr>
            <w:tcW w:w="693" w:type="dxa"/>
            <w:tcBorders>
              <w:top w:val="nil"/>
              <w:left w:val="double" w:sz="4" w:space="0" w:color="000000" w:themeColor="text1"/>
              <w:bottom w:val="nil"/>
              <w:right w:val="nil"/>
            </w:tcBorders>
            <w:vAlign w:val="center"/>
          </w:tcPr>
          <w:p w14:paraId="66431326" w14:textId="77777777" w:rsidR="00C70099" w:rsidRPr="000D1E2C" w:rsidRDefault="00C70099" w:rsidP="00C70099">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C70099" w:rsidRPr="000D1E2C" w:rsidRDefault="00C70099" w:rsidP="00C70099">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0C73800" w14:textId="739CC85B" w:rsidR="00C70099" w:rsidRPr="000D1E2C" w:rsidRDefault="00C70099"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CB16BA">
              <w:rPr>
                <w:bCs/>
                <w:color w:val="000000"/>
                <w:sz w:val="18"/>
                <w:szCs w:val="18"/>
                <w:lang w:eastAsia="es-MX"/>
              </w:rPr>
              <w:t xml:space="preserve"> </w:t>
            </w:r>
            <w:r w:rsidR="004F39B3">
              <w:rPr>
                <w:bCs/>
                <w:color w:val="000000"/>
                <w:sz w:val="18"/>
                <w:szCs w:val="18"/>
                <w:lang w:eastAsia="es-MX"/>
              </w:rPr>
              <w:t>24</w:t>
            </w:r>
            <w:proofErr w:type="gramEnd"/>
            <w:r w:rsidR="004F39B3">
              <w:rPr>
                <w:bCs/>
                <w:color w:val="000000"/>
                <w:sz w:val="18"/>
                <w:szCs w:val="18"/>
                <w:lang w:eastAsia="es-MX"/>
              </w:rPr>
              <w:t>.3</w:t>
            </w:r>
          </w:p>
        </w:tc>
        <w:tc>
          <w:tcPr>
            <w:tcW w:w="1156" w:type="dxa"/>
            <w:tcBorders>
              <w:top w:val="nil"/>
              <w:left w:val="single" w:sz="4" w:space="0" w:color="000000" w:themeColor="text1"/>
              <w:bottom w:val="nil"/>
              <w:right w:val="double" w:sz="4" w:space="0" w:color="000000" w:themeColor="text1"/>
            </w:tcBorders>
            <w:vAlign w:val="center"/>
          </w:tcPr>
          <w:p w14:paraId="63FD8F14" w14:textId="05F83CC8" w:rsidR="00C70099" w:rsidRDefault="00264A16"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077192">
              <w:rPr>
                <w:bCs/>
                <w:color w:val="000000"/>
                <w:sz w:val="18"/>
                <w:szCs w:val="18"/>
                <w:lang w:eastAsia="es-MX"/>
              </w:rPr>
              <w:t>21</w:t>
            </w:r>
            <w:proofErr w:type="gramEnd"/>
            <w:r w:rsidR="00077192">
              <w:rPr>
                <w:bCs/>
                <w:color w:val="000000"/>
                <w:sz w:val="18"/>
                <w:szCs w:val="18"/>
                <w:lang w:eastAsia="es-MX"/>
              </w:rPr>
              <w:t>.2</w:t>
            </w:r>
          </w:p>
        </w:tc>
      </w:tr>
      <w:tr w:rsidR="00C70099" w:rsidRPr="00E464CF" w14:paraId="1ABF2DBB" w14:textId="1166DCD1" w:rsidTr="00443948">
        <w:trPr>
          <w:jc w:val="center"/>
        </w:trPr>
        <w:tc>
          <w:tcPr>
            <w:tcW w:w="693" w:type="dxa"/>
            <w:tcBorders>
              <w:top w:val="nil"/>
              <w:left w:val="double" w:sz="4" w:space="0" w:color="000000" w:themeColor="text1"/>
              <w:bottom w:val="nil"/>
              <w:right w:val="nil"/>
            </w:tcBorders>
            <w:vAlign w:val="center"/>
          </w:tcPr>
          <w:p w14:paraId="7C4D1F41" w14:textId="77777777" w:rsidR="00C70099" w:rsidRPr="000D1E2C" w:rsidRDefault="00C70099" w:rsidP="00C70099">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C70099" w:rsidRPr="000D1E2C" w:rsidRDefault="00C70099" w:rsidP="00C70099">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9B11D55" w14:textId="1D124D2C" w:rsidR="00C70099" w:rsidRPr="000D1E2C" w:rsidRDefault="00C70099"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21</w:t>
            </w:r>
            <w:proofErr w:type="gramEnd"/>
            <w:r w:rsidR="004F39B3">
              <w:rPr>
                <w:bCs/>
                <w:color w:val="000000"/>
                <w:sz w:val="18"/>
                <w:szCs w:val="18"/>
                <w:lang w:eastAsia="es-MX"/>
              </w:rPr>
              <w:t>.2</w:t>
            </w:r>
          </w:p>
        </w:tc>
        <w:tc>
          <w:tcPr>
            <w:tcW w:w="1156" w:type="dxa"/>
            <w:tcBorders>
              <w:top w:val="nil"/>
              <w:left w:val="single" w:sz="4" w:space="0" w:color="000000" w:themeColor="text1"/>
              <w:bottom w:val="nil"/>
              <w:right w:val="double" w:sz="4" w:space="0" w:color="000000" w:themeColor="text1"/>
            </w:tcBorders>
            <w:vAlign w:val="center"/>
          </w:tcPr>
          <w:p w14:paraId="3231FCA4" w14:textId="2BAADF68" w:rsidR="00C70099" w:rsidRDefault="00C70099"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077192">
              <w:rPr>
                <w:bCs/>
                <w:color w:val="000000"/>
                <w:sz w:val="18"/>
                <w:szCs w:val="18"/>
                <w:lang w:eastAsia="es-MX"/>
              </w:rPr>
              <w:t>24</w:t>
            </w:r>
            <w:proofErr w:type="gramEnd"/>
            <w:r w:rsidR="00077192">
              <w:rPr>
                <w:bCs/>
                <w:color w:val="000000"/>
                <w:sz w:val="18"/>
                <w:szCs w:val="18"/>
                <w:lang w:eastAsia="es-MX"/>
              </w:rPr>
              <w:t>.2</w:t>
            </w:r>
          </w:p>
        </w:tc>
      </w:tr>
      <w:tr w:rsidR="00C70099" w:rsidRPr="00E464CF" w14:paraId="4D362E53" w14:textId="42B5FAB1" w:rsidTr="00443948">
        <w:trPr>
          <w:jc w:val="center"/>
        </w:trPr>
        <w:tc>
          <w:tcPr>
            <w:tcW w:w="693" w:type="dxa"/>
            <w:tcBorders>
              <w:top w:val="nil"/>
              <w:left w:val="double" w:sz="4" w:space="0" w:color="000000" w:themeColor="text1"/>
              <w:bottom w:val="nil"/>
              <w:right w:val="nil"/>
            </w:tcBorders>
          </w:tcPr>
          <w:p w14:paraId="334A2F7C" w14:textId="77777777" w:rsidR="00C70099" w:rsidRPr="000D1E2C" w:rsidRDefault="00C70099" w:rsidP="00C70099">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C70099" w:rsidRPr="000D1E2C" w:rsidRDefault="00C70099" w:rsidP="00C70099">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6A403E5" w14:textId="4C3F91DB" w:rsidR="00C70099" w:rsidRPr="000D1E2C" w:rsidRDefault="00CB16BA"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12</w:t>
            </w:r>
            <w:proofErr w:type="gramEnd"/>
            <w:r w:rsidR="004F39B3">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vAlign w:val="center"/>
          </w:tcPr>
          <w:p w14:paraId="5A5F2D58" w14:textId="50C04E33" w:rsidR="00C70099" w:rsidRDefault="00264A16"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077192">
              <w:rPr>
                <w:bCs/>
                <w:color w:val="000000"/>
                <w:sz w:val="18"/>
                <w:szCs w:val="18"/>
                <w:lang w:eastAsia="es-MX"/>
              </w:rPr>
              <w:t>13</w:t>
            </w:r>
            <w:proofErr w:type="gramEnd"/>
            <w:r w:rsidR="00077192">
              <w:rPr>
                <w:bCs/>
                <w:color w:val="000000"/>
                <w:sz w:val="18"/>
                <w:szCs w:val="18"/>
                <w:lang w:eastAsia="es-MX"/>
              </w:rPr>
              <w:t>.3</w:t>
            </w:r>
          </w:p>
        </w:tc>
      </w:tr>
      <w:tr w:rsidR="00C70099" w:rsidRPr="00E464CF" w14:paraId="33F42D2F" w14:textId="105B6908" w:rsidTr="00443948">
        <w:trPr>
          <w:jc w:val="center"/>
        </w:trPr>
        <w:tc>
          <w:tcPr>
            <w:tcW w:w="693" w:type="dxa"/>
            <w:tcBorders>
              <w:top w:val="nil"/>
              <w:left w:val="double" w:sz="4" w:space="0" w:color="000000" w:themeColor="text1"/>
              <w:bottom w:val="nil"/>
              <w:right w:val="nil"/>
            </w:tcBorders>
          </w:tcPr>
          <w:p w14:paraId="329C0098" w14:textId="77777777" w:rsidR="00C70099" w:rsidRPr="000D1E2C" w:rsidRDefault="00C70099" w:rsidP="00C70099">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C70099" w:rsidRPr="000D1E2C" w:rsidRDefault="00C70099" w:rsidP="00C70099">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504606E" w14:textId="50D9B9F3" w:rsidR="00C70099" w:rsidRPr="000D1E2C" w:rsidRDefault="00CB16BA"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16</w:t>
            </w:r>
            <w:proofErr w:type="gramEnd"/>
            <w:r w:rsidR="004F39B3">
              <w:rPr>
                <w:bCs/>
                <w:color w:val="000000"/>
                <w:sz w:val="18"/>
                <w:szCs w:val="18"/>
                <w:lang w:eastAsia="es-MX"/>
              </w:rPr>
              <w:t>.9</w:t>
            </w:r>
          </w:p>
        </w:tc>
        <w:tc>
          <w:tcPr>
            <w:tcW w:w="1156" w:type="dxa"/>
            <w:tcBorders>
              <w:top w:val="nil"/>
              <w:left w:val="single" w:sz="4" w:space="0" w:color="000000" w:themeColor="text1"/>
              <w:bottom w:val="nil"/>
              <w:right w:val="double" w:sz="4" w:space="0" w:color="000000" w:themeColor="text1"/>
            </w:tcBorders>
            <w:vAlign w:val="center"/>
          </w:tcPr>
          <w:p w14:paraId="1DD90624" w14:textId="7E9A3FE1" w:rsidR="00C70099" w:rsidRDefault="00264A16" w:rsidP="00077192">
            <w:pPr>
              <w:ind w:left="-180" w:right="285"/>
              <w:jc w:val="right"/>
              <w:rPr>
                <w:bCs/>
                <w:color w:val="000000"/>
                <w:sz w:val="18"/>
                <w:szCs w:val="18"/>
                <w:lang w:eastAsia="es-MX"/>
              </w:rPr>
            </w:pPr>
            <w:r>
              <w:rPr>
                <w:bCs/>
                <w:color w:val="000000"/>
                <w:sz w:val="18"/>
                <w:szCs w:val="18"/>
                <w:lang w:eastAsia="es-MX"/>
              </w:rPr>
              <w:t xml:space="preserve">(-)    </w:t>
            </w:r>
            <w:r w:rsidR="00077192">
              <w:rPr>
                <w:bCs/>
                <w:color w:val="000000"/>
                <w:sz w:val="18"/>
                <w:szCs w:val="18"/>
                <w:lang w:eastAsia="es-MX"/>
              </w:rPr>
              <w:t>7.4</w:t>
            </w:r>
          </w:p>
        </w:tc>
      </w:tr>
      <w:tr w:rsidR="00C70099" w:rsidRPr="00E464CF" w14:paraId="2A38F6A1" w14:textId="29CD4954" w:rsidTr="00443948">
        <w:trPr>
          <w:jc w:val="center"/>
        </w:trPr>
        <w:tc>
          <w:tcPr>
            <w:tcW w:w="693" w:type="dxa"/>
            <w:tcBorders>
              <w:top w:val="nil"/>
              <w:left w:val="double" w:sz="4" w:space="0" w:color="000000" w:themeColor="text1"/>
              <w:bottom w:val="nil"/>
              <w:right w:val="nil"/>
            </w:tcBorders>
            <w:vAlign w:val="center"/>
          </w:tcPr>
          <w:p w14:paraId="39763A05" w14:textId="77777777" w:rsidR="00C70099" w:rsidRPr="000D1E2C" w:rsidRDefault="00C70099" w:rsidP="00C70099">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C70099" w:rsidRPr="000D1E2C" w:rsidRDefault="00C70099" w:rsidP="00C70099">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1CA9694A" w14:textId="3299E459" w:rsidR="00C70099" w:rsidRPr="000D1E2C" w:rsidRDefault="00CD2FAD" w:rsidP="004F39B3">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4F39B3">
              <w:rPr>
                <w:bCs/>
                <w:color w:val="000000"/>
                <w:sz w:val="18"/>
                <w:szCs w:val="18"/>
                <w:lang w:eastAsia="es-MX"/>
              </w:rPr>
              <w:t>27</w:t>
            </w:r>
            <w:proofErr w:type="gramEnd"/>
            <w:r w:rsidR="004F39B3">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vAlign w:val="center"/>
          </w:tcPr>
          <w:p w14:paraId="4382E279" w14:textId="14112697" w:rsidR="00C70099" w:rsidRDefault="00264A16"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077192">
              <w:rPr>
                <w:bCs/>
                <w:color w:val="000000"/>
                <w:sz w:val="18"/>
                <w:szCs w:val="18"/>
                <w:lang w:eastAsia="es-MX"/>
              </w:rPr>
              <w:t>36</w:t>
            </w:r>
            <w:proofErr w:type="gramEnd"/>
            <w:r w:rsidR="00077192">
              <w:rPr>
                <w:bCs/>
                <w:color w:val="000000"/>
                <w:sz w:val="18"/>
                <w:szCs w:val="18"/>
                <w:lang w:eastAsia="es-MX"/>
              </w:rPr>
              <w:t>.0</w:t>
            </w:r>
          </w:p>
        </w:tc>
      </w:tr>
      <w:tr w:rsidR="00C70099" w:rsidRPr="00E464CF" w14:paraId="3D8F579A" w14:textId="0F371653" w:rsidTr="00443948">
        <w:trPr>
          <w:jc w:val="center"/>
        </w:trPr>
        <w:tc>
          <w:tcPr>
            <w:tcW w:w="693" w:type="dxa"/>
            <w:tcBorders>
              <w:top w:val="nil"/>
              <w:left w:val="double" w:sz="4" w:space="0" w:color="000000" w:themeColor="text1"/>
              <w:bottom w:val="nil"/>
              <w:right w:val="nil"/>
            </w:tcBorders>
            <w:vAlign w:val="center"/>
          </w:tcPr>
          <w:p w14:paraId="665A418C" w14:textId="77777777" w:rsidR="00C70099" w:rsidRPr="000D1E2C" w:rsidRDefault="00C70099" w:rsidP="00C70099">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C70099" w:rsidRPr="000D1E2C" w:rsidRDefault="00C70099" w:rsidP="00C70099">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D082C10" w14:textId="19582266" w:rsidR="00C70099" w:rsidRPr="000D1E2C" w:rsidRDefault="00F70803" w:rsidP="00CB06CE">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CB06CE">
              <w:rPr>
                <w:bCs/>
                <w:color w:val="000000"/>
                <w:sz w:val="18"/>
                <w:szCs w:val="18"/>
                <w:lang w:eastAsia="es-MX"/>
              </w:rPr>
              <w:t>23</w:t>
            </w:r>
            <w:proofErr w:type="gramEnd"/>
            <w:r w:rsidR="00CB06CE">
              <w:rPr>
                <w:bCs/>
                <w:color w:val="000000"/>
                <w:sz w:val="18"/>
                <w:szCs w:val="18"/>
                <w:lang w:eastAsia="es-MX"/>
              </w:rPr>
              <w:t>.3</w:t>
            </w:r>
          </w:p>
        </w:tc>
        <w:tc>
          <w:tcPr>
            <w:tcW w:w="1156" w:type="dxa"/>
            <w:tcBorders>
              <w:top w:val="nil"/>
              <w:left w:val="single" w:sz="4" w:space="0" w:color="000000" w:themeColor="text1"/>
              <w:bottom w:val="nil"/>
              <w:right w:val="double" w:sz="4" w:space="0" w:color="000000" w:themeColor="text1"/>
            </w:tcBorders>
            <w:vAlign w:val="center"/>
          </w:tcPr>
          <w:p w14:paraId="4F6023E0" w14:textId="7E704021" w:rsidR="00C70099" w:rsidRDefault="00264A16"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r w:rsidR="00077192">
              <w:rPr>
                <w:bCs/>
                <w:color w:val="000000"/>
                <w:sz w:val="18"/>
                <w:szCs w:val="18"/>
                <w:lang w:eastAsia="es-MX"/>
              </w:rPr>
              <w:t>28</w:t>
            </w:r>
            <w:proofErr w:type="gramEnd"/>
            <w:r w:rsidR="00077192">
              <w:rPr>
                <w:bCs/>
                <w:color w:val="000000"/>
                <w:sz w:val="18"/>
                <w:szCs w:val="18"/>
                <w:lang w:eastAsia="es-MX"/>
              </w:rPr>
              <w:t>.5</w:t>
            </w:r>
          </w:p>
        </w:tc>
      </w:tr>
      <w:tr w:rsidR="00C70099" w:rsidRPr="00E464CF" w14:paraId="1BFDFFAD" w14:textId="364D2B48" w:rsidTr="00443948">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C70099" w:rsidRPr="000D1E2C" w:rsidRDefault="00C70099" w:rsidP="00C70099">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C70099" w:rsidRPr="000D1E2C" w:rsidRDefault="00C70099" w:rsidP="00C70099">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shd w:val="clear" w:color="auto" w:fill="auto"/>
            <w:vAlign w:val="center"/>
          </w:tcPr>
          <w:p w14:paraId="3D69B97F" w14:textId="68269678" w:rsidR="00C70099" w:rsidRPr="000D1E2C" w:rsidRDefault="00CB16BA" w:rsidP="00CB06CE">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CB06CE">
              <w:rPr>
                <w:bCs/>
                <w:color w:val="000000"/>
                <w:sz w:val="18"/>
                <w:szCs w:val="18"/>
                <w:lang w:eastAsia="es-MX"/>
              </w:rPr>
              <w:t>17</w:t>
            </w:r>
            <w:proofErr w:type="gramEnd"/>
            <w:r w:rsidR="00CB06CE">
              <w:rPr>
                <w:bCs/>
                <w:color w:val="000000"/>
                <w:sz w:val="18"/>
                <w:szCs w:val="18"/>
                <w:lang w:eastAsia="es-MX"/>
              </w:rPr>
              <w:t>.6</w:t>
            </w:r>
          </w:p>
        </w:tc>
        <w:tc>
          <w:tcPr>
            <w:tcW w:w="1156" w:type="dxa"/>
            <w:tcBorders>
              <w:top w:val="nil"/>
              <w:left w:val="single" w:sz="4" w:space="0" w:color="000000" w:themeColor="text1"/>
              <w:bottom w:val="double" w:sz="4" w:space="0" w:color="000000" w:themeColor="text1"/>
              <w:right w:val="double" w:sz="4" w:space="0" w:color="000000" w:themeColor="text1"/>
            </w:tcBorders>
            <w:vAlign w:val="center"/>
          </w:tcPr>
          <w:p w14:paraId="49823A01" w14:textId="58667971" w:rsidR="00C70099" w:rsidRDefault="00322C8A" w:rsidP="00077192">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077192">
              <w:rPr>
                <w:bCs/>
                <w:color w:val="000000"/>
                <w:sz w:val="18"/>
                <w:szCs w:val="18"/>
                <w:lang w:eastAsia="es-MX"/>
              </w:rPr>
              <w:t>14</w:t>
            </w:r>
            <w:proofErr w:type="gramEnd"/>
            <w:r w:rsidR="00077192">
              <w:rPr>
                <w:bCs/>
                <w:color w:val="000000"/>
                <w:sz w:val="18"/>
                <w:szCs w:val="18"/>
                <w:lang w:eastAsia="es-MX"/>
              </w:rPr>
              <w:t>.0</w:t>
            </w:r>
          </w:p>
        </w:tc>
      </w:tr>
    </w:tbl>
    <w:p w14:paraId="7A464EB6" w14:textId="77777777" w:rsidR="00853669" w:rsidRPr="000D1E2C" w:rsidRDefault="00853669" w:rsidP="00443948">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7646852A" w14:textId="77777777" w:rsidR="00EC2181" w:rsidRDefault="00853669" w:rsidP="00443948">
      <w:pPr>
        <w:pStyle w:val="parr2"/>
        <w:widowControl w:val="0"/>
        <w:spacing w:before="0"/>
        <w:ind w:left="284" w:right="584"/>
        <w:rPr>
          <w:rFonts w:cs="Arial"/>
          <w:sz w:val="16"/>
          <w:szCs w:val="16"/>
        </w:rPr>
      </w:pPr>
      <w:r w:rsidRPr="000D1E2C">
        <w:rPr>
          <w:rFonts w:cs="Arial"/>
          <w:sz w:val="16"/>
          <w:szCs w:val="16"/>
        </w:rPr>
        <w:t>Fuente: INEGI.</w:t>
      </w:r>
    </w:p>
    <w:p w14:paraId="0A6F8F93" w14:textId="77777777" w:rsidR="000254CB" w:rsidRDefault="000254CB">
      <w:pPr>
        <w:jc w:val="left"/>
        <w:rPr>
          <w:rFonts w:cs="Times New Roman"/>
          <w:b/>
          <w:i/>
          <w:szCs w:val="20"/>
        </w:rPr>
      </w:pPr>
      <w:r>
        <w:rPr>
          <w:b/>
          <w:i/>
        </w:rPr>
        <w:br w:type="page"/>
      </w:r>
    </w:p>
    <w:p w14:paraId="4C0AD43D" w14:textId="29EDE91B" w:rsidR="0040133A" w:rsidRDefault="0040133A" w:rsidP="0040133A">
      <w:pPr>
        <w:pStyle w:val="parr2"/>
        <w:widowControl w:val="0"/>
        <w:spacing w:before="240"/>
        <w:ind w:right="584"/>
        <w:rPr>
          <w:b/>
          <w:i/>
        </w:rPr>
      </w:pPr>
      <w:bookmarkStart w:id="0" w:name="_Hlk40107795"/>
      <w:r w:rsidRPr="00FC1B91">
        <w:rPr>
          <w:b/>
          <w:i/>
        </w:rPr>
        <w:lastRenderedPageBreak/>
        <w:t>Nota al usuario</w:t>
      </w:r>
    </w:p>
    <w:p w14:paraId="5A97BFF4" w14:textId="40B255E4" w:rsidR="007F7386" w:rsidRPr="007F7386" w:rsidRDefault="007F7386" w:rsidP="007F7386">
      <w:pPr>
        <w:pStyle w:val="parrafo1"/>
        <w:widowControl w:val="0"/>
        <w:spacing w:before="240"/>
        <w:ind w:left="567" w:right="584"/>
      </w:pPr>
      <w:r w:rsidRPr="007F7386">
        <w:t xml:space="preserve">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 la Actividad Industrial (IMAI) correspondiente al mes de junio de 2020 como son la Encuesta Nacional de Empresas Constructoras (ENEC), la Encuesta Mensual de la Industria Manufacturera (EMIM) así como la Estadística de la Industria </w:t>
      </w:r>
      <w:proofErr w:type="spellStart"/>
      <w:r w:rsidRPr="007F7386">
        <w:t>Minerometalúrgica</w:t>
      </w:r>
      <w:proofErr w:type="spellEnd"/>
      <w:r w:rsidRPr="007F7386">
        <w:t xml:space="preserve"> </w:t>
      </w:r>
      <w:r>
        <w:t xml:space="preserve">(EIMM) </w:t>
      </w:r>
      <w:r w:rsidRPr="007F7386">
        <w:t>se realizó en los tiempos establecidos mediante Internet y asistencia telefónica con el fin de evitar el contacto presencial.</w:t>
      </w:r>
    </w:p>
    <w:p w14:paraId="3E09AB2B" w14:textId="0AABDCEB" w:rsidR="00083960" w:rsidRPr="007801D2" w:rsidRDefault="007F7386" w:rsidP="007F7386">
      <w:pPr>
        <w:pStyle w:val="parrafo1"/>
        <w:widowControl w:val="0"/>
        <w:spacing w:before="240"/>
        <w:ind w:left="567" w:right="584"/>
      </w:pPr>
      <w:r w:rsidRPr="007F7386">
        <w:t>En este contexto, la Tasa de No Respuesta en el levantamiento de la información correspondiente al mes de junio de 2020 registró porcentajes apropiados conforme al diseño estadístico de cada una de las Encuestas mencionadas, lo que permitió la generación de estadísticas con niveles altos de cobertura y precisión estadística para su integración en el IMAI del mes de referencia.</w:t>
      </w:r>
    </w:p>
    <w:bookmarkEnd w:id="0"/>
    <w:p w14:paraId="492D045F" w14:textId="7E99F71D" w:rsidR="00550942" w:rsidRDefault="0048371E" w:rsidP="007801D2">
      <w:pPr>
        <w:pStyle w:val="parrafo1"/>
        <w:widowControl w:val="0"/>
        <w:spacing w:before="240"/>
        <w:ind w:left="567" w:right="584"/>
        <w:rPr>
          <w:b/>
          <w:i/>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EB6FA2">
        <w:t>outliers</w:t>
      </w:r>
      <w:proofErr w:type="spellEnd"/>
      <w:r w:rsidRPr="00EB6FA2">
        <w:t>) en los modelos de ajuste estacional para los meses de la contingencia. Lo anterior con el objetivo de que los grandes cambios en las cifras originales no influyan de manera desproporcionada en los factores estacionales utilizados.</w:t>
      </w:r>
    </w:p>
    <w:p w14:paraId="60B73E32" w14:textId="00514768" w:rsidR="00EC2181" w:rsidRDefault="00EC2181" w:rsidP="00EA08D5">
      <w:pPr>
        <w:pStyle w:val="parr2"/>
        <w:widowControl w:val="0"/>
        <w:spacing w:before="240"/>
        <w:ind w:right="584"/>
        <w:rPr>
          <w:b/>
          <w:i/>
        </w:rPr>
      </w:pPr>
      <w:r>
        <w:rPr>
          <w:b/>
          <w:i/>
        </w:rPr>
        <w:t>Nota metodológica</w:t>
      </w:r>
    </w:p>
    <w:p w14:paraId="70DA0111" w14:textId="77777777" w:rsidR="00BA3C8A" w:rsidRPr="00BA3C8A" w:rsidRDefault="00BA3C8A" w:rsidP="00436DAB">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7667E182" w14:textId="77777777" w:rsidR="00BA3C8A" w:rsidRDefault="00BA3C8A" w:rsidP="00B67348">
      <w:pPr>
        <w:pStyle w:val="parrafo1"/>
        <w:widowControl w:val="0"/>
        <w:spacing w:before="240"/>
        <w:ind w:left="567" w:right="584"/>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BA3C8A">
      <w:pPr>
        <w:pStyle w:val="parrafo1"/>
        <w:widowControl w:val="0"/>
        <w:spacing w:before="360"/>
        <w:ind w:left="567" w:right="584"/>
      </w:pPr>
      <w:r>
        <w:t xml:space="preserve">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w:t>
      </w:r>
      <w:r>
        <w:lastRenderedPageBreak/>
        <w:t>representatividad del 97% del valor agregado bruto del año 2013, año base de los productos del SCNM.</w:t>
      </w:r>
    </w:p>
    <w:p w14:paraId="4E3AB855" w14:textId="77777777" w:rsidR="00BA3C8A" w:rsidRDefault="00BA3C8A" w:rsidP="00EA08D5">
      <w:pPr>
        <w:pStyle w:val="parrafo1"/>
        <w:widowControl w:val="0"/>
        <w:spacing w:before="240"/>
        <w:ind w:left="567" w:right="584"/>
      </w:pPr>
      <w: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3DBE60DB" w14:textId="0B91AF96" w:rsidR="00BA3C8A" w:rsidRDefault="00BA3C8A" w:rsidP="00EA08D5">
      <w:pPr>
        <w:pStyle w:val="parrafo1"/>
        <w:widowControl w:val="0"/>
        <w:spacing w:before="24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t>la misma</w:t>
      </w:r>
      <w:proofErr w:type="gramEnd"/>
      <w:r>
        <w:t xml:space="preserve">, ya que facilita la identificación de la posible dirección de los movimientos que pudiera tener la variable en cuestión, en el corto plazo. </w:t>
      </w:r>
    </w:p>
    <w:p w14:paraId="4B969271" w14:textId="77777777" w:rsidR="00BA3C8A" w:rsidRDefault="00BA3C8A" w:rsidP="00EA08D5">
      <w:pPr>
        <w:pStyle w:val="parrafo1"/>
        <w:widowControl w:val="0"/>
        <w:spacing w:before="240"/>
        <w:ind w:left="567" w:right="584"/>
      </w:pPr>
      <w:r>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14:paraId="6A7CCD91" w14:textId="77777777" w:rsidR="00BA3C8A" w:rsidRDefault="00BA3C8A" w:rsidP="00EA08D5">
      <w:pPr>
        <w:pStyle w:val="parrafo1"/>
        <w:widowControl w:val="0"/>
        <w:spacing w:before="240"/>
        <w:ind w:left="567" w:right="584"/>
      </w:pPr>
      <w:r>
        <w:t>Las series originales se ajustan estacionalmente mediante el paquete estadístico X</w:t>
      </w:r>
      <w:r>
        <w:noBreakHyphen/>
        <w:t xml:space="preserve">13ARIMA-SEATS. </w:t>
      </w:r>
      <w:bookmarkStart w:id="1" w:name="_Hlk34901286"/>
      <w:r>
        <w:t>Para conocer la metodología se sugiere consultar la siguiente liga:</w:t>
      </w:r>
    </w:p>
    <w:bookmarkEnd w:id="1"/>
    <w:p w14:paraId="50E72FAE" w14:textId="77777777" w:rsidR="00BA3C8A" w:rsidRPr="00BA3C8A" w:rsidRDefault="00BA3C8A" w:rsidP="00EA08D5">
      <w:pPr>
        <w:pStyle w:val="parrafo1"/>
        <w:widowControl w:val="0"/>
        <w:spacing w:before="240"/>
        <w:ind w:left="567" w:right="584"/>
      </w:pPr>
      <w:r w:rsidRPr="00BA3C8A">
        <w:rPr>
          <w:color w:val="0070C0"/>
          <w:u w:val="single"/>
        </w:rPr>
        <w:t>https: //</w:t>
      </w:r>
      <w:hyperlink r:id="rId31" w:history="1">
        <w:r w:rsidRPr="00BA3C8A">
          <w:rPr>
            <w:color w:val="0070C0"/>
            <w:u w:val="single"/>
          </w:rPr>
          <w:t>www.inegi.org.mx/app/biblioteca/ficha.html?upc=702825099060</w:t>
        </w:r>
      </w:hyperlink>
    </w:p>
    <w:p w14:paraId="501D17A7" w14:textId="77777777" w:rsidR="00BA3C8A" w:rsidRDefault="00BA3C8A" w:rsidP="00EA08D5">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IMAI.</w:t>
      </w:r>
    </w:p>
    <w:p w14:paraId="07213BA9" w14:textId="77777777" w:rsidR="00BA3C8A" w:rsidRDefault="00BA3C8A" w:rsidP="007A55AF">
      <w:pPr>
        <w:pStyle w:val="parrafo1"/>
        <w:widowControl w:val="0"/>
        <w:spacing w:before="260"/>
        <w:ind w:left="567" w:right="584"/>
      </w:pPr>
      <w:r>
        <w:t xml:space="preserve">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w:t>
      </w:r>
      <w:r>
        <w:lastRenderedPageBreak/>
        <w:t>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20FA7BA4" w14:textId="77777777" w:rsidR="00BA3C8A" w:rsidRDefault="00BA3C8A" w:rsidP="00EA08D5">
      <w:pPr>
        <w:pStyle w:val="parrafo1"/>
        <w:widowControl w:val="0"/>
        <w:spacing w:before="120"/>
        <w:ind w:left="567" w:right="584"/>
      </w:pPr>
      <w: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77777777" w:rsidR="00BA3C8A" w:rsidRDefault="00BA3C8A" w:rsidP="00EA08D5">
      <w:pPr>
        <w:pStyle w:val="parrafo1"/>
        <w:widowControl w:val="0"/>
        <w:spacing w:before="12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4F2731" w:rsidP="00EA08D5">
      <w:pPr>
        <w:pStyle w:val="parrafo1"/>
        <w:widowControl w:val="0"/>
        <w:spacing w:before="120"/>
        <w:ind w:left="567" w:right="584"/>
        <w:rPr>
          <w:u w:val="single"/>
        </w:rPr>
      </w:pPr>
      <w:hyperlink r:id="rId33"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00A1C5B6" w:rsidR="00BA3C8A" w:rsidRDefault="00BA3C8A" w:rsidP="00EA08D5">
      <w:pPr>
        <w:pStyle w:val="parrafo1"/>
        <w:widowControl w:val="0"/>
        <w:spacing w:before="120"/>
        <w:ind w:left="567" w:right="584"/>
      </w:pPr>
      <w:r>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w:t>
      </w:r>
      <w:proofErr w:type="spellStart"/>
      <w:r>
        <w:t>Minerometalúrgica</w:t>
      </w:r>
      <w:proofErr w:type="spellEnd"/>
      <w:r>
        <w:t>,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3FC0A2B" w14:textId="77777777" w:rsidR="00BA3C8A" w:rsidRDefault="00BA3C8A" w:rsidP="00EA08D5">
      <w:pPr>
        <w:pStyle w:val="parrafo1"/>
        <w:widowControl w:val="0"/>
        <w:spacing w:before="12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77777777" w:rsidR="005C428A" w:rsidRDefault="00BA3C8A" w:rsidP="00EA08D5">
      <w:pPr>
        <w:pStyle w:val="parrafo1"/>
        <w:widowControl w:val="0"/>
        <w:spacing w:before="120"/>
        <w:ind w:left="567" w:right="584"/>
      </w:pPr>
      <w:r>
        <w:t xml:space="preserve">Las series del IMAI podrán ser consultadas en la sección PIB y Cuentas Nacionales de México y en el Banco de Información Económica (BIE), en la página en Internet del Instituto </w:t>
      </w:r>
      <w:r w:rsidR="00F16B4B" w:rsidRPr="00BA3C8A">
        <w:rPr>
          <w:color w:val="0070C0"/>
          <w:u w:val="single"/>
        </w:rPr>
        <w:t>https://</w:t>
      </w:r>
      <w:hyperlink r:id="rId34" w:history="1">
        <w:r w:rsidR="00B241C3" w:rsidRPr="00BA3C8A">
          <w:rPr>
            <w:color w:val="0070C0"/>
            <w:u w:val="single"/>
          </w:rPr>
          <w:t>www.inegi.org.mx</w:t>
        </w:r>
      </w:hyperlink>
      <w:r w:rsidR="00B241C3" w:rsidRPr="00BA3C8A">
        <w:rPr>
          <w:color w:val="0070C0"/>
          <w:u w:val="single"/>
        </w:rPr>
        <w:t>.</w:t>
      </w:r>
    </w:p>
    <w:sectPr w:rsidR="005C428A" w:rsidSect="004E3C00">
      <w:headerReference w:type="default" r:id="rId35"/>
      <w:footerReference w:type="default" r:id="rId36"/>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0E25E" w14:textId="77777777" w:rsidR="005018EB" w:rsidRDefault="005018EB">
      <w:r>
        <w:separator/>
      </w:r>
    </w:p>
  </w:endnote>
  <w:endnote w:type="continuationSeparator" w:id="0">
    <w:p w14:paraId="2495AC9C" w14:textId="77777777" w:rsidR="005018EB" w:rsidRDefault="0050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B45E7" w14:textId="77777777" w:rsidR="004F2731" w:rsidRDefault="004F27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92C1" w14:textId="77777777" w:rsidR="00A54FD3" w:rsidRDefault="00A54FD3" w:rsidP="004C150C">
    <w:pPr>
      <w:pStyle w:val="Piedepgina"/>
      <w:contextualSpacing/>
      <w:jc w:val="center"/>
      <w:rPr>
        <w:b/>
        <w:color w:val="002060"/>
        <w:sz w:val="22"/>
        <w:szCs w:val="22"/>
      </w:rPr>
    </w:pPr>
  </w:p>
  <w:p w14:paraId="28A7B099" w14:textId="77777777" w:rsidR="00A54FD3" w:rsidRPr="00B528EA" w:rsidRDefault="00A54FD3" w:rsidP="004C150C">
    <w:pPr>
      <w:pStyle w:val="Piedepgina"/>
      <w:contextualSpacing/>
      <w:jc w:val="center"/>
      <w:rPr>
        <w:color w:val="002060"/>
        <w:sz w:val="18"/>
        <w:szCs w:val="18"/>
      </w:rPr>
    </w:pPr>
    <w:r w:rsidRPr="00B528E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CFB45" w14:textId="77777777" w:rsidR="004F2731" w:rsidRDefault="004F273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119B"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57A23" w14:textId="77777777" w:rsidR="005018EB" w:rsidRDefault="005018EB">
      <w:r>
        <w:separator/>
      </w:r>
    </w:p>
  </w:footnote>
  <w:footnote w:type="continuationSeparator" w:id="0">
    <w:p w14:paraId="01EA2E67" w14:textId="77777777" w:rsidR="005018EB" w:rsidRDefault="005018EB">
      <w:r>
        <w:continuationSeparator/>
      </w:r>
    </w:p>
  </w:footnote>
  <w:footnote w:id="1">
    <w:p w14:paraId="40122E3A" w14:textId="77777777" w:rsidR="00A54FD3" w:rsidRDefault="00A54FD3" w:rsidP="00A54FD3">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14844CAD" w14:textId="77777777" w:rsidR="00A54FD3" w:rsidRDefault="00A54FD3" w:rsidP="00A54FD3">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3D55" w14:textId="77777777" w:rsidR="004F2731" w:rsidRDefault="004F27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E4803" w14:textId="150DCD1A" w:rsidR="00A54FD3" w:rsidRPr="00265B8C" w:rsidRDefault="00A54FD3" w:rsidP="004F2731">
    <w:pPr>
      <w:pStyle w:val="Encabezado"/>
      <w:framePr w:w="5952" w:hSpace="141" w:wrap="auto" w:vAnchor="text" w:hAnchor="page" w:x="5147" w:y="32"/>
      <w:ind w:left="567" w:hanging="11"/>
      <w:jc w:val="right"/>
      <w:rPr>
        <w:b/>
        <w:color w:val="002060"/>
      </w:rPr>
    </w:pPr>
    <w:r w:rsidRPr="00265B8C">
      <w:rPr>
        <w:b/>
        <w:color w:val="002060"/>
      </w:rPr>
      <w:t xml:space="preserve">COMUNICADO DE PRENSA NÚM. </w:t>
    </w:r>
    <w:r w:rsidR="004F2731">
      <w:rPr>
        <w:b/>
        <w:color w:val="002060"/>
      </w:rPr>
      <w:t>394</w:t>
    </w:r>
    <w:r w:rsidRPr="00265B8C">
      <w:rPr>
        <w:b/>
        <w:color w:val="002060"/>
      </w:rPr>
      <w:t>/</w:t>
    </w:r>
    <w:r>
      <w:rPr>
        <w:b/>
        <w:color w:val="002060"/>
      </w:rPr>
      <w:t>20</w:t>
    </w:r>
  </w:p>
  <w:p w14:paraId="319D79A7" w14:textId="77777777" w:rsidR="00A54FD3" w:rsidRPr="00265B8C" w:rsidRDefault="00A54FD3" w:rsidP="004F2731">
    <w:pPr>
      <w:pStyle w:val="Encabezado"/>
      <w:framePr w:w="5952" w:hSpace="141" w:wrap="auto" w:vAnchor="text" w:hAnchor="page" w:x="5147" w:y="32"/>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AGOSTO </w:t>
    </w:r>
    <w:r w:rsidRPr="00265B8C">
      <w:rPr>
        <w:b/>
        <w:color w:val="002060"/>
        <w:lang w:val="pt-BR"/>
      </w:rPr>
      <w:t>DE 20</w:t>
    </w:r>
    <w:r>
      <w:rPr>
        <w:b/>
        <w:color w:val="002060"/>
        <w:lang w:val="pt-BR"/>
      </w:rPr>
      <w:t>20</w:t>
    </w:r>
  </w:p>
  <w:p w14:paraId="0150B7FD" w14:textId="77777777" w:rsidR="00A54FD3" w:rsidRPr="00265B8C" w:rsidRDefault="00A54FD3" w:rsidP="004F2731">
    <w:pPr>
      <w:pStyle w:val="Encabezado"/>
      <w:framePr w:w="5952" w:hSpace="141" w:wrap="auto" w:vAnchor="text" w:hAnchor="page" w:x="5147"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10AF20DB" w14:textId="77777777" w:rsidR="00A54FD3" w:rsidRDefault="00A54FD3" w:rsidP="004C150C">
    <w:pPr>
      <w:pStyle w:val="Encabezado"/>
      <w:ind w:left="-993"/>
    </w:pPr>
    <w:r>
      <w:rPr>
        <w:noProof/>
      </w:rPr>
      <w:drawing>
        <wp:inline distT="0" distB="0" distL="0" distR="0" wp14:anchorId="4B0DF336" wp14:editId="713846C4">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21AB1" w14:textId="77777777" w:rsidR="004F2731" w:rsidRDefault="004F27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F5AC1" w14:textId="364A2FF8" w:rsidR="007F4A9E" w:rsidRDefault="00902D2C" w:rsidP="00A54FD3">
    <w:pPr>
      <w:pStyle w:val="Encabezado"/>
      <w:jc w:val="center"/>
    </w:pPr>
    <w:r>
      <w:rPr>
        <w:noProof/>
        <w:lang w:val="es-MX" w:eastAsia="es-MX"/>
      </w:rPr>
      <w:drawing>
        <wp:inline distT="0" distB="0" distL="0" distR="0" wp14:anchorId="09D180A5" wp14:editId="4540F3DC">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F51"/>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1DB9"/>
    <w:rsid w:val="000D1E2C"/>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769A"/>
    <w:rsid w:val="00127810"/>
    <w:rsid w:val="001301E6"/>
    <w:rsid w:val="001304F2"/>
    <w:rsid w:val="00130C4C"/>
    <w:rsid w:val="001313E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A24"/>
    <w:rsid w:val="001A7F95"/>
    <w:rsid w:val="001B07B0"/>
    <w:rsid w:val="001B0992"/>
    <w:rsid w:val="001B0AC4"/>
    <w:rsid w:val="001B1120"/>
    <w:rsid w:val="001B15E2"/>
    <w:rsid w:val="001B163A"/>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17DBE"/>
    <w:rsid w:val="0022018A"/>
    <w:rsid w:val="00220ADA"/>
    <w:rsid w:val="00220B7B"/>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6B6"/>
    <w:rsid w:val="0027475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810"/>
    <w:rsid w:val="002F08E4"/>
    <w:rsid w:val="002F10E7"/>
    <w:rsid w:val="002F11F9"/>
    <w:rsid w:val="002F1274"/>
    <w:rsid w:val="002F13E0"/>
    <w:rsid w:val="002F16CB"/>
    <w:rsid w:val="002F1742"/>
    <w:rsid w:val="002F1AB0"/>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C8A"/>
    <w:rsid w:val="00322D80"/>
    <w:rsid w:val="0032345B"/>
    <w:rsid w:val="003235FE"/>
    <w:rsid w:val="00323601"/>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7C8"/>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8D8"/>
    <w:rsid w:val="00362A1A"/>
    <w:rsid w:val="00362B5E"/>
    <w:rsid w:val="003638E9"/>
    <w:rsid w:val="003643A5"/>
    <w:rsid w:val="003649A7"/>
    <w:rsid w:val="00364D97"/>
    <w:rsid w:val="0036533F"/>
    <w:rsid w:val="00365370"/>
    <w:rsid w:val="00365CD3"/>
    <w:rsid w:val="003661C9"/>
    <w:rsid w:val="0036693A"/>
    <w:rsid w:val="00366AFA"/>
    <w:rsid w:val="00366C31"/>
    <w:rsid w:val="00366E4E"/>
    <w:rsid w:val="0036737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820"/>
    <w:rsid w:val="003759B2"/>
    <w:rsid w:val="00375B14"/>
    <w:rsid w:val="00375D85"/>
    <w:rsid w:val="003760FD"/>
    <w:rsid w:val="00376234"/>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8C8"/>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EF7"/>
    <w:rsid w:val="003D0E1F"/>
    <w:rsid w:val="003D1182"/>
    <w:rsid w:val="003D13BA"/>
    <w:rsid w:val="003D1AE0"/>
    <w:rsid w:val="003D212B"/>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16"/>
    <w:rsid w:val="003E6103"/>
    <w:rsid w:val="003E634D"/>
    <w:rsid w:val="003E64BB"/>
    <w:rsid w:val="003E6AC1"/>
    <w:rsid w:val="003E7EEA"/>
    <w:rsid w:val="003F01E7"/>
    <w:rsid w:val="003F18CF"/>
    <w:rsid w:val="003F2BFE"/>
    <w:rsid w:val="003F2C38"/>
    <w:rsid w:val="003F3A44"/>
    <w:rsid w:val="003F5F0A"/>
    <w:rsid w:val="003F6DF4"/>
    <w:rsid w:val="003F7022"/>
    <w:rsid w:val="003F7263"/>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27"/>
    <w:rsid w:val="0042336F"/>
    <w:rsid w:val="004234AE"/>
    <w:rsid w:val="004234EF"/>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151"/>
    <w:rsid w:val="004328E4"/>
    <w:rsid w:val="00432937"/>
    <w:rsid w:val="00432BD0"/>
    <w:rsid w:val="00433460"/>
    <w:rsid w:val="00433D87"/>
    <w:rsid w:val="00433ECE"/>
    <w:rsid w:val="004347A7"/>
    <w:rsid w:val="004347E6"/>
    <w:rsid w:val="00434800"/>
    <w:rsid w:val="00434F9C"/>
    <w:rsid w:val="00435F09"/>
    <w:rsid w:val="00435F6F"/>
    <w:rsid w:val="00436548"/>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178A"/>
    <w:rsid w:val="00491C1D"/>
    <w:rsid w:val="00491DF1"/>
    <w:rsid w:val="00492535"/>
    <w:rsid w:val="00493435"/>
    <w:rsid w:val="00493994"/>
    <w:rsid w:val="00493ED8"/>
    <w:rsid w:val="00494B28"/>
    <w:rsid w:val="004951C2"/>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8EA"/>
    <w:rsid w:val="004E5F65"/>
    <w:rsid w:val="004E6027"/>
    <w:rsid w:val="004E6C3B"/>
    <w:rsid w:val="004E6C7A"/>
    <w:rsid w:val="004E7615"/>
    <w:rsid w:val="004E7CDF"/>
    <w:rsid w:val="004F05C5"/>
    <w:rsid w:val="004F078C"/>
    <w:rsid w:val="004F1324"/>
    <w:rsid w:val="004F1C7D"/>
    <w:rsid w:val="004F1D24"/>
    <w:rsid w:val="004F1DFC"/>
    <w:rsid w:val="004F21D2"/>
    <w:rsid w:val="004F2641"/>
    <w:rsid w:val="004F2731"/>
    <w:rsid w:val="004F27F3"/>
    <w:rsid w:val="004F29B9"/>
    <w:rsid w:val="004F2B8E"/>
    <w:rsid w:val="004F2C85"/>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8EB"/>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0942"/>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3426"/>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992"/>
    <w:rsid w:val="00663F53"/>
    <w:rsid w:val="0066486A"/>
    <w:rsid w:val="0066527F"/>
    <w:rsid w:val="006655F5"/>
    <w:rsid w:val="00666754"/>
    <w:rsid w:val="006668C2"/>
    <w:rsid w:val="00666AEA"/>
    <w:rsid w:val="00667FB2"/>
    <w:rsid w:val="00670085"/>
    <w:rsid w:val="0067018F"/>
    <w:rsid w:val="00670995"/>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5359"/>
    <w:rsid w:val="006A777A"/>
    <w:rsid w:val="006A7AE9"/>
    <w:rsid w:val="006A7C9D"/>
    <w:rsid w:val="006B0264"/>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53B5"/>
    <w:rsid w:val="007656E2"/>
    <w:rsid w:val="007664EA"/>
    <w:rsid w:val="007667C4"/>
    <w:rsid w:val="007670FC"/>
    <w:rsid w:val="00767200"/>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C5C"/>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7A8"/>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6C5"/>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4114"/>
    <w:rsid w:val="008E45EA"/>
    <w:rsid w:val="008E4A1A"/>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1BF"/>
    <w:rsid w:val="009B5973"/>
    <w:rsid w:val="009B5B48"/>
    <w:rsid w:val="009B5DB0"/>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625"/>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2874"/>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C6C"/>
    <w:rsid w:val="00A46EB1"/>
    <w:rsid w:val="00A4736B"/>
    <w:rsid w:val="00A4792C"/>
    <w:rsid w:val="00A47A54"/>
    <w:rsid w:val="00A47C59"/>
    <w:rsid w:val="00A50CF7"/>
    <w:rsid w:val="00A50FEC"/>
    <w:rsid w:val="00A51FC3"/>
    <w:rsid w:val="00A532FC"/>
    <w:rsid w:val="00A53624"/>
    <w:rsid w:val="00A53C86"/>
    <w:rsid w:val="00A543EA"/>
    <w:rsid w:val="00A54F72"/>
    <w:rsid w:val="00A54FD3"/>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F4F"/>
    <w:rsid w:val="00AD403C"/>
    <w:rsid w:val="00AD4153"/>
    <w:rsid w:val="00AD4838"/>
    <w:rsid w:val="00AD5156"/>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1861"/>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102A1"/>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8FE"/>
    <w:rsid w:val="00B51F64"/>
    <w:rsid w:val="00B52D1F"/>
    <w:rsid w:val="00B53B4E"/>
    <w:rsid w:val="00B53C5F"/>
    <w:rsid w:val="00B54492"/>
    <w:rsid w:val="00B54BD8"/>
    <w:rsid w:val="00B5596C"/>
    <w:rsid w:val="00B569B2"/>
    <w:rsid w:val="00B56FBD"/>
    <w:rsid w:val="00B5715A"/>
    <w:rsid w:val="00B57327"/>
    <w:rsid w:val="00B57484"/>
    <w:rsid w:val="00B6002D"/>
    <w:rsid w:val="00B6010B"/>
    <w:rsid w:val="00B61262"/>
    <w:rsid w:val="00B61DBF"/>
    <w:rsid w:val="00B6210A"/>
    <w:rsid w:val="00B6220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6429"/>
    <w:rsid w:val="00B8648F"/>
    <w:rsid w:val="00B866C7"/>
    <w:rsid w:val="00B86835"/>
    <w:rsid w:val="00B86EFB"/>
    <w:rsid w:val="00B87552"/>
    <w:rsid w:val="00B87563"/>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6D3C"/>
    <w:rsid w:val="00B97577"/>
    <w:rsid w:val="00BA03D6"/>
    <w:rsid w:val="00BA0FE9"/>
    <w:rsid w:val="00BA139F"/>
    <w:rsid w:val="00BA1A0B"/>
    <w:rsid w:val="00BA1E85"/>
    <w:rsid w:val="00BA29AA"/>
    <w:rsid w:val="00BA327D"/>
    <w:rsid w:val="00BA359B"/>
    <w:rsid w:val="00BA3A93"/>
    <w:rsid w:val="00BA3C8A"/>
    <w:rsid w:val="00BA4D05"/>
    <w:rsid w:val="00BA5165"/>
    <w:rsid w:val="00BA5599"/>
    <w:rsid w:val="00BA5A40"/>
    <w:rsid w:val="00BA5FD5"/>
    <w:rsid w:val="00BA62AB"/>
    <w:rsid w:val="00BA6CAF"/>
    <w:rsid w:val="00BA7E0B"/>
    <w:rsid w:val="00BB0A3B"/>
    <w:rsid w:val="00BB0DE3"/>
    <w:rsid w:val="00BB0EA0"/>
    <w:rsid w:val="00BB10CD"/>
    <w:rsid w:val="00BB10F0"/>
    <w:rsid w:val="00BB122E"/>
    <w:rsid w:val="00BB1F37"/>
    <w:rsid w:val="00BB25BB"/>
    <w:rsid w:val="00BB3DBA"/>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099"/>
    <w:rsid w:val="00C70B38"/>
    <w:rsid w:val="00C70B43"/>
    <w:rsid w:val="00C71A56"/>
    <w:rsid w:val="00C72677"/>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41"/>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87C"/>
    <w:rsid w:val="00CD474C"/>
    <w:rsid w:val="00CD54EA"/>
    <w:rsid w:val="00CD5589"/>
    <w:rsid w:val="00CD5CCC"/>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3E8"/>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52"/>
    <w:rsid w:val="00E074C1"/>
    <w:rsid w:val="00E07B79"/>
    <w:rsid w:val="00E07CDC"/>
    <w:rsid w:val="00E1006A"/>
    <w:rsid w:val="00E105B9"/>
    <w:rsid w:val="00E1079E"/>
    <w:rsid w:val="00E10F6A"/>
    <w:rsid w:val="00E112FA"/>
    <w:rsid w:val="00E12CED"/>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F5"/>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AEB"/>
    <w:rsid w:val="00EE5DFC"/>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42"/>
    <w:rsid w:val="00F13A85"/>
    <w:rsid w:val="00F13C6A"/>
    <w:rsid w:val="00F13C93"/>
    <w:rsid w:val="00F140DE"/>
    <w:rsid w:val="00F14212"/>
    <w:rsid w:val="00F1425C"/>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CAF"/>
    <w:rsid w:val="00F223BD"/>
    <w:rsid w:val="00F223EA"/>
    <w:rsid w:val="00F224BD"/>
    <w:rsid w:val="00F22EE2"/>
    <w:rsid w:val="00F23017"/>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885"/>
    <w:rsid w:val="00F42037"/>
    <w:rsid w:val="00F423F6"/>
    <w:rsid w:val="00F42415"/>
    <w:rsid w:val="00F424D3"/>
    <w:rsid w:val="00F4284C"/>
    <w:rsid w:val="00F432C6"/>
    <w:rsid w:val="00F443B0"/>
    <w:rsid w:val="00F444E7"/>
    <w:rsid w:val="00F447EA"/>
    <w:rsid w:val="00F44943"/>
    <w:rsid w:val="00F453DF"/>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4ADA"/>
    <w:rsid w:val="00FA4E3C"/>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664"/>
    <w:rsid w:val="00FB3784"/>
    <w:rsid w:val="00FB3DE4"/>
    <w:rsid w:val="00FB45A7"/>
    <w:rsid w:val="00FB50C2"/>
    <w:rsid w:val="00FB529D"/>
    <w:rsid w:val="00FB56C5"/>
    <w:rsid w:val="00FB57EF"/>
    <w:rsid w:val="00FB59E5"/>
    <w:rsid w:val="00FB5FB0"/>
    <w:rsid w:val="00FB646A"/>
    <w:rsid w:val="00FB6F0E"/>
    <w:rsid w:val="00FB7A98"/>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customStyle="1" w:styleId="PiedepginaCar">
    <w:name w:val="Pie de página Car"/>
    <w:basedOn w:val="Fuentedeprrafopredeter"/>
    <w:link w:val="Piedepgina"/>
    <w:uiPriority w:val="99"/>
    <w:rsid w:val="00A54FD3"/>
    <w:rPr>
      <w:rFonts w:ascii="Arial" w:hAnsi="Arial" w:cs="Arial"/>
      <w:sz w:val="24"/>
      <w:szCs w:val="24"/>
      <w:lang w:val="es-ES_tradnl" w:eastAsia="es-ES"/>
    </w:rPr>
  </w:style>
  <w:style w:type="paragraph" w:styleId="NormalWeb">
    <w:name w:val="Normal (Web)"/>
    <w:basedOn w:val="Normal"/>
    <w:uiPriority w:val="99"/>
    <w:rsid w:val="00A54FD3"/>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contenidos/programas/imai/2013/doc/met_imai.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uel.cuenca\Downloads\gr&#225;ficas%20Act.%20Industrial%20(cifras%20desestacionalizadas)%2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nuel.cuenca\Downloads\gr&#225;ficas%20Act.%20Industrial%20(cifras%20desestacionalizadas)%20(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nuel.cuenca\Downloads\gr&#225;ficas%20Act.%20Industrial%20(cifras%20desestacionalizadas)%2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nuel.cuenca\Downloads\gr&#225;ficas%20Act.%20Industrial%20(cifras%20desestacionalizadas)%20(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nuel.cuenca\Downloads\gr&#225;ficas%20Act.%20Industrial%20(cifras%20desestacionalizadas)%20(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nuel.cuenca\Downloads\gr&#225;ficas%20Act.%20Industrial%20(cifras%20desestacionalizadas)%2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'[gráficas Act. Industrial (cifras desestacionalizadas) (6).xlsx]datos'!$D$4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(6).xlsx]datos'!$D$29:$D$94</c:f>
              <c:numCache>
                <c:formatCode>0.0</c:formatCode>
                <c:ptCount val="66"/>
                <c:pt idx="0">
                  <c:v>102.728120375773</c:v>
                </c:pt>
                <c:pt idx="1">
                  <c:v>103.10462608448</c:v>
                </c:pt>
                <c:pt idx="2">
                  <c:v>102.830590664968</c:v>
                </c:pt>
                <c:pt idx="3">
                  <c:v>103.935731558904</c:v>
                </c:pt>
                <c:pt idx="4">
                  <c:v>102.61035022094499</c:v>
                </c:pt>
                <c:pt idx="5">
                  <c:v>103.148139633235</c:v>
                </c:pt>
                <c:pt idx="6">
                  <c:v>104.493139728994</c:v>
                </c:pt>
                <c:pt idx="7">
                  <c:v>104.614906790199</c:v>
                </c:pt>
                <c:pt idx="8">
                  <c:v>105.97775344255599</c:v>
                </c:pt>
                <c:pt idx="9">
                  <c:v>104.071566584132</c:v>
                </c:pt>
                <c:pt idx="10">
                  <c:v>103.790650510559</c:v>
                </c:pt>
                <c:pt idx="11">
                  <c:v>103.837568690335</c:v>
                </c:pt>
                <c:pt idx="12">
                  <c:v>104.27528383515499</c:v>
                </c:pt>
                <c:pt idx="13">
                  <c:v>104.500921606829</c:v>
                </c:pt>
                <c:pt idx="14">
                  <c:v>103.786104829216</c:v>
                </c:pt>
                <c:pt idx="15">
                  <c:v>103.496962849298</c:v>
                </c:pt>
                <c:pt idx="16">
                  <c:v>103.855786094666</c:v>
                </c:pt>
                <c:pt idx="17">
                  <c:v>103.36953702969301</c:v>
                </c:pt>
                <c:pt idx="18">
                  <c:v>103.717584067677</c:v>
                </c:pt>
                <c:pt idx="19">
                  <c:v>103.582879431922</c:v>
                </c:pt>
                <c:pt idx="20">
                  <c:v>103.673844703189</c:v>
                </c:pt>
                <c:pt idx="21">
                  <c:v>103.966858743681</c:v>
                </c:pt>
                <c:pt idx="22">
                  <c:v>105.289057210392</c:v>
                </c:pt>
                <c:pt idx="23">
                  <c:v>104.21218919210899</c:v>
                </c:pt>
                <c:pt idx="24">
                  <c:v>104.42449522257699</c:v>
                </c:pt>
                <c:pt idx="25">
                  <c:v>103.9434468967</c:v>
                </c:pt>
                <c:pt idx="26">
                  <c:v>104.799795558146</c:v>
                </c:pt>
                <c:pt idx="27">
                  <c:v>103.91257995023599</c:v>
                </c:pt>
                <c:pt idx="28">
                  <c:v>103.463982129204</c:v>
                </c:pt>
                <c:pt idx="29">
                  <c:v>104.026200891423</c:v>
                </c:pt>
                <c:pt idx="30">
                  <c:v>103.283219838515</c:v>
                </c:pt>
                <c:pt idx="31">
                  <c:v>103.746879283046</c:v>
                </c:pt>
                <c:pt idx="32">
                  <c:v>101.918580336988</c:v>
                </c:pt>
                <c:pt idx="33">
                  <c:v>104.011758047095</c:v>
                </c:pt>
                <c:pt idx="34">
                  <c:v>104.377636725866</c:v>
                </c:pt>
                <c:pt idx="35">
                  <c:v>104.914029668399</c:v>
                </c:pt>
                <c:pt idx="36">
                  <c:v>104.534140345949</c:v>
                </c:pt>
                <c:pt idx="37">
                  <c:v>104.808177803052</c:v>
                </c:pt>
                <c:pt idx="38">
                  <c:v>105.121813863097</c:v>
                </c:pt>
                <c:pt idx="39">
                  <c:v>104.808303550887</c:v>
                </c:pt>
                <c:pt idx="40">
                  <c:v>105.337480064701</c:v>
                </c:pt>
                <c:pt idx="41">
                  <c:v>105.004904639904</c:v>
                </c:pt>
                <c:pt idx="42">
                  <c:v>104.980800245464</c:v>
                </c:pt>
                <c:pt idx="43">
                  <c:v>104.125099898103</c:v>
                </c:pt>
                <c:pt idx="44">
                  <c:v>104.45125244063</c:v>
                </c:pt>
                <c:pt idx="45">
                  <c:v>103.868036017344</c:v>
                </c:pt>
                <c:pt idx="46">
                  <c:v>103.272522780812</c:v>
                </c:pt>
                <c:pt idx="47">
                  <c:v>101.975702686353</c:v>
                </c:pt>
                <c:pt idx="48">
                  <c:v>103.509789558332</c:v>
                </c:pt>
                <c:pt idx="49">
                  <c:v>104.77795400989601</c:v>
                </c:pt>
                <c:pt idx="50">
                  <c:v>102.751333721905</c:v>
                </c:pt>
                <c:pt idx="51">
                  <c:v>104.008255510967</c:v>
                </c:pt>
                <c:pt idx="52">
                  <c:v>102.06529263473701</c:v>
                </c:pt>
                <c:pt idx="53">
                  <c:v>102.69742890952401</c:v>
                </c:pt>
                <c:pt idx="54">
                  <c:v>102.455810079811</c:v>
                </c:pt>
                <c:pt idx="55">
                  <c:v>103.03534832184801</c:v>
                </c:pt>
                <c:pt idx="56">
                  <c:v>102.504834042561</c:v>
                </c:pt>
                <c:pt idx="57">
                  <c:v>100.820912159134</c:v>
                </c:pt>
                <c:pt idx="58">
                  <c:v>101.668231765984</c:v>
                </c:pt>
                <c:pt idx="59">
                  <c:v>101.296548225935</c:v>
                </c:pt>
                <c:pt idx="60">
                  <c:v>101.681740471201</c:v>
                </c:pt>
                <c:pt idx="61">
                  <c:v>101.28579667161399</c:v>
                </c:pt>
                <c:pt idx="62">
                  <c:v>98.201118430170794</c:v>
                </c:pt>
                <c:pt idx="63">
                  <c:v>72.723175233518006</c:v>
                </c:pt>
                <c:pt idx="64">
                  <c:v>71.839983245896406</c:v>
                </c:pt>
                <c:pt idx="65">
                  <c:v>84.691747150092695</c:v>
                </c:pt>
              </c:numCache>
            </c:numRef>
          </c:val>
          <c:extLst>
            <c:ext xmlns:c16="http://schemas.microsoft.com/office/drawing/2014/chart" uri="{C3380CC4-5D6E-409C-BE32-E72D297353CC}">
              <c16:uniqueId val="{00000000-6414-4B2C-B284-E7BCDD42AABB}"/>
            </c:ext>
          </c:extLst>
        </c:ser>
        <c:dLbls>
          <c:showLegendKey val="0"/>
          <c:showVal val="1"/>
          <c:showCatName val="0"/>
          <c:showSerName val="0"/>
          <c:showPercent val="0"/>
          <c:showBubbleSize val="0"/>
        </c:dLbls>
        <c:gapWidth val="40"/>
        <c:axId val="121037568"/>
        <c:axId val="121038744"/>
      </c:barChart>
      <c:lineChart>
        <c:grouping val="standard"/>
        <c:varyColors val="0"/>
        <c:ser>
          <c:idx val="1"/>
          <c:order val="1"/>
          <c:tx>
            <c:strRef>
              <c:f>'[gráficas Act. Industrial (cifras desestacionalizadas) (6).xlsx]datos'!$E$4</c:f>
              <c:strCache>
                <c:ptCount val="1"/>
                <c:pt idx="0">
                  <c:v>Tendencia-Ciclo</c:v>
                </c:pt>
              </c:strCache>
            </c:strRef>
          </c:tx>
          <c:spPr>
            <a:ln w="15875">
              <a:solidFill>
                <a:srgbClr val="C00000"/>
              </a:solidFill>
              <a:prstDash val="solid"/>
            </a:ln>
          </c:spPr>
          <c:marker>
            <c:symbol val="none"/>
          </c:marker>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(6).xlsx]datos'!$E$29:$E$94</c:f>
              <c:numCache>
                <c:formatCode>0.0</c:formatCode>
                <c:ptCount val="66"/>
                <c:pt idx="0">
                  <c:v>103.135027956432</c:v>
                </c:pt>
                <c:pt idx="1">
                  <c:v>103.08475368624499</c:v>
                </c:pt>
                <c:pt idx="2">
                  <c:v>103.112945106533</c:v>
                </c:pt>
                <c:pt idx="3">
                  <c:v>103.27757679832</c:v>
                </c:pt>
                <c:pt idx="4">
                  <c:v>103.559283881787</c:v>
                </c:pt>
                <c:pt idx="5">
                  <c:v>103.872240431374</c:v>
                </c:pt>
                <c:pt idx="6">
                  <c:v>104.115691827956</c:v>
                </c:pt>
                <c:pt idx="7">
                  <c:v>104.232201493492</c:v>
                </c:pt>
                <c:pt idx="8">
                  <c:v>104.247784743587</c:v>
                </c:pt>
                <c:pt idx="9">
                  <c:v>104.204076330474</c:v>
                </c:pt>
                <c:pt idx="10">
                  <c:v>104.139154313228</c:v>
                </c:pt>
                <c:pt idx="11">
                  <c:v>104.08040268460201</c:v>
                </c:pt>
                <c:pt idx="12">
                  <c:v>104.044365110397</c:v>
                </c:pt>
                <c:pt idx="13">
                  <c:v>104.006746510179</c:v>
                </c:pt>
                <c:pt idx="14">
                  <c:v>103.924937029136</c:v>
                </c:pt>
                <c:pt idx="15">
                  <c:v>103.79710820202899</c:v>
                </c:pt>
                <c:pt idx="16">
                  <c:v>103.65768915008699</c:v>
                </c:pt>
                <c:pt idx="17">
                  <c:v>103.56812108256401</c:v>
                </c:pt>
                <c:pt idx="18">
                  <c:v>103.569830563943</c:v>
                </c:pt>
                <c:pt idx="19">
                  <c:v>103.67004980711999</c:v>
                </c:pt>
                <c:pt idx="20">
                  <c:v>103.812006925765</c:v>
                </c:pt>
                <c:pt idx="21">
                  <c:v>103.96938594933999</c:v>
                </c:pt>
                <c:pt idx="22">
                  <c:v>104.136822520208</c:v>
                </c:pt>
                <c:pt idx="23">
                  <c:v>104.26271360342599</c:v>
                </c:pt>
                <c:pt idx="24">
                  <c:v>104.315419721189</c:v>
                </c:pt>
                <c:pt idx="25">
                  <c:v>104.281559253842</c:v>
                </c:pt>
                <c:pt idx="26">
                  <c:v>104.163436423313</c:v>
                </c:pt>
                <c:pt idx="27">
                  <c:v>103.995906296212</c:v>
                </c:pt>
                <c:pt idx="28">
                  <c:v>103.81976662777301</c:v>
                </c:pt>
                <c:pt idx="29">
                  <c:v>103.672569677268</c:v>
                </c:pt>
                <c:pt idx="30">
                  <c:v>103.61083279508701</c:v>
                </c:pt>
                <c:pt idx="31">
                  <c:v>103.66984486254501</c:v>
                </c:pt>
                <c:pt idx="32">
                  <c:v>103.835399012233</c:v>
                </c:pt>
                <c:pt idx="33">
                  <c:v>104.077714875589</c:v>
                </c:pt>
                <c:pt idx="34">
                  <c:v>104.323306057875</c:v>
                </c:pt>
                <c:pt idx="35">
                  <c:v>104.55319071278601</c:v>
                </c:pt>
                <c:pt idx="36">
                  <c:v>104.745961379752</c:v>
                </c:pt>
                <c:pt idx="37">
                  <c:v>104.898168879948</c:v>
                </c:pt>
                <c:pt idx="38">
                  <c:v>105.01022114337999</c:v>
                </c:pt>
                <c:pt idx="39">
                  <c:v>105.06677176430399</c:v>
                </c:pt>
                <c:pt idx="40">
                  <c:v>105.065642767152</c:v>
                </c:pt>
                <c:pt idx="41">
                  <c:v>104.979139412373</c:v>
                </c:pt>
                <c:pt idx="42">
                  <c:v>104.780510199752</c:v>
                </c:pt>
                <c:pt idx="43">
                  <c:v>104.488081591599</c:v>
                </c:pt>
                <c:pt idx="44">
                  <c:v>104.169488361036</c:v>
                </c:pt>
                <c:pt idx="45">
                  <c:v>103.86403545019699</c:v>
                </c:pt>
                <c:pt idx="46">
                  <c:v>103.601570197282</c:v>
                </c:pt>
                <c:pt idx="47">
                  <c:v>103.399752388728</c:v>
                </c:pt>
                <c:pt idx="48">
                  <c:v>103.244304770219</c:v>
                </c:pt>
                <c:pt idx="49">
                  <c:v>103.112016611377</c:v>
                </c:pt>
                <c:pt idx="50">
                  <c:v>102.993083745083</c:v>
                </c:pt>
                <c:pt idx="51">
                  <c:v>102.899267115106</c:v>
                </c:pt>
                <c:pt idx="52">
                  <c:v>102.82187011422801</c:v>
                </c:pt>
                <c:pt idx="53">
                  <c:v>102.762554242413</c:v>
                </c:pt>
                <c:pt idx="54">
                  <c:v>102.684821696513</c:v>
                </c:pt>
                <c:pt idx="55">
                  <c:v>102.54909944640301</c:v>
                </c:pt>
                <c:pt idx="56">
                  <c:v>102.344909130519</c:v>
                </c:pt>
                <c:pt idx="57">
                  <c:v>102.095361980956</c:v>
                </c:pt>
                <c:pt idx="58">
                  <c:v>101.842457184738</c:v>
                </c:pt>
                <c:pt idx="59">
                  <c:v>101.60916132037801</c:v>
                </c:pt>
                <c:pt idx="60">
                  <c:v>101.411845901004</c:v>
                </c:pt>
                <c:pt idx="61">
                  <c:v>101.249666664286</c:v>
                </c:pt>
                <c:pt idx="62">
                  <c:v>101.10530635363401</c:v>
                </c:pt>
                <c:pt idx="63">
                  <c:v>100.94677061932001</c:v>
                </c:pt>
                <c:pt idx="64">
                  <c:v>100.76132537907</c:v>
                </c:pt>
                <c:pt idx="65">
                  <c:v>100.56741262090399</c:v>
                </c:pt>
              </c:numCache>
            </c:numRef>
          </c:val>
          <c:smooth val="0"/>
          <c:extLst>
            <c:ext xmlns:c16="http://schemas.microsoft.com/office/drawing/2014/chart" uri="{C3380CC4-5D6E-409C-BE32-E72D297353CC}">
              <c16:uniqueId val="{00000001-6414-4B2C-B284-E7BCDD42AABB}"/>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'[gráficas Act. Industrial (cifras desestacionalizadas) (6).xlsx]datos'!$D$4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(6).xlsx]datos'!$D$29:$D$94</c:f>
              <c:numCache>
                <c:formatCode>0.0</c:formatCode>
                <c:ptCount val="66"/>
                <c:pt idx="0">
                  <c:v>102.728120375773</c:v>
                </c:pt>
                <c:pt idx="1">
                  <c:v>103.10462608448</c:v>
                </c:pt>
                <c:pt idx="2">
                  <c:v>102.830590664968</c:v>
                </c:pt>
                <c:pt idx="3">
                  <c:v>103.935731558904</c:v>
                </c:pt>
                <c:pt idx="4">
                  <c:v>102.61035022094499</c:v>
                </c:pt>
                <c:pt idx="5">
                  <c:v>103.148139633235</c:v>
                </c:pt>
                <c:pt idx="6">
                  <c:v>104.493139728994</c:v>
                </c:pt>
                <c:pt idx="7">
                  <c:v>104.614906790199</c:v>
                </c:pt>
                <c:pt idx="8">
                  <c:v>105.97775344255599</c:v>
                </c:pt>
                <c:pt idx="9">
                  <c:v>104.071566584132</c:v>
                </c:pt>
                <c:pt idx="10">
                  <c:v>103.790650510559</c:v>
                </c:pt>
                <c:pt idx="11">
                  <c:v>103.837568690335</c:v>
                </c:pt>
                <c:pt idx="12">
                  <c:v>104.27528383515499</c:v>
                </c:pt>
                <c:pt idx="13">
                  <c:v>104.500921606829</c:v>
                </c:pt>
                <c:pt idx="14">
                  <c:v>103.786104829216</c:v>
                </c:pt>
                <c:pt idx="15">
                  <c:v>103.496962849298</c:v>
                </c:pt>
                <c:pt idx="16">
                  <c:v>103.855786094666</c:v>
                </c:pt>
                <c:pt idx="17">
                  <c:v>103.36953702969301</c:v>
                </c:pt>
                <c:pt idx="18">
                  <c:v>103.717584067677</c:v>
                </c:pt>
                <c:pt idx="19">
                  <c:v>103.582879431922</c:v>
                </c:pt>
                <c:pt idx="20">
                  <c:v>103.673844703189</c:v>
                </c:pt>
                <c:pt idx="21">
                  <c:v>103.966858743681</c:v>
                </c:pt>
                <c:pt idx="22">
                  <c:v>105.289057210392</c:v>
                </c:pt>
                <c:pt idx="23">
                  <c:v>104.21218919210899</c:v>
                </c:pt>
                <c:pt idx="24">
                  <c:v>104.42449522257699</c:v>
                </c:pt>
                <c:pt idx="25">
                  <c:v>103.9434468967</c:v>
                </c:pt>
                <c:pt idx="26">
                  <c:v>104.799795558146</c:v>
                </c:pt>
                <c:pt idx="27">
                  <c:v>103.91257995023599</c:v>
                </c:pt>
                <c:pt idx="28">
                  <c:v>103.463982129204</c:v>
                </c:pt>
                <c:pt idx="29">
                  <c:v>104.026200891423</c:v>
                </c:pt>
                <c:pt idx="30">
                  <c:v>103.283219838515</c:v>
                </c:pt>
                <c:pt idx="31">
                  <c:v>103.746879283046</c:v>
                </c:pt>
                <c:pt idx="32">
                  <c:v>101.918580336988</c:v>
                </c:pt>
                <c:pt idx="33">
                  <c:v>104.011758047095</c:v>
                </c:pt>
                <c:pt idx="34">
                  <c:v>104.377636725866</c:v>
                </c:pt>
                <c:pt idx="35">
                  <c:v>104.914029668399</c:v>
                </c:pt>
                <c:pt idx="36">
                  <c:v>104.534140345949</c:v>
                </c:pt>
                <c:pt idx="37">
                  <c:v>104.808177803052</c:v>
                </c:pt>
                <c:pt idx="38">
                  <c:v>105.121813863097</c:v>
                </c:pt>
                <c:pt idx="39">
                  <c:v>104.808303550887</c:v>
                </c:pt>
                <c:pt idx="40">
                  <c:v>105.337480064701</c:v>
                </c:pt>
                <c:pt idx="41">
                  <c:v>105.004904639904</c:v>
                </c:pt>
                <c:pt idx="42">
                  <c:v>104.980800245464</c:v>
                </c:pt>
                <c:pt idx="43">
                  <c:v>104.125099898103</c:v>
                </c:pt>
                <c:pt idx="44">
                  <c:v>104.45125244063</c:v>
                </c:pt>
                <c:pt idx="45">
                  <c:v>103.868036017344</c:v>
                </c:pt>
                <c:pt idx="46">
                  <c:v>103.272522780812</c:v>
                </c:pt>
                <c:pt idx="47">
                  <c:v>101.975702686353</c:v>
                </c:pt>
                <c:pt idx="48">
                  <c:v>103.509789558332</c:v>
                </c:pt>
                <c:pt idx="49">
                  <c:v>104.77795400989601</c:v>
                </c:pt>
                <c:pt idx="50">
                  <c:v>102.751333721905</c:v>
                </c:pt>
                <c:pt idx="51">
                  <c:v>104.008255510967</c:v>
                </c:pt>
                <c:pt idx="52">
                  <c:v>102.06529263473701</c:v>
                </c:pt>
                <c:pt idx="53">
                  <c:v>102.69742890952401</c:v>
                </c:pt>
                <c:pt idx="54">
                  <c:v>102.455810079811</c:v>
                </c:pt>
                <c:pt idx="55">
                  <c:v>103.03534832184801</c:v>
                </c:pt>
                <c:pt idx="56">
                  <c:v>102.504834042561</c:v>
                </c:pt>
                <c:pt idx="57">
                  <c:v>100.820912159134</c:v>
                </c:pt>
                <c:pt idx="58">
                  <c:v>101.668231765984</c:v>
                </c:pt>
                <c:pt idx="59">
                  <c:v>101.296548225935</c:v>
                </c:pt>
                <c:pt idx="60">
                  <c:v>101.681740471201</c:v>
                </c:pt>
                <c:pt idx="61">
                  <c:v>101.28579667161399</c:v>
                </c:pt>
                <c:pt idx="62">
                  <c:v>98.201118430170794</c:v>
                </c:pt>
                <c:pt idx="63">
                  <c:v>72.723175233518006</c:v>
                </c:pt>
                <c:pt idx="64">
                  <c:v>71.839983245896406</c:v>
                </c:pt>
                <c:pt idx="65">
                  <c:v>84.691747150092695</c:v>
                </c:pt>
              </c:numCache>
            </c:numRef>
          </c:val>
          <c:extLst>
            <c:ext xmlns:c16="http://schemas.microsoft.com/office/drawing/2014/chart" uri="{C3380CC4-5D6E-409C-BE32-E72D297353CC}">
              <c16:uniqueId val="{00000000-4107-4120-9AAB-24542E02E1E8}"/>
            </c:ext>
          </c:extLst>
        </c:ser>
        <c:dLbls>
          <c:showLegendKey val="0"/>
          <c:showVal val="1"/>
          <c:showCatName val="0"/>
          <c:showSerName val="0"/>
          <c:showPercent val="0"/>
          <c:showBubbleSize val="0"/>
        </c:dLbls>
        <c:gapWidth val="40"/>
        <c:axId val="121037568"/>
        <c:axId val="121038744"/>
      </c:barChart>
      <c:lineChart>
        <c:grouping val="standard"/>
        <c:varyColors val="0"/>
        <c:ser>
          <c:idx val="1"/>
          <c:order val="1"/>
          <c:tx>
            <c:strRef>
              <c:f>'[gráficas Act. Industrial (cifras desestacionalizadas) (6).xlsx]datos'!$E$4</c:f>
              <c:strCache>
                <c:ptCount val="1"/>
                <c:pt idx="0">
                  <c:v>Tendencia-Ciclo</c:v>
                </c:pt>
              </c:strCache>
            </c:strRef>
          </c:tx>
          <c:spPr>
            <a:ln w="15875">
              <a:solidFill>
                <a:srgbClr val="C00000"/>
              </a:solidFill>
              <a:prstDash val="solid"/>
            </a:ln>
          </c:spPr>
          <c:marker>
            <c:symbol val="none"/>
          </c:marker>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(6).xlsx]datos'!$E$29:$E$94</c:f>
              <c:numCache>
                <c:formatCode>0.0</c:formatCode>
                <c:ptCount val="66"/>
                <c:pt idx="0">
                  <c:v>103.135027956432</c:v>
                </c:pt>
                <c:pt idx="1">
                  <c:v>103.08475368624499</c:v>
                </c:pt>
                <c:pt idx="2">
                  <c:v>103.112945106533</c:v>
                </c:pt>
                <c:pt idx="3">
                  <c:v>103.27757679832</c:v>
                </c:pt>
                <c:pt idx="4">
                  <c:v>103.559283881787</c:v>
                </c:pt>
                <c:pt idx="5">
                  <c:v>103.872240431374</c:v>
                </c:pt>
                <c:pt idx="6">
                  <c:v>104.115691827956</c:v>
                </c:pt>
                <c:pt idx="7">
                  <c:v>104.232201493492</c:v>
                </c:pt>
                <c:pt idx="8">
                  <c:v>104.247784743587</c:v>
                </c:pt>
                <c:pt idx="9">
                  <c:v>104.204076330474</c:v>
                </c:pt>
                <c:pt idx="10">
                  <c:v>104.139154313228</c:v>
                </c:pt>
                <c:pt idx="11">
                  <c:v>104.08040268460201</c:v>
                </c:pt>
                <c:pt idx="12">
                  <c:v>104.044365110397</c:v>
                </c:pt>
                <c:pt idx="13">
                  <c:v>104.006746510179</c:v>
                </c:pt>
                <c:pt idx="14">
                  <c:v>103.924937029136</c:v>
                </c:pt>
                <c:pt idx="15">
                  <c:v>103.79710820202899</c:v>
                </c:pt>
                <c:pt idx="16">
                  <c:v>103.65768915008699</c:v>
                </c:pt>
                <c:pt idx="17">
                  <c:v>103.56812108256401</c:v>
                </c:pt>
                <c:pt idx="18">
                  <c:v>103.569830563943</c:v>
                </c:pt>
                <c:pt idx="19">
                  <c:v>103.67004980711999</c:v>
                </c:pt>
                <c:pt idx="20">
                  <c:v>103.812006925765</c:v>
                </c:pt>
                <c:pt idx="21">
                  <c:v>103.96938594933999</c:v>
                </c:pt>
                <c:pt idx="22">
                  <c:v>104.136822520208</c:v>
                </c:pt>
                <c:pt idx="23">
                  <c:v>104.26271360342599</c:v>
                </c:pt>
                <c:pt idx="24">
                  <c:v>104.315419721189</c:v>
                </c:pt>
                <c:pt idx="25">
                  <c:v>104.281559253842</c:v>
                </c:pt>
                <c:pt idx="26">
                  <c:v>104.163436423313</c:v>
                </c:pt>
                <c:pt idx="27">
                  <c:v>103.995906296212</c:v>
                </c:pt>
                <c:pt idx="28">
                  <c:v>103.81976662777301</c:v>
                </c:pt>
                <c:pt idx="29">
                  <c:v>103.672569677268</c:v>
                </c:pt>
                <c:pt idx="30">
                  <c:v>103.61083279508701</c:v>
                </c:pt>
                <c:pt idx="31">
                  <c:v>103.66984486254501</c:v>
                </c:pt>
                <c:pt idx="32">
                  <c:v>103.835399012233</c:v>
                </c:pt>
                <c:pt idx="33">
                  <c:v>104.077714875589</c:v>
                </c:pt>
                <c:pt idx="34">
                  <c:v>104.323306057875</c:v>
                </c:pt>
                <c:pt idx="35">
                  <c:v>104.55319071278601</c:v>
                </c:pt>
                <c:pt idx="36">
                  <c:v>104.745961379752</c:v>
                </c:pt>
                <c:pt idx="37">
                  <c:v>104.898168879948</c:v>
                </c:pt>
                <c:pt idx="38">
                  <c:v>105.01022114337999</c:v>
                </c:pt>
                <c:pt idx="39">
                  <c:v>105.06677176430399</c:v>
                </c:pt>
                <c:pt idx="40">
                  <c:v>105.065642767152</c:v>
                </c:pt>
                <c:pt idx="41">
                  <c:v>104.979139412373</c:v>
                </c:pt>
                <c:pt idx="42">
                  <c:v>104.780510199752</c:v>
                </c:pt>
                <c:pt idx="43">
                  <c:v>104.488081591599</c:v>
                </c:pt>
                <c:pt idx="44">
                  <c:v>104.169488361036</c:v>
                </c:pt>
                <c:pt idx="45">
                  <c:v>103.86403545019699</c:v>
                </c:pt>
                <c:pt idx="46">
                  <c:v>103.601570197282</c:v>
                </c:pt>
                <c:pt idx="47">
                  <c:v>103.399752388728</c:v>
                </c:pt>
                <c:pt idx="48">
                  <c:v>103.244304770219</c:v>
                </c:pt>
                <c:pt idx="49">
                  <c:v>103.112016611377</c:v>
                </c:pt>
                <c:pt idx="50">
                  <c:v>102.993083745083</c:v>
                </c:pt>
                <c:pt idx="51">
                  <c:v>102.899267115106</c:v>
                </c:pt>
                <c:pt idx="52">
                  <c:v>102.82187011422801</c:v>
                </c:pt>
                <c:pt idx="53">
                  <c:v>102.762554242413</c:v>
                </c:pt>
                <c:pt idx="54">
                  <c:v>102.684821696513</c:v>
                </c:pt>
                <c:pt idx="55">
                  <c:v>102.54909944640301</c:v>
                </c:pt>
                <c:pt idx="56">
                  <c:v>102.344909130519</c:v>
                </c:pt>
                <c:pt idx="57">
                  <c:v>102.095361980956</c:v>
                </c:pt>
                <c:pt idx="58">
                  <c:v>101.842457184738</c:v>
                </c:pt>
                <c:pt idx="59">
                  <c:v>101.60916132037801</c:v>
                </c:pt>
                <c:pt idx="60">
                  <c:v>101.411845901004</c:v>
                </c:pt>
                <c:pt idx="61">
                  <c:v>101.249666664286</c:v>
                </c:pt>
                <c:pt idx="62">
                  <c:v>101.10530635363401</c:v>
                </c:pt>
                <c:pt idx="63">
                  <c:v>100.94677061932001</c:v>
                </c:pt>
                <c:pt idx="64">
                  <c:v>100.76132537907</c:v>
                </c:pt>
                <c:pt idx="65">
                  <c:v>100.56741262090399</c:v>
                </c:pt>
              </c:numCache>
            </c:numRef>
          </c:val>
          <c:smooth val="0"/>
          <c:extLst>
            <c:ext xmlns:c16="http://schemas.microsoft.com/office/drawing/2014/chart" uri="{C3380CC4-5D6E-409C-BE32-E72D297353CC}">
              <c16:uniqueId val="{00000001-4107-4120-9AAB-24542E02E1E8}"/>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'[gráficas Act. Industrial (cifras desestacionalizadas) (6).xlsx]datos'!$D$4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(6).xlsx]datos'!$F$29:$F$94</c:f>
              <c:numCache>
                <c:formatCode>0.0</c:formatCode>
                <c:ptCount val="66"/>
                <c:pt idx="0">
                  <c:v>95.103087906713498</c:v>
                </c:pt>
                <c:pt idx="1">
                  <c:v>96.908611954539793</c:v>
                </c:pt>
                <c:pt idx="2">
                  <c:v>95.706756860827994</c:v>
                </c:pt>
                <c:pt idx="3">
                  <c:v>92.6435857090745</c:v>
                </c:pt>
                <c:pt idx="4">
                  <c:v>92.674305209748297</c:v>
                </c:pt>
                <c:pt idx="5">
                  <c:v>93.505759563740597</c:v>
                </c:pt>
                <c:pt idx="6">
                  <c:v>93.519649602031507</c:v>
                </c:pt>
                <c:pt idx="7">
                  <c:v>94.006744555989201</c:v>
                </c:pt>
                <c:pt idx="8">
                  <c:v>93.495799126726396</c:v>
                </c:pt>
                <c:pt idx="9">
                  <c:v>93.299988161745503</c:v>
                </c:pt>
                <c:pt idx="10">
                  <c:v>92.755957077141204</c:v>
                </c:pt>
                <c:pt idx="11">
                  <c:v>92.765788061742199</c:v>
                </c:pt>
                <c:pt idx="12">
                  <c:v>92.112177784660005</c:v>
                </c:pt>
                <c:pt idx="13">
                  <c:v>92.590920672348105</c:v>
                </c:pt>
                <c:pt idx="14">
                  <c:v>92.504627027896206</c:v>
                </c:pt>
                <c:pt idx="15">
                  <c:v>90.454580402317603</c:v>
                </c:pt>
                <c:pt idx="16">
                  <c:v>89.8719384829826</c:v>
                </c:pt>
                <c:pt idx="17">
                  <c:v>89.426779610346301</c:v>
                </c:pt>
                <c:pt idx="18">
                  <c:v>89.877715671881404</c:v>
                </c:pt>
                <c:pt idx="19">
                  <c:v>88.257602254381496</c:v>
                </c:pt>
                <c:pt idx="20">
                  <c:v>88.046702698325404</c:v>
                </c:pt>
                <c:pt idx="21">
                  <c:v>88.436001764345306</c:v>
                </c:pt>
                <c:pt idx="22">
                  <c:v>86.880053428263395</c:v>
                </c:pt>
                <c:pt idx="23">
                  <c:v>85.959072716173097</c:v>
                </c:pt>
                <c:pt idx="24">
                  <c:v>85.816942895155805</c:v>
                </c:pt>
                <c:pt idx="25">
                  <c:v>83.677327394622395</c:v>
                </c:pt>
                <c:pt idx="26">
                  <c:v>84.743985107612701</c:v>
                </c:pt>
                <c:pt idx="27">
                  <c:v>84.622217060712899</c:v>
                </c:pt>
                <c:pt idx="28">
                  <c:v>84.662509019232004</c:v>
                </c:pt>
                <c:pt idx="29">
                  <c:v>84.180658657674599</c:v>
                </c:pt>
                <c:pt idx="30">
                  <c:v>83.4579250249637</c:v>
                </c:pt>
                <c:pt idx="31">
                  <c:v>81.263947832797896</c:v>
                </c:pt>
                <c:pt idx="32">
                  <c:v>75.182506422919403</c:v>
                </c:pt>
                <c:pt idx="33">
                  <c:v>80.041162773405802</c:v>
                </c:pt>
                <c:pt idx="34">
                  <c:v>80.217512389072098</c:v>
                </c:pt>
                <c:pt idx="35">
                  <c:v>80.132841981251005</c:v>
                </c:pt>
                <c:pt idx="36">
                  <c:v>81.175883175766202</c:v>
                </c:pt>
                <c:pt idx="37">
                  <c:v>78.194359678973797</c:v>
                </c:pt>
                <c:pt idx="38">
                  <c:v>78.746927472359801</c:v>
                </c:pt>
                <c:pt idx="39">
                  <c:v>79.603556531754194</c:v>
                </c:pt>
                <c:pt idx="40">
                  <c:v>79.273250239875296</c:v>
                </c:pt>
                <c:pt idx="41">
                  <c:v>77.999996486407895</c:v>
                </c:pt>
                <c:pt idx="42">
                  <c:v>77.399278704838096</c:v>
                </c:pt>
                <c:pt idx="43">
                  <c:v>77.769977818970105</c:v>
                </c:pt>
                <c:pt idx="44">
                  <c:v>77.134581039124001</c:v>
                </c:pt>
                <c:pt idx="45">
                  <c:v>76.076023838026998</c:v>
                </c:pt>
                <c:pt idx="46">
                  <c:v>74.678843378180602</c:v>
                </c:pt>
                <c:pt idx="47">
                  <c:v>74.305214515483996</c:v>
                </c:pt>
                <c:pt idx="48">
                  <c:v>72.084247168459001</c:v>
                </c:pt>
                <c:pt idx="49">
                  <c:v>73.484123474980606</c:v>
                </c:pt>
                <c:pt idx="50">
                  <c:v>73.340017173743604</c:v>
                </c:pt>
                <c:pt idx="51">
                  <c:v>73.088429908597107</c:v>
                </c:pt>
                <c:pt idx="52">
                  <c:v>72.361548070889697</c:v>
                </c:pt>
                <c:pt idx="53">
                  <c:v>73.667772189179999</c:v>
                </c:pt>
                <c:pt idx="54">
                  <c:v>73.001694721093799</c:v>
                </c:pt>
                <c:pt idx="55">
                  <c:v>74.833098372525299</c:v>
                </c:pt>
                <c:pt idx="56">
                  <c:v>74.7211505782724</c:v>
                </c:pt>
                <c:pt idx="57">
                  <c:v>74.494031623813996</c:v>
                </c:pt>
                <c:pt idx="58">
                  <c:v>75.368928730758995</c:v>
                </c:pt>
                <c:pt idx="59">
                  <c:v>74.828069434321094</c:v>
                </c:pt>
                <c:pt idx="60">
                  <c:v>76.009226828244806</c:v>
                </c:pt>
                <c:pt idx="61">
                  <c:v>75.596261766669798</c:v>
                </c:pt>
                <c:pt idx="62">
                  <c:v>74.6890780221309</c:v>
                </c:pt>
                <c:pt idx="63">
                  <c:v>70.2999106947549</c:v>
                </c:pt>
                <c:pt idx="64">
                  <c:v>68.728328239762504</c:v>
                </c:pt>
                <c:pt idx="65">
                  <c:v>69.795287161915695</c:v>
                </c:pt>
              </c:numCache>
            </c:numRef>
          </c:val>
          <c:extLst>
            <c:ext xmlns:c16="http://schemas.microsoft.com/office/drawing/2014/chart" uri="{C3380CC4-5D6E-409C-BE32-E72D297353CC}">
              <c16:uniqueId val="{00000000-8467-4A1D-A0A0-309D98BA4F5C}"/>
            </c:ext>
          </c:extLst>
        </c:ser>
        <c:dLbls>
          <c:showLegendKey val="0"/>
          <c:showVal val="1"/>
          <c:showCatName val="0"/>
          <c:showSerName val="0"/>
          <c:showPercent val="0"/>
          <c:showBubbleSize val="0"/>
        </c:dLbls>
        <c:gapWidth val="40"/>
        <c:axId val="121035216"/>
        <c:axId val="121032080"/>
      </c:barChart>
      <c:lineChart>
        <c:grouping val="standard"/>
        <c:varyColors val="0"/>
        <c:ser>
          <c:idx val="1"/>
          <c:order val="1"/>
          <c:tx>
            <c:strRef>
              <c:f>'[gráficas Act. Industrial (cifras desestacionalizadas) (6).xlsx]datos'!$E$4</c:f>
              <c:strCache>
                <c:ptCount val="1"/>
                <c:pt idx="0">
                  <c:v>Tendencia-Ciclo</c:v>
                </c:pt>
              </c:strCache>
            </c:strRef>
          </c:tx>
          <c:spPr>
            <a:ln w="15875">
              <a:solidFill>
                <a:srgbClr val="C00000"/>
              </a:solidFill>
              <a:prstDash val="solid"/>
            </a:ln>
          </c:spPr>
          <c:marker>
            <c:symbol val="none"/>
          </c:marker>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(6).xlsx]datos'!$G$29:$G$94</c:f>
              <c:numCache>
                <c:formatCode>0.0</c:formatCode>
                <c:ptCount val="66"/>
                <c:pt idx="0">
                  <c:v>95.280720470648603</c:v>
                </c:pt>
                <c:pt idx="1">
                  <c:v>94.882439566138501</c:v>
                </c:pt>
                <c:pt idx="2">
                  <c:v>94.532438399990895</c:v>
                </c:pt>
                <c:pt idx="3">
                  <c:v>94.218487217091294</c:v>
                </c:pt>
                <c:pt idx="4">
                  <c:v>93.968352178251294</c:v>
                </c:pt>
                <c:pt idx="5">
                  <c:v>93.789202596661497</c:v>
                </c:pt>
                <c:pt idx="6">
                  <c:v>93.666013442111705</c:v>
                </c:pt>
                <c:pt idx="7">
                  <c:v>93.555106752046896</c:v>
                </c:pt>
                <c:pt idx="8">
                  <c:v>93.410822331739098</c:v>
                </c:pt>
                <c:pt idx="9">
                  <c:v>93.2387296856554</c:v>
                </c:pt>
                <c:pt idx="10">
                  <c:v>93.039211573826293</c:v>
                </c:pt>
                <c:pt idx="11">
                  <c:v>92.804927624885394</c:v>
                </c:pt>
                <c:pt idx="12">
                  <c:v>92.487318215312897</c:v>
                </c:pt>
                <c:pt idx="13">
                  <c:v>92.080310575007303</c:v>
                </c:pt>
                <c:pt idx="14">
                  <c:v>91.571887690949197</c:v>
                </c:pt>
                <c:pt idx="15">
                  <c:v>90.955368158358198</c:v>
                </c:pt>
                <c:pt idx="16">
                  <c:v>90.303989619307899</c:v>
                </c:pt>
                <c:pt idx="17">
                  <c:v>89.695593766442897</c:v>
                </c:pt>
                <c:pt idx="18">
                  <c:v>89.157787999425494</c:v>
                </c:pt>
                <c:pt idx="19">
                  <c:v>88.664458065578003</c:v>
                </c:pt>
                <c:pt idx="20">
                  <c:v>88.162994639886307</c:v>
                </c:pt>
                <c:pt idx="21">
                  <c:v>87.583585505353597</c:v>
                </c:pt>
                <c:pt idx="22">
                  <c:v>86.929958392845705</c:v>
                </c:pt>
                <c:pt idx="23">
                  <c:v>86.288932722998894</c:v>
                </c:pt>
                <c:pt idx="24">
                  <c:v>85.7312510521093</c:v>
                </c:pt>
                <c:pt idx="25">
                  <c:v>85.319160408212994</c:v>
                </c:pt>
                <c:pt idx="26">
                  <c:v>85.015740940183406</c:v>
                </c:pt>
                <c:pt idx="27">
                  <c:v>84.740885552165594</c:v>
                </c:pt>
                <c:pt idx="28">
                  <c:v>84.332618681742602</c:v>
                </c:pt>
                <c:pt idx="29">
                  <c:v>83.688264356391898</c:v>
                </c:pt>
                <c:pt idx="30">
                  <c:v>82.8499075525541</c:v>
                </c:pt>
                <c:pt idx="31">
                  <c:v>81.938667412029702</c:v>
                </c:pt>
                <c:pt idx="32">
                  <c:v>81.111158992468702</c:v>
                </c:pt>
                <c:pt idx="33">
                  <c:v>80.469487479864796</c:v>
                </c:pt>
                <c:pt idx="34">
                  <c:v>80.048793643246697</c:v>
                </c:pt>
                <c:pt idx="35">
                  <c:v>79.826684921660899</c:v>
                </c:pt>
                <c:pt idx="36">
                  <c:v>79.711406137736901</c:v>
                </c:pt>
                <c:pt idx="37">
                  <c:v>79.576596900400304</c:v>
                </c:pt>
                <c:pt idx="38">
                  <c:v>79.359331155144901</c:v>
                </c:pt>
                <c:pt idx="39">
                  <c:v>79.084531398419202</c:v>
                </c:pt>
                <c:pt idx="40">
                  <c:v>78.772708005847804</c:v>
                </c:pt>
                <c:pt idx="41">
                  <c:v>78.411405530911097</c:v>
                </c:pt>
                <c:pt idx="42">
                  <c:v>77.950314384478105</c:v>
                </c:pt>
                <c:pt idx="43">
                  <c:v>77.364297419089496</c:v>
                </c:pt>
                <c:pt idx="44">
                  <c:v>76.667541659880598</c:v>
                </c:pt>
                <c:pt idx="45">
                  <c:v>75.9117345199368</c:v>
                </c:pt>
                <c:pt idx="46">
                  <c:v>75.168828865269703</c:v>
                </c:pt>
                <c:pt idx="47">
                  <c:v>74.457110257295597</c:v>
                </c:pt>
                <c:pt idx="48">
                  <c:v>73.863104072021201</c:v>
                </c:pt>
                <c:pt idx="49">
                  <c:v>73.439780786932303</c:v>
                </c:pt>
                <c:pt idx="50">
                  <c:v>73.179804659971893</c:v>
                </c:pt>
                <c:pt idx="51">
                  <c:v>73.0640334308587</c:v>
                </c:pt>
                <c:pt idx="52">
                  <c:v>73.082881532240293</c:v>
                </c:pt>
                <c:pt idx="53">
                  <c:v>73.259571644840307</c:v>
                </c:pt>
                <c:pt idx="54">
                  <c:v>73.566676550835794</c:v>
                </c:pt>
                <c:pt idx="55">
                  <c:v>73.954881523093107</c:v>
                </c:pt>
                <c:pt idx="56">
                  <c:v>74.3888940036571</c:v>
                </c:pt>
                <c:pt idx="57">
                  <c:v>74.816724271295897</c:v>
                </c:pt>
                <c:pt idx="58">
                  <c:v>75.163703850093498</c:v>
                </c:pt>
                <c:pt idx="59">
                  <c:v>75.360748039906397</c:v>
                </c:pt>
                <c:pt idx="60">
                  <c:v>75.366146747576906</c:v>
                </c:pt>
                <c:pt idx="61">
                  <c:v>75.174924603483007</c:v>
                </c:pt>
                <c:pt idx="62">
                  <c:v>74.866271146253197</c:v>
                </c:pt>
                <c:pt idx="63">
                  <c:v>74.501376233582207</c:v>
                </c:pt>
                <c:pt idx="64">
                  <c:v>74.165123547962807</c:v>
                </c:pt>
                <c:pt idx="65">
                  <c:v>73.924724120460397</c:v>
                </c:pt>
              </c:numCache>
            </c:numRef>
          </c:val>
          <c:smooth val="0"/>
          <c:extLst>
            <c:ext xmlns:c16="http://schemas.microsoft.com/office/drawing/2014/chart" uri="{C3380CC4-5D6E-409C-BE32-E72D297353CC}">
              <c16:uniqueId val="{00000001-8467-4A1D-A0A0-309D98BA4F5C}"/>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'[gráficas Act. Industrial (cifras desestacionalizadas) (6).xlsx]datos'!$H$4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(6).xlsx]datos'!$H$29:$H$94</c:f>
              <c:numCache>
                <c:formatCode>0.0</c:formatCode>
                <c:ptCount val="66"/>
                <c:pt idx="0">
                  <c:v>109.446989894528</c:v>
                </c:pt>
                <c:pt idx="1">
                  <c:v>108.558679769637</c:v>
                </c:pt>
                <c:pt idx="2">
                  <c:v>108.990260643864</c:v>
                </c:pt>
                <c:pt idx="3">
                  <c:v>109.374269354728</c:v>
                </c:pt>
                <c:pt idx="4">
                  <c:v>107.721771822584</c:v>
                </c:pt>
                <c:pt idx="5">
                  <c:v>107.90918635230101</c:v>
                </c:pt>
                <c:pt idx="6">
                  <c:v>109.266576037967</c:v>
                </c:pt>
                <c:pt idx="7">
                  <c:v>110.963822160215</c:v>
                </c:pt>
                <c:pt idx="8">
                  <c:v>111.470602296621</c:v>
                </c:pt>
                <c:pt idx="9">
                  <c:v>112.356100449474</c:v>
                </c:pt>
                <c:pt idx="10">
                  <c:v>111.63228657023799</c:v>
                </c:pt>
                <c:pt idx="11">
                  <c:v>111.00502118426201</c:v>
                </c:pt>
                <c:pt idx="12">
                  <c:v>108.40496459756</c:v>
                </c:pt>
                <c:pt idx="13">
                  <c:v>109.745625315689</c:v>
                </c:pt>
                <c:pt idx="14">
                  <c:v>109.293340533261</c:v>
                </c:pt>
                <c:pt idx="15">
                  <c:v>109.263214002965</c:v>
                </c:pt>
                <c:pt idx="16">
                  <c:v>110.573540643611</c:v>
                </c:pt>
                <c:pt idx="17">
                  <c:v>110.77930339556001</c:v>
                </c:pt>
                <c:pt idx="18">
                  <c:v>111.46447861760799</c:v>
                </c:pt>
                <c:pt idx="19">
                  <c:v>110.439564386434</c:v>
                </c:pt>
                <c:pt idx="20">
                  <c:v>109.534561543135</c:v>
                </c:pt>
                <c:pt idx="21">
                  <c:v>110.67436468085801</c:v>
                </c:pt>
                <c:pt idx="22">
                  <c:v>109.425092011551</c:v>
                </c:pt>
                <c:pt idx="23">
                  <c:v>110.56405901196599</c:v>
                </c:pt>
                <c:pt idx="24">
                  <c:v>110.19711902066901</c:v>
                </c:pt>
                <c:pt idx="25">
                  <c:v>109.270826166071</c:v>
                </c:pt>
                <c:pt idx="26">
                  <c:v>111.537413291855</c:v>
                </c:pt>
                <c:pt idx="27">
                  <c:v>108.796920273984</c:v>
                </c:pt>
                <c:pt idx="28">
                  <c:v>111.10294559324601</c:v>
                </c:pt>
                <c:pt idx="29">
                  <c:v>110.81250137485399</c:v>
                </c:pt>
                <c:pt idx="30">
                  <c:v>108.525034149607</c:v>
                </c:pt>
                <c:pt idx="31">
                  <c:v>108.356149671164</c:v>
                </c:pt>
                <c:pt idx="32">
                  <c:v>109.518703632086</c:v>
                </c:pt>
                <c:pt idx="33">
                  <c:v>106.365872951428</c:v>
                </c:pt>
                <c:pt idx="34">
                  <c:v>111.733540412571</c:v>
                </c:pt>
                <c:pt idx="35">
                  <c:v>109.27846584245199</c:v>
                </c:pt>
                <c:pt idx="36">
                  <c:v>117.699295109625</c:v>
                </c:pt>
                <c:pt idx="37">
                  <c:v>118.893072921282</c:v>
                </c:pt>
                <c:pt idx="38">
                  <c:v>116.11917839809</c:v>
                </c:pt>
                <c:pt idx="39">
                  <c:v>119.242130362259</c:v>
                </c:pt>
                <c:pt idx="40">
                  <c:v>115.122891701132</c:v>
                </c:pt>
                <c:pt idx="41">
                  <c:v>118.116951856</c:v>
                </c:pt>
                <c:pt idx="42">
                  <c:v>120.572934738325</c:v>
                </c:pt>
                <c:pt idx="43">
                  <c:v>118.433095924288</c:v>
                </c:pt>
                <c:pt idx="44">
                  <c:v>119.351114833907</c:v>
                </c:pt>
                <c:pt idx="45">
                  <c:v>117.29122710133601</c:v>
                </c:pt>
                <c:pt idx="46">
                  <c:v>118.53990583669599</c:v>
                </c:pt>
                <c:pt idx="47">
                  <c:v>114.66069234113</c:v>
                </c:pt>
                <c:pt idx="48">
                  <c:v>117.091799065361</c:v>
                </c:pt>
                <c:pt idx="49">
                  <c:v>117.573475937304</c:v>
                </c:pt>
                <c:pt idx="50">
                  <c:v>117.643100934991</c:v>
                </c:pt>
                <c:pt idx="51">
                  <c:v>119.85962793947699</c:v>
                </c:pt>
                <c:pt idx="52">
                  <c:v>119.475074452028</c:v>
                </c:pt>
                <c:pt idx="53">
                  <c:v>121.20782382572099</c:v>
                </c:pt>
                <c:pt idx="54">
                  <c:v>120.743253217195</c:v>
                </c:pt>
                <c:pt idx="55">
                  <c:v>123.05442825525699</c:v>
                </c:pt>
                <c:pt idx="56">
                  <c:v>122.86509189364099</c:v>
                </c:pt>
                <c:pt idx="57">
                  <c:v>122.613635983091</c:v>
                </c:pt>
                <c:pt idx="58">
                  <c:v>122.275124239542</c:v>
                </c:pt>
                <c:pt idx="59">
                  <c:v>122.260054885361</c:v>
                </c:pt>
                <c:pt idx="60">
                  <c:v>117.3062071085</c:v>
                </c:pt>
                <c:pt idx="61">
                  <c:v>119.16208069351499</c:v>
                </c:pt>
                <c:pt idx="62">
                  <c:v>116.881800013559</c:v>
                </c:pt>
                <c:pt idx="63">
                  <c:v>115.826043381896</c:v>
                </c:pt>
                <c:pt idx="64">
                  <c:v>104.296516089245</c:v>
                </c:pt>
                <c:pt idx="65">
                  <c:v>105.060022899483</c:v>
                </c:pt>
              </c:numCache>
            </c:numRef>
          </c:val>
          <c:extLst>
            <c:ext xmlns:c16="http://schemas.microsoft.com/office/drawing/2014/chart" uri="{C3380CC4-5D6E-409C-BE32-E72D297353CC}">
              <c16:uniqueId val="{00000000-2EBD-4119-BE13-84632531B678}"/>
            </c:ext>
          </c:extLst>
        </c:ser>
        <c:dLbls>
          <c:showLegendKey val="0"/>
          <c:showVal val="1"/>
          <c:showCatName val="0"/>
          <c:showSerName val="0"/>
          <c:showPercent val="0"/>
          <c:showBubbleSize val="0"/>
        </c:dLbls>
        <c:gapWidth val="40"/>
        <c:axId val="121034824"/>
        <c:axId val="121032864"/>
      </c:barChart>
      <c:lineChart>
        <c:grouping val="standard"/>
        <c:varyColors val="0"/>
        <c:ser>
          <c:idx val="1"/>
          <c:order val="1"/>
          <c:tx>
            <c:strRef>
              <c:f>'[gráficas Act. Industrial (cifras desestacionalizadas) (6).xlsx]datos'!$I$4</c:f>
              <c:strCache>
                <c:ptCount val="1"/>
                <c:pt idx="0">
                  <c:v>Tendencia-Ciclo</c:v>
                </c:pt>
              </c:strCache>
            </c:strRef>
          </c:tx>
          <c:spPr>
            <a:ln w="15875">
              <a:solidFill>
                <a:srgbClr val="C00000"/>
              </a:solidFill>
              <a:prstDash val="solid"/>
            </a:ln>
          </c:spPr>
          <c:marker>
            <c:symbol val="none"/>
          </c:marker>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(6).xlsx]datos'!$I$29:$I$94</c:f>
              <c:numCache>
                <c:formatCode>0.0</c:formatCode>
                <c:ptCount val="66"/>
                <c:pt idx="0">
                  <c:v>109.078916385071</c:v>
                </c:pt>
                <c:pt idx="1">
                  <c:v>108.956020650209</c:v>
                </c:pt>
                <c:pt idx="2">
                  <c:v>108.73456749018401</c:v>
                </c:pt>
                <c:pt idx="3">
                  <c:v>108.52895738937499</c:v>
                </c:pt>
                <c:pt idx="4">
                  <c:v>108.53628538601301</c:v>
                </c:pt>
                <c:pt idx="5">
                  <c:v>108.89507900440501</c:v>
                </c:pt>
                <c:pt idx="6">
                  <c:v>109.619474814469</c:v>
                </c:pt>
                <c:pt idx="7">
                  <c:v>110.47353682642201</c:v>
                </c:pt>
                <c:pt idx="8">
                  <c:v>111.184605571888</c:v>
                </c:pt>
                <c:pt idx="9">
                  <c:v>111.52502696473501</c:v>
                </c:pt>
                <c:pt idx="10">
                  <c:v>111.35797121876899</c:v>
                </c:pt>
                <c:pt idx="11">
                  <c:v>110.79302704955199</c:v>
                </c:pt>
                <c:pt idx="12">
                  <c:v>110.130746579098</c:v>
                </c:pt>
                <c:pt idx="13">
                  <c:v>109.675133678417</c:v>
                </c:pt>
                <c:pt idx="14">
                  <c:v>109.59311402652401</c:v>
                </c:pt>
                <c:pt idx="15">
                  <c:v>109.81944985551</c:v>
                </c:pt>
                <c:pt idx="16">
                  <c:v>110.203339423464</c:v>
                </c:pt>
                <c:pt idx="17">
                  <c:v>110.51335790149101</c:v>
                </c:pt>
                <c:pt idx="18">
                  <c:v>110.629122231008</c:v>
                </c:pt>
                <c:pt idx="19">
                  <c:v>110.566998737305</c:v>
                </c:pt>
                <c:pt idx="20">
                  <c:v>110.370859546758</c:v>
                </c:pt>
                <c:pt idx="21">
                  <c:v>110.17251847641</c:v>
                </c:pt>
                <c:pt idx="22">
                  <c:v>110.04568296092</c:v>
                </c:pt>
                <c:pt idx="23">
                  <c:v>110.014222090725</c:v>
                </c:pt>
                <c:pt idx="24">
                  <c:v>110.09058149564</c:v>
                </c:pt>
                <c:pt idx="25">
                  <c:v>110.228313947486</c:v>
                </c:pt>
                <c:pt idx="26">
                  <c:v>110.30203914621799</c:v>
                </c:pt>
                <c:pt idx="27">
                  <c:v>110.245693478757</c:v>
                </c:pt>
                <c:pt idx="28">
                  <c:v>110.018400415895</c:v>
                </c:pt>
                <c:pt idx="29">
                  <c:v>109.658212953552</c:v>
                </c:pt>
                <c:pt idx="30">
                  <c:v>109.32490226281899</c:v>
                </c:pt>
                <c:pt idx="31">
                  <c:v>109.19128075215799</c:v>
                </c:pt>
                <c:pt idx="32">
                  <c:v>109.499022474586</c:v>
                </c:pt>
                <c:pt idx="33">
                  <c:v>110.300483330508</c:v>
                </c:pt>
                <c:pt idx="34">
                  <c:v>111.52818639687401</c:v>
                </c:pt>
                <c:pt idx="35">
                  <c:v>113.073305348434</c:v>
                </c:pt>
                <c:pt idx="36">
                  <c:v>114.612266609499</c:v>
                </c:pt>
                <c:pt idx="37">
                  <c:v>115.988384375366</c:v>
                </c:pt>
                <c:pt idx="38">
                  <c:v>117.12576773068101</c:v>
                </c:pt>
                <c:pt idx="39">
                  <c:v>118.00940940029</c:v>
                </c:pt>
                <c:pt idx="40">
                  <c:v>118.595393803104</c:v>
                </c:pt>
                <c:pt idx="41">
                  <c:v>118.94597336683501</c:v>
                </c:pt>
                <c:pt idx="42">
                  <c:v>119.048065018782</c:v>
                </c:pt>
                <c:pt idx="43">
                  <c:v>118.894942382108</c:v>
                </c:pt>
                <c:pt idx="44">
                  <c:v>118.51999813620699</c:v>
                </c:pt>
                <c:pt idx="45">
                  <c:v>117.992978323175</c:v>
                </c:pt>
                <c:pt idx="46">
                  <c:v>117.49641818418201</c:v>
                </c:pt>
                <c:pt idx="47">
                  <c:v>117.14806795972299</c:v>
                </c:pt>
                <c:pt idx="48">
                  <c:v>117.144312198229</c:v>
                </c:pt>
                <c:pt idx="49">
                  <c:v>117.498372233814</c:v>
                </c:pt>
                <c:pt idx="50">
                  <c:v>118.13427098753399</c:v>
                </c:pt>
                <c:pt idx="51">
                  <c:v>118.989944405174</c:v>
                </c:pt>
                <c:pt idx="52">
                  <c:v>119.932592252419</c:v>
                </c:pt>
                <c:pt idx="53">
                  <c:v>120.85324472413301</c:v>
                </c:pt>
                <c:pt idx="54">
                  <c:v>121.659027809203</c:v>
                </c:pt>
                <c:pt idx="55">
                  <c:v>122.312236011397</c:v>
                </c:pt>
                <c:pt idx="56">
                  <c:v>122.707756615403</c:v>
                </c:pt>
                <c:pt idx="57">
                  <c:v>122.74825972059</c:v>
                </c:pt>
                <c:pt idx="58">
                  <c:v>122.327233556829</c:v>
                </c:pt>
                <c:pt idx="59">
                  <c:v>121.411340830055</c:v>
                </c:pt>
                <c:pt idx="60">
                  <c:v>120.14507915871199</c:v>
                </c:pt>
                <c:pt idx="61">
                  <c:v>118.75921218952899</c:v>
                </c:pt>
                <c:pt idx="62">
                  <c:v>117.55832112144699</c:v>
                </c:pt>
                <c:pt idx="63">
                  <c:v>116.716773770293</c:v>
                </c:pt>
                <c:pt idx="64">
                  <c:v>116.343984622501</c:v>
                </c:pt>
                <c:pt idx="65">
                  <c:v>116.378569933862</c:v>
                </c:pt>
              </c:numCache>
            </c:numRef>
          </c:val>
          <c:smooth val="0"/>
          <c:extLst>
            <c:ext xmlns:c16="http://schemas.microsoft.com/office/drawing/2014/chart" uri="{C3380CC4-5D6E-409C-BE32-E72D297353CC}">
              <c16:uniqueId val="{00000001-2EBD-4119-BE13-84632531B678}"/>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3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'[gráficas Act. Industrial (cifras desestacionalizadas) (6).xlsx]datos'!$J$4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(6).xlsx]datos'!$J$29:$J$94</c:f>
              <c:numCache>
                <c:formatCode>0.0</c:formatCode>
                <c:ptCount val="66"/>
                <c:pt idx="0">
                  <c:v>103.11505806296</c:v>
                </c:pt>
                <c:pt idx="1">
                  <c:v>100.48582328588201</c:v>
                </c:pt>
                <c:pt idx="2">
                  <c:v>102.26726306528801</c:v>
                </c:pt>
                <c:pt idx="3">
                  <c:v>107.302490724667</c:v>
                </c:pt>
                <c:pt idx="4">
                  <c:v>103.111163544878</c:v>
                </c:pt>
                <c:pt idx="5">
                  <c:v>104.27481960262401</c:v>
                </c:pt>
                <c:pt idx="6">
                  <c:v>108.672980307731</c:v>
                </c:pt>
                <c:pt idx="7">
                  <c:v>108.649074051081</c:v>
                </c:pt>
                <c:pt idx="8">
                  <c:v>108.856856406942</c:v>
                </c:pt>
                <c:pt idx="9">
                  <c:v>102.26640616976201</c:v>
                </c:pt>
                <c:pt idx="10">
                  <c:v>105.563745926895</c:v>
                </c:pt>
                <c:pt idx="11">
                  <c:v>104.12545044355301</c:v>
                </c:pt>
                <c:pt idx="12">
                  <c:v>106.176868474137</c:v>
                </c:pt>
                <c:pt idx="13">
                  <c:v>106.94758157577699</c:v>
                </c:pt>
                <c:pt idx="14">
                  <c:v>106.498301326858</c:v>
                </c:pt>
                <c:pt idx="15">
                  <c:v>106.662436525912</c:v>
                </c:pt>
                <c:pt idx="16">
                  <c:v>107.73174814784799</c:v>
                </c:pt>
                <c:pt idx="17">
                  <c:v>105.80573379549899</c:v>
                </c:pt>
                <c:pt idx="18">
                  <c:v>105.19340859470699</c:v>
                </c:pt>
                <c:pt idx="19">
                  <c:v>104.97391717351</c:v>
                </c:pt>
                <c:pt idx="20">
                  <c:v>105.46892656944</c:v>
                </c:pt>
                <c:pt idx="21">
                  <c:v>106.28068766125099</c:v>
                </c:pt>
                <c:pt idx="22">
                  <c:v>111.519256490892</c:v>
                </c:pt>
                <c:pt idx="23">
                  <c:v>106.060963152075</c:v>
                </c:pt>
                <c:pt idx="24">
                  <c:v>105.812466512173</c:v>
                </c:pt>
                <c:pt idx="25">
                  <c:v>104.86401276475</c:v>
                </c:pt>
                <c:pt idx="26">
                  <c:v>106.37414519072701</c:v>
                </c:pt>
                <c:pt idx="27">
                  <c:v>103.855432505108</c:v>
                </c:pt>
                <c:pt idx="28">
                  <c:v>103.38393510752699</c:v>
                </c:pt>
                <c:pt idx="29">
                  <c:v>106.12266143105199</c:v>
                </c:pt>
                <c:pt idx="30">
                  <c:v>104.769311074461</c:v>
                </c:pt>
                <c:pt idx="31">
                  <c:v>106.16042019409301</c:v>
                </c:pt>
                <c:pt idx="32">
                  <c:v>107.911760405793</c:v>
                </c:pt>
                <c:pt idx="33">
                  <c:v>107.49879094347099</c:v>
                </c:pt>
                <c:pt idx="34">
                  <c:v>108.017414833529</c:v>
                </c:pt>
                <c:pt idx="35">
                  <c:v>110.25713321170799</c:v>
                </c:pt>
                <c:pt idx="36">
                  <c:v>108.532386765686</c:v>
                </c:pt>
                <c:pt idx="37">
                  <c:v>108.94914426267501</c:v>
                </c:pt>
                <c:pt idx="38">
                  <c:v>108.87879925119201</c:v>
                </c:pt>
                <c:pt idx="39">
                  <c:v>108.031185221519</c:v>
                </c:pt>
                <c:pt idx="40">
                  <c:v>109.22584300151</c:v>
                </c:pt>
                <c:pt idx="41">
                  <c:v>107.95041523506301</c:v>
                </c:pt>
                <c:pt idx="42">
                  <c:v>109.099339256368</c:v>
                </c:pt>
                <c:pt idx="43">
                  <c:v>104.10515903496299</c:v>
                </c:pt>
                <c:pt idx="44">
                  <c:v>106.281319651394</c:v>
                </c:pt>
                <c:pt idx="45">
                  <c:v>106.02541926535601</c:v>
                </c:pt>
                <c:pt idx="46">
                  <c:v>101.50716739072899</c:v>
                </c:pt>
                <c:pt idx="47">
                  <c:v>102.767994754981</c:v>
                </c:pt>
                <c:pt idx="48">
                  <c:v>108.407589269798</c:v>
                </c:pt>
                <c:pt idx="49">
                  <c:v>107.995296467066</c:v>
                </c:pt>
                <c:pt idx="50">
                  <c:v>103.45502626322499</c:v>
                </c:pt>
                <c:pt idx="51">
                  <c:v>104.98046917711901</c:v>
                </c:pt>
                <c:pt idx="52">
                  <c:v>99.479555529155505</c:v>
                </c:pt>
                <c:pt idx="53">
                  <c:v>100.67460670152199</c:v>
                </c:pt>
                <c:pt idx="54">
                  <c:v>99.121508356344705</c:v>
                </c:pt>
                <c:pt idx="55">
                  <c:v>101.46967277348401</c:v>
                </c:pt>
                <c:pt idx="56">
                  <c:v>98.347321789295904</c:v>
                </c:pt>
                <c:pt idx="57">
                  <c:v>96.317650756111604</c:v>
                </c:pt>
                <c:pt idx="58">
                  <c:v>98.051940071979899</c:v>
                </c:pt>
                <c:pt idx="59">
                  <c:v>98.383824507935799</c:v>
                </c:pt>
                <c:pt idx="60">
                  <c:v>98.890780612457803</c:v>
                </c:pt>
                <c:pt idx="61">
                  <c:v>97.610946880010701</c:v>
                </c:pt>
                <c:pt idx="62">
                  <c:v>96.169260751168096</c:v>
                </c:pt>
                <c:pt idx="63">
                  <c:v>62.779663934198503</c:v>
                </c:pt>
                <c:pt idx="64">
                  <c:v>63.342299200406103</c:v>
                </c:pt>
                <c:pt idx="65">
                  <c:v>74.401025452679406</c:v>
                </c:pt>
              </c:numCache>
            </c:numRef>
          </c:val>
          <c:extLst>
            <c:ext xmlns:c16="http://schemas.microsoft.com/office/drawing/2014/chart" uri="{C3380CC4-5D6E-409C-BE32-E72D297353CC}">
              <c16:uniqueId val="{00000000-4F59-4574-AB91-E78A8EC3D0DD}"/>
            </c:ext>
          </c:extLst>
        </c:ser>
        <c:dLbls>
          <c:showLegendKey val="0"/>
          <c:showVal val="1"/>
          <c:showCatName val="0"/>
          <c:showSerName val="0"/>
          <c:showPercent val="0"/>
          <c:showBubbleSize val="0"/>
        </c:dLbls>
        <c:gapWidth val="40"/>
        <c:axId val="121033256"/>
        <c:axId val="121033648"/>
      </c:barChart>
      <c:lineChart>
        <c:grouping val="standard"/>
        <c:varyColors val="0"/>
        <c:ser>
          <c:idx val="1"/>
          <c:order val="1"/>
          <c:tx>
            <c:strRef>
              <c:f>'[gráficas Act. Industrial (cifras desestacionalizadas) (6).xlsx]datos'!$K$4</c:f>
              <c:strCache>
                <c:ptCount val="1"/>
                <c:pt idx="0">
                  <c:v>Tendencia-Ciclo</c:v>
                </c:pt>
              </c:strCache>
            </c:strRef>
          </c:tx>
          <c:spPr>
            <a:ln w="15875">
              <a:solidFill>
                <a:srgbClr val="C00000"/>
              </a:solidFill>
              <a:prstDash val="solid"/>
            </a:ln>
          </c:spPr>
          <c:marker>
            <c:symbol val="none"/>
          </c:marker>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(6).xlsx]datos'!$K$29:$K$94</c:f>
              <c:numCache>
                <c:formatCode>0.0</c:formatCode>
                <c:ptCount val="66"/>
                <c:pt idx="0">
                  <c:v>103.157044593885</c:v>
                </c:pt>
                <c:pt idx="1">
                  <c:v>102.67642571275201</c:v>
                </c:pt>
                <c:pt idx="2">
                  <c:v>102.526880480381</c:v>
                </c:pt>
                <c:pt idx="3">
                  <c:v>103.03558669863099</c:v>
                </c:pt>
                <c:pt idx="4">
                  <c:v>104.18580690740001</c:v>
                </c:pt>
                <c:pt idx="5">
                  <c:v>105.620439904888</c:v>
                </c:pt>
                <c:pt idx="6">
                  <c:v>106.84831676165599</c:v>
                </c:pt>
                <c:pt idx="7">
                  <c:v>107.476702560554</c:v>
                </c:pt>
                <c:pt idx="8">
                  <c:v>107.43311291688499</c:v>
                </c:pt>
                <c:pt idx="9">
                  <c:v>106.917994048956</c:v>
                </c:pt>
                <c:pt idx="10">
                  <c:v>106.23523966136899</c:v>
                </c:pt>
                <c:pt idx="11">
                  <c:v>105.778545151391</c:v>
                </c:pt>
                <c:pt idx="12">
                  <c:v>105.79775467429999</c:v>
                </c:pt>
                <c:pt idx="13">
                  <c:v>106.18988614908299</c:v>
                </c:pt>
                <c:pt idx="14">
                  <c:v>106.593119912115</c:v>
                </c:pt>
                <c:pt idx="15">
                  <c:v>106.72764431996799</c:v>
                </c:pt>
                <c:pt idx="16">
                  <c:v>106.509516132168</c:v>
                </c:pt>
                <c:pt idx="17">
                  <c:v>106.113375559315</c:v>
                </c:pt>
                <c:pt idx="18">
                  <c:v>105.75560494583701</c:v>
                </c:pt>
                <c:pt idx="19">
                  <c:v>105.61799755937</c:v>
                </c:pt>
                <c:pt idx="20">
                  <c:v>105.648726121838</c:v>
                </c:pt>
                <c:pt idx="21">
                  <c:v>105.81405257510799</c:v>
                </c:pt>
                <c:pt idx="22">
                  <c:v>106.017580830992</c:v>
                </c:pt>
                <c:pt idx="23">
                  <c:v>106.032704388412</c:v>
                </c:pt>
                <c:pt idx="24">
                  <c:v>105.789475006524</c:v>
                </c:pt>
                <c:pt idx="25">
                  <c:v>105.38466256369399</c:v>
                </c:pt>
                <c:pt idx="26">
                  <c:v>104.946563210731</c:v>
                </c:pt>
                <c:pt idx="27">
                  <c:v>104.662034902825</c:v>
                </c:pt>
                <c:pt idx="28">
                  <c:v>104.657188672486</c:v>
                </c:pt>
                <c:pt idx="29">
                  <c:v>104.927734159552</c:v>
                </c:pt>
                <c:pt idx="30">
                  <c:v>105.486822735137</c:v>
                </c:pt>
                <c:pt idx="31">
                  <c:v>106.26814230317299</c:v>
                </c:pt>
                <c:pt idx="32">
                  <c:v>107.131968915798</c:v>
                </c:pt>
                <c:pt idx="33">
                  <c:v>107.93304106978501</c:v>
                </c:pt>
                <c:pt idx="34">
                  <c:v>108.504712467281</c:v>
                </c:pt>
                <c:pt idx="35">
                  <c:v>108.87061324723901</c:v>
                </c:pt>
                <c:pt idx="36">
                  <c:v>109.010187166577</c:v>
                </c:pt>
                <c:pt idx="37">
                  <c:v>108.9769656616</c:v>
                </c:pt>
                <c:pt idx="38">
                  <c:v>108.90334372877901</c:v>
                </c:pt>
                <c:pt idx="39">
                  <c:v>108.793318840631</c:v>
                </c:pt>
                <c:pt idx="40">
                  <c:v>108.62216688608299</c:v>
                </c:pt>
                <c:pt idx="41">
                  <c:v>108.38058732980799</c:v>
                </c:pt>
                <c:pt idx="42">
                  <c:v>107.96593769255</c:v>
                </c:pt>
                <c:pt idx="43">
                  <c:v>107.320510240018</c:v>
                </c:pt>
                <c:pt idx="44">
                  <c:v>106.56762321921001</c:v>
                </c:pt>
                <c:pt idx="45">
                  <c:v>105.79661898797499</c:v>
                </c:pt>
                <c:pt idx="46">
                  <c:v>105.163795696075</c:v>
                </c:pt>
                <c:pt idx="47">
                  <c:v>104.75281218444</c:v>
                </c:pt>
                <c:pt idx="48">
                  <c:v>104.495886587233</c:v>
                </c:pt>
                <c:pt idx="49">
                  <c:v>104.223465313162</c:v>
                </c:pt>
                <c:pt idx="50">
                  <c:v>103.751368754518</c:v>
                </c:pt>
                <c:pt idx="51">
                  <c:v>103.020940687471</c:v>
                </c:pt>
                <c:pt idx="52">
                  <c:v>102.051289058096</c:v>
                </c:pt>
                <c:pt idx="53">
                  <c:v>100.953490587467</c:v>
                </c:pt>
                <c:pt idx="54">
                  <c:v>99.908508589903903</c:v>
                </c:pt>
                <c:pt idx="55">
                  <c:v>99.112099337830401</c:v>
                </c:pt>
                <c:pt idx="56">
                  <c:v>98.649626447915693</c:v>
                </c:pt>
                <c:pt idx="57">
                  <c:v>98.478898775293601</c:v>
                </c:pt>
                <c:pt idx="58">
                  <c:v>98.430528346140093</c:v>
                </c:pt>
                <c:pt idx="59">
                  <c:v>98.268398753205503</c:v>
                </c:pt>
                <c:pt idx="60">
                  <c:v>97.897457500951802</c:v>
                </c:pt>
                <c:pt idx="61">
                  <c:v>97.313871663283905</c:v>
                </c:pt>
                <c:pt idx="62">
                  <c:v>96.604601355005698</c:v>
                </c:pt>
                <c:pt idx="63">
                  <c:v>95.895767115427802</c:v>
                </c:pt>
                <c:pt idx="64">
                  <c:v>95.314327881136904</c:v>
                </c:pt>
                <c:pt idx="65">
                  <c:v>94.910702717038205</c:v>
                </c:pt>
              </c:numCache>
            </c:numRef>
          </c:val>
          <c:smooth val="0"/>
          <c:extLst>
            <c:ext xmlns:c16="http://schemas.microsoft.com/office/drawing/2014/chart" uri="{C3380CC4-5D6E-409C-BE32-E72D297353CC}">
              <c16:uniqueId val="{00000001-4F59-4574-AB91-E78A8EC3D0DD}"/>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'[gráficas Act. Industrial (cifras desestacionalizadas) (6).xlsx]datos'!$L$4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(6).xlsx]datos'!$L$29:$L$94</c:f>
              <c:numCache>
                <c:formatCode>0.0</c:formatCode>
                <c:ptCount val="66"/>
                <c:pt idx="0">
                  <c:v>105.44200019112</c:v>
                </c:pt>
                <c:pt idx="1">
                  <c:v>106.664354841689</c:v>
                </c:pt>
                <c:pt idx="2">
                  <c:v>105.57740268381001</c:v>
                </c:pt>
                <c:pt idx="3">
                  <c:v>107.804751759909</c:v>
                </c:pt>
                <c:pt idx="4">
                  <c:v>106.609255160746</c:v>
                </c:pt>
                <c:pt idx="5">
                  <c:v>106.60806333138601</c:v>
                </c:pt>
                <c:pt idx="6">
                  <c:v>106.766512174647</c:v>
                </c:pt>
                <c:pt idx="7">
                  <c:v>107.053850479399</c:v>
                </c:pt>
                <c:pt idx="8">
                  <c:v>108.715816846256</c:v>
                </c:pt>
                <c:pt idx="9">
                  <c:v>108.474382772704</c:v>
                </c:pt>
                <c:pt idx="10">
                  <c:v>107.469364387761</c:v>
                </c:pt>
                <c:pt idx="11">
                  <c:v>107.97936372229501</c:v>
                </c:pt>
                <c:pt idx="12">
                  <c:v>108.432799115927</c:v>
                </c:pt>
                <c:pt idx="13">
                  <c:v>108.26090969272499</c:v>
                </c:pt>
                <c:pt idx="14">
                  <c:v>107.66253946628601</c:v>
                </c:pt>
                <c:pt idx="15">
                  <c:v>107.248018085455</c:v>
                </c:pt>
                <c:pt idx="16">
                  <c:v>107.860608824054</c:v>
                </c:pt>
                <c:pt idx="17">
                  <c:v>108.074487212428</c:v>
                </c:pt>
                <c:pt idx="18">
                  <c:v>108.44255507387901</c:v>
                </c:pt>
                <c:pt idx="19">
                  <c:v>108.872211796393</c:v>
                </c:pt>
                <c:pt idx="20">
                  <c:v>108.578314298086</c:v>
                </c:pt>
                <c:pt idx="21">
                  <c:v>109.05101397074399</c:v>
                </c:pt>
                <c:pt idx="22">
                  <c:v>109.986192172543</c:v>
                </c:pt>
                <c:pt idx="23">
                  <c:v>111.131215855723</c:v>
                </c:pt>
                <c:pt idx="24">
                  <c:v>111.856586528039</c:v>
                </c:pt>
                <c:pt idx="25">
                  <c:v>111.675787237718</c:v>
                </c:pt>
                <c:pt idx="26">
                  <c:v>112.537677501348</c:v>
                </c:pt>
                <c:pt idx="27">
                  <c:v>112.23736616702099</c:v>
                </c:pt>
                <c:pt idx="28">
                  <c:v>111.4011856588</c:v>
                </c:pt>
                <c:pt idx="29">
                  <c:v>111.41008116265699</c:v>
                </c:pt>
                <c:pt idx="30">
                  <c:v>111.461618273013</c:v>
                </c:pt>
                <c:pt idx="31">
                  <c:v>112.065066715128</c:v>
                </c:pt>
                <c:pt idx="32">
                  <c:v>109.87878087168301</c:v>
                </c:pt>
                <c:pt idx="33">
                  <c:v>112.596161021786</c:v>
                </c:pt>
                <c:pt idx="34">
                  <c:v>112.676444099158</c:v>
                </c:pt>
                <c:pt idx="35">
                  <c:v>112.844868479773</c:v>
                </c:pt>
                <c:pt idx="36">
                  <c:v>112.371039665422</c:v>
                </c:pt>
                <c:pt idx="37">
                  <c:v>112.77289162307</c:v>
                </c:pt>
                <c:pt idx="38">
                  <c:v>115.314762645773</c:v>
                </c:pt>
                <c:pt idx="39">
                  <c:v>112.28482700037701</c:v>
                </c:pt>
                <c:pt idx="40">
                  <c:v>114.50153670288</c:v>
                </c:pt>
                <c:pt idx="41">
                  <c:v>114.48273935144201</c:v>
                </c:pt>
                <c:pt idx="42">
                  <c:v>113.92876587637799</c:v>
                </c:pt>
                <c:pt idx="43">
                  <c:v>114.322798857265</c:v>
                </c:pt>
                <c:pt idx="44">
                  <c:v>114.79493406902699</c:v>
                </c:pt>
                <c:pt idx="45">
                  <c:v>113.93784565668599</c:v>
                </c:pt>
                <c:pt idx="46">
                  <c:v>114.84889278088001</c:v>
                </c:pt>
                <c:pt idx="47">
                  <c:v>113.15312301007501</c:v>
                </c:pt>
                <c:pt idx="48">
                  <c:v>114.633861000095</c:v>
                </c:pt>
                <c:pt idx="49">
                  <c:v>115.155576629801</c:v>
                </c:pt>
                <c:pt idx="50">
                  <c:v>114.41279342280301</c:v>
                </c:pt>
                <c:pt idx="51">
                  <c:v>115.376313335776</c:v>
                </c:pt>
                <c:pt idx="52">
                  <c:v>114.9313966716</c:v>
                </c:pt>
                <c:pt idx="53">
                  <c:v>115.0324451422</c:v>
                </c:pt>
                <c:pt idx="54">
                  <c:v>115.364672659984</c:v>
                </c:pt>
                <c:pt idx="55">
                  <c:v>114.788083446957</c:v>
                </c:pt>
                <c:pt idx="56">
                  <c:v>115.57132294675201</c:v>
                </c:pt>
                <c:pt idx="57">
                  <c:v>112.61801378503</c:v>
                </c:pt>
                <c:pt idx="58">
                  <c:v>112.75261601402801</c:v>
                </c:pt>
                <c:pt idx="59">
                  <c:v>112.50529626194</c:v>
                </c:pt>
                <c:pt idx="60">
                  <c:v>113.049782707069</c:v>
                </c:pt>
                <c:pt idx="61">
                  <c:v>112.49166243985501</c:v>
                </c:pt>
                <c:pt idx="62">
                  <c:v>107.939400158143</c:v>
                </c:pt>
                <c:pt idx="63">
                  <c:v>74.403195459903799</c:v>
                </c:pt>
                <c:pt idx="64">
                  <c:v>74.181221323986904</c:v>
                </c:pt>
                <c:pt idx="65">
                  <c:v>94.003954619024398</c:v>
                </c:pt>
              </c:numCache>
            </c:numRef>
          </c:val>
          <c:extLst>
            <c:ext xmlns:c16="http://schemas.microsoft.com/office/drawing/2014/chart" uri="{C3380CC4-5D6E-409C-BE32-E72D297353CC}">
              <c16:uniqueId val="{00000000-7AE6-4CFF-AB84-5C0609D77692}"/>
            </c:ext>
          </c:extLst>
        </c:ser>
        <c:dLbls>
          <c:showLegendKey val="0"/>
          <c:showVal val="1"/>
          <c:showCatName val="0"/>
          <c:showSerName val="0"/>
          <c:showPercent val="0"/>
          <c:showBubbleSize val="0"/>
        </c:dLbls>
        <c:gapWidth val="40"/>
        <c:axId val="121036000"/>
        <c:axId val="121036392"/>
      </c:barChart>
      <c:lineChart>
        <c:grouping val="standard"/>
        <c:varyColors val="0"/>
        <c:ser>
          <c:idx val="1"/>
          <c:order val="1"/>
          <c:tx>
            <c:strRef>
              <c:f>'[gráficas Act. Industrial (cifras desestacionalizadas) (6).xlsx]datos'!$M$4</c:f>
              <c:strCache>
                <c:ptCount val="1"/>
                <c:pt idx="0">
                  <c:v>Tendencia-Ciclo</c:v>
                </c:pt>
              </c:strCache>
            </c:strRef>
          </c:tx>
          <c:spPr>
            <a:ln w="15875">
              <a:solidFill>
                <a:srgbClr val="C00000"/>
              </a:solidFill>
              <a:prstDash val="solid"/>
            </a:ln>
          </c:spPr>
          <c:marker>
            <c:symbol val="none"/>
          </c:marker>
          <c:dLbls>
            <c:delete val="1"/>
          </c:dLbls>
          <c:cat>
            <c:multiLvlStrRef>
              <c:f>'[gráficas Act. Industrial (cifras desestacionalizadas) (6).xlsx]datos'!$B$29:$C$94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'[gráficas Act. Industrial (cifras desestacionalizadas) (6).xlsx]datos'!$M$29:$M$94</c:f>
              <c:numCache>
                <c:formatCode>0.0</c:formatCode>
                <c:ptCount val="66"/>
                <c:pt idx="0">
                  <c:v>105.912867444089</c:v>
                </c:pt>
                <c:pt idx="1">
                  <c:v>106.073442451557</c:v>
                </c:pt>
                <c:pt idx="2">
                  <c:v>106.188578596049</c:v>
                </c:pt>
                <c:pt idx="3">
                  <c:v>106.30005088934401</c:v>
                </c:pt>
                <c:pt idx="4">
                  <c:v>106.472365023237</c:v>
                </c:pt>
                <c:pt idx="5">
                  <c:v>106.72023813393299</c:v>
                </c:pt>
                <c:pt idx="6">
                  <c:v>107.017610272247</c:v>
                </c:pt>
                <c:pt idx="7">
                  <c:v>107.35145987046199</c:v>
                </c:pt>
                <c:pt idx="8">
                  <c:v>107.68704855621399</c:v>
                </c:pt>
                <c:pt idx="9">
                  <c:v>107.965764332514</c:v>
                </c:pt>
                <c:pt idx="10">
                  <c:v>108.14424098362799</c:v>
                </c:pt>
                <c:pt idx="11">
                  <c:v>108.176767475508</c:v>
                </c:pt>
                <c:pt idx="12">
                  <c:v>108.08079328285299</c:v>
                </c:pt>
                <c:pt idx="13">
                  <c:v>107.925940272883</c:v>
                </c:pt>
                <c:pt idx="14">
                  <c:v>107.809928260067</c:v>
                </c:pt>
                <c:pt idx="15">
                  <c:v>107.787148261173</c:v>
                </c:pt>
                <c:pt idx="16">
                  <c:v>107.84995807395499</c:v>
                </c:pt>
                <c:pt idx="17">
                  <c:v>107.98875948354301</c:v>
                </c:pt>
                <c:pt idx="18">
                  <c:v>108.21589684376001</c:v>
                </c:pt>
                <c:pt idx="19">
                  <c:v>108.54076010710899</c:v>
                </c:pt>
                <c:pt idx="20">
                  <c:v>108.95614357083301</c:v>
                </c:pt>
                <c:pt idx="21">
                  <c:v>109.483466476724</c:v>
                </c:pt>
                <c:pt idx="22">
                  <c:v>110.141313533499</c:v>
                </c:pt>
                <c:pt idx="23">
                  <c:v>110.86104633471599</c:v>
                </c:pt>
                <c:pt idx="24">
                  <c:v>111.497606225845</c:v>
                </c:pt>
                <c:pt idx="25">
                  <c:v>111.912132460677</c:v>
                </c:pt>
                <c:pt idx="26">
                  <c:v>112.052734843937</c:v>
                </c:pt>
                <c:pt idx="27">
                  <c:v>111.967047208602</c:v>
                </c:pt>
                <c:pt idx="28">
                  <c:v>111.797083721471</c:v>
                </c:pt>
                <c:pt idx="29">
                  <c:v>111.677950349369</c:v>
                </c:pt>
                <c:pt idx="30">
                  <c:v>111.701016179539</c:v>
                </c:pt>
                <c:pt idx="31">
                  <c:v>111.86541290699201</c:v>
                </c:pt>
                <c:pt idx="32">
                  <c:v>112.104448825593</c:v>
                </c:pt>
                <c:pt idx="33">
                  <c:v>112.34391700517401</c:v>
                </c:pt>
                <c:pt idx="34">
                  <c:v>112.509553483733</c:v>
                </c:pt>
                <c:pt idx="35">
                  <c:v>112.630881410287</c:v>
                </c:pt>
                <c:pt idx="36">
                  <c:v>112.79944883277599</c:v>
                </c:pt>
                <c:pt idx="37">
                  <c:v>113.05452280358</c:v>
                </c:pt>
                <c:pt idx="38">
                  <c:v>113.376396807261</c:v>
                </c:pt>
                <c:pt idx="39">
                  <c:v>113.730322279022</c:v>
                </c:pt>
                <c:pt idx="40">
                  <c:v>114.04339460052201</c:v>
                </c:pt>
                <c:pt idx="41">
                  <c:v>114.254189626643</c:v>
                </c:pt>
                <c:pt idx="42">
                  <c:v>114.35710099138799</c:v>
                </c:pt>
                <c:pt idx="43">
                  <c:v>114.38196168384</c:v>
                </c:pt>
                <c:pt idx="44">
                  <c:v>114.41149243369</c:v>
                </c:pt>
                <c:pt idx="45">
                  <c:v>114.46334640953999</c:v>
                </c:pt>
                <c:pt idx="46">
                  <c:v>114.54484799905001</c:v>
                </c:pt>
                <c:pt idx="47">
                  <c:v>114.64647860321401</c:v>
                </c:pt>
                <c:pt idx="48">
                  <c:v>114.73559038207701</c:v>
                </c:pt>
                <c:pt idx="49">
                  <c:v>114.826477438005</c:v>
                </c:pt>
                <c:pt idx="50">
                  <c:v>114.94127650472799</c:v>
                </c:pt>
                <c:pt idx="51">
                  <c:v>115.05234983384</c:v>
                </c:pt>
                <c:pt idx="52">
                  <c:v>115.128431340821</c:v>
                </c:pt>
                <c:pt idx="53">
                  <c:v>115.126707986357</c:v>
                </c:pt>
                <c:pt idx="54">
                  <c:v>114.95563282452299</c:v>
                </c:pt>
                <c:pt idx="55">
                  <c:v>114.612355809821</c:v>
                </c:pt>
                <c:pt idx="56">
                  <c:v>114.134044724804</c:v>
                </c:pt>
                <c:pt idx="57">
                  <c:v>113.615271999635</c:v>
                </c:pt>
                <c:pt idx="58">
                  <c:v>113.169689664602</c:v>
                </c:pt>
                <c:pt idx="59">
                  <c:v>112.84976871777801</c:v>
                </c:pt>
                <c:pt idx="60">
                  <c:v>112.68008514085599</c:v>
                </c:pt>
                <c:pt idx="61">
                  <c:v>112.61904378021001</c:v>
                </c:pt>
                <c:pt idx="62">
                  <c:v>112.592382169839</c:v>
                </c:pt>
                <c:pt idx="63">
                  <c:v>112.55821969262</c:v>
                </c:pt>
                <c:pt idx="64">
                  <c:v>112.506350668453</c:v>
                </c:pt>
                <c:pt idx="65">
                  <c:v>112.46111923230799</c:v>
                </c:pt>
              </c:numCache>
            </c:numRef>
          </c:val>
          <c:smooth val="0"/>
          <c:extLst>
            <c:ext xmlns:c16="http://schemas.microsoft.com/office/drawing/2014/chart" uri="{C3380CC4-5D6E-409C-BE32-E72D297353CC}">
              <c16:uniqueId val="{00000001-7AE6-4CFF-AB84-5C0609D77692}"/>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65D2-1500-471E-A774-20F6AAD2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2274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GUILLEN MEDINA MOISES</cp:lastModifiedBy>
  <cp:revision>81</cp:revision>
  <cp:lastPrinted>2020-05-11T21:50:00Z</cp:lastPrinted>
  <dcterms:created xsi:type="dcterms:W3CDTF">2020-05-11T19:36:00Z</dcterms:created>
  <dcterms:modified xsi:type="dcterms:W3CDTF">2020-08-11T00:50:00Z</dcterms:modified>
  <cp:category>ÍNDICES DE PRECIOS</cp:category>
  <cp:version>1</cp:version>
</cp:coreProperties>
</file>