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charts/chart9.xml" ContentType="application/vnd.openxmlformats-officedocument.drawingml.chart+xml"/>
  <Override PartName="/word/drawings/drawing9.xml" ContentType="application/vnd.openxmlformats-officedocument.drawingml.chartshapes+xml"/>
  <Override PartName="/word/charts/chart10.xml" ContentType="application/vnd.openxmlformats-officedocument.drawingml.chart+xml"/>
  <Override PartName="/word/drawings/drawing10.xml" ContentType="application/vnd.openxmlformats-officedocument.drawingml.chartshapes+xml"/>
  <Override PartName="/word/charts/chart11.xml" ContentType="application/vnd.openxmlformats-officedocument.drawingml.chart+xml"/>
  <Override PartName="/word/drawings/drawing11.xml" ContentType="application/vnd.openxmlformats-officedocument.drawingml.chartshapes+xml"/>
  <Override PartName="/word/charts/chart12.xml" ContentType="application/vnd.openxmlformats-officedocument.drawingml.chart+xml"/>
  <Override PartName="/word/drawings/drawing12.xml" ContentType="application/vnd.openxmlformats-officedocument.drawingml.chartshapes+xml"/>
  <Override PartName="/word/charts/chart13.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CDBF0" w14:textId="77777777" w:rsidR="00B024D9" w:rsidRPr="00FC3231" w:rsidRDefault="00B024D9" w:rsidP="00B024D9">
      <w:pPr>
        <w:tabs>
          <w:tab w:val="left" w:pos="8789"/>
        </w:tabs>
        <w:spacing w:before="120"/>
        <w:ind w:right="51"/>
        <w:jc w:val="center"/>
        <w:rPr>
          <w:b/>
          <w:sz w:val="28"/>
          <w:szCs w:val="28"/>
        </w:rPr>
      </w:pPr>
      <w:r>
        <w:rPr>
          <w:b/>
          <w:noProof/>
          <w:sz w:val="28"/>
          <w:lang w:val="es-MX" w:eastAsia="es-MX"/>
        </w:rPr>
        <mc:AlternateContent>
          <mc:Choice Requires="wps">
            <w:drawing>
              <wp:anchor distT="45720" distB="45720" distL="114300" distR="114300" simplePos="0" relativeHeight="251659264" behindDoc="0" locked="0" layoutInCell="1" allowOverlap="1" wp14:anchorId="76C33D35" wp14:editId="3B101FED">
                <wp:simplePos x="0" y="0"/>
                <wp:positionH relativeFrom="column">
                  <wp:posOffset>2461895</wp:posOffset>
                </wp:positionH>
                <wp:positionV relativeFrom="paragraph">
                  <wp:posOffset>77470</wp:posOffset>
                </wp:positionV>
                <wp:extent cx="3679825"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825" cy="266700"/>
                        </a:xfrm>
                        <a:prstGeom prst="rect">
                          <a:avLst/>
                        </a:prstGeom>
                        <a:solidFill>
                          <a:srgbClr val="FFFFFF"/>
                        </a:solidFill>
                        <a:ln w="9525">
                          <a:noFill/>
                          <a:miter lim="800000"/>
                          <a:headEnd/>
                          <a:tailEnd/>
                        </a:ln>
                      </wps:spPr>
                      <wps:txbx>
                        <w:txbxContent>
                          <w:p w14:paraId="0CFCF0E9" w14:textId="77777777" w:rsidR="00B024D9" w:rsidRPr="00265B8C" w:rsidRDefault="00B024D9" w:rsidP="00B024D9">
                            <w:pPr>
                              <w:jc w:val="right"/>
                              <w:rPr>
                                <w:rFonts w:ascii="Arial" w:hAnsi="Arial" w:cs="Arial"/>
                              </w:rPr>
                            </w:pPr>
                            <w:r w:rsidRPr="00265B8C">
                              <w:rPr>
                                <w:rFonts w:ascii="Arial" w:hAnsi="Arial" w:cs="Arial"/>
                                <w:b/>
                                <w:color w:val="FFFFFF" w:themeColor="background1"/>
                                <w:shd w:val="clear" w:color="auto" w:fill="365F91" w:themeFill="accent1" w:themeFillShade="BF"/>
                                <w:lang w:val="pt-BR"/>
                              </w:rPr>
                              <w:t>Próxima publicación:</w:t>
                            </w:r>
                            <w:r>
                              <w:rPr>
                                <w:rFonts w:ascii="Arial" w:hAnsi="Arial" w:cs="Arial"/>
                                <w:b/>
                                <w:color w:val="FFFFFF" w:themeColor="background1"/>
                                <w:shd w:val="clear" w:color="auto" w:fill="365F91" w:themeFill="accent1" w:themeFillShade="BF"/>
                                <w:lang w:val="pt-BR"/>
                              </w:rPr>
                              <w:t xml:space="preserve">  27 </w:t>
                            </w:r>
                            <w:r w:rsidRPr="00265B8C">
                              <w:rPr>
                                <w:rFonts w:ascii="Arial" w:hAnsi="Arial" w:cs="Arial"/>
                                <w:b/>
                                <w:color w:val="FFFFFF" w:themeColor="background1"/>
                                <w:shd w:val="clear" w:color="auto" w:fill="365F91" w:themeFill="accent1" w:themeFillShade="BF"/>
                                <w:lang w:val="pt-BR"/>
                              </w:rPr>
                              <w:t>de</w:t>
                            </w:r>
                            <w:r>
                              <w:rPr>
                                <w:rFonts w:ascii="Arial" w:hAnsi="Arial" w:cs="Arial"/>
                                <w:b/>
                                <w:color w:val="FFFFFF" w:themeColor="background1"/>
                                <w:shd w:val="clear" w:color="auto" w:fill="365F91" w:themeFill="accent1" w:themeFillShade="BF"/>
                                <w:lang w:val="pt-BR"/>
                              </w:rPr>
                              <w:t xml:space="preserve"> julio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C33D35" id="_x0000_t202" coordsize="21600,21600" o:spt="202" path="m,l,21600r21600,l21600,xe">
                <v:stroke joinstyle="miter"/>
                <v:path gradientshapeok="t" o:connecttype="rect"/>
              </v:shapetype>
              <v:shape id="Cuadro de texto 217" o:spid="_x0000_s1026" type="#_x0000_t202" style="position:absolute;left:0;text-align:left;margin-left:193.85pt;margin-top:6.1pt;width:289.75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" stroked="f">
                <v:textbox>
                  <w:txbxContent>
                    <w:p w14:paraId="0CFCF0E9" w14:textId="77777777" w:rsidR="00B024D9" w:rsidRPr="00265B8C" w:rsidRDefault="00B024D9" w:rsidP="00B024D9">
                      <w:pPr>
                        <w:jc w:val="right"/>
                        <w:rPr>
                          <w:rFonts w:ascii="Arial" w:hAnsi="Arial" w:cs="Arial"/>
                        </w:rPr>
                      </w:pPr>
                      <w:r w:rsidRPr="00265B8C">
                        <w:rPr>
                          <w:rFonts w:ascii="Arial" w:hAnsi="Arial" w:cs="Arial"/>
                          <w:b/>
                          <w:color w:val="FFFFFF" w:themeColor="background1"/>
                          <w:shd w:val="clear" w:color="auto" w:fill="365F91" w:themeFill="accent1" w:themeFillShade="BF"/>
                          <w:lang w:val="pt-BR"/>
                        </w:rPr>
                        <w:t>Próxima publicación:</w:t>
                      </w:r>
                      <w:r>
                        <w:rPr>
                          <w:rFonts w:ascii="Arial" w:hAnsi="Arial" w:cs="Arial"/>
                          <w:b/>
                          <w:color w:val="FFFFFF" w:themeColor="background1"/>
                          <w:shd w:val="clear" w:color="auto" w:fill="365F91" w:themeFill="accent1" w:themeFillShade="BF"/>
                          <w:lang w:val="pt-BR"/>
                        </w:rPr>
                        <w:t xml:space="preserve">  27 </w:t>
                      </w:r>
                      <w:r w:rsidRPr="00265B8C">
                        <w:rPr>
                          <w:rFonts w:ascii="Arial" w:hAnsi="Arial" w:cs="Arial"/>
                          <w:b/>
                          <w:color w:val="FFFFFF" w:themeColor="background1"/>
                          <w:shd w:val="clear" w:color="auto" w:fill="365F91" w:themeFill="accent1" w:themeFillShade="BF"/>
                          <w:lang w:val="pt-BR"/>
                        </w:rPr>
                        <w:t>de</w:t>
                      </w:r>
                      <w:r>
                        <w:rPr>
                          <w:rFonts w:ascii="Arial" w:hAnsi="Arial" w:cs="Arial"/>
                          <w:b/>
                          <w:color w:val="FFFFFF" w:themeColor="background1"/>
                          <w:shd w:val="clear" w:color="auto" w:fill="365F91" w:themeFill="accent1" w:themeFillShade="BF"/>
                          <w:lang w:val="pt-BR"/>
                        </w:rPr>
                        <w:t xml:space="preserve"> julio</w:t>
                      </w:r>
                    </w:p>
                  </w:txbxContent>
                </v:textbox>
                <w10:wrap type="square"/>
              </v:shape>
            </w:pict>
          </mc:Fallback>
        </mc:AlternateContent>
      </w:r>
    </w:p>
    <w:p w14:paraId="1E9E4AE6" w14:textId="77777777" w:rsidR="00B024D9" w:rsidRPr="00995D9E" w:rsidRDefault="00B024D9" w:rsidP="00B024D9">
      <w:pPr>
        <w:pStyle w:val="Ttulo2"/>
        <w:keepNext w:val="0"/>
        <w:widowControl w:val="0"/>
        <w:spacing w:before="0"/>
        <w:jc w:val="center"/>
        <w:rPr>
          <w:b/>
          <w:sz w:val="28"/>
          <w:szCs w:val="28"/>
        </w:rPr>
      </w:pPr>
    </w:p>
    <w:p w14:paraId="39AC22AF" w14:textId="77777777" w:rsidR="00B024D9" w:rsidRPr="00095E57" w:rsidRDefault="00B024D9" w:rsidP="00B024D9">
      <w:pPr>
        <w:pStyle w:val="Ttulo2"/>
        <w:keepNext w:val="0"/>
        <w:widowControl w:val="0"/>
        <w:spacing w:before="360"/>
        <w:jc w:val="center"/>
        <w:rPr>
          <w:b/>
          <w:sz w:val="28"/>
          <w:szCs w:val="28"/>
        </w:rPr>
      </w:pPr>
      <w:r w:rsidRPr="00095E57">
        <w:rPr>
          <w:b/>
          <w:sz w:val="28"/>
          <w:szCs w:val="28"/>
        </w:rPr>
        <w:t>INFORMACIÓN OPORTUNA SOBRE LA</w:t>
      </w:r>
    </w:p>
    <w:p w14:paraId="1BBB7835" w14:textId="77777777" w:rsidR="00B024D9" w:rsidRPr="00095E57" w:rsidRDefault="00B024D9" w:rsidP="00B024D9">
      <w:pPr>
        <w:pStyle w:val="Ttulo2"/>
        <w:keepNext w:val="0"/>
        <w:widowControl w:val="0"/>
        <w:spacing w:before="0"/>
        <w:jc w:val="center"/>
        <w:rPr>
          <w:b/>
          <w:sz w:val="28"/>
          <w:szCs w:val="28"/>
        </w:rPr>
      </w:pPr>
      <w:r w:rsidRPr="00095E57">
        <w:rPr>
          <w:b/>
          <w:sz w:val="28"/>
          <w:szCs w:val="28"/>
        </w:rPr>
        <w:t xml:space="preserve"> BALANZA COMERCIAL DE MERCANCÍAS DE MÉXICO </w:t>
      </w:r>
    </w:p>
    <w:p w14:paraId="01FF3A90" w14:textId="77777777" w:rsidR="00B024D9" w:rsidRPr="00095E57" w:rsidRDefault="00B024D9" w:rsidP="00B024D9">
      <w:pPr>
        <w:pStyle w:val="Ttulo2"/>
        <w:keepNext w:val="0"/>
        <w:widowControl w:val="0"/>
        <w:spacing w:before="0"/>
        <w:jc w:val="center"/>
        <w:rPr>
          <w:b/>
          <w:sz w:val="28"/>
          <w:szCs w:val="28"/>
        </w:rPr>
      </w:pPr>
      <w:r w:rsidRPr="00095E57">
        <w:rPr>
          <w:b/>
          <w:sz w:val="28"/>
          <w:szCs w:val="28"/>
        </w:rPr>
        <w:t>DURANTE MAYO DE 2020</w:t>
      </w:r>
    </w:p>
    <w:p w14:paraId="3776475B" w14:textId="77777777" w:rsidR="00B024D9" w:rsidRPr="00095E57" w:rsidRDefault="00B024D9" w:rsidP="00B024D9">
      <w:pPr>
        <w:pStyle w:val="bullet"/>
        <w:numPr>
          <w:ilvl w:val="0"/>
          <w:numId w:val="0"/>
        </w:numPr>
        <w:spacing w:before="240"/>
        <w:ind w:left="-142" w:right="-405"/>
        <w:rPr>
          <w:rFonts w:cs="Arial"/>
          <w:b w:val="0"/>
          <w:bCs/>
          <w:color w:val="auto"/>
          <w:sz w:val="24"/>
          <w:szCs w:val="24"/>
        </w:rPr>
      </w:pPr>
      <w:r w:rsidRPr="00095E57">
        <w:rPr>
          <w:rFonts w:cs="Arial"/>
          <w:b w:val="0"/>
          <w:bCs/>
          <w:color w:val="auto"/>
          <w:sz w:val="24"/>
          <w:szCs w:val="24"/>
        </w:rPr>
        <w:t>La información oportuna de comercio exterior de mayo de 2020 indica que se registró un déficit comercial de (-)3,523 millones de dólares, saldo que se compara con el superávit de 957 millones de dólares obtenido en igual mes de 2019. En los primeros cinco meses de este año, la balanza comercial presentó un déficit de (-)2,888 millones de dólares</w:t>
      </w:r>
      <w:r w:rsidRPr="00095E57">
        <w:rPr>
          <w:rStyle w:val="Refdenotaalpie"/>
          <w:b w:val="0"/>
          <w:bCs/>
          <w:color w:val="auto"/>
          <w:sz w:val="24"/>
          <w:szCs w:val="24"/>
        </w:rPr>
        <w:footnoteReference w:id="1"/>
      </w:r>
      <w:r w:rsidRPr="00095E57">
        <w:rPr>
          <w:rFonts w:cs="Arial"/>
          <w:b w:val="0"/>
          <w:bCs/>
          <w:color w:val="auto"/>
          <w:sz w:val="24"/>
          <w:szCs w:val="24"/>
        </w:rPr>
        <w:t>.</w:t>
      </w:r>
    </w:p>
    <w:p w14:paraId="4F9C4BDF" w14:textId="77777777" w:rsidR="00B024D9" w:rsidRPr="002B1EA4" w:rsidRDefault="00B024D9" w:rsidP="00B024D9">
      <w:pPr>
        <w:pStyle w:val="bullet"/>
        <w:numPr>
          <w:ilvl w:val="0"/>
          <w:numId w:val="0"/>
        </w:numPr>
        <w:spacing w:before="120"/>
        <w:ind w:left="-142" w:right="-405"/>
        <w:rPr>
          <w:rFonts w:cs="Arial"/>
          <w:b w:val="0"/>
          <w:color w:val="auto"/>
          <w:sz w:val="24"/>
          <w:szCs w:val="24"/>
        </w:rPr>
      </w:pPr>
    </w:p>
    <w:p w14:paraId="3A178460" w14:textId="77777777" w:rsidR="00B024D9" w:rsidRDefault="00B024D9" w:rsidP="00B024D9">
      <w:pPr>
        <w:pStyle w:val="bullet"/>
        <w:numPr>
          <w:ilvl w:val="0"/>
          <w:numId w:val="0"/>
        </w:numPr>
        <w:tabs>
          <w:tab w:val="left" w:pos="8647"/>
          <w:tab w:val="left" w:pos="9072"/>
        </w:tabs>
        <w:spacing w:before="100" w:beforeAutospacing="1"/>
        <w:ind w:left="-142" w:right="-405"/>
        <w:contextualSpacing/>
        <w:rPr>
          <w:color w:val="auto"/>
          <w:sz w:val="16"/>
          <w:szCs w:val="16"/>
        </w:rPr>
      </w:pPr>
      <w:r w:rsidRPr="00050ADC">
        <w:rPr>
          <w:color w:val="auto"/>
          <w:sz w:val="24"/>
          <w:szCs w:val="24"/>
        </w:rPr>
        <w:t xml:space="preserve">EXPORTACIONES </w:t>
      </w:r>
    </w:p>
    <w:p w14:paraId="333E32F7" w14:textId="77777777" w:rsidR="00B024D9" w:rsidRPr="00095E57" w:rsidRDefault="00B024D9" w:rsidP="00B024D9">
      <w:pPr>
        <w:pStyle w:val="bullet"/>
        <w:numPr>
          <w:ilvl w:val="0"/>
          <w:numId w:val="0"/>
        </w:numPr>
        <w:spacing w:before="240"/>
        <w:ind w:left="-142" w:right="-405"/>
        <w:rPr>
          <w:rFonts w:cs="Arial"/>
          <w:b w:val="0"/>
          <w:bCs/>
          <w:color w:val="auto"/>
          <w:sz w:val="24"/>
          <w:szCs w:val="24"/>
        </w:rPr>
      </w:pPr>
      <w:r w:rsidRPr="00095E57">
        <w:rPr>
          <w:rFonts w:cs="Arial"/>
          <w:b w:val="0"/>
          <w:bCs/>
          <w:color w:val="auto"/>
          <w:sz w:val="24"/>
          <w:szCs w:val="24"/>
        </w:rPr>
        <w:t>El valor de las exportaciones de mercancías en el quinto mes de este año fue de 18,070 millones de dólares, cifra que se integró por 17,140 millones de dólares de exportaciones no petroleras y por 929 millones de dólares de petroleras. Así, en el mes de referencia las exportaciones totales mostraron una reducción anual de (</w:t>
      </w:r>
      <w:r w:rsidRPr="00095E57">
        <w:rPr>
          <w:rFonts w:cs="Arial"/>
          <w:b w:val="0"/>
          <w:bCs/>
          <w:color w:val="auto"/>
          <w:sz w:val="24"/>
          <w:szCs w:val="24"/>
        </w:rPr>
        <w:noBreakHyphen/>
        <w:t>)56.7%, la cual fue resultado de contracciones de (-)56.3% en las exportaciones no petroleras y de (-)63.8% en las petroleras. Al interior de las exportaciones no petroleras, las dirigidas a Estados Unidos cayeron a una tasa anual de (-)57.2% y las canalizadas al resto del mundo lo hicieron en (-)51.8 por ciento.</w:t>
      </w:r>
    </w:p>
    <w:p w14:paraId="7435EA45" w14:textId="77777777" w:rsidR="00B024D9" w:rsidRPr="00095E57" w:rsidRDefault="00B024D9" w:rsidP="00B024D9">
      <w:pPr>
        <w:pStyle w:val="bullet"/>
        <w:numPr>
          <w:ilvl w:val="0"/>
          <w:numId w:val="0"/>
        </w:numPr>
        <w:spacing w:before="240"/>
        <w:ind w:left="-142" w:right="-405" w:hanging="425"/>
        <w:rPr>
          <w:rFonts w:cs="Arial"/>
          <w:b w:val="0"/>
          <w:bCs/>
          <w:color w:val="auto"/>
          <w:sz w:val="24"/>
          <w:szCs w:val="24"/>
        </w:rPr>
      </w:pPr>
      <w:r>
        <w:rPr>
          <w:rFonts w:cs="Arial"/>
          <w:b w:val="0"/>
          <w:bCs/>
          <w:color w:val="auto"/>
          <w:sz w:val="24"/>
          <w:szCs w:val="24"/>
        </w:rPr>
        <w:tab/>
      </w:r>
      <w:r w:rsidRPr="00095E57">
        <w:rPr>
          <w:rFonts w:cs="Arial"/>
          <w:b w:val="0"/>
          <w:bCs/>
          <w:color w:val="auto"/>
          <w:sz w:val="24"/>
          <w:szCs w:val="24"/>
        </w:rPr>
        <w:t xml:space="preserve">Con cifras ajustadas por estacionalidad, en el quinto mes de 2020 las exportaciones totales de mercancías reportaron una reducción mensual de (-)20.60%, la cual fue resultado neto de retrocesos de (-)22.00% en las exportaciones no petroleras y de un aumento de 18.94% en las petroleras. </w:t>
      </w:r>
    </w:p>
    <w:p w14:paraId="53695047" w14:textId="77777777" w:rsidR="00B024D9" w:rsidRPr="00C52C7E" w:rsidRDefault="00B024D9" w:rsidP="00B024D9">
      <w:pPr>
        <w:pStyle w:val="bullet"/>
        <w:numPr>
          <w:ilvl w:val="0"/>
          <w:numId w:val="0"/>
        </w:numPr>
        <w:tabs>
          <w:tab w:val="left" w:pos="8647"/>
          <w:tab w:val="left" w:pos="9072"/>
        </w:tabs>
        <w:spacing w:before="120"/>
        <w:ind w:left="-142" w:right="-405"/>
        <w:contextualSpacing/>
        <w:rPr>
          <w:b w:val="0"/>
          <w:bCs/>
          <w:sz w:val="24"/>
          <w:szCs w:val="24"/>
        </w:rPr>
      </w:pPr>
    </w:p>
    <w:p w14:paraId="0A398D56" w14:textId="77777777" w:rsidR="00B024D9" w:rsidRPr="00563FCA" w:rsidRDefault="00B024D9" w:rsidP="00B024D9">
      <w:pPr>
        <w:pStyle w:val="bullet"/>
        <w:numPr>
          <w:ilvl w:val="0"/>
          <w:numId w:val="0"/>
        </w:numPr>
        <w:tabs>
          <w:tab w:val="left" w:pos="8647"/>
          <w:tab w:val="left" w:pos="9072"/>
        </w:tabs>
        <w:spacing w:before="100" w:beforeAutospacing="1"/>
        <w:ind w:left="-142" w:right="-405"/>
        <w:contextualSpacing/>
        <w:rPr>
          <w:b w:val="0"/>
          <w:sz w:val="24"/>
          <w:szCs w:val="24"/>
        </w:rPr>
      </w:pPr>
      <w:r w:rsidRPr="00563FCA">
        <w:rPr>
          <w:b w:val="0"/>
          <w:sz w:val="24"/>
          <w:szCs w:val="24"/>
        </w:rPr>
        <w:tab/>
      </w:r>
    </w:p>
    <w:p w14:paraId="5CEFD20A" w14:textId="77777777" w:rsidR="00B024D9" w:rsidRPr="007E3ADA" w:rsidRDefault="00B024D9" w:rsidP="00B024D9">
      <w:pPr>
        <w:pStyle w:val="bullet"/>
        <w:numPr>
          <w:ilvl w:val="0"/>
          <w:numId w:val="0"/>
        </w:numPr>
        <w:tabs>
          <w:tab w:val="left" w:pos="8647"/>
          <w:tab w:val="left" w:pos="9072"/>
        </w:tabs>
        <w:spacing w:before="100" w:beforeAutospacing="1"/>
        <w:ind w:left="-142" w:right="-405"/>
        <w:contextualSpacing/>
        <w:rPr>
          <w:color w:val="auto"/>
          <w:sz w:val="24"/>
          <w:szCs w:val="24"/>
        </w:rPr>
      </w:pPr>
      <w:r w:rsidRPr="007E3ADA">
        <w:rPr>
          <w:color w:val="auto"/>
          <w:sz w:val="24"/>
          <w:szCs w:val="24"/>
        </w:rPr>
        <w:t>IMPORTACIONES</w:t>
      </w:r>
    </w:p>
    <w:p w14:paraId="7759B381" w14:textId="77777777" w:rsidR="00B024D9" w:rsidRPr="008A6E8D" w:rsidRDefault="00B024D9" w:rsidP="00B024D9">
      <w:pPr>
        <w:pStyle w:val="bullet"/>
        <w:numPr>
          <w:ilvl w:val="0"/>
          <w:numId w:val="0"/>
        </w:numPr>
        <w:tabs>
          <w:tab w:val="left" w:pos="8647"/>
          <w:tab w:val="left" w:pos="9072"/>
        </w:tabs>
        <w:spacing w:before="120"/>
        <w:ind w:left="-142" w:right="-405"/>
        <w:contextualSpacing/>
        <w:rPr>
          <w:color w:val="auto"/>
          <w:sz w:val="4"/>
          <w:szCs w:val="4"/>
        </w:rPr>
      </w:pPr>
    </w:p>
    <w:p w14:paraId="47484EF4" w14:textId="77777777" w:rsidR="00B024D9" w:rsidRPr="00095E57" w:rsidRDefault="00B024D9" w:rsidP="00B024D9">
      <w:pPr>
        <w:pStyle w:val="bullet"/>
        <w:numPr>
          <w:ilvl w:val="0"/>
          <w:numId w:val="0"/>
        </w:numPr>
        <w:spacing w:before="240" w:after="240"/>
        <w:ind w:left="-142" w:right="-405"/>
        <w:rPr>
          <w:rFonts w:cs="Arial"/>
          <w:b w:val="0"/>
          <w:bCs/>
          <w:color w:val="auto"/>
          <w:sz w:val="24"/>
          <w:szCs w:val="24"/>
        </w:rPr>
      </w:pPr>
      <w:r w:rsidRPr="00095E57">
        <w:rPr>
          <w:rFonts w:cs="Arial"/>
          <w:b w:val="0"/>
          <w:bCs/>
          <w:color w:val="auto"/>
          <w:sz w:val="24"/>
          <w:szCs w:val="24"/>
        </w:rPr>
        <w:t>En mayo pasado, el valor de las importaciones de mercancías alcanzó 21,592 millones de dólares, monto que implicó una caída anual de (-)47.1%; dicha cifra fue reflejo de disminuciones de (-)44.3% en las importaciones no petroleras y de (-)69.4% en las petroleras. Al considerar las importaciones por tipo de bien, se observaron descensos anuales de (-)55.8% en las importaciones de bienes de consumo, de (-)46.7% en las de bienes de uso intermedio y de (-)38.3% en las de bienes de capital.</w:t>
      </w:r>
    </w:p>
    <w:p w14:paraId="3C09C07B" w14:textId="77777777" w:rsidR="00B024D9" w:rsidRPr="00247F23" w:rsidRDefault="00B024D9" w:rsidP="00B024D9">
      <w:pPr>
        <w:pStyle w:val="bullet"/>
        <w:numPr>
          <w:ilvl w:val="0"/>
          <w:numId w:val="0"/>
        </w:numPr>
        <w:spacing w:before="60"/>
        <w:ind w:left="-142" w:right="-405" w:hanging="284"/>
        <w:rPr>
          <w:rFonts w:cs="Arial"/>
          <w:b w:val="0"/>
          <w:color w:val="auto"/>
          <w:sz w:val="24"/>
          <w:szCs w:val="24"/>
        </w:rPr>
      </w:pPr>
    </w:p>
    <w:p w14:paraId="5D2A005B" w14:textId="77777777" w:rsidR="00B024D9" w:rsidRDefault="00B024D9" w:rsidP="00B024D9">
      <w:pPr>
        <w:pStyle w:val="bullet"/>
        <w:numPr>
          <w:ilvl w:val="0"/>
          <w:numId w:val="0"/>
        </w:numPr>
        <w:spacing w:before="60"/>
        <w:ind w:left="-142" w:right="-405" w:hanging="284"/>
        <w:rPr>
          <w:rFonts w:cs="Arial"/>
          <w:b w:val="0"/>
          <w:color w:val="auto"/>
          <w:sz w:val="24"/>
          <w:szCs w:val="24"/>
        </w:rPr>
      </w:pPr>
    </w:p>
    <w:p w14:paraId="2F5C7C73" w14:textId="77777777" w:rsidR="00B024D9" w:rsidRDefault="00B024D9" w:rsidP="00B024D9">
      <w:pPr>
        <w:pStyle w:val="bullet"/>
        <w:numPr>
          <w:ilvl w:val="0"/>
          <w:numId w:val="0"/>
        </w:numPr>
        <w:spacing w:before="60"/>
        <w:ind w:left="-142" w:right="-405" w:hanging="284"/>
        <w:rPr>
          <w:rFonts w:cs="Arial"/>
          <w:b w:val="0"/>
          <w:color w:val="auto"/>
          <w:sz w:val="24"/>
          <w:szCs w:val="24"/>
        </w:rPr>
      </w:pPr>
    </w:p>
    <w:p w14:paraId="0A1F1602" w14:textId="77777777" w:rsidR="00B024D9" w:rsidRDefault="00B024D9" w:rsidP="00B024D9">
      <w:pPr>
        <w:pStyle w:val="bullet"/>
        <w:numPr>
          <w:ilvl w:val="0"/>
          <w:numId w:val="0"/>
        </w:numPr>
        <w:spacing w:before="60"/>
        <w:ind w:left="-142" w:right="-405" w:hanging="284"/>
        <w:rPr>
          <w:rFonts w:cs="Arial"/>
          <w:b w:val="0"/>
          <w:color w:val="auto"/>
          <w:sz w:val="24"/>
          <w:szCs w:val="24"/>
        </w:rPr>
      </w:pPr>
    </w:p>
    <w:p w14:paraId="659BF01D" w14:textId="77777777" w:rsidR="00B024D9" w:rsidRDefault="00B024D9" w:rsidP="00B024D9">
      <w:pPr>
        <w:pStyle w:val="bullet"/>
        <w:numPr>
          <w:ilvl w:val="0"/>
          <w:numId w:val="0"/>
        </w:numPr>
        <w:spacing w:before="60"/>
        <w:ind w:left="-142" w:right="-405" w:hanging="284"/>
        <w:rPr>
          <w:rFonts w:cs="Arial"/>
          <w:b w:val="0"/>
          <w:color w:val="auto"/>
          <w:sz w:val="24"/>
          <w:szCs w:val="24"/>
        </w:rPr>
      </w:pPr>
    </w:p>
    <w:p w14:paraId="2A577AE1" w14:textId="77777777" w:rsidR="00B024D9" w:rsidRDefault="00B024D9" w:rsidP="00B024D9">
      <w:pPr>
        <w:pStyle w:val="bullet"/>
        <w:numPr>
          <w:ilvl w:val="0"/>
          <w:numId w:val="0"/>
        </w:numPr>
        <w:spacing w:before="120" w:after="480"/>
        <w:ind w:left="-142" w:right="-405"/>
        <w:rPr>
          <w:rFonts w:cs="Arial"/>
          <w:b w:val="0"/>
          <w:smallCaps/>
          <w:color w:val="auto"/>
          <w:lang w:val="es-MX"/>
        </w:rPr>
      </w:pPr>
      <w:r w:rsidRPr="00095E57">
        <w:rPr>
          <w:rFonts w:cs="Arial"/>
          <w:b w:val="0"/>
          <w:color w:val="auto"/>
          <w:sz w:val="24"/>
          <w:szCs w:val="24"/>
        </w:rPr>
        <w:t>Con series ajustadas por estacionalidad, las importaciones totales mostraron una caída mensual de (-)18.39%, la cual se originó de retrocesos de (</w:t>
      </w:r>
      <w:r w:rsidRPr="00095E57">
        <w:rPr>
          <w:rFonts w:cs="Arial"/>
          <w:b w:val="0"/>
          <w:color w:val="auto"/>
          <w:sz w:val="24"/>
          <w:szCs w:val="24"/>
        </w:rPr>
        <w:noBreakHyphen/>
        <w:t>)17.69% en las importaciones no petroleras y de (-)26.87% en las petroleras. Por tipo de bien, se presentaron disminuciones mensuales de (-)11.70% en las importaciones de bienes de consumo, de (-)20.79% en las de bienes de uso intermedio y de (-)6.32% en las de bienes de capital.</w:t>
      </w:r>
    </w:p>
    <w:p w14:paraId="7911C441" w14:textId="77777777" w:rsidR="00B024D9" w:rsidRDefault="00B024D9" w:rsidP="00B024D9">
      <w:pPr>
        <w:pStyle w:val="p01"/>
        <w:keepNext/>
        <w:widowControl/>
        <w:spacing w:before="0"/>
        <w:jc w:val="center"/>
        <w:rPr>
          <w:rFonts w:ascii="Arial" w:hAnsi="Arial" w:cs="Arial"/>
          <w:b/>
          <w:smallCaps/>
          <w:color w:val="auto"/>
          <w:sz w:val="22"/>
          <w:lang w:val="es-MX"/>
        </w:rPr>
      </w:pPr>
      <w:r>
        <w:rPr>
          <w:rFonts w:ascii="Arial" w:hAnsi="Arial" w:cs="Arial"/>
          <w:b/>
          <w:smallCaps/>
          <w:color w:val="auto"/>
          <w:sz w:val="22"/>
          <w:lang w:val="es-MX"/>
        </w:rPr>
        <w:t>Balanza comercial de mercancías de México</w:t>
      </w:r>
      <w:r w:rsidRPr="00EF7FAB">
        <w:rPr>
          <w:rFonts w:ascii="Arial" w:hAnsi="Arial" w:cs="Arial"/>
          <w:b/>
          <w:smallCaps/>
          <w:color w:val="auto"/>
          <w:sz w:val="22"/>
          <w:lang w:val="es-MX"/>
        </w:rPr>
        <w:t xml:space="preserve"> </w:t>
      </w:r>
    </w:p>
    <w:tbl>
      <w:tblPr>
        <w:tblW w:w="8207" w:type="dxa"/>
        <w:jc w:val="center"/>
        <w:tblBorders>
          <w:top w:val="double" w:sz="4" w:space="0" w:color="auto"/>
          <w:left w:val="double" w:sz="4" w:space="0" w:color="auto"/>
          <w:bottom w:val="double" w:sz="4" w:space="0" w:color="auto"/>
          <w:right w:val="double" w:sz="4" w:space="0" w:color="auto"/>
        </w:tblBorders>
        <w:tblLayout w:type="fixed"/>
        <w:tblCellMar>
          <w:left w:w="30" w:type="dxa"/>
          <w:right w:w="30" w:type="dxa"/>
        </w:tblCellMar>
        <w:tblLook w:val="04A0" w:firstRow="1" w:lastRow="0" w:firstColumn="1" w:lastColumn="0" w:noHBand="0" w:noVBand="1"/>
      </w:tblPr>
      <w:tblGrid>
        <w:gridCol w:w="2940"/>
        <w:gridCol w:w="1195"/>
        <w:gridCol w:w="1196"/>
        <w:gridCol w:w="1458"/>
        <w:gridCol w:w="1418"/>
      </w:tblGrid>
      <w:tr w:rsidR="00B024D9" w14:paraId="745FFE48" w14:textId="77777777" w:rsidTr="00FF1077">
        <w:trPr>
          <w:jc w:val="center"/>
        </w:trPr>
        <w:tc>
          <w:tcPr>
            <w:tcW w:w="2940" w:type="dxa"/>
            <w:vMerge w:val="restart"/>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C2D69B" w:themeFill="accent3" w:themeFillTint="99"/>
            <w:vAlign w:val="center"/>
            <w:hideMark/>
          </w:tcPr>
          <w:p w14:paraId="39A2EC7F" w14:textId="77777777" w:rsidR="00B024D9" w:rsidRDefault="00B024D9" w:rsidP="00FF1077">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Concepto</w:t>
            </w:r>
          </w:p>
        </w:tc>
        <w:tc>
          <w:tcPr>
            <w:tcW w:w="2391" w:type="dxa"/>
            <w:gridSpan w:val="2"/>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C2D69B" w:themeFill="accent3" w:themeFillTint="99"/>
            <w:vAlign w:val="center"/>
            <w:hideMark/>
          </w:tcPr>
          <w:p w14:paraId="3A5799C8" w14:textId="77777777" w:rsidR="00B024D9" w:rsidRDefault="00B024D9" w:rsidP="00FF1077">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Mayo*</w:t>
            </w:r>
          </w:p>
        </w:tc>
        <w:tc>
          <w:tcPr>
            <w:tcW w:w="2876" w:type="dxa"/>
            <w:gridSpan w:val="2"/>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C2D69B" w:themeFill="accent3" w:themeFillTint="99"/>
          </w:tcPr>
          <w:p w14:paraId="4DB358BC" w14:textId="77777777" w:rsidR="00B024D9" w:rsidRDefault="00B024D9" w:rsidP="00FF1077">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Enero-Mayo*</w:t>
            </w:r>
          </w:p>
        </w:tc>
      </w:tr>
      <w:tr w:rsidR="00B024D9" w14:paraId="6A07C9F8" w14:textId="77777777" w:rsidTr="00FF1077">
        <w:trPr>
          <w:jc w:val="center"/>
        </w:trPr>
        <w:tc>
          <w:tcPr>
            <w:tcW w:w="2940" w:type="dxa"/>
            <w:vMerge/>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vAlign w:val="center"/>
            <w:hideMark/>
          </w:tcPr>
          <w:p w14:paraId="21AB1621" w14:textId="77777777" w:rsidR="00B024D9" w:rsidRDefault="00B024D9" w:rsidP="00FF1077">
            <w:pPr>
              <w:spacing w:line="276" w:lineRule="auto"/>
              <w:rPr>
                <w:rFonts w:ascii="Arial" w:hAnsi="Arial" w:cs="Arial"/>
                <w:snapToGrid w:val="0"/>
                <w:sz w:val="18"/>
                <w:szCs w:val="18"/>
                <w:lang w:eastAsia="en-US"/>
              </w:rPr>
            </w:pPr>
          </w:p>
        </w:tc>
        <w:tc>
          <w:tcPr>
            <w:tcW w:w="1195" w:type="dxa"/>
            <w:tcBorders>
              <w:top w:val="double" w:sz="4" w:space="0" w:color="0F243E"/>
              <w:left w:val="double" w:sz="4" w:space="0" w:color="0F243E" w:themeColor="text2" w:themeShade="80"/>
              <w:bottom w:val="double" w:sz="4" w:space="0" w:color="0F243E" w:themeColor="text2" w:themeShade="80"/>
              <w:right w:val="double" w:sz="4" w:space="0" w:color="0F243E" w:themeColor="text2" w:themeShade="80"/>
            </w:tcBorders>
            <w:shd w:val="clear" w:color="auto" w:fill="C2D69B" w:themeFill="accent3" w:themeFillTint="99"/>
            <w:vAlign w:val="center"/>
            <w:hideMark/>
          </w:tcPr>
          <w:p w14:paraId="3B7CC123" w14:textId="77777777" w:rsidR="00B024D9" w:rsidRDefault="00B024D9" w:rsidP="00FF1077">
            <w:pPr>
              <w:spacing w:before="60" w:after="60" w:line="276" w:lineRule="auto"/>
              <w:ind w:firstLine="13"/>
              <w:jc w:val="center"/>
              <w:rPr>
                <w:rFonts w:ascii="Arial" w:hAnsi="Arial" w:cs="Arial"/>
                <w:snapToGrid w:val="0"/>
                <w:sz w:val="18"/>
                <w:szCs w:val="18"/>
                <w:lang w:eastAsia="en-US"/>
              </w:rPr>
            </w:pPr>
            <w:r>
              <w:rPr>
                <w:rFonts w:ascii="Arial" w:hAnsi="Arial" w:cs="Arial"/>
                <w:snapToGrid w:val="0"/>
                <w:sz w:val="18"/>
                <w:szCs w:val="18"/>
                <w:lang w:eastAsia="en-US"/>
              </w:rPr>
              <w:t>Millones de Dólares</w:t>
            </w:r>
          </w:p>
        </w:tc>
        <w:tc>
          <w:tcPr>
            <w:tcW w:w="1196" w:type="dxa"/>
            <w:tcBorders>
              <w:top w:val="double" w:sz="4" w:space="0" w:color="0F243E"/>
              <w:left w:val="double" w:sz="4" w:space="0" w:color="0F243E" w:themeColor="text2" w:themeShade="80"/>
              <w:bottom w:val="double" w:sz="4" w:space="0" w:color="0F243E" w:themeColor="text2" w:themeShade="80"/>
              <w:right w:val="double" w:sz="4" w:space="0" w:color="0F243E" w:themeColor="text2" w:themeShade="80"/>
            </w:tcBorders>
            <w:shd w:val="clear" w:color="auto" w:fill="C2D69B" w:themeFill="accent3" w:themeFillTint="99"/>
            <w:vAlign w:val="center"/>
          </w:tcPr>
          <w:p w14:paraId="3C0A2AB1" w14:textId="77777777" w:rsidR="00B024D9" w:rsidRDefault="00B024D9" w:rsidP="00FF1077">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Variación % Anual</w:t>
            </w:r>
          </w:p>
        </w:tc>
        <w:tc>
          <w:tcPr>
            <w:tcW w:w="1458" w:type="dxa"/>
            <w:tcBorders>
              <w:top w:val="double" w:sz="4" w:space="0" w:color="0F243E"/>
              <w:left w:val="double" w:sz="4" w:space="0" w:color="0F243E" w:themeColor="text2" w:themeShade="80"/>
              <w:bottom w:val="double" w:sz="4" w:space="0" w:color="0F243E" w:themeColor="text2" w:themeShade="80"/>
              <w:right w:val="double" w:sz="4" w:space="0" w:color="0F243E" w:themeColor="text2" w:themeShade="80"/>
            </w:tcBorders>
            <w:shd w:val="clear" w:color="auto" w:fill="C2D69B" w:themeFill="accent3" w:themeFillTint="99"/>
            <w:vAlign w:val="center"/>
          </w:tcPr>
          <w:p w14:paraId="6D148D02" w14:textId="77777777" w:rsidR="00B024D9" w:rsidRDefault="00B024D9" w:rsidP="00FF1077">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Millones de Dólares</w:t>
            </w:r>
          </w:p>
        </w:tc>
        <w:tc>
          <w:tcPr>
            <w:tcW w:w="1418" w:type="dxa"/>
            <w:tcBorders>
              <w:top w:val="double" w:sz="4" w:space="0" w:color="0F243E"/>
              <w:left w:val="double" w:sz="4" w:space="0" w:color="0F243E" w:themeColor="text2" w:themeShade="80"/>
              <w:bottom w:val="double" w:sz="4" w:space="0" w:color="0F243E" w:themeColor="text2" w:themeShade="80"/>
              <w:right w:val="double" w:sz="4" w:space="0" w:color="0F243E" w:themeColor="text2" w:themeShade="80"/>
            </w:tcBorders>
            <w:shd w:val="clear" w:color="auto" w:fill="C2D69B" w:themeFill="accent3" w:themeFillTint="99"/>
          </w:tcPr>
          <w:p w14:paraId="48727538" w14:textId="77777777" w:rsidR="00B024D9" w:rsidRDefault="00B024D9" w:rsidP="00FF1077">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Variación % Anual</w:t>
            </w:r>
          </w:p>
        </w:tc>
      </w:tr>
      <w:tr w:rsidR="00B024D9" w14:paraId="5501FA3A" w14:textId="77777777" w:rsidTr="00FF1077">
        <w:trPr>
          <w:jc w:val="center"/>
        </w:trPr>
        <w:tc>
          <w:tcPr>
            <w:tcW w:w="2940" w:type="dxa"/>
            <w:tcBorders>
              <w:top w:val="double" w:sz="4" w:space="0" w:color="0F243E" w:themeColor="text2" w:themeShade="80"/>
              <w:left w:val="double" w:sz="4" w:space="0" w:color="003366"/>
              <w:bottom w:val="nil"/>
              <w:right w:val="double" w:sz="4" w:space="0" w:color="003366"/>
            </w:tcBorders>
            <w:vAlign w:val="bottom"/>
            <w:hideMark/>
          </w:tcPr>
          <w:p w14:paraId="47DC2D1F" w14:textId="77777777" w:rsidR="00B024D9" w:rsidRDefault="00B024D9" w:rsidP="00FF1077">
            <w:pPr>
              <w:tabs>
                <w:tab w:val="right" w:pos="2862"/>
              </w:tabs>
              <w:spacing w:before="20" w:line="276" w:lineRule="auto"/>
              <w:ind w:firstLine="181"/>
              <w:rPr>
                <w:rFonts w:ascii="Arial" w:hAnsi="Arial" w:cs="Arial"/>
                <w:b/>
                <w:snapToGrid w:val="0"/>
                <w:sz w:val="18"/>
                <w:szCs w:val="18"/>
                <w:u w:val="single"/>
                <w:lang w:eastAsia="en-US"/>
              </w:rPr>
            </w:pPr>
            <w:r>
              <w:rPr>
                <w:rFonts w:ascii="Arial" w:hAnsi="Arial" w:cs="Arial"/>
                <w:sz w:val="18"/>
                <w:szCs w:val="18"/>
              </w:rPr>
              <w:br w:type="page"/>
            </w:r>
            <w:r>
              <w:rPr>
                <w:rFonts w:ascii="Arial" w:hAnsi="Arial" w:cs="Arial"/>
                <w:sz w:val="18"/>
                <w:szCs w:val="18"/>
              </w:rPr>
              <w:br w:type="page"/>
            </w:r>
            <w:r>
              <w:rPr>
                <w:rFonts w:ascii="Arial" w:hAnsi="Arial" w:cs="Arial"/>
                <w:b/>
                <w:snapToGrid w:val="0"/>
                <w:sz w:val="18"/>
                <w:szCs w:val="18"/>
                <w:u w:val="single"/>
                <w:lang w:eastAsia="en-US"/>
              </w:rPr>
              <w:t>Exportaciones Totales</w:t>
            </w:r>
          </w:p>
        </w:tc>
        <w:tc>
          <w:tcPr>
            <w:tcW w:w="1195" w:type="dxa"/>
            <w:tcBorders>
              <w:top w:val="double" w:sz="4" w:space="0" w:color="0F243E" w:themeColor="text2" w:themeShade="80"/>
              <w:left w:val="double" w:sz="4" w:space="0" w:color="003366"/>
              <w:bottom w:val="nil"/>
              <w:right w:val="single" w:sz="4" w:space="0" w:color="0F243E" w:themeColor="text2" w:themeShade="80"/>
            </w:tcBorders>
            <w:vAlign w:val="bottom"/>
            <w:hideMark/>
          </w:tcPr>
          <w:p w14:paraId="64BBEC08" w14:textId="77777777" w:rsidR="00B024D9" w:rsidRPr="0099535E" w:rsidRDefault="00B024D9" w:rsidP="00FF1077">
            <w:pPr>
              <w:tabs>
                <w:tab w:val="decimal" w:pos="762"/>
              </w:tabs>
              <w:spacing w:before="20" w:line="276" w:lineRule="auto"/>
              <w:rPr>
                <w:rFonts w:ascii="Arial" w:hAnsi="Arial" w:cs="Arial"/>
                <w:b/>
                <w:bCs/>
                <w:sz w:val="18"/>
                <w:szCs w:val="18"/>
                <w:u w:val="single"/>
              </w:rPr>
            </w:pPr>
            <w:r>
              <w:rPr>
                <w:rFonts w:ascii="Arial" w:hAnsi="Arial" w:cs="Arial"/>
                <w:b/>
                <w:bCs/>
                <w:sz w:val="18"/>
                <w:szCs w:val="18"/>
                <w:u w:val="single"/>
              </w:rPr>
              <w:t>18,069.8</w:t>
            </w:r>
          </w:p>
        </w:tc>
        <w:tc>
          <w:tcPr>
            <w:tcW w:w="1196" w:type="dxa"/>
            <w:tcBorders>
              <w:top w:val="double" w:sz="4" w:space="0" w:color="0F243E" w:themeColor="text2" w:themeShade="80"/>
              <w:left w:val="single" w:sz="4" w:space="0" w:color="0F243E" w:themeColor="text2" w:themeShade="80"/>
              <w:bottom w:val="nil"/>
              <w:right w:val="double" w:sz="4" w:space="0" w:color="0F243E" w:themeColor="text2" w:themeShade="80"/>
            </w:tcBorders>
            <w:vAlign w:val="bottom"/>
          </w:tcPr>
          <w:p w14:paraId="185ACCB8" w14:textId="77777777" w:rsidR="00B024D9" w:rsidRPr="0099535E" w:rsidRDefault="00B024D9" w:rsidP="00FF1077">
            <w:pPr>
              <w:tabs>
                <w:tab w:val="decimal" w:pos="795"/>
              </w:tabs>
              <w:spacing w:before="20" w:line="276" w:lineRule="auto"/>
              <w:rPr>
                <w:rFonts w:ascii="Arial" w:hAnsi="Arial" w:cs="Arial"/>
                <w:b/>
                <w:bCs/>
                <w:sz w:val="18"/>
                <w:szCs w:val="18"/>
                <w:u w:val="single"/>
              </w:rPr>
            </w:pPr>
            <w:r>
              <w:rPr>
                <w:rFonts w:ascii="Arial" w:hAnsi="Arial" w:cs="Arial"/>
                <w:b/>
                <w:bCs/>
                <w:sz w:val="18"/>
                <w:szCs w:val="18"/>
              </w:rPr>
              <w:t>(-</w:t>
            </w:r>
            <w:proofErr w:type="gramStart"/>
            <w:r>
              <w:rPr>
                <w:rFonts w:ascii="Arial" w:hAnsi="Arial" w:cs="Arial"/>
                <w:b/>
                <w:bCs/>
                <w:sz w:val="18"/>
                <w:szCs w:val="18"/>
              </w:rPr>
              <w:t>)</w:t>
            </w:r>
            <w:r w:rsidRPr="0099535E">
              <w:rPr>
                <w:rFonts w:ascii="Arial" w:hAnsi="Arial" w:cs="Arial"/>
                <w:b/>
                <w:bCs/>
                <w:sz w:val="18"/>
                <w:szCs w:val="18"/>
              </w:rPr>
              <w:t xml:space="preserve">  </w:t>
            </w:r>
            <w:r>
              <w:rPr>
                <w:rFonts w:ascii="Arial" w:hAnsi="Arial" w:cs="Arial"/>
                <w:b/>
                <w:bCs/>
                <w:sz w:val="18"/>
                <w:szCs w:val="18"/>
                <w:u w:val="single"/>
              </w:rPr>
              <w:t>56</w:t>
            </w:r>
            <w:proofErr w:type="gramEnd"/>
            <w:r>
              <w:rPr>
                <w:rFonts w:ascii="Arial" w:hAnsi="Arial" w:cs="Arial"/>
                <w:b/>
                <w:bCs/>
                <w:sz w:val="18"/>
                <w:szCs w:val="18"/>
                <w:u w:val="single"/>
              </w:rPr>
              <w:t>.7</w:t>
            </w:r>
          </w:p>
        </w:tc>
        <w:tc>
          <w:tcPr>
            <w:tcW w:w="1458" w:type="dxa"/>
            <w:tcBorders>
              <w:top w:val="double" w:sz="4" w:space="0" w:color="0F243E" w:themeColor="text2" w:themeShade="80"/>
              <w:left w:val="single" w:sz="4" w:space="0" w:color="0F243E" w:themeColor="text2" w:themeShade="80"/>
              <w:bottom w:val="nil"/>
              <w:right w:val="single" w:sz="4" w:space="0" w:color="0F243E" w:themeColor="text2" w:themeShade="80"/>
            </w:tcBorders>
          </w:tcPr>
          <w:p w14:paraId="6E6C7234" w14:textId="77777777" w:rsidR="00B024D9" w:rsidRPr="00090C29" w:rsidRDefault="00B024D9" w:rsidP="00FF1077">
            <w:pPr>
              <w:tabs>
                <w:tab w:val="decimal" w:pos="795"/>
              </w:tabs>
              <w:spacing w:before="20" w:line="276" w:lineRule="auto"/>
              <w:ind w:left="301" w:right="227"/>
              <w:jc w:val="right"/>
              <w:rPr>
                <w:rFonts w:ascii="Arial" w:hAnsi="Arial" w:cs="Arial"/>
                <w:b/>
                <w:bCs/>
                <w:sz w:val="18"/>
                <w:szCs w:val="18"/>
                <w:u w:val="single"/>
              </w:rPr>
            </w:pPr>
            <w:r>
              <w:rPr>
                <w:rFonts w:ascii="Arial" w:hAnsi="Arial" w:cs="Arial"/>
                <w:b/>
                <w:bCs/>
                <w:sz w:val="18"/>
                <w:szCs w:val="18"/>
                <w:u w:val="single"/>
              </w:rPr>
              <w:t>149,976.8</w:t>
            </w:r>
          </w:p>
        </w:tc>
        <w:tc>
          <w:tcPr>
            <w:tcW w:w="1418" w:type="dxa"/>
            <w:tcBorders>
              <w:top w:val="double" w:sz="4" w:space="0" w:color="0F243E" w:themeColor="text2" w:themeShade="80"/>
              <w:left w:val="single" w:sz="4" w:space="0" w:color="0F243E" w:themeColor="text2" w:themeShade="80"/>
              <w:bottom w:val="nil"/>
              <w:right w:val="double" w:sz="4" w:space="0" w:color="0F243E" w:themeColor="text2" w:themeShade="80"/>
            </w:tcBorders>
          </w:tcPr>
          <w:p w14:paraId="51661A0B" w14:textId="77777777" w:rsidR="00B024D9" w:rsidRPr="00090C29" w:rsidRDefault="00B024D9" w:rsidP="00FF1077">
            <w:pPr>
              <w:tabs>
                <w:tab w:val="decimal" w:pos="795"/>
              </w:tabs>
              <w:spacing w:before="20" w:line="276" w:lineRule="auto"/>
              <w:ind w:right="454"/>
              <w:jc w:val="right"/>
              <w:rPr>
                <w:rFonts w:ascii="Arial" w:hAnsi="Arial" w:cs="Arial"/>
                <w:b/>
                <w:bCs/>
                <w:sz w:val="18"/>
                <w:szCs w:val="18"/>
                <w:u w:val="single"/>
              </w:rPr>
            </w:pPr>
            <w:r w:rsidRPr="006165DA">
              <w:rPr>
                <w:rFonts w:ascii="Arial" w:hAnsi="Arial" w:cs="Arial"/>
                <w:b/>
                <w:bCs/>
                <w:sz w:val="18"/>
                <w:szCs w:val="18"/>
              </w:rPr>
              <w:t xml:space="preserve">(-) </w:t>
            </w:r>
            <w:r>
              <w:rPr>
                <w:rFonts w:ascii="Arial" w:hAnsi="Arial" w:cs="Arial"/>
                <w:b/>
                <w:bCs/>
                <w:sz w:val="18"/>
                <w:szCs w:val="18"/>
                <w:u w:val="single"/>
              </w:rPr>
              <w:t>20.8</w:t>
            </w:r>
          </w:p>
        </w:tc>
      </w:tr>
      <w:tr w:rsidR="00B024D9" w14:paraId="12C39799" w14:textId="77777777" w:rsidTr="00FF1077">
        <w:trPr>
          <w:trHeight w:val="200"/>
          <w:jc w:val="center"/>
        </w:trPr>
        <w:tc>
          <w:tcPr>
            <w:tcW w:w="2940" w:type="dxa"/>
            <w:tcBorders>
              <w:top w:val="nil"/>
              <w:left w:val="double" w:sz="4" w:space="0" w:color="003366"/>
              <w:bottom w:val="nil"/>
              <w:right w:val="double" w:sz="4" w:space="0" w:color="003366"/>
            </w:tcBorders>
            <w:hideMark/>
          </w:tcPr>
          <w:p w14:paraId="47E961EE" w14:textId="77777777" w:rsidR="00B024D9" w:rsidRDefault="00B024D9" w:rsidP="00FF1077">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Petroleras</w:t>
            </w:r>
          </w:p>
        </w:tc>
        <w:tc>
          <w:tcPr>
            <w:tcW w:w="1195" w:type="dxa"/>
            <w:tcBorders>
              <w:top w:val="nil"/>
              <w:left w:val="double" w:sz="4" w:space="0" w:color="003366"/>
              <w:bottom w:val="nil"/>
              <w:right w:val="single" w:sz="4" w:space="0" w:color="0F243E" w:themeColor="text2" w:themeShade="80"/>
            </w:tcBorders>
            <w:vAlign w:val="bottom"/>
            <w:hideMark/>
          </w:tcPr>
          <w:p w14:paraId="5F5EBFA6" w14:textId="77777777" w:rsidR="00B024D9" w:rsidRPr="0099535E" w:rsidRDefault="00B024D9" w:rsidP="00FF1077">
            <w:pPr>
              <w:tabs>
                <w:tab w:val="decimal" w:pos="762"/>
              </w:tabs>
              <w:spacing w:line="276" w:lineRule="auto"/>
              <w:rPr>
                <w:rFonts w:ascii="Arial" w:hAnsi="Arial" w:cs="Arial"/>
                <w:bCs/>
                <w:sz w:val="18"/>
                <w:szCs w:val="18"/>
              </w:rPr>
            </w:pPr>
            <w:r w:rsidRPr="0099535E">
              <w:rPr>
                <w:rFonts w:ascii="Arial" w:hAnsi="Arial" w:cs="Arial"/>
                <w:bCs/>
                <w:sz w:val="18"/>
                <w:szCs w:val="18"/>
              </w:rPr>
              <w:t xml:space="preserve">  </w:t>
            </w:r>
            <w:r>
              <w:rPr>
                <w:rFonts w:ascii="Arial" w:hAnsi="Arial" w:cs="Arial"/>
                <w:bCs/>
                <w:sz w:val="18"/>
                <w:szCs w:val="18"/>
              </w:rPr>
              <w:t>929</w:t>
            </w:r>
            <w:r w:rsidRPr="0099535E">
              <w:rPr>
                <w:rFonts w:ascii="Arial" w:hAnsi="Arial" w:cs="Arial"/>
                <w:bCs/>
                <w:sz w:val="18"/>
                <w:szCs w:val="18"/>
              </w:rPr>
              <w:t>.</w:t>
            </w:r>
            <w:r>
              <w:rPr>
                <w:rFonts w:ascii="Arial" w:hAnsi="Arial" w:cs="Arial"/>
                <w:bCs/>
                <w:sz w:val="18"/>
                <w:szCs w:val="18"/>
              </w:rPr>
              <w:t>3</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50EB3B7D" w14:textId="77777777" w:rsidR="00B024D9" w:rsidRPr="0099535E" w:rsidRDefault="00B024D9" w:rsidP="00FF1077">
            <w:pPr>
              <w:tabs>
                <w:tab w:val="decimal" w:pos="795"/>
              </w:tabs>
              <w:spacing w:line="276" w:lineRule="auto"/>
              <w:rPr>
                <w:rFonts w:ascii="Arial" w:hAnsi="Arial" w:cs="Arial"/>
                <w:bCs/>
                <w:sz w:val="18"/>
                <w:szCs w:val="18"/>
              </w:rPr>
            </w:pPr>
            <w:r>
              <w:rPr>
                <w:rFonts w:ascii="Arial" w:hAnsi="Arial" w:cs="Arial"/>
                <w:bCs/>
                <w:sz w:val="18"/>
                <w:szCs w:val="18"/>
              </w:rPr>
              <w:t>(-</w:t>
            </w:r>
            <w:proofErr w:type="gramStart"/>
            <w:r>
              <w:rPr>
                <w:rFonts w:ascii="Arial" w:hAnsi="Arial" w:cs="Arial"/>
                <w:bCs/>
                <w:sz w:val="18"/>
                <w:szCs w:val="18"/>
              </w:rPr>
              <w:t>)</w:t>
            </w:r>
            <w:r w:rsidRPr="0099535E">
              <w:rPr>
                <w:rFonts w:ascii="Arial" w:hAnsi="Arial" w:cs="Arial"/>
                <w:bCs/>
                <w:sz w:val="18"/>
                <w:szCs w:val="18"/>
              </w:rPr>
              <w:t xml:space="preserve">  </w:t>
            </w:r>
            <w:r>
              <w:rPr>
                <w:rFonts w:ascii="Arial" w:hAnsi="Arial" w:cs="Arial"/>
                <w:bCs/>
                <w:sz w:val="18"/>
                <w:szCs w:val="18"/>
              </w:rPr>
              <w:t>63</w:t>
            </w:r>
            <w:proofErr w:type="gramEnd"/>
            <w:r>
              <w:rPr>
                <w:rFonts w:ascii="Arial" w:hAnsi="Arial" w:cs="Arial"/>
                <w:bCs/>
                <w:sz w:val="18"/>
                <w:szCs w:val="18"/>
              </w:rPr>
              <w:t>.8</w:t>
            </w:r>
          </w:p>
        </w:tc>
        <w:tc>
          <w:tcPr>
            <w:tcW w:w="1458" w:type="dxa"/>
            <w:tcBorders>
              <w:top w:val="nil"/>
              <w:left w:val="single" w:sz="4" w:space="0" w:color="0F243E" w:themeColor="text2" w:themeShade="80"/>
              <w:bottom w:val="nil"/>
              <w:right w:val="single" w:sz="4" w:space="0" w:color="0F243E" w:themeColor="text2" w:themeShade="80"/>
            </w:tcBorders>
          </w:tcPr>
          <w:p w14:paraId="6B5611BC" w14:textId="77777777" w:rsidR="00B024D9" w:rsidRPr="0099535E" w:rsidRDefault="00B024D9" w:rsidP="00FF1077">
            <w:pPr>
              <w:tabs>
                <w:tab w:val="decimal" w:pos="795"/>
              </w:tabs>
              <w:spacing w:line="276" w:lineRule="auto"/>
              <w:ind w:left="301" w:right="227"/>
              <w:jc w:val="right"/>
              <w:rPr>
                <w:rFonts w:ascii="Arial" w:hAnsi="Arial" w:cs="Arial"/>
                <w:bCs/>
                <w:sz w:val="18"/>
                <w:szCs w:val="18"/>
              </w:rPr>
            </w:pPr>
            <w:r>
              <w:rPr>
                <w:rFonts w:ascii="Arial" w:hAnsi="Arial" w:cs="Arial"/>
                <w:bCs/>
                <w:sz w:val="18"/>
                <w:szCs w:val="18"/>
              </w:rPr>
              <w:t>6,786.1</w:t>
            </w:r>
          </w:p>
        </w:tc>
        <w:tc>
          <w:tcPr>
            <w:tcW w:w="1418" w:type="dxa"/>
            <w:tcBorders>
              <w:top w:val="nil"/>
              <w:left w:val="single" w:sz="4" w:space="0" w:color="0F243E" w:themeColor="text2" w:themeShade="80"/>
              <w:bottom w:val="nil"/>
              <w:right w:val="double" w:sz="4" w:space="0" w:color="0F243E" w:themeColor="text2" w:themeShade="80"/>
            </w:tcBorders>
          </w:tcPr>
          <w:p w14:paraId="5FF345A4" w14:textId="77777777" w:rsidR="00B024D9" w:rsidRPr="0099535E" w:rsidRDefault="00B024D9" w:rsidP="00FF1077">
            <w:pPr>
              <w:tabs>
                <w:tab w:val="decimal" w:pos="795"/>
              </w:tabs>
              <w:spacing w:line="276" w:lineRule="auto"/>
              <w:ind w:right="454"/>
              <w:jc w:val="right"/>
              <w:rPr>
                <w:rFonts w:ascii="Arial" w:hAnsi="Arial" w:cs="Arial"/>
                <w:bCs/>
                <w:sz w:val="18"/>
                <w:szCs w:val="18"/>
              </w:rPr>
            </w:pPr>
            <w:r>
              <w:rPr>
                <w:rFonts w:ascii="Arial" w:hAnsi="Arial" w:cs="Arial"/>
                <w:bCs/>
                <w:sz w:val="18"/>
                <w:szCs w:val="18"/>
              </w:rPr>
              <w:t>(-) 42.9</w:t>
            </w:r>
          </w:p>
        </w:tc>
      </w:tr>
      <w:tr w:rsidR="00B024D9" w14:paraId="57C0D4CB" w14:textId="77777777" w:rsidTr="00FF1077">
        <w:trPr>
          <w:trHeight w:val="200"/>
          <w:jc w:val="center"/>
        </w:trPr>
        <w:tc>
          <w:tcPr>
            <w:tcW w:w="2940" w:type="dxa"/>
            <w:tcBorders>
              <w:top w:val="nil"/>
              <w:left w:val="double" w:sz="4" w:space="0" w:color="003366"/>
              <w:bottom w:val="nil"/>
              <w:right w:val="double" w:sz="4" w:space="0" w:color="003366"/>
            </w:tcBorders>
            <w:hideMark/>
          </w:tcPr>
          <w:p w14:paraId="749B7516" w14:textId="77777777" w:rsidR="00B024D9" w:rsidRDefault="00B024D9" w:rsidP="00FF1077">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No petroleras</w:t>
            </w:r>
          </w:p>
        </w:tc>
        <w:tc>
          <w:tcPr>
            <w:tcW w:w="1195" w:type="dxa"/>
            <w:tcBorders>
              <w:top w:val="nil"/>
              <w:left w:val="double" w:sz="4" w:space="0" w:color="003366"/>
              <w:bottom w:val="nil"/>
              <w:right w:val="single" w:sz="4" w:space="0" w:color="0F243E" w:themeColor="text2" w:themeShade="80"/>
            </w:tcBorders>
            <w:vAlign w:val="bottom"/>
            <w:hideMark/>
          </w:tcPr>
          <w:p w14:paraId="0AE7C927" w14:textId="77777777" w:rsidR="00B024D9" w:rsidRPr="0099535E" w:rsidRDefault="00B024D9" w:rsidP="00FF1077">
            <w:pPr>
              <w:tabs>
                <w:tab w:val="decimal" w:pos="762"/>
              </w:tabs>
              <w:spacing w:line="276" w:lineRule="auto"/>
              <w:rPr>
                <w:rFonts w:ascii="Arial" w:hAnsi="Arial" w:cs="Arial"/>
                <w:bCs/>
                <w:sz w:val="18"/>
                <w:szCs w:val="18"/>
              </w:rPr>
            </w:pPr>
            <w:r>
              <w:rPr>
                <w:rFonts w:ascii="Arial" w:hAnsi="Arial" w:cs="Arial"/>
                <w:bCs/>
                <w:sz w:val="18"/>
                <w:szCs w:val="18"/>
              </w:rPr>
              <w:t>17</w:t>
            </w:r>
            <w:r w:rsidRPr="0099535E">
              <w:rPr>
                <w:rFonts w:ascii="Arial" w:hAnsi="Arial" w:cs="Arial"/>
                <w:bCs/>
                <w:sz w:val="18"/>
                <w:szCs w:val="18"/>
              </w:rPr>
              <w:t>,</w:t>
            </w:r>
            <w:r>
              <w:rPr>
                <w:rFonts w:ascii="Arial" w:hAnsi="Arial" w:cs="Arial"/>
                <w:bCs/>
                <w:sz w:val="18"/>
                <w:szCs w:val="18"/>
              </w:rPr>
              <w:t>140.4</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791C8FE4" w14:textId="77777777" w:rsidR="00B024D9" w:rsidRPr="0099535E" w:rsidRDefault="00B024D9" w:rsidP="00FF1077">
            <w:pPr>
              <w:tabs>
                <w:tab w:val="decimal" w:pos="795"/>
              </w:tabs>
              <w:spacing w:line="276" w:lineRule="auto"/>
              <w:rPr>
                <w:rFonts w:ascii="Arial" w:hAnsi="Arial" w:cs="Arial"/>
                <w:bCs/>
                <w:sz w:val="18"/>
                <w:szCs w:val="18"/>
              </w:rPr>
            </w:pPr>
            <w:r>
              <w:rPr>
                <w:rFonts w:ascii="Arial" w:hAnsi="Arial" w:cs="Arial"/>
                <w:bCs/>
                <w:sz w:val="18"/>
                <w:szCs w:val="18"/>
              </w:rPr>
              <w:t>(-</w:t>
            </w:r>
            <w:proofErr w:type="gramStart"/>
            <w:r>
              <w:rPr>
                <w:rFonts w:ascii="Arial" w:hAnsi="Arial" w:cs="Arial"/>
                <w:bCs/>
                <w:sz w:val="18"/>
                <w:szCs w:val="18"/>
              </w:rPr>
              <w:t xml:space="preserve">) </w:t>
            </w:r>
            <w:r w:rsidRPr="0099535E">
              <w:rPr>
                <w:rFonts w:ascii="Arial" w:hAnsi="Arial" w:cs="Arial"/>
                <w:bCs/>
                <w:sz w:val="18"/>
                <w:szCs w:val="18"/>
              </w:rPr>
              <w:t xml:space="preserve"> </w:t>
            </w:r>
            <w:r>
              <w:rPr>
                <w:rFonts w:ascii="Arial" w:hAnsi="Arial" w:cs="Arial"/>
                <w:bCs/>
                <w:sz w:val="18"/>
                <w:szCs w:val="18"/>
              </w:rPr>
              <w:t>56</w:t>
            </w:r>
            <w:proofErr w:type="gramEnd"/>
            <w:r>
              <w:rPr>
                <w:rFonts w:ascii="Arial" w:hAnsi="Arial" w:cs="Arial"/>
                <w:bCs/>
                <w:sz w:val="18"/>
                <w:szCs w:val="18"/>
              </w:rPr>
              <w:t>.3</w:t>
            </w:r>
          </w:p>
        </w:tc>
        <w:tc>
          <w:tcPr>
            <w:tcW w:w="1458" w:type="dxa"/>
            <w:tcBorders>
              <w:top w:val="nil"/>
              <w:left w:val="single" w:sz="4" w:space="0" w:color="0F243E" w:themeColor="text2" w:themeShade="80"/>
              <w:bottom w:val="nil"/>
              <w:right w:val="single" w:sz="4" w:space="0" w:color="0F243E" w:themeColor="text2" w:themeShade="80"/>
            </w:tcBorders>
          </w:tcPr>
          <w:p w14:paraId="57C91CE8" w14:textId="77777777" w:rsidR="00B024D9" w:rsidRDefault="00B024D9" w:rsidP="00FF1077">
            <w:pPr>
              <w:tabs>
                <w:tab w:val="decimal" w:pos="795"/>
              </w:tabs>
              <w:spacing w:line="276" w:lineRule="auto"/>
              <w:ind w:left="301" w:right="227"/>
              <w:jc w:val="right"/>
              <w:rPr>
                <w:rFonts w:ascii="Arial" w:hAnsi="Arial" w:cs="Arial"/>
                <w:bCs/>
                <w:sz w:val="18"/>
                <w:szCs w:val="18"/>
              </w:rPr>
            </w:pPr>
            <w:r>
              <w:rPr>
                <w:rFonts w:ascii="Arial" w:hAnsi="Arial" w:cs="Arial"/>
                <w:bCs/>
                <w:sz w:val="18"/>
                <w:szCs w:val="18"/>
              </w:rPr>
              <w:t>143,190.7</w:t>
            </w:r>
          </w:p>
        </w:tc>
        <w:tc>
          <w:tcPr>
            <w:tcW w:w="1418" w:type="dxa"/>
            <w:tcBorders>
              <w:top w:val="nil"/>
              <w:left w:val="single" w:sz="4" w:space="0" w:color="0F243E" w:themeColor="text2" w:themeShade="80"/>
              <w:bottom w:val="nil"/>
              <w:right w:val="double" w:sz="4" w:space="0" w:color="0F243E" w:themeColor="text2" w:themeShade="80"/>
            </w:tcBorders>
          </w:tcPr>
          <w:p w14:paraId="5966CC84" w14:textId="77777777" w:rsidR="00B024D9" w:rsidRDefault="00B024D9" w:rsidP="00FF1077">
            <w:pPr>
              <w:tabs>
                <w:tab w:val="decimal" w:pos="795"/>
              </w:tabs>
              <w:spacing w:line="276" w:lineRule="auto"/>
              <w:ind w:right="454"/>
              <w:jc w:val="right"/>
              <w:rPr>
                <w:rFonts w:ascii="Arial" w:hAnsi="Arial" w:cs="Arial"/>
                <w:bCs/>
                <w:sz w:val="18"/>
                <w:szCs w:val="18"/>
              </w:rPr>
            </w:pPr>
            <w:r>
              <w:rPr>
                <w:rFonts w:ascii="Arial" w:hAnsi="Arial" w:cs="Arial"/>
                <w:bCs/>
                <w:sz w:val="18"/>
                <w:szCs w:val="18"/>
              </w:rPr>
              <w:t>(-) 19.4</w:t>
            </w:r>
          </w:p>
        </w:tc>
      </w:tr>
      <w:tr w:rsidR="00B024D9" w14:paraId="5033F090" w14:textId="77777777" w:rsidTr="00FF1077">
        <w:trPr>
          <w:trHeight w:val="198"/>
          <w:jc w:val="center"/>
        </w:trPr>
        <w:tc>
          <w:tcPr>
            <w:tcW w:w="2940" w:type="dxa"/>
            <w:tcBorders>
              <w:top w:val="nil"/>
              <w:left w:val="double" w:sz="4" w:space="0" w:color="003366"/>
              <w:bottom w:val="nil"/>
              <w:right w:val="double" w:sz="4" w:space="0" w:color="003366"/>
            </w:tcBorders>
            <w:hideMark/>
          </w:tcPr>
          <w:p w14:paraId="1BB05EB8" w14:textId="77777777" w:rsidR="00B024D9" w:rsidRDefault="00B024D9" w:rsidP="00FF1077">
            <w:pPr>
              <w:spacing w:line="276" w:lineRule="auto"/>
              <w:ind w:firstLine="425"/>
              <w:rPr>
                <w:rFonts w:ascii="Arial" w:hAnsi="Arial" w:cs="Arial"/>
                <w:snapToGrid w:val="0"/>
                <w:sz w:val="18"/>
                <w:szCs w:val="18"/>
                <w:lang w:eastAsia="en-US"/>
              </w:rPr>
            </w:pPr>
            <w:r>
              <w:rPr>
                <w:rFonts w:ascii="Arial" w:hAnsi="Arial" w:cs="Arial"/>
                <w:snapToGrid w:val="0"/>
                <w:sz w:val="18"/>
                <w:szCs w:val="18"/>
                <w:lang w:eastAsia="en-US"/>
              </w:rPr>
              <w:t>Agropecuarias</w:t>
            </w:r>
          </w:p>
        </w:tc>
        <w:tc>
          <w:tcPr>
            <w:tcW w:w="1195" w:type="dxa"/>
            <w:tcBorders>
              <w:top w:val="nil"/>
              <w:left w:val="double" w:sz="4" w:space="0" w:color="003366"/>
              <w:bottom w:val="nil"/>
              <w:right w:val="single" w:sz="4" w:space="0" w:color="0F243E" w:themeColor="text2" w:themeShade="80"/>
            </w:tcBorders>
            <w:vAlign w:val="bottom"/>
            <w:hideMark/>
          </w:tcPr>
          <w:p w14:paraId="582E6CB1" w14:textId="77777777" w:rsidR="00B024D9" w:rsidRPr="0099535E" w:rsidRDefault="00B024D9" w:rsidP="00FF1077">
            <w:pPr>
              <w:tabs>
                <w:tab w:val="decimal" w:pos="762"/>
              </w:tabs>
              <w:spacing w:line="276" w:lineRule="auto"/>
              <w:rPr>
                <w:rFonts w:ascii="Arial" w:hAnsi="Arial" w:cs="Arial"/>
                <w:bCs/>
                <w:sz w:val="18"/>
                <w:szCs w:val="18"/>
              </w:rPr>
            </w:pPr>
            <w:r>
              <w:rPr>
                <w:rFonts w:ascii="Arial" w:hAnsi="Arial" w:cs="Arial"/>
                <w:bCs/>
                <w:sz w:val="18"/>
                <w:szCs w:val="18"/>
              </w:rPr>
              <w:t>1,479.4</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080CB6D1" w14:textId="77777777" w:rsidR="00B024D9" w:rsidRPr="0099535E" w:rsidRDefault="00B024D9" w:rsidP="00FF1077">
            <w:pPr>
              <w:tabs>
                <w:tab w:val="decimal" w:pos="795"/>
              </w:tabs>
              <w:spacing w:line="276" w:lineRule="auto"/>
              <w:rPr>
                <w:rFonts w:ascii="Arial" w:hAnsi="Arial" w:cs="Arial"/>
                <w:bCs/>
                <w:sz w:val="18"/>
                <w:szCs w:val="18"/>
              </w:rPr>
            </w:pPr>
            <w:r>
              <w:rPr>
                <w:rFonts w:ascii="Arial" w:hAnsi="Arial" w:cs="Arial"/>
                <w:bCs/>
                <w:sz w:val="18"/>
                <w:szCs w:val="18"/>
              </w:rPr>
              <w:t>(-)</w:t>
            </w:r>
            <w:r w:rsidRPr="0099535E">
              <w:rPr>
                <w:rFonts w:ascii="Arial" w:hAnsi="Arial" w:cs="Arial"/>
                <w:bCs/>
                <w:sz w:val="18"/>
                <w:szCs w:val="18"/>
              </w:rPr>
              <w:t xml:space="preserve">  </w:t>
            </w:r>
            <w:r>
              <w:rPr>
                <w:rFonts w:ascii="Arial" w:hAnsi="Arial" w:cs="Arial"/>
                <w:bCs/>
                <w:sz w:val="18"/>
                <w:szCs w:val="18"/>
              </w:rPr>
              <w:t xml:space="preserve">  8.6</w:t>
            </w:r>
          </w:p>
        </w:tc>
        <w:tc>
          <w:tcPr>
            <w:tcW w:w="1458" w:type="dxa"/>
            <w:tcBorders>
              <w:top w:val="nil"/>
              <w:left w:val="single" w:sz="4" w:space="0" w:color="0F243E" w:themeColor="text2" w:themeShade="80"/>
              <w:bottom w:val="nil"/>
              <w:right w:val="single" w:sz="4" w:space="0" w:color="0F243E" w:themeColor="text2" w:themeShade="80"/>
            </w:tcBorders>
          </w:tcPr>
          <w:p w14:paraId="6ACE34B5" w14:textId="77777777" w:rsidR="00B024D9" w:rsidRPr="0099535E" w:rsidRDefault="00B024D9" w:rsidP="00FF1077">
            <w:pPr>
              <w:tabs>
                <w:tab w:val="decimal" w:pos="795"/>
              </w:tabs>
              <w:spacing w:line="276" w:lineRule="auto"/>
              <w:ind w:left="301" w:right="227"/>
              <w:jc w:val="right"/>
              <w:rPr>
                <w:rFonts w:ascii="Arial" w:hAnsi="Arial" w:cs="Arial"/>
                <w:bCs/>
                <w:sz w:val="18"/>
                <w:szCs w:val="18"/>
              </w:rPr>
            </w:pPr>
            <w:r>
              <w:rPr>
                <w:rFonts w:ascii="Arial" w:hAnsi="Arial" w:cs="Arial"/>
                <w:bCs/>
                <w:sz w:val="18"/>
                <w:szCs w:val="18"/>
              </w:rPr>
              <w:t>8,803.0</w:t>
            </w:r>
          </w:p>
        </w:tc>
        <w:tc>
          <w:tcPr>
            <w:tcW w:w="1418" w:type="dxa"/>
            <w:tcBorders>
              <w:top w:val="nil"/>
              <w:left w:val="single" w:sz="4" w:space="0" w:color="0F243E" w:themeColor="text2" w:themeShade="80"/>
              <w:bottom w:val="nil"/>
              <w:right w:val="double" w:sz="4" w:space="0" w:color="0F243E" w:themeColor="text2" w:themeShade="80"/>
            </w:tcBorders>
          </w:tcPr>
          <w:p w14:paraId="03C8FA38" w14:textId="77777777" w:rsidR="00B024D9" w:rsidRPr="0099535E" w:rsidRDefault="00B024D9" w:rsidP="00FF1077">
            <w:pPr>
              <w:tabs>
                <w:tab w:val="decimal" w:pos="795"/>
              </w:tabs>
              <w:spacing w:line="276" w:lineRule="auto"/>
              <w:ind w:right="454"/>
              <w:jc w:val="right"/>
              <w:rPr>
                <w:rFonts w:ascii="Arial" w:hAnsi="Arial" w:cs="Arial"/>
                <w:bCs/>
                <w:sz w:val="18"/>
                <w:szCs w:val="18"/>
              </w:rPr>
            </w:pPr>
            <w:r>
              <w:rPr>
                <w:rFonts w:ascii="Arial" w:hAnsi="Arial" w:cs="Arial"/>
                <w:bCs/>
                <w:sz w:val="18"/>
                <w:szCs w:val="18"/>
              </w:rPr>
              <w:t>3.5</w:t>
            </w:r>
          </w:p>
        </w:tc>
      </w:tr>
      <w:tr w:rsidR="00B024D9" w14:paraId="37D7C5C0" w14:textId="77777777" w:rsidTr="00FF1077">
        <w:trPr>
          <w:trHeight w:val="200"/>
          <w:jc w:val="center"/>
        </w:trPr>
        <w:tc>
          <w:tcPr>
            <w:tcW w:w="2940" w:type="dxa"/>
            <w:tcBorders>
              <w:top w:val="nil"/>
              <w:left w:val="double" w:sz="4" w:space="0" w:color="003366"/>
              <w:bottom w:val="nil"/>
              <w:right w:val="double" w:sz="4" w:space="0" w:color="003366"/>
            </w:tcBorders>
            <w:hideMark/>
          </w:tcPr>
          <w:p w14:paraId="73A0A352" w14:textId="77777777" w:rsidR="00B024D9" w:rsidRDefault="00B024D9" w:rsidP="00FF1077">
            <w:pPr>
              <w:spacing w:line="276" w:lineRule="auto"/>
              <w:ind w:firstLine="426"/>
              <w:jc w:val="both"/>
              <w:rPr>
                <w:rFonts w:ascii="Arial" w:hAnsi="Arial" w:cs="Arial"/>
                <w:snapToGrid w:val="0"/>
                <w:sz w:val="18"/>
                <w:szCs w:val="18"/>
                <w:lang w:eastAsia="en-US"/>
              </w:rPr>
            </w:pPr>
            <w:r>
              <w:rPr>
                <w:rFonts w:ascii="Arial" w:hAnsi="Arial" w:cs="Arial"/>
                <w:snapToGrid w:val="0"/>
                <w:sz w:val="18"/>
                <w:szCs w:val="18"/>
                <w:lang w:eastAsia="en-US"/>
              </w:rPr>
              <w:t>Extractivas</w:t>
            </w:r>
          </w:p>
        </w:tc>
        <w:tc>
          <w:tcPr>
            <w:tcW w:w="1195" w:type="dxa"/>
            <w:tcBorders>
              <w:top w:val="nil"/>
              <w:left w:val="double" w:sz="4" w:space="0" w:color="003366"/>
              <w:bottom w:val="nil"/>
              <w:right w:val="single" w:sz="4" w:space="0" w:color="0F243E" w:themeColor="text2" w:themeShade="80"/>
            </w:tcBorders>
            <w:vAlign w:val="bottom"/>
            <w:hideMark/>
          </w:tcPr>
          <w:p w14:paraId="74A666EA" w14:textId="77777777" w:rsidR="00B024D9" w:rsidRPr="0099535E" w:rsidRDefault="00B024D9" w:rsidP="00FF1077">
            <w:pPr>
              <w:tabs>
                <w:tab w:val="decimal" w:pos="762"/>
              </w:tabs>
              <w:spacing w:line="276" w:lineRule="auto"/>
              <w:rPr>
                <w:rFonts w:ascii="Arial" w:hAnsi="Arial" w:cs="Arial"/>
                <w:bCs/>
                <w:sz w:val="18"/>
                <w:szCs w:val="18"/>
              </w:rPr>
            </w:pPr>
            <w:r>
              <w:rPr>
                <w:rFonts w:ascii="Arial" w:hAnsi="Arial" w:cs="Arial"/>
                <w:bCs/>
                <w:sz w:val="18"/>
                <w:szCs w:val="18"/>
              </w:rPr>
              <w:t>396.1</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2EC70F07" w14:textId="77777777" w:rsidR="00B024D9" w:rsidRPr="0099535E" w:rsidRDefault="00B024D9" w:rsidP="00FF1077">
            <w:pPr>
              <w:tabs>
                <w:tab w:val="decimal" w:pos="795"/>
              </w:tabs>
              <w:spacing w:line="276" w:lineRule="auto"/>
              <w:rPr>
                <w:rFonts w:ascii="Arial" w:hAnsi="Arial" w:cs="Arial"/>
                <w:bCs/>
                <w:sz w:val="18"/>
                <w:szCs w:val="18"/>
              </w:rPr>
            </w:pPr>
            <w:r>
              <w:rPr>
                <w:rFonts w:ascii="Arial" w:hAnsi="Arial" w:cs="Arial"/>
                <w:bCs/>
                <w:sz w:val="18"/>
                <w:szCs w:val="18"/>
              </w:rPr>
              <w:t>(-</w:t>
            </w:r>
            <w:proofErr w:type="gramStart"/>
            <w:r>
              <w:rPr>
                <w:rFonts w:ascii="Arial" w:hAnsi="Arial" w:cs="Arial"/>
                <w:bCs/>
                <w:sz w:val="18"/>
                <w:szCs w:val="18"/>
              </w:rPr>
              <w:t xml:space="preserve">) </w:t>
            </w:r>
            <w:r w:rsidRPr="0099535E">
              <w:rPr>
                <w:rFonts w:ascii="Arial" w:hAnsi="Arial" w:cs="Arial"/>
                <w:bCs/>
                <w:sz w:val="18"/>
                <w:szCs w:val="18"/>
              </w:rPr>
              <w:t xml:space="preserve"> </w:t>
            </w:r>
            <w:r>
              <w:rPr>
                <w:rFonts w:ascii="Arial" w:hAnsi="Arial" w:cs="Arial"/>
                <w:bCs/>
                <w:sz w:val="18"/>
                <w:szCs w:val="18"/>
              </w:rPr>
              <w:t>32</w:t>
            </w:r>
            <w:proofErr w:type="gramEnd"/>
            <w:r>
              <w:rPr>
                <w:rFonts w:ascii="Arial" w:hAnsi="Arial" w:cs="Arial"/>
                <w:bCs/>
                <w:sz w:val="18"/>
                <w:szCs w:val="18"/>
              </w:rPr>
              <w:t>.6</w:t>
            </w:r>
          </w:p>
        </w:tc>
        <w:tc>
          <w:tcPr>
            <w:tcW w:w="1458" w:type="dxa"/>
            <w:tcBorders>
              <w:top w:val="nil"/>
              <w:left w:val="single" w:sz="4" w:space="0" w:color="0F243E" w:themeColor="text2" w:themeShade="80"/>
              <w:bottom w:val="nil"/>
              <w:right w:val="single" w:sz="4" w:space="0" w:color="0F243E" w:themeColor="text2" w:themeShade="80"/>
            </w:tcBorders>
          </w:tcPr>
          <w:p w14:paraId="2598484D" w14:textId="77777777" w:rsidR="00B024D9" w:rsidRPr="0099535E" w:rsidRDefault="00B024D9" w:rsidP="00FF1077">
            <w:pPr>
              <w:tabs>
                <w:tab w:val="decimal" w:pos="795"/>
              </w:tabs>
              <w:spacing w:line="276" w:lineRule="auto"/>
              <w:ind w:left="301" w:right="227"/>
              <w:jc w:val="right"/>
              <w:rPr>
                <w:rFonts w:ascii="Arial" w:hAnsi="Arial" w:cs="Arial"/>
                <w:bCs/>
                <w:sz w:val="18"/>
                <w:szCs w:val="18"/>
              </w:rPr>
            </w:pPr>
            <w:r>
              <w:rPr>
                <w:rFonts w:ascii="Arial" w:hAnsi="Arial" w:cs="Arial"/>
                <w:bCs/>
                <w:sz w:val="18"/>
                <w:szCs w:val="18"/>
              </w:rPr>
              <w:t>2,646.7</w:t>
            </w:r>
          </w:p>
        </w:tc>
        <w:tc>
          <w:tcPr>
            <w:tcW w:w="1418" w:type="dxa"/>
            <w:tcBorders>
              <w:top w:val="nil"/>
              <w:left w:val="single" w:sz="4" w:space="0" w:color="0F243E" w:themeColor="text2" w:themeShade="80"/>
              <w:bottom w:val="nil"/>
              <w:right w:val="double" w:sz="4" w:space="0" w:color="0F243E" w:themeColor="text2" w:themeShade="80"/>
            </w:tcBorders>
          </w:tcPr>
          <w:p w14:paraId="5E1A73C2" w14:textId="77777777" w:rsidR="00B024D9" w:rsidRPr="0099535E" w:rsidRDefault="00B024D9" w:rsidP="00FF1077">
            <w:pPr>
              <w:tabs>
                <w:tab w:val="decimal" w:pos="795"/>
              </w:tabs>
              <w:spacing w:line="276" w:lineRule="auto"/>
              <w:ind w:right="454"/>
              <w:jc w:val="right"/>
              <w:rPr>
                <w:rFonts w:ascii="Arial" w:hAnsi="Arial" w:cs="Arial"/>
                <w:bCs/>
                <w:sz w:val="18"/>
                <w:szCs w:val="18"/>
              </w:rPr>
            </w:pPr>
            <w:r>
              <w:rPr>
                <w:rFonts w:ascii="Arial" w:hAnsi="Arial" w:cs="Arial"/>
                <w:bCs/>
                <w:sz w:val="18"/>
                <w:szCs w:val="18"/>
              </w:rPr>
              <w:t>5.2</w:t>
            </w:r>
          </w:p>
        </w:tc>
      </w:tr>
      <w:tr w:rsidR="00B024D9" w14:paraId="5FE7515A" w14:textId="77777777" w:rsidTr="00FF1077">
        <w:trPr>
          <w:trHeight w:val="200"/>
          <w:jc w:val="center"/>
        </w:trPr>
        <w:tc>
          <w:tcPr>
            <w:tcW w:w="2940" w:type="dxa"/>
            <w:tcBorders>
              <w:top w:val="nil"/>
              <w:left w:val="double" w:sz="4" w:space="0" w:color="003366"/>
              <w:bottom w:val="nil"/>
              <w:right w:val="double" w:sz="4" w:space="0" w:color="003366"/>
            </w:tcBorders>
            <w:hideMark/>
          </w:tcPr>
          <w:p w14:paraId="6BCA1C48" w14:textId="77777777" w:rsidR="00B024D9" w:rsidRDefault="00B024D9" w:rsidP="00FF1077">
            <w:pPr>
              <w:spacing w:line="276" w:lineRule="auto"/>
              <w:ind w:firstLine="426"/>
              <w:jc w:val="both"/>
              <w:rPr>
                <w:rFonts w:ascii="Arial" w:hAnsi="Arial" w:cs="Arial"/>
                <w:snapToGrid w:val="0"/>
                <w:sz w:val="18"/>
                <w:szCs w:val="18"/>
                <w:lang w:eastAsia="en-US"/>
              </w:rPr>
            </w:pPr>
            <w:r>
              <w:rPr>
                <w:rFonts w:ascii="Arial" w:hAnsi="Arial" w:cs="Arial"/>
                <w:snapToGrid w:val="0"/>
                <w:sz w:val="18"/>
                <w:szCs w:val="18"/>
                <w:lang w:eastAsia="en-US"/>
              </w:rPr>
              <w:t>Manufactureras</w:t>
            </w:r>
          </w:p>
        </w:tc>
        <w:tc>
          <w:tcPr>
            <w:tcW w:w="1195" w:type="dxa"/>
            <w:tcBorders>
              <w:top w:val="nil"/>
              <w:left w:val="double" w:sz="4" w:space="0" w:color="003366"/>
              <w:bottom w:val="nil"/>
              <w:right w:val="single" w:sz="4" w:space="0" w:color="0F243E" w:themeColor="text2" w:themeShade="80"/>
            </w:tcBorders>
            <w:vAlign w:val="bottom"/>
            <w:hideMark/>
          </w:tcPr>
          <w:p w14:paraId="43ABE593" w14:textId="77777777" w:rsidR="00B024D9" w:rsidRPr="0099535E" w:rsidRDefault="00B024D9" w:rsidP="00FF1077">
            <w:pPr>
              <w:tabs>
                <w:tab w:val="decimal" w:pos="762"/>
              </w:tabs>
              <w:spacing w:line="276" w:lineRule="auto"/>
              <w:rPr>
                <w:rFonts w:ascii="Arial" w:hAnsi="Arial" w:cs="Arial"/>
                <w:bCs/>
                <w:sz w:val="18"/>
                <w:szCs w:val="18"/>
              </w:rPr>
            </w:pPr>
            <w:r>
              <w:rPr>
                <w:rFonts w:ascii="Arial" w:hAnsi="Arial" w:cs="Arial"/>
                <w:bCs/>
                <w:sz w:val="18"/>
                <w:szCs w:val="18"/>
              </w:rPr>
              <w:t>15,264.9</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34931623" w14:textId="77777777" w:rsidR="00B024D9" w:rsidRPr="0099535E" w:rsidRDefault="00B024D9" w:rsidP="00FF1077">
            <w:pPr>
              <w:tabs>
                <w:tab w:val="decimal" w:pos="795"/>
              </w:tabs>
              <w:spacing w:line="276" w:lineRule="auto"/>
              <w:rPr>
                <w:rFonts w:ascii="Arial" w:hAnsi="Arial" w:cs="Arial"/>
                <w:bCs/>
                <w:sz w:val="18"/>
                <w:szCs w:val="18"/>
              </w:rPr>
            </w:pPr>
            <w:r>
              <w:rPr>
                <w:rFonts w:ascii="Arial" w:hAnsi="Arial" w:cs="Arial"/>
                <w:bCs/>
                <w:sz w:val="18"/>
                <w:szCs w:val="18"/>
              </w:rPr>
              <w:t>(-</w:t>
            </w:r>
            <w:proofErr w:type="gramStart"/>
            <w:r>
              <w:rPr>
                <w:rFonts w:ascii="Arial" w:hAnsi="Arial" w:cs="Arial"/>
                <w:bCs/>
                <w:sz w:val="18"/>
                <w:szCs w:val="18"/>
              </w:rPr>
              <w:t>)</w:t>
            </w:r>
            <w:r w:rsidRPr="0099535E">
              <w:rPr>
                <w:rFonts w:ascii="Arial" w:hAnsi="Arial" w:cs="Arial"/>
                <w:bCs/>
                <w:sz w:val="18"/>
                <w:szCs w:val="18"/>
              </w:rPr>
              <w:t xml:space="preserve">  </w:t>
            </w:r>
            <w:r>
              <w:rPr>
                <w:rFonts w:ascii="Arial" w:hAnsi="Arial" w:cs="Arial"/>
                <w:bCs/>
                <w:sz w:val="18"/>
                <w:szCs w:val="18"/>
              </w:rPr>
              <w:t>58</w:t>
            </w:r>
            <w:proofErr w:type="gramEnd"/>
            <w:r>
              <w:rPr>
                <w:rFonts w:ascii="Arial" w:hAnsi="Arial" w:cs="Arial"/>
                <w:bCs/>
                <w:sz w:val="18"/>
                <w:szCs w:val="18"/>
              </w:rPr>
              <w:t>.7</w:t>
            </w:r>
          </w:p>
        </w:tc>
        <w:tc>
          <w:tcPr>
            <w:tcW w:w="1458" w:type="dxa"/>
            <w:tcBorders>
              <w:top w:val="nil"/>
              <w:left w:val="single" w:sz="4" w:space="0" w:color="0F243E" w:themeColor="text2" w:themeShade="80"/>
              <w:bottom w:val="nil"/>
              <w:right w:val="single" w:sz="4" w:space="0" w:color="0F243E" w:themeColor="text2" w:themeShade="80"/>
            </w:tcBorders>
          </w:tcPr>
          <w:p w14:paraId="09C51F79" w14:textId="77777777" w:rsidR="00B024D9" w:rsidRPr="0099535E" w:rsidRDefault="00B024D9" w:rsidP="00FF1077">
            <w:pPr>
              <w:tabs>
                <w:tab w:val="decimal" w:pos="795"/>
              </w:tabs>
              <w:spacing w:line="276" w:lineRule="auto"/>
              <w:ind w:left="301" w:right="227"/>
              <w:jc w:val="right"/>
              <w:rPr>
                <w:rFonts w:ascii="Arial" w:hAnsi="Arial" w:cs="Arial"/>
                <w:bCs/>
                <w:sz w:val="18"/>
                <w:szCs w:val="18"/>
              </w:rPr>
            </w:pPr>
            <w:r>
              <w:rPr>
                <w:rFonts w:ascii="Arial" w:hAnsi="Arial" w:cs="Arial"/>
                <w:bCs/>
                <w:sz w:val="18"/>
                <w:szCs w:val="18"/>
              </w:rPr>
              <w:t>131,741.0</w:t>
            </w:r>
          </w:p>
        </w:tc>
        <w:tc>
          <w:tcPr>
            <w:tcW w:w="1418" w:type="dxa"/>
            <w:tcBorders>
              <w:top w:val="nil"/>
              <w:left w:val="single" w:sz="4" w:space="0" w:color="0F243E" w:themeColor="text2" w:themeShade="80"/>
              <w:bottom w:val="nil"/>
              <w:right w:val="double" w:sz="4" w:space="0" w:color="0F243E" w:themeColor="text2" w:themeShade="80"/>
            </w:tcBorders>
          </w:tcPr>
          <w:p w14:paraId="6A5527DE" w14:textId="77777777" w:rsidR="00B024D9" w:rsidRPr="0099535E" w:rsidRDefault="00B024D9" w:rsidP="00FF1077">
            <w:pPr>
              <w:tabs>
                <w:tab w:val="decimal" w:pos="795"/>
              </w:tabs>
              <w:spacing w:line="276" w:lineRule="auto"/>
              <w:ind w:right="454"/>
              <w:jc w:val="right"/>
              <w:rPr>
                <w:rFonts w:ascii="Arial" w:hAnsi="Arial" w:cs="Arial"/>
                <w:bCs/>
                <w:sz w:val="18"/>
                <w:szCs w:val="18"/>
              </w:rPr>
            </w:pPr>
            <w:r>
              <w:rPr>
                <w:rFonts w:ascii="Arial" w:hAnsi="Arial" w:cs="Arial"/>
                <w:bCs/>
                <w:sz w:val="18"/>
                <w:szCs w:val="18"/>
              </w:rPr>
              <w:t>(-) 20.9</w:t>
            </w:r>
          </w:p>
        </w:tc>
      </w:tr>
      <w:tr w:rsidR="00B024D9" w14:paraId="3A9295AC" w14:textId="77777777" w:rsidTr="00FF1077">
        <w:trPr>
          <w:trHeight w:val="200"/>
          <w:jc w:val="center"/>
        </w:trPr>
        <w:tc>
          <w:tcPr>
            <w:tcW w:w="2940" w:type="dxa"/>
            <w:tcBorders>
              <w:top w:val="nil"/>
              <w:left w:val="double" w:sz="4" w:space="0" w:color="003366"/>
              <w:bottom w:val="nil"/>
              <w:right w:val="double" w:sz="4" w:space="0" w:color="003366"/>
            </w:tcBorders>
            <w:hideMark/>
          </w:tcPr>
          <w:p w14:paraId="4828E481" w14:textId="77777777" w:rsidR="00B024D9" w:rsidRDefault="00B024D9" w:rsidP="00FF1077">
            <w:pPr>
              <w:spacing w:line="276" w:lineRule="auto"/>
              <w:ind w:firstLine="663"/>
              <w:jc w:val="both"/>
              <w:rPr>
                <w:rFonts w:ascii="Arial" w:hAnsi="Arial" w:cs="Arial"/>
                <w:snapToGrid w:val="0"/>
                <w:sz w:val="18"/>
                <w:szCs w:val="18"/>
                <w:lang w:eastAsia="en-US"/>
              </w:rPr>
            </w:pPr>
            <w:r>
              <w:rPr>
                <w:rFonts w:ascii="Arial" w:hAnsi="Arial" w:cs="Arial"/>
                <w:snapToGrid w:val="0"/>
                <w:sz w:val="18"/>
                <w:szCs w:val="18"/>
                <w:lang w:eastAsia="en-US"/>
              </w:rPr>
              <w:t>Automotrices</w:t>
            </w:r>
          </w:p>
        </w:tc>
        <w:tc>
          <w:tcPr>
            <w:tcW w:w="1195" w:type="dxa"/>
            <w:tcBorders>
              <w:top w:val="nil"/>
              <w:left w:val="double" w:sz="4" w:space="0" w:color="003366"/>
              <w:bottom w:val="nil"/>
              <w:right w:val="single" w:sz="4" w:space="0" w:color="0F243E" w:themeColor="text2" w:themeShade="80"/>
            </w:tcBorders>
            <w:vAlign w:val="bottom"/>
            <w:hideMark/>
          </w:tcPr>
          <w:p w14:paraId="63D2F789" w14:textId="77777777" w:rsidR="00B024D9" w:rsidRPr="0099535E" w:rsidRDefault="00B024D9" w:rsidP="00FF1077">
            <w:pPr>
              <w:tabs>
                <w:tab w:val="decimal" w:pos="762"/>
              </w:tabs>
              <w:spacing w:line="276" w:lineRule="auto"/>
              <w:rPr>
                <w:rFonts w:ascii="Arial" w:hAnsi="Arial" w:cs="Arial"/>
                <w:bCs/>
                <w:sz w:val="18"/>
                <w:szCs w:val="18"/>
              </w:rPr>
            </w:pPr>
            <w:r>
              <w:rPr>
                <w:rFonts w:ascii="Arial" w:hAnsi="Arial" w:cs="Arial"/>
                <w:bCs/>
                <w:sz w:val="18"/>
                <w:szCs w:val="18"/>
              </w:rPr>
              <w:t>1,307.4</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2F6F3855" w14:textId="77777777" w:rsidR="00B024D9" w:rsidRPr="0099535E" w:rsidRDefault="00B024D9" w:rsidP="00FF1077">
            <w:pPr>
              <w:tabs>
                <w:tab w:val="decimal" w:pos="795"/>
              </w:tabs>
              <w:spacing w:line="276" w:lineRule="auto"/>
              <w:rPr>
                <w:rFonts w:ascii="Arial" w:hAnsi="Arial" w:cs="Arial"/>
                <w:bCs/>
                <w:sz w:val="18"/>
                <w:szCs w:val="18"/>
              </w:rPr>
            </w:pPr>
            <w:r>
              <w:rPr>
                <w:rFonts w:ascii="Arial" w:hAnsi="Arial" w:cs="Arial"/>
                <w:bCs/>
                <w:sz w:val="18"/>
                <w:szCs w:val="18"/>
              </w:rPr>
              <w:t>(-</w:t>
            </w:r>
            <w:proofErr w:type="gramStart"/>
            <w:r>
              <w:rPr>
                <w:rFonts w:ascii="Arial" w:hAnsi="Arial" w:cs="Arial"/>
                <w:bCs/>
                <w:sz w:val="18"/>
                <w:szCs w:val="18"/>
              </w:rPr>
              <w:t>)</w:t>
            </w:r>
            <w:r w:rsidRPr="0099535E">
              <w:rPr>
                <w:rFonts w:ascii="Arial" w:hAnsi="Arial" w:cs="Arial"/>
                <w:bCs/>
                <w:sz w:val="18"/>
                <w:szCs w:val="18"/>
              </w:rPr>
              <w:t xml:space="preserve">  </w:t>
            </w:r>
            <w:r>
              <w:rPr>
                <w:rFonts w:ascii="Arial" w:hAnsi="Arial" w:cs="Arial"/>
                <w:bCs/>
                <w:sz w:val="18"/>
                <w:szCs w:val="18"/>
              </w:rPr>
              <w:t>90</w:t>
            </w:r>
            <w:proofErr w:type="gramEnd"/>
            <w:r>
              <w:rPr>
                <w:rFonts w:ascii="Arial" w:hAnsi="Arial" w:cs="Arial"/>
                <w:bCs/>
                <w:sz w:val="18"/>
                <w:szCs w:val="18"/>
              </w:rPr>
              <w:t>.1</w:t>
            </w:r>
          </w:p>
        </w:tc>
        <w:tc>
          <w:tcPr>
            <w:tcW w:w="1458" w:type="dxa"/>
            <w:tcBorders>
              <w:top w:val="nil"/>
              <w:left w:val="single" w:sz="4" w:space="0" w:color="0F243E" w:themeColor="text2" w:themeShade="80"/>
              <w:bottom w:val="nil"/>
              <w:right w:val="single" w:sz="4" w:space="0" w:color="0F243E" w:themeColor="text2" w:themeShade="80"/>
            </w:tcBorders>
          </w:tcPr>
          <w:p w14:paraId="58D0EE7E" w14:textId="77777777" w:rsidR="00B024D9" w:rsidRPr="0099535E" w:rsidRDefault="00B024D9" w:rsidP="00FF1077">
            <w:pPr>
              <w:tabs>
                <w:tab w:val="decimal" w:pos="795"/>
              </w:tabs>
              <w:spacing w:line="276" w:lineRule="auto"/>
              <w:ind w:left="301" w:right="227"/>
              <w:jc w:val="right"/>
              <w:rPr>
                <w:rFonts w:ascii="Arial" w:hAnsi="Arial" w:cs="Arial"/>
                <w:bCs/>
                <w:sz w:val="18"/>
                <w:szCs w:val="18"/>
              </w:rPr>
            </w:pPr>
            <w:r>
              <w:rPr>
                <w:rFonts w:ascii="Arial" w:hAnsi="Arial" w:cs="Arial"/>
                <w:bCs/>
                <w:sz w:val="18"/>
                <w:szCs w:val="18"/>
              </w:rPr>
              <w:t>38,783.1</w:t>
            </w:r>
          </w:p>
        </w:tc>
        <w:tc>
          <w:tcPr>
            <w:tcW w:w="1418" w:type="dxa"/>
            <w:tcBorders>
              <w:top w:val="nil"/>
              <w:left w:val="single" w:sz="4" w:space="0" w:color="0F243E" w:themeColor="text2" w:themeShade="80"/>
              <w:bottom w:val="nil"/>
              <w:right w:val="double" w:sz="4" w:space="0" w:color="0F243E" w:themeColor="text2" w:themeShade="80"/>
            </w:tcBorders>
          </w:tcPr>
          <w:p w14:paraId="625A3AE7" w14:textId="77777777" w:rsidR="00B024D9" w:rsidRPr="0099535E" w:rsidRDefault="00B024D9" w:rsidP="00FF1077">
            <w:pPr>
              <w:tabs>
                <w:tab w:val="decimal" w:pos="795"/>
              </w:tabs>
              <w:spacing w:line="276" w:lineRule="auto"/>
              <w:ind w:right="454"/>
              <w:jc w:val="right"/>
              <w:rPr>
                <w:rFonts w:ascii="Arial" w:hAnsi="Arial" w:cs="Arial"/>
                <w:bCs/>
                <w:sz w:val="18"/>
                <w:szCs w:val="18"/>
              </w:rPr>
            </w:pPr>
            <w:r>
              <w:rPr>
                <w:rFonts w:ascii="Arial" w:hAnsi="Arial" w:cs="Arial"/>
                <w:bCs/>
                <w:sz w:val="18"/>
                <w:szCs w:val="18"/>
              </w:rPr>
              <w:t>(-) 35.4</w:t>
            </w:r>
          </w:p>
        </w:tc>
      </w:tr>
      <w:tr w:rsidR="00B024D9" w14:paraId="0FBD74C1" w14:textId="77777777" w:rsidTr="00FF1077">
        <w:trPr>
          <w:trHeight w:val="200"/>
          <w:jc w:val="center"/>
        </w:trPr>
        <w:tc>
          <w:tcPr>
            <w:tcW w:w="2940" w:type="dxa"/>
            <w:tcBorders>
              <w:top w:val="nil"/>
              <w:left w:val="double" w:sz="4" w:space="0" w:color="003366"/>
              <w:bottom w:val="nil"/>
              <w:right w:val="double" w:sz="4" w:space="0" w:color="003366"/>
            </w:tcBorders>
            <w:hideMark/>
          </w:tcPr>
          <w:p w14:paraId="2484B496" w14:textId="77777777" w:rsidR="00B024D9" w:rsidRDefault="00B024D9" w:rsidP="00FF1077">
            <w:pPr>
              <w:spacing w:line="276" w:lineRule="auto"/>
              <w:ind w:firstLine="663"/>
              <w:jc w:val="both"/>
              <w:rPr>
                <w:rFonts w:ascii="Arial" w:hAnsi="Arial" w:cs="Arial"/>
                <w:snapToGrid w:val="0"/>
                <w:sz w:val="18"/>
                <w:szCs w:val="18"/>
                <w:lang w:eastAsia="en-US"/>
              </w:rPr>
            </w:pPr>
            <w:r>
              <w:rPr>
                <w:rFonts w:ascii="Arial" w:hAnsi="Arial" w:cs="Arial"/>
                <w:snapToGrid w:val="0"/>
                <w:sz w:val="18"/>
                <w:szCs w:val="18"/>
                <w:lang w:eastAsia="en-US"/>
              </w:rPr>
              <w:t>No automotrices</w:t>
            </w:r>
          </w:p>
        </w:tc>
        <w:tc>
          <w:tcPr>
            <w:tcW w:w="1195" w:type="dxa"/>
            <w:tcBorders>
              <w:top w:val="nil"/>
              <w:left w:val="double" w:sz="4" w:space="0" w:color="003366"/>
              <w:bottom w:val="nil"/>
              <w:right w:val="single" w:sz="4" w:space="0" w:color="0F243E" w:themeColor="text2" w:themeShade="80"/>
            </w:tcBorders>
            <w:vAlign w:val="bottom"/>
            <w:hideMark/>
          </w:tcPr>
          <w:p w14:paraId="1210B4D0" w14:textId="77777777" w:rsidR="00B024D9" w:rsidRPr="0099535E" w:rsidRDefault="00B024D9" w:rsidP="00FF1077">
            <w:pPr>
              <w:tabs>
                <w:tab w:val="decimal" w:pos="762"/>
              </w:tabs>
              <w:spacing w:line="276" w:lineRule="auto"/>
              <w:rPr>
                <w:rFonts w:ascii="Arial" w:hAnsi="Arial" w:cs="Arial"/>
                <w:bCs/>
                <w:sz w:val="18"/>
                <w:szCs w:val="18"/>
              </w:rPr>
            </w:pPr>
            <w:r>
              <w:rPr>
                <w:rFonts w:ascii="Arial" w:hAnsi="Arial" w:cs="Arial"/>
                <w:bCs/>
                <w:sz w:val="18"/>
                <w:szCs w:val="18"/>
              </w:rPr>
              <w:t>13,957.6</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25F54CA2" w14:textId="77777777" w:rsidR="00B024D9" w:rsidRPr="0099535E" w:rsidRDefault="00B024D9" w:rsidP="00FF1077">
            <w:pPr>
              <w:tabs>
                <w:tab w:val="decimal" w:pos="795"/>
              </w:tabs>
              <w:spacing w:line="276" w:lineRule="auto"/>
              <w:rPr>
                <w:rFonts w:ascii="Arial" w:hAnsi="Arial" w:cs="Arial"/>
                <w:bCs/>
                <w:sz w:val="18"/>
                <w:szCs w:val="18"/>
              </w:rPr>
            </w:pPr>
            <w:r>
              <w:rPr>
                <w:rFonts w:ascii="Arial" w:hAnsi="Arial" w:cs="Arial"/>
                <w:bCs/>
                <w:sz w:val="18"/>
                <w:szCs w:val="18"/>
              </w:rPr>
              <w:t>(-</w:t>
            </w:r>
            <w:proofErr w:type="gramStart"/>
            <w:r>
              <w:rPr>
                <w:rFonts w:ascii="Arial" w:hAnsi="Arial" w:cs="Arial"/>
                <w:bCs/>
                <w:sz w:val="18"/>
                <w:szCs w:val="18"/>
              </w:rPr>
              <w:t xml:space="preserve">) </w:t>
            </w:r>
            <w:r w:rsidRPr="0099535E">
              <w:rPr>
                <w:rFonts w:ascii="Arial" w:hAnsi="Arial" w:cs="Arial"/>
                <w:bCs/>
                <w:sz w:val="18"/>
                <w:szCs w:val="18"/>
              </w:rPr>
              <w:t xml:space="preserve"> </w:t>
            </w:r>
            <w:r>
              <w:rPr>
                <w:rFonts w:ascii="Arial" w:hAnsi="Arial" w:cs="Arial"/>
                <w:bCs/>
                <w:sz w:val="18"/>
                <w:szCs w:val="18"/>
              </w:rPr>
              <w:t>41</w:t>
            </w:r>
            <w:proofErr w:type="gramEnd"/>
            <w:r w:rsidRPr="0099535E">
              <w:rPr>
                <w:rFonts w:ascii="Arial" w:hAnsi="Arial" w:cs="Arial"/>
                <w:bCs/>
                <w:sz w:val="18"/>
                <w:szCs w:val="18"/>
              </w:rPr>
              <w:t>.</w:t>
            </w:r>
            <w:r>
              <w:rPr>
                <w:rFonts w:ascii="Arial" w:hAnsi="Arial" w:cs="Arial"/>
                <w:bCs/>
                <w:sz w:val="18"/>
                <w:szCs w:val="18"/>
              </w:rPr>
              <w:t>4</w:t>
            </w:r>
          </w:p>
        </w:tc>
        <w:tc>
          <w:tcPr>
            <w:tcW w:w="1458" w:type="dxa"/>
            <w:tcBorders>
              <w:top w:val="nil"/>
              <w:left w:val="single" w:sz="4" w:space="0" w:color="0F243E" w:themeColor="text2" w:themeShade="80"/>
              <w:bottom w:val="nil"/>
              <w:right w:val="single" w:sz="4" w:space="0" w:color="0F243E" w:themeColor="text2" w:themeShade="80"/>
            </w:tcBorders>
          </w:tcPr>
          <w:p w14:paraId="4E8997C0" w14:textId="77777777" w:rsidR="00B024D9" w:rsidRDefault="00B024D9" w:rsidP="00FF1077">
            <w:pPr>
              <w:tabs>
                <w:tab w:val="decimal" w:pos="795"/>
              </w:tabs>
              <w:spacing w:line="276" w:lineRule="auto"/>
              <w:ind w:left="301" w:right="227"/>
              <w:jc w:val="right"/>
              <w:rPr>
                <w:rFonts w:ascii="Arial" w:hAnsi="Arial" w:cs="Arial"/>
                <w:bCs/>
                <w:sz w:val="18"/>
                <w:szCs w:val="18"/>
              </w:rPr>
            </w:pPr>
            <w:r>
              <w:rPr>
                <w:rFonts w:ascii="Arial" w:hAnsi="Arial" w:cs="Arial"/>
                <w:bCs/>
                <w:sz w:val="18"/>
                <w:szCs w:val="18"/>
              </w:rPr>
              <w:t>92,957.9</w:t>
            </w:r>
          </w:p>
        </w:tc>
        <w:tc>
          <w:tcPr>
            <w:tcW w:w="1418" w:type="dxa"/>
            <w:tcBorders>
              <w:top w:val="nil"/>
              <w:left w:val="single" w:sz="4" w:space="0" w:color="0F243E" w:themeColor="text2" w:themeShade="80"/>
              <w:bottom w:val="nil"/>
              <w:right w:val="double" w:sz="4" w:space="0" w:color="0F243E" w:themeColor="text2" w:themeShade="80"/>
            </w:tcBorders>
          </w:tcPr>
          <w:p w14:paraId="0F8F83BC" w14:textId="77777777" w:rsidR="00B024D9" w:rsidRDefault="00B024D9" w:rsidP="00FF1077">
            <w:pPr>
              <w:tabs>
                <w:tab w:val="decimal" w:pos="795"/>
              </w:tabs>
              <w:spacing w:line="276" w:lineRule="auto"/>
              <w:ind w:right="454"/>
              <w:jc w:val="right"/>
              <w:rPr>
                <w:rFonts w:ascii="Arial" w:hAnsi="Arial" w:cs="Arial"/>
                <w:bCs/>
                <w:sz w:val="18"/>
                <w:szCs w:val="18"/>
              </w:rPr>
            </w:pPr>
            <w:r>
              <w:rPr>
                <w:rFonts w:ascii="Arial" w:hAnsi="Arial" w:cs="Arial"/>
                <w:bCs/>
                <w:sz w:val="18"/>
                <w:szCs w:val="18"/>
              </w:rPr>
              <w:t>(-) 12.8</w:t>
            </w:r>
          </w:p>
        </w:tc>
      </w:tr>
      <w:tr w:rsidR="00B024D9" w14:paraId="1C642795" w14:textId="77777777" w:rsidTr="00FF1077">
        <w:trPr>
          <w:trHeight w:val="200"/>
          <w:jc w:val="center"/>
        </w:trPr>
        <w:tc>
          <w:tcPr>
            <w:tcW w:w="2940" w:type="dxa"/>
            <w:tcBorders>
              <w:top w:val="nil"/>
              <w:left w:val="double" w:sz="4" w:space="0" w:color="003366"/>
              <w:bottom w:val="nil"/>
              <w:right w:val="double" w:sz="4" w:space="0" w:color="003366"/>
            </w:tcBorders>
            <w:hideMark/>
          </w:tcPr>
          <w:p w14:paraId="7234BF17" w14:textId="77777777" w:rsidR="00B024D9" w:rsidRDefault="00B024D9" w:rsidP="00FF1077">
            <w:pPr>
              <w:spacing w:before="20" w:line="276" w:lineRule="auto"/>
              <w:ind w:firstLine="181"/>
              <w:rPr>
                <w:rFonts w:ascii="Arial" w:hAnsi="Arial" w:cs="Arial"/>
                <w:b/>
                <w:snapToGrid w:val="0"/>
                <w:sz w:val="18"/>
                <w:szCs w:val="18"/>
                <w:u w:val="single"/>
                <w:lang w:eastAsia="en-US"/>
              </w:rPr>
            </w:pPr>
            <w:r>
              <w:rPr>
                <w:rFonts w:ascii="Arial" w:hAnsi="Arial" w:cs="Arial"/>
                <w:b/>
                <w:snapToGrid w:val="0"/>
                <w:sz w:val="18"/>
                <w:szCs w:val="18"/>
                <w:u w:val="single"/>
                <w:lang w:eastAsia="en-US"/>
              </w:rPr>
              <w:t xml:space="preserve">Importaciones Totales </w:t>
            </w:r>
          </w:p>
        </w:tc>
        <w:tc>
          <w:tcPr>
            <w:tcW w:w="1195" w:type="dxa"/>
            <w:tcBorders>
              <w:top w:val="nil"/>
              <w:left w:val="double" w:sz="4" w:space="0" w:color="003366"/>
              <w:bottom w:val="nil"/>
              <w:right w:val="single" w:sz="4" w:space="0" w:color="0F243E" w:themeColor="text2" w:themeShade="80"/>
            </w:tcBorders>
            <w:vAlign w:val="bottom"/>
            <w:hideMark/>
          </w:tcPr>
          <w:p w14:paraId="6C93D149" w14:textId="77777777" w:rsidR="00B024D9" w:rsidRPr="0099535E" w:rsidRDefault="00B024D9" w:rsidP="00FF1077">
            <w:pPr>
              <w:tabs>
                <w:tab w:val="decimal" w:pos="762"/>
              </w:tabs>
              <w:spacing w:before="20" w:line="276" w:lineRule="auto"/>
              <w:rPr>
                <w:rFonts w:ascii="Arial" w:hAnsi="Arial" w:cs="Arial"/>
                <w:b/>
                <w:bCs/>
                <w:sz w:val="18"/>
                <w:szCs w:val="18"/>
                <w:u w:val="single"/>
              </w:rPr>
            </w:pPr>
            <w:r>
              <w:rPr>
                <w:rFonts w:ascii="Arial" w:hAnsi="Arial" w:cs="Arial"/>
                <w:b/>
                <w:bCs/>
                <w:sz w:val="18"/>
                <w:szCs w:val="18"/>
                <w:u w:val="single"/>
              </w:rPr>
              <w:t>21,592.4</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7DD0C824" w14:textId="77777777" w:rsidR="00B024D9" w:rsidRPr="0099535E" w:rsidRDefault="00B024D9" w:rsidP="00FF1077">
            <w:pPr>
              <w:tabs>
                <w:tab w:val="decimal" w:pos="795"/>
              </w:tabs>
              <w:spacing w:before="20" w:line="276" w:lineRule="auto"/>
              <w:rPr>
                <w:rFonts w:ascii="Arial" w:hAnsi="Arial" w:cs="Arial"/>
                <w:b/>
                <w:bCs/>
                <w:sz w:val="18"/>
                <w:szCs w:val="18"/>
                <w:u w:val="single"/>
              </w:rPr>
            </w:pPr>
            <w:r w:rsidRPr="0099535E">
              <w:rPr>
                <w:rFonts w:ascii="Arial" w:hAnsi="Arial" w:cs="Arial"/>
                <w:b/>
                <w:bCs/>
                <w:sz w:val="18"/>
                <w:szCs w:val="18"/>
              </w:rPr>
              <w:t>(-</w:t>
            </w:r>
            <w:proofErr w:type="gramStart"/>
            <w:r w:rsidRPr="0099535E">
              <w:rPr>
                <w:rFonts w:ascii="Arial" w:hAnsi="Arial" w:cs="Arial"/>
                <w:b/>
                <w:bCs/>
                <w:sz w:val="18"/>
                <w:szCs w:val="18"/>
              </w:rPr>
              <w:t>)</w:t>
            </w:r>
            <w:r>
              <w:rPr>
                <w:rFonts w:ascii="Arial" w:hAnsi="Arial" w:cs="Arial"/>
                <w:b/>
                <w:bCs/>
                <w:sz w:val="18"/>
                <w:szCs w:val="18"/>
              </w:rPr>
              <w:t xml:space="preserve">  </w:t>
            </w:r>
            <w:r>
              <w:rPr>
                <w:rFonts w:ascii="Arial" w:hAnsi="Arial" w:cs="Arial"/>
                <w:b/>
                <w:bCs/>
                <w:sz w:val="18"/>
                <w:szCs w:val="18"/>
                <w:u w:val="single"/>
              </w:rPr>
              <w:t>47</w:t>
            </w:r>
            <w:proofErr w:type="gramEnd"/>
            <w:r>
              <w:rPr>
                <w:rFonts w:ascii="Arial" w:hAnsi="Arial" w:cs="Arial"/>
                <w:b/>
                <w:bCs/>
                <w:sz w:val="18"/>
                <w:szCs w:val="18"/>
                <w:u w:val="single"/>
              </w:rPr>
              <w:t>.1</w:t>
            </w:r>
          </w:p>
        </w:tc>
        <w:tc>
          <w:tcPr>
            <w:tcW w:w="1458" w:type="dxa"/>
            <w:tcBorders>
              <w:top w:val="nil"/>
              <w:left w:val="single" w:sz="4" w:space="0" w:color="0F243E" w:themeColor="text2" w:themeShade="80"/>
              <w:bottom w:val="nil"/>
              <w:right w:val="single" w:sz="4" w:space="0" w:color="0F243E" w:themeColor="text2" w:themeShade="80"/>
            </w:tcBorders>
          </w:tcPr>
          <w:p w14:paraId="4D9AF933" w14:textId="77777777" w:rsidR="00B024D9" w:rsidRPr="00610A0C" w:rsidRDefault="00B024D9" w:rsidP="00FF1077">
            <w:pPr>
              <w:tabs>
                <w:tab w:val="decimal" w:pos="795"/>
              </w:tabs>
              <w:spacing w:before="20" w:line="276" w:lineRule="auto"/>
              <w:ind w:left="301" w:right="227"/>
              <w:jc w:val="right"/>
              <w:rPr>
                <w:rFonts w:ascii="Arial" w:hAnsi="Arial" w:cs="Arial"/>
                <w:b/>
                <w:bCs/>
                <w:sz w:val="18"/>
                <w:szCs w:val="18"/>
                <w:u w:val="single"/>
              </w:rPr>
            </w:pPr>
            <w:r>
              <w:rPr>
                <w:rFonts w:ascii="Arial" w:hAnsi="Arial" w:cs="Arial"/>
                <w:b/>
                <w:bCs/>
                <w:sz w:val="18"/>
                <w:szCs w:val="18"/>
                <w:u w:val="single"/>
              </w:rPr>
              <w:t>152,864.4</w:t>
            </w:r>
          </w:p>
        </w:tc>
        <w:tc>
          <w:tcPr>
            <w:tcW w:w="1418" w:type="dxa"/>
            <w:tcBorders>
              <w:top w:val="nil"/>
              <w:left w:val="single" w:sz="4" w:space="0" w:color="0F243E" w:themeColor="text2" w:themeShade="80"/>
              <w:bottom w:val="nil"/>
              <w:right w:val="double" w:sz="4" w:space="0" w:color="0F243E" w:themeColor="text2" w:themeShade="80"/>
            </w:tcBorders>
          </w:tcPr>
          <w:p w14:paraId="4D56F790" w14:textId="77777777" w:rsidR="00B024D9" w:rsidRPr="00610A0C" w:rsidRDefault="00B024D9" w:rsidP="00FF1077">
            <w:pPr>
              <w:tabs>
                <w:tab w:val="decimal" w:pos="795"/>
              </w:tabs>
              <w:spacing w:before="20" w:line="276" w:lineRule="auto"/>
              <w:ind w:right="454"/>
              <w:jc w:val="right"/>
              <w:rPr>
                <w:rFonts w:ascii="Arial" w:hAnsi="Arial" w:cs="Arial"/>
                <w:b/>
                <w:bCs/>
                <w:sz w:val="18"/>
                <w:szCs w:val="18"/>
                <w:u w:val="single"/>
              </w:rPr>
            </w:pPr>
            <w:r w:rsidRPr="00A94222">
              <w:rPr>
                <w:rFonts w:ascii="Arial" w:hAnsi="Arial" w:cs="Arial"/>
                <w:b/>
                <w:bCs/>
                <w:sz w:val="18"/>
                <w:szCs w:val="18"/>
              </w:rPr>
              <w:t>(-)</w:t>
            </w:r>
            <w:r>
              <w:rPr>
                <w:rFonts w:ascii="Arial" w:hAnsi="Arial" w:cs="Arial"/>
                <w:b/>
                <w:bCs/>
                <w:sz w:val="18"/>
                <w:szCs w:val="18"/>
              </w:rPr>
              <w:t xml:space="preserve"> </w:t>
            </w:r>
            <w:r>
              <w:rPr>
                <w:rFonts w:ascii="Arial" w:hAnsi="Arial" w:cs="Arial"/>
                <w:b/>
                <w:bCs/>
                <w:sz w:val="18"/>
                <w:szCs w:val="18"/>
                <w:u w:val="single"/>
              </w:rPr>
              <w:t>19.0</w:t>
            </w:r>
          </w:p>
        </w:tc>
      </w:tr>
      <w:tr w:rsidR="00B024D9" w14:paraId="1DE063DA" w14:textId="77777777" w:rsidTr="00FF1077">
        <w:trPr>
          <w:trHeight w:val="200"/>
          <w:jc w:val="center"/>
        </w:trPr>
        <w:tc>
          <w:tcPr>
            <w:tcW w:w="2940" w:type="dxa"/>
            <w:tcBorders>
              <w:top w:val="nil"/>
              <w:left w:val="double" w:sz="4" w:space="0" w:color="003366"/>
              <w:bottom w:val="nil"/>
              <w:right w:val="double" w:sz="4" w:space="0" w:color="003366"/>
            </w:tcBorders>
            <w:hideMark/>
          </w:tcPr>
          <w:p w14:paraId="494F318E" w14:textId="77777777" w:rsidR="00B024D9" w:rsidRDefault="00B024D9" w:rsidP="00FF1077">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Petroleras</w:t>
            </w:r>
          </w:p>
        </w:tc>
        <w:tc>
          <w:tcPr>
            <w:tcW w:w="1195" w:type="dxa"/>
            <w:tcBorders>
              <w:top w:val="nil"/>
              <w:left w:val="double" w:sz="4" w:space="0" w:color="003366"/>
              <w:bottom w:val="nil"/>
              <w:right w:val="single" w:sz="4" w:space="0" w:color="0F243E" w:themeColor="text2" w:themeShade="80"/>
            </w:tcBorders>
            <w:vAlign w:val="bottom"/>
            <w:hideMark/>
          </w:tcPr>
          <w:p w14:paraId="7E2CF7CA" w14:textId="77777777" w:rsidR="00B024D9" w:rsidRPr="0099535E" w:rsidRDefault="00B024D9" w:rsidP="00FF1077">
            <w:pPr>
              <w:tabs>
                <w:tab w:val="decimal" w:pos="762"/>
              </w:tabs>
              <w:spacing w:line="276" w:lineRule="auto"/>
              <w:rPr>
                <w:rFonts w:ascii="Arial" w:hAnsi="Arial" w:cs="Arial"/>
                <w:bCs/>
                <w:sz w:val="18"/>
                <w:szCs w:val="18"/>
              </w:rPr>
            </w:pPr>
            <w:r>
              <w:rPr>
                <w:rFonts w:ascii="Arial" w:hAnsi="Arial" w:cs="Arial"/>
                <w:bCs/>
                <w:sz w:val="18"/>
                <w:szCs w:val="18"/>
              </w:rPr>
              <w:t>1,399.3</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1E2AED1B" w14:textId="77777777" w:rsidR="00B024D9" w:rsidRPr="0099535E" w:rsidRDefault="00B024D9" w:rsidP="00FF1077">
            <w:pPr>
              <w:tabs>
                <w:tab w:val="decimal" w:pos="795"/>
              </w:tabs>
              <w:spacing w:line="276" w:lineRule="auto"/>
              <w:rPr>
                <w:rFonts w:ascii="Arial" w:hAnsi="Arial" w:cs="Arial"/>
                <w:bCs/>
                <w:sz w:val="18"/>
                <w:szCs w:val="18"/>
              </w:rPr>
            </w:pPr>
            <w:r w:rsidRPr="0099535E">
              <w:rPr>
                <w:rFonts w:ascii="Arial" w:hAnsi="Arial" w:cs="Arial"/>
                <w:bCs/>
                <w:sz w:val="18"/>
                <w:szCs w:val="18"/>
              </w:rPr>
              <w:t>(-</w:t>
            </w:r>
            <w:proofErr w:type="gramStart"/>
            <w:r w:rsidRPr="0099535E">
              <w:rPr>
                <w:rFonts w:ascii="Arial" w:hAnsi="Arial" w:cs="Arial"/>
                <w:bCs/>
                <w:sz w:val="18"/>
                <w:szCs w:val="18"/>
              </w:rPr>
              <w:t xml:space="preserve">) </w:t>
            </w:r>
            <w:r>
              <w:rPr>
                <w:rFonts w:ascii="Arial" w:hAnsi="Arial" w:cs="Arial"/>
                <w:bCs/>
                <w:sz w:val="18"/>
                <w:szCs w:val="18"/>
              </w:rPr>
              <w:t xml:space="preserve"> 69</w:t>
            </w:r>
            <w:proofErr w:type="gramEnd"/>
            <w:r w:rsidRPr="0099535E">
              <w:rPr>
                <w:rFonts w:ascii="Arial" w:hAnsi="Arial" w:cs="Arial"/>
                <w:bCs/>
                <w:sz w:val="18"/>
                <w:szCs w:val="18"/>
              </w:rPr>
              <w:t>.</w:t>
            </w:r>
            <w:r>
              <w:rPr>
                <w:rFonts w:ascii="Arial" w:hAnsi="Arial" w:cs="Arial"/>
                <w:bCs/>
                <w:sz w:val="18"/>
                <w:szCs w:val="18"/>
              </w:rPr>
              <w:t>4</w:t>
            </w:r>
          </w:p>
        </w:tc>
        <w:tc>
          <w:tcPr>
            <w:tcW w:w="1458" w:type="dxa"/>
            <w:tcBorders>
              <w:top w:val="nil"/>
              <w:left w:val="single" w:sz="4" w:space="0" w:color="0F243E" w:themeColor="text2" w:themeShade="80"/>
              <w:bottom w:val="nil"/>
              <w:right w:val="single" w:sz="4" w:space="0" w:color="0F243E" w:themeColor="text2" w:themeShade="80"/>
            </w:tcBorders>
          </w:tcPr>
          <w:p w14:paraId="6FD6EDDC" w14:textId="77777777" w:rsidR="00B024D9" w:rsidRPr="0099535E" w:rsidRDefault="00B024D9" w:rsidP="00FF1077">
            <w:pPr>
              <w:tabs>
                <w:tab w:val="decimal" w:pos="795"/>
              </w:tabs>
              <w:spacing w:line="276" w:lineRule="auto"/>
              <w:ind w:left="301" w:right="227"/>
              <w:jc w:val="right"/>
              <w:rPr>
                <w:rFonts w:ascii="Arial" w:hAnsi="Arial" w:cs="Arial"/>
                <w:bCs/>
                <w:sz w:val="18"/>
                <w:szCs w:val="18"/>
              </w:rPr>
            </w:pPr>
            <w:r>
              <w:rPr>
                <w:rFonts w:ascii="Arial" w:hAnsi="Arial" w:cs="Arial"/>
                <w:bCs/>
                <w:sz w:val="18"/>
                <w:szCs w:val="18"/>
              </w:rPr>
              <w:t>14,017.8</w:t>
            </w:r>
          </w:p>
        </w:tc>
        <w:tc>
          <w:tcPr>
            <w:tcW w:w="1418" w:type="dxa"/>
            <w:tcBorders>
              <w:top w:val="nil"/>
              <w:left w:val="single" w:sz="4" w:space="0" w:color="0F243E" w:themeColor="text2" w:themeShade="80"/>
              <w:bottom w:val="nil"/>
              <w:right w:val="double" w:sz="4" w:space="0" w:color="0F243E" w:themeColor="text2" w:themeShade="80"/>
            </w:tcBorders>
          </w:tcPr>
          <w:p w14:paraId="237014F3" w14:textId="77777777" w:rsidR="00B024D9" w:rsidRPr="0099535E" w:rsidRDefault="00B024D9" w:rsidP="00FF1077">
            <w:pPr>
              <w:tabs>
                <w:tab w:val="decimal" w:pos="795"/>
              </w:tabs>
              <w:spacing w:line="276" w:lineRule="auto"/>
              <w:ind w:right="454"/>
              <w:jc w:val="right"/>
              <w:rPr>
                <w:rFonts w:ascii="Arial" w:hAnsi="Arial" w:cs="Arial"/>
                <w:bCs/>
                <w:sz w:val="18"/>
                <w:szCs w:val="18"/>
              </w:rPr>
            </w:pPr>
            <w:r>
              <w:rPr>
                <w:rFonts w:ascii="Arial" w:hAnsi="Arial" w:cs="Arial"/>
                <w:bCs/>
                <w:sz w:val="18"/>
                <w:szCs w:val="18"/>
              </w:rPr>
              <w:t>(-) 32.1</w:t>
            </w:r>
          </w:p>
        </w:tc>
      </w:tr>
      <w:tr w:rsidR="00B024D9" w14:paraId="71B3686A" w14:textId="77777777" w:rsidTr="00FF1077">
        <w:trPr>
          <w:trHeight w:val="200"/>
          <w:jc w:val="center"/>
        </w:trPr>
        <w:tc>
          <w:tcPr>
            <w:tcW w:w="2940" w:type="dxa"/>
            <w:tcBorders>
              <w:top w:val="nil"/>
              <w:left w:val="double" w:sz="4" w:space="0" w:color="003366"/>
              <w:bottom w:val="nil"/>
              <w:right w:val="double" w:sz="4" w:space="0" w:color="003366"/>
            </w:tcBorders>
            <w:hideMark/>
          </w:tcPr>
          <w:p w14:paraId="4463772A" w14:textId="77777777" w:rsidR="00B024D9" w:rsidRDefault="00B024D9" w:rsidP="00FF1077">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No petroleras</w:t>
            </w:r>
          </w:p>
        </w:tc>
        <w:tc>
          <w:tcPr>
            <w:tcW w:w="1195" w:type="dxa"/>
            <w:tcBorders>
              <w:top w:val="nil"/>
              <w:left w:val="double" w:sz="4" w:space="0" w:color="003366"/>
              <w:bottom w:val="nil"/>
              <w:right w:val="single" w:sz="4" w:space="0" w:color="0F243E" w:themeColor="text2" w:themeShade="80"/>
            </w:tcBorders>
            <w:vAlign w:val="bottom"/>
            <w:hideMark/>
          </w:tcPr>
          <w:p w14:paraId="36DF5F59" w14:textId="77777777" w:rsidR="00B024D9" w:rsidRPr="0099535E" w:rsidRDefault="00B024D9" w:rsidP="00FF1077">
            <w:pPr>
              <w:tabs>
                <w:tab w:val="decimal" w:pos="762"/>
              </w:tabs>
              <w:spacing w:line="276" w:lineRule="auto"/>
              <w:rPr>
                <w:rFonts w:ascii="Arial" w:hAnsi="Arial" w:cs="Arial"/>
                <w:bCs/>
                <w:sz w:val="18"/>
                <w:szCs w:val="18"/>
              </w:rPr>
            </w:pPr>
            <w:r>
              <w:rPr>
                <w:rFonts w:ascii="Arial" w:hAnsi="Arial" w:cs="Arial"/>
                <w:bCs/>
                <w:sz w:val="18"/>
                <w:szCs w:val="18"/>
              </w:rPr>
              <w:t>20,193</w:t>
            </w:r>
            <w:r w:rsidRPr="0099535E">
              <w:rPr>
                <w:rFonts w:ascii="Arial" w:hAnsi="Arial" w:cs="Arial"/>
                <w:bCs/>
                <w:sz w:val="18"/>
                <w:szCs w:val="18"/>
              </w:rPr>
              <w:t>.</w:t>
            </w:r>
            <w:r>
              <w:rPr>
                <w:rFonts w:ascii="Arial" w:hAnsi="Arial" w:cs="Arial"/>
                <w:bCs/>
                <w:sz w:val="18"/>
                <w:szCs w:val="18"/>
              </w:rPr>
              <w:t>1</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3259B20C" w14:textId="77777777" w:rsidR="00B024D9" w:rsidRPr="0099535E" w:rsidRDefault="00B024D9" w:rsidP="00FF1077">
            <w:pPr>
              <w:tabs>
                <w:tab w:val="decimal" w:pos="795"/>
              </w:tabs>
              <w:spacing w:line="276" w:lineRule="auto"/>
              <w:rPr>
                <w:rFonts w:ascii="Arial" w:hAnsi="Arial" w:cs="Arial"/>
                <w:bCs/>
                <w:sz w:val="18"/>
                <w:szCs w:val="18"/>
              </w:rPr>
            </w:pPr>
            <w:r>
              <w:rPr>
                <w:rFonts w:ascii="Arial" w:hAnsi="Arial" w:cs="Arial"/>
                <w:bCs/>
                <w:sz w:val="18"/>
                <w:szCs w:val="18"/>
              </w:rPr>
              <w:t>(-</w:t>
            </w:r>
            <w:proofErr w:type="gramStart"/>
            <w:r>
              <w:rPr>
                <w:rFonts w:ascii="Arial" w:hAnsi="Arial" w:cs="Arial"/>
                <w:bCs/>
                <w:sz w:val="18"/>
                <w:szCs w:val="18"/>
              </w:rPr>
              <w:t>)</w:t>
            </w:r>
            <w:r w:rsidRPr="0099535E">
              <w:rPr>
                <w:rFonts w:ascii="Arial" w:hAnsi="Arial" w:cs="Arial"/>
                <w:bCs/>
                <w:sz w:val="18"/>
                <w:szCs w:val="18"/>
              </w:rPr>
              <w:t xml:space="preserve">  </w:t>
            </w:r>
            <w:r>
              <w:rPr>
                <w:rFonts w:ascii="Arial" w:hAnsi="Arial" w:cs="Arial"/>
                <w:bCs/>
                <w:sz w:val="18"/>
                <w:szCs w:val="18"/>
              </w:rPr>
              <w:t>44</w:t>
            </w:r>
            <w:proofErr w:type="gramEnd"/>
            <w:r w:rsidRPr="0099535E">
              <w:rPr>
                <w:rFonts w:ascii="Arial" w:hAnsi="Arial" w:cs="Arial"/>
                <w:bCs/>
                <w:sz w:val="18"/>
                <w:szCs w:val="18"/>
              </w:rPr>
              <w:t>.</w:t>
            </w:r>
            <w:r>
              <w:rPr>
                <w:rFonts w:ascii="Arial" w:hAnsi="Arial" w:cs="Arial"/>
                <w:bCs/>
                <w:sz w:val="18"/>
                <w:szCs w:val="18"/>
              </w:rPr>
              <w:t>3</w:t>
            </w:r>
          </w:p>
        </w:tc>
        <w:tc>
          <w:tcPr>
            <w:tcW w:w="1458" w:type="dxa"/>
            <w:tcBorders>
              <w:top w:val="nil"/>
              <w:left w:val="single" w:sz="4" w:space="0" w:color="0F243E" w:themeColor="text2" w:themeShade="80"/>
              <w:bottom w:val="nil"/>
              <w:right w:val="single" w:sz="4" w:space="0" w:color="0F243E" w:themeColor="text2" w:themeShade="80"/>
            </w:tcBorders>
          </w:tcPr>
          <w:p w14:paraId="36105299" w14:textId="77777777" w:rsidR="00B024D9" w:rsidRDefault="00B024D9" w:rsidP="00FF1077">
            <w:pPr>
              <w:tabs>
                <w:tab w:val="decimal" w:pos="795"/>
              </w:tabs>
              <w:spacing w:line="276" w:lineRule="auto"/>
              <w:ind w:left="301" w:right="227"/>
              <w:jc w:val="right"/>
              <w:rPr>
                <w:rFonts w:ascii="Arial" w:hAnsi="Arial" w:cs="Arial"/>
                <w:bCs/>
                <w:sz w:val="18"/>
                <w:szCs w:val="18"/>
              </w:rPr>
            </w:pPr>
            <w:r>
              <w:rPr>
                <w:rFonts w:ascii="Arial" w:hAnsi="Arial" w:cs="Arial"/>
                <w:bCs/>
                <w:sz w:val="18"/>
                <w:szCs w:val="18"/>
              </w:rPr>
              <w:t>138,846.6</w:t>
            </w:r>
          </w:p>
        </w:tc>
        <w:tc>
          <w:tcPr>
            <w:tcW w:w="1418" w:type="dxa"/>
            <w:tcBorders>
              <w:top w:val="nil"/>
              <w:left w:val="single" w:sz="4" w:space="0" w:color="0F243E" w:themeColor="text2" w:themeShade="80"/>
              <w:bottom w:val="nil"/>
              <w:right w:val="double" w:sz="4" w:space="0" w:color="0F243E" w:themeColor="text2" w:themeShade="80"/>
            </w:tcBorders>
          </w:tcPr>
          <w:p w14:paraId="2B3D8210" w14:textId="77777777" w:rsidR="00B024D9" w:rsidRDefault="00B024D9" w:rsidP="00FF1077">
            <w:pPr>
              <w:tabs>
                <w:tab w:val="decimal" w:pos="795"/>
              </w:tabs>
              <w:spacing w:line="276" w:lineRule="auto"/>
              <w:ind w:right="454"/>
              <w:jc w:val="right"/>
              <w:rPr>
                <w:rFonts w:ascii="Arial" w:hAnsi="Arial" w:cs="Arial"/>
                <w:bCs/>
                <w:sz w:val="18"/>
                <w:szCs w:val="18"/>
              </w:rPr>
            </w:pPr>
            <w:r>
              <w:rPr>
                <w:rFonts w:ascii="Arial" w:hAnsi="Arial" w:cs="Arial"/>
                <w:bCs/>
                <w:sz w:val="18"/>
                <w:szCs w:val="18"/>
              </w:rPr>
              <w:t>(-) 17.4</w:t>
            </w:r>
          </w:p>
        </w:tc>
      </w:tr>
      <w:tr w:rsidR="00B024D9" w14:paraId="4C4FF607" w14:textId="77777777" w:rsidTr="00FF1077">
        <w:trPr>
          <w:trHeight w:val="200"/>
          <w:jc w:val="center"/>
        </w:trPr>
        <w:tc>
          <w:tcPr>
            <w:tcW w:w="2940" w:type="dxa"/>
            <w:tcBorders>
              <w:top w:val="nil"/>
              <w:left w:val="double" w:sz="4" w:space="0" w:color="003366"/>
              <w:bottom w:val="nil"/>
              <w:right w:val="double" w:sz="4" w:space="0" w:color="003366"/>
            </w:tcBorders>
            <w:hideMark/>
          </w:tcPr>
          <w:p w14:paraId="0AB9AB17" w14:textId="77777777" w:rsidR="00B024D9" w:rsidRDefault="00B024D9" w:rsidP="00FF1077">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Bienes de consumo</w:t>
            </w:r>
          </w:p>
        </w:tc>
        <w:tc>
          <w:tcPr>
            <w:tcW w:w="1195" w:type="dxa"/>
            <w:tcBorders>
              <w:top w:val="nil"/>
              <w:left w:val="double" w:sz="4" w:space="0" w:color="003366"/>
              <w:bottom w:val="nil"/>
              <w:right w:val="single" w:sz="4" w:space="0" w:color="0F243E" w:themeColor="text2" w:themeShade="80"/>
            </w:tcBorders>
            <w:vAlign w:val="bottom"/>
            <w:hideMark/>
          </w:tcPr>
          <w:p w14:paraId="0FE53925" w14:textId="77777777" w:rsidR="00B024D9" w:rsidRPr="0099535E" w:rsidRDefault="00B024D9" w:rsidP="00FF1077">
            <w:pPr>
              <w:tabs>
                <w:tab w:val="decimal" w:pos="762"/>
              </w:tabs>
              <w:spacing w:line="276" w:lineRule="auto"/>
              <w:rPr>
                <w:rFonts w:ascii="Arial" w:hAnsi="Arial" w:cs="Arial"/>
                <w:bCs/>
                <w:sz w:val="18"/>
                <w:szCs w:val="18"/>
              </w:rPr>
            </w:pPr>
            <w:r>
              <w:rPr>
                <w:rFonts w:ascii="Arial" w:hAnsi="Arial" w:cs="Arial"/>
                <w:bCs/>
                <w:sz w:val="18"/>
                <w:szCs w:val="18"/>
              </w:rPr>
              <w:t>2,319.4</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67CE0539" w14:textId="77777777" w:rsidR="00B024D9" w:rsidRPr="0099535E" w:rsidRDefault="00B024D9" w:rsidP="00FF1077">
            <w:pPr>
              <w:tabs>
                <w:tab w:val="decimal" w:pos="795"/>
              </w:tabs>
              <w:spacing w:line="276" w:lineRule="auto"/>
              <w:rPr>
                <w:rFonts w:ascii="Arial" w:hAnsi="Arial" w:cs="Arial"/>
                <w:bCs/>
                <w:sz w:val="18"/>
                <w:szCs w:val="18"/>
              </w:rPr>
            </w:pPr>
            <w:r>
              <w:rPr>
                <w:rFonts w:ascii="Arial" w:hAnsi="Arial" w:cs="Arial"/>
                <w:bCs/>
                <w:sz w:val="18"/>
                <w:szCs w:val="18"/>
              </w:rPr>
              <w:t>(-</w:t>
            </w:r>
            <w:proofErr w:type="gramStart"/>
            <w:r>
              <w:rPr>
                <w:rFonts w:ascii="Arial" w:hAnsi="Arial" w:cs="Arial"/>
                <w:bCs/>
                <w:sz w:val="18"/>
                <w:szCs w:val="18"/>
              </w:rPr>
              <w:t>)</w:t>
            </w:r>
            <w:r w:rsidRPr="0099535E">
              <w:rPr>
                <w:rFonts w:ascii="Arial" w:hAnsi="Arial" w:cs="Arial"/>
                <w:bCs/>
                <w:sz w:val="18"/>
                <w:szCs w:val="18"/>
              </w:rPr>
              <w:t xml:space="preserve">  </w:t>
            </w:r>
            <w:r>
              <w:rPr>
                <w:rFonts w:ascii="Arial" w:hAnsi="Arial" w:cs="Arial"/>
                <w:bCs/>
                <w:sz w:val="18"/>
                <w:szCs w:val="18"/>
              </w:rPr>
              <w:t>55</w:t>
            </w:r>
            <w:proofErr w:type="gramEnd"/>
            <w:r>
              <w:rPr>
                <w:rFonts w:ascii="Arial" w:hAnsi="Arial" w:cs="Arial"/>
                <w:bCs/>
                <w:sz w:val="18"/>
                <w:szCs w:val="18"/>
              </w:rPr>
              <w:t>.8</w:t>
            </w:r>
          </w:p>
        </w:tc>
        <w:tc>
          <w:tcPr>
            <w:tcW w:w="1458" w:type="dxa"/>
            <w:tcBorders>
              <w:top w:val="nil"/>
              <w:left w:val="single" w:sz="4" w:space="0" w:color="0F243E" w:themeColor="text2" w:themeShade="80"/>
              <w:bottom w:val="nil"/>
              <w:right w:val="single" w:sz="4" w:space="0" w:color="0F243E" w:themeColor="text2" w:themeShade="80"/>
            </w:tcBorders>
          </w:tcPr>
          <w:p w14:paraId="65AB522B" w14:textId="77777777" w:rsidR="00B024D9" w:rsidRPr="0099535E" w:rsidRDefault="00B024D9" w:rsidP="00FF1077">
            <w:pPr>
              <w:tabs>
                <w:tab w:val="decimal" w:pos="795"/>
              </w:tabs>
              <w:spacing w:line="276" w:lineRule="auto"/>
              <w:ind w:left="301" w:right="227"/>
              <w:jc w:val="right"/>
              <w:rPr>
                <w:rFonts w:ascii="Arial" w:hAnsi="Arial" w:cs="Arial"/>
                <w:bCs/>
                <w:sz w:val="18"/>
                <w:szCs w:val="18"/>
              </w:rPr>
            </w:pPr>
            <w:r>
              <w:rPr>
                <w:rFonts w:ascii="Arial" w:hAnsi="Arial" w:cs="Arial"/>
                <w:bCs/>
                <w:sz w:val="18"/>
                <w:szCs w:val="18"/>
              </w:rPr>
              <w:t>18,848.6</w:t>
            </w:r>
          </w:p>
        </w:tc>
        <w:tc>
          <w:tcPr>
            <w:tcW w:w="1418" w:type="dxa"/>
            <w:tcBorders>
              <w:top w:val="nil"/>
              <w:left w:val="single" w:sz="4" w:space="0" w:color="0F243E" w:themeColor="text2" w:themeShade="80"/>
              <w:bottom w:val="nil"/>
              <w:right w:val="double" w:sz="4" w:space="0" w:color="0F243E" w:themeColor="text2" w:themeShade="80"/>
            </w:tcBorders>
          </w:tcPr>
          <w:p w14:paraId="787C1C20" w14:textId="77777777" w:rsidR="00B024D9" w:rsidRPr="0099535E" w:rsidRDefault="00B024D9" w:rsidP="00FF1077">
            <w:pPr>
              <w:tabs>
                <w:tab w:val="decimal" w:pos="795"/>
              </w:tabs>
              <w:spacing w:line="276" w:lineRule="auto"/>
              <w:ind w:right="454"/>
              <w:jc w:val="right"/>
              <w:rPr>
                <w:rFonts w:ascii="Arial" w:hAnsi="Arial" w:cs="Arial"/>
                <w:bCs/>
                <w:sz w:val="18"/>
                <w:szCs w:val="18"/>
              </w:rPr>
            </w:pPr>
            <w:r>
              <w:rPr>
                <w:rFonts w:ascii="Arial" w:hAnsi="Arial" w:cs="Arial"/>
                <w:bCs/>
                <w:sz w:val="18"/>
                <w:szCs w:val="18"/>
              </w:rPr>
              <w:t>(-) 22.8</w:t>
            </w:r>
          </w:p>
        </w:tc>
      </w:tr>
      <w:tr w:rsidR="00B024D9" w14:paraId="76DD2509" w14:textId="77777777" w:rsidTr="00FF1077">
        <w:trPr>
          <w:trHeight w:val="200"/>
          <w:jc w:val="center"/>
        </w:trPr>
        <w:tc>
          <w:tcPr>
            <w:tcW w:w="2940" w:type="dxa"/>
            <w:tcBorders>
              <w:top w:val="nil"/>
              <w:left w:val="double" w:sz="4" w:space="0" w:color="003366"/>
              <w:bottom w:val="nil"/>
              <w:right w:val="double" w:sz="4" w:space="0" w:color="003366"/>
            </w:tcBorders>
            <w:hideMark/>
          </w:tcPr>
          <w:p w14:paraId="329E54DE" w14:textId="77777777" w:rsidR="00B024D9" w:rsidRDefault="00B024D9" w:rsidP="00FF1077">
            <w:pPr>
              <w:spacing w:line="276" w:lineRule="auto"/>
              <w:ind w:left="275" w:firstLine="181"/>
              <w:jc w:val="both"/>
              <w:rPr>
                <w:rFonts w:ascii="Arial" w:hAnsi="Arial" w:cs="Arial"/>
                <w:snapToGrid w:val="0"/>
                <w:sz w:val="18"/>
                <w:szCs w:val="18"/>
                <w:lang w:eastAsia="en-US"/>
              </w:rPr>
            </w:pPr>
            <w:r>
              <w:rPr>
                <w:rFonts w:ascii="Arial" w:hAnsi="Arial" w:cs="Arial"/>
                <w:snapToGrid w:val="0"/>
                <w:sz w:val="18"/>
                <w:szCs w:val="18"/>
                <w:lang w:eastAsia="en-US"/>
              </w:rPr>
              <w:t>Petroleras</w:t>
            </w:r>
          </w:p>
        </w:tc>
        <w:tc>
          <w:tcPr>
            <w:tcW w:w="1195" w:type="dxa"/>
            <w:tcBorders>
              <w:top w:val="nil"/>
              <w:left w:val="double" w:sz="4" w:space="0" w:color="003366"/>
              <w:bottom w:val="nil"/>
              <w:right w:val="single" w:sz="4" w:space="0" w:color="0F243E" w:themeColor="text2" w:themeShade="80"/>
            </w:tcBorders>
            <w:vAlign w:val="bottom"/>
            <w:hideMark/>
          </w:tcPr>
          <w:p w14:paraId="7F2A98D1" w14:textId="77777777" w:rsidR="00B024D9" w:rsidRPr="0099535E" w:rsidRDefault="00B024D9" w:rsidP="00FF1077">
            <w:pPr>
              <w:tabs>
                <w:tab w:val="decimal" w:pos="762"/>
              </w:tabs>
              <w:spacing w:line="276" w:lineRule="auto"/>
              <w:rPr>
                <w:rFonts w:ascii="Arial" w:hAnsi="Arial" w:cs="Arial"/>
                <w:bCs/>
                <w:sz w:val="18"/>
                <w:szCs w:val="18"/>
              </w:rPr>
            </w:pPr>
            <w:r>
              <w:rPr>
                <w:rFonts w:ascii="Arial" w:hAnsi="Arial" w:cs="Arial"/>
                <w:bCs/>
                <w:sz w:val="18"/>
                <w:szCs w:val="18"/>
              </w:rPr>
              <w:t>337.3</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203597C4" w14:textId="77777777" w:rsidR="00B024D9" w:rsidRPr="0099535E" w:rsidRDefault="00B024D9" w:rsidP="00FF1077">
            <w:pPr>
              <w:tabs>
                <w:tab w:val="decimal" w:pos="795"/>
              </w:tabs>
              <w:spacing w:line="276" w:lineRule="auto"/>
              <w:rPr>
                <w:rFonts w:ascii="Arial" w:hAnsi="Arial" w:cs="Arial"/>
                <w:bCs/>
                <w:sz w:val="18"/>
                <w:szCs w:val="18"/>
              </w:rPr>
            </w:pPr>
            <w:r>
              <w:rPr>
                <w:rFonts w:ascii="Arial" w:hAnsi="Arial" w:cs="Arial"/>
                <w:bCs/>
                <w:sz w:val="18"/>
                <w:szCs w:val="18"/>
              </w:rPr>
              <w:t>(-</w:t>
            </w:r>
            <w:proofErr w:type="gramStart"/>
            <w:r>
              <w:rPr>
                <w:rFonts w:ascii="Arial" w:hAnsi="Arial" w:cs="Arial"/>
                <w:bCs/>
                <w:sz w:val="18"/>
                <w:szCs w:val="18"/>
              </w:rPr>
              <w:t>)</w:t>
            </w:r>
            <w:r w:rsidRPr="0099535E">
              <w:rPr>
                <w:rFonts w:ascii="Arial" w:hAnsi="Arial" w:cs="Arial"/>
                <w:bCs/>
                <w:sz w:val="18"/>
                <w:szCs w:val="18"/>
              </w:rPr>
              <w:t xml:space="preserve">  </w:t>
            </w:r>
            <w:r>
              <w:rPr>
                <w:rFonts w:ascii="Arial" w:hAnsi="Arial" w:cs="Arial"/>
                <w:bCs/>
                <w:sz w:val="18"/>
                <w:szCs w:val="18"/>
              </w:rPr>
              <w:t>79</w:t>
            </w:r>
            <w:proofErr w:type="gramEnd"/>
            <w:r>
              <w:rPr>
                <w:rFonts w:ascii="Arial" w:hAnsi="Arial" w:cs="Arial"/>
                <w:bCs/>
                <w:sz w:val="18"/>
                <w:szCs w:val="18"/>
              </w:rPr>
              <w:t>.9</w:t>
            </w:r>
          </w:p>
        </w:tc>
        <w:tc>
          <w:tcPr>
            <w:tcW w:w="1458" w:type="dxa"/>
            <w:tcBorders>
              <w:top w:val="nil"/>
              <w:left w:val="single" w:sz="4" w:space="0" w:color="0F243E" w:themeColor="text2" w:themeShade="80"/>
              <w:bottom w:val="nil"/>
              <w:right w:val="single" w:sz="4" w:space="0" w:color="0F243E" w:themeColor="text2" w:themeShade="80"/>
            </w:tcBorders>
          </w:tcPr>
          <w:p w14:paraId="430C0E33" w14:textId="77777777" w:rsidR="00B024D9" w:rsidRPr="0099535E" w:rsidRDefault="00B024D9" w:rsidP="00FF1077">
            <w:pPr>
              <w:tabs>
                <w:tab w:val="decimal" w:pos="795"/>
              </w:tabs>
              <w:spacing w:line="276" w:lineRule="auto"/>
              <w:ind w:left="301" w:right="227"/>
              <w:jc w:val="right"/>
              <w:rPr>
                <w:rFonts w:ascii="Arial" w:hAnsi="Arial" w:cs="Arial"/>
                <w:bCs/>
                <w:sz w:val="18"/>
                <w:szCs w:val="18"/>
              </w:rPr>
            </w:pPr>
            <w:r>
              <w:rPr>
                <w:rFonts w:ascii="Arial" w:hAnsi="Arial" w:cs="Arial"/>
                <w:bCs/>
                <w:sz w:val="18"/>
                <w:szCs w:val="18"/>
              </w:rPr>
              <w:t>5,088.2</w:t>
            </w:r>
          </w:p>
        </w:tc>
        <w:tc>
          <w:tcPr>
            <w:tcW w:w="1418" w:type="dxa"/>
            <w:tcBorders>
              <w:top w:val="nil"/>
              <w:left w:val="single" w:sz="4" w:space="0" w:color="0F243E" w:themeColor="text2" w:themeShade="80"/>
              <w:bottom w:val="nil"/>
              <w:right w:val="double" w:sz="4" w:space="0" w:color="0F243E" w:themeColor="text2" w:themeShade="80"/>
            </w:tcBorders>
          </w:tcPr>
          <w:p w14:paraId="408985C1" w14:textId="77777777" w:rsidR="00B024D9" w:rsidRPr="0099535E" w:rsidRDefault="00B024D9" w:rsidP="00FF1077">
            <w:pPr>
              <w:tabs>
                <w:tab w:val="decimal" w:pos="795"/>
              </w:tabs>
              <w:spacing w:line="276" w:lineRule="auto"/>
              <w:ind w:right="454"/>
              <w:jc w:val="right"/>
              <w:rPr>
                <w:rFonts w:ascii="Arial" w:hAnsi="Arial" w:cs="Arial"/>
                <w:bCs/>
                <w:sz w:val="18"/>
                <w:szCs w:val="18"/>
              </w:rPr>
            </w:pPr>
            <w:r>
              <w:rPr>
                <w:rFonts w:ascii="Arial" w:hAnsi="Arial" w:cs="Arial"/>
                <w:bCs/>
                <w:sz w:val="18"/>
                <w:szCs w:val="18"/>
              </w:rPr>
              <w:t>(-) 29.7</w:t>
            </w:r>
          </w:p>
        </w:tc>
      </w:tr>
      <w:tr w:rsidR="00B024D9" w14:paraId="375351DA" w14:textId="77777777" w:rsidTr="00FF1077">
        <w:trPr>
          <w:trHeight w:val="200"/>
          <w:jc w:val="center"/>
        </w:trPr>
        <w:tc>
          <w:tcPr>
            <w:tcW w:w="2940" w:type="dxa"/>
            <w:tcBorders>
              <w:top w:val="nil"/>
              <w:left w:val="double" w:sz="4" w:space="0" w:color="003366"/>
              <w:bottom w:val="nil"/>
              <w:right w:val="double" w:sz="4" w:space="0" w:color="003366"/>
            </w:tcBorders>
            <w:hideMark/>
          </w:tcPr>
          <w:p w14:paraId="1CE2C800" w14:textId="77777777" w:rsidR="00B024D9" w:rsidRDefault="00B024D9" w:rsidP="00FF1077">
            <w:pPr>
              <w:spacing w:line="276" w:lineRule="auto"/>
              <w:ind w:left="275" w:firstLine="181"/>
              <w:jc w:val="both"/>
              <w:rPr>
                <w:rFonts w:ascii="Arial" w:hAnsi="Arial" w:cs="Arial"/>
                <w:snapToGrid w:val="0"/>
                <w:sz w:val="18"/>
                <w:szCs w:val="18"/>
                <w:lang w:eastAsia="en-US"/>
              </w:rPr>
            </w:pPr>
            <w:r>
              <w:rPr>
                <w:rFonts w:ascii="Arial" w:hAnsi="Arial" w:cs="Arial"/>
                <w:snapToGrid w:val="0"/>
                <w:sz w:val="18"/>
                <w:szCs w:val="18"/>
                <w:lang w:eastAsia="en-US"/>
              </w:rPr>
              <w:t>No petroleras</w:t>
            </w:r>
          </w:p>
        </w:tc>
        <w:tc>
          <w:tcPr>
            <w:tcW w:w="1195" w:type="dxa"/>
            <w:tcBorders>
              <w:top w:val="nil"/>
              <w:left w:val="double" w:sz="4" w:space="0" w:color="003366"/>
              <w:bottom w:val="nil"/>
              <w:right w:val="single" w:sz="4" w:space="0" w:color="0F243E" w:themeColor="text2" w:themeShade="80"/>
            </w:tcBorders>
            <w:vAlign w:val="bottom"/>
            <w:hideMark/>
          </w:tcPr>
          <w:p w14:paraId="431F7A0C" w14:textId="77777777" w:rsidR="00B024D9" w:rsidRPr="0099535E" w:rsidRDefault="00B024D9" w:rsidP="00FF1077">
            <w:pPr>
              <w:tabs>
                <w:tab w:val="decimal" w:pos="762"/>
              </w:tabs>
              <w:spacing w:line="276" w:lineRule="auto"/>
              <w:rPr>
                <w:rFonts w:ascii="Arial" w:hAnsi="Arial" w:cs="Arial"/>
                <w:bCs/>
                <w:sz w:val="18"/>
                <w:szCs w:val="18"/>
              </w:rPr>
            </w:pPr>
            <w:r>
              <w:rPr>
                <w:rFonts w:ascii="Arial" w:hAnsi="Arial" w:cs="Arial"/>
                <w:bCs/>
                <w:sz w:val="18"/>
                <w:szCs w:val="18"/>
              </w:rPr>
              <w:t>1,982</w:t>
            </w:r>
            <w:r w:rsidRPr="0099535E">
              <w:rPr>
                <w:rFonts w:ascii="Arial" w:hAnsi="Arial" w:cs="Arial"/>
                <w:bCs/>
                <w:sz w:val="18"/>
                <w:szCs w:val="18"/>
              </w:rPr>
              <w:t>.</w:t>
            </w:r>
            <w:r>
              <w:rPr>
                <w:rFonts w:ascii="Arial" w:hAnsi="Arial" w:cs="Arial"/>
                <w:bCs/>
                <w:sz w:val="18"/>
                <w:szCs w:val="18"/>
              </w:rPr>
              <w:t>1</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2999F43B" w14:textId="77777777" w:rsidR="00B024D9" w:rsidRPr="0099535E" w:rsidRDefault="00B024D9" w:rsidP="00FF1077">
            <w:pPr>
              <w:tabs>
                <w:tab w:val="decimal" w:pos="795"/>
              </w:tabs>
              <w:spacing w:line="276" w:lineRule="auto"/>
              <w:rPr>
                <w:rFonts w:ascii="Arial" w:hAnsi="Arial" w:cs="Arial"/>
                <w:bCs/>
                <w:sz w:val="18"/>
                <w:szCs w:val="18"/>
              </w:rPr>
            </w:pPr>
            <w:r>
              <w:rPr>
                <w:rFonts w:ascii="Arial" w:hAnsi="Arial" w:cs="Arial"/>
                <w:bCs/>
                <w:sz w:val="18"/>
                <w:szCs w:val="18"/>
              </w:rPr>
              <w:t>(-</w:t>
            </w:r>
            <w:proofErr w:type="gramStart"/>
            <w:r>
              <w:rPr>
                <w:rFonts w:ascii="Arial" w:hAnsi="Arial" w:cs="Arial"/>
                <w:bCs/>
                <w:sz w:val="18"/>
                <w:szCs w:val="18"/>
              </w:rPr>
              <w:t>)</w:t>
            </w:r>
            <w:r w:rsidRPr="0099535E">
              <w:rPr>
                <w:rFonts w:ascii="Arial" w:hAnsi="Arial" w:cs="Arial"/>
                <w:bCs/>
                <w:sz w:val="18"/>
                <w:szCs w:val="18"/>
              </w:rPr>
              <w:t xml:space="preserve">  </w:t>
            </w:r>
            <w:r>
              <w:rPr>
                <w:rFonts w:ascii="Arial" w:hAnsi="Arial" w:cs="Arial"/>
                <w:bCs/>
                <w:sz w:val="18"/>
                <w:szCs w:val="18"/>
              </w:rPr>
              <w:t>44</w:t>
            </w:r>
            <w:proofErr w:type="gramEnd"/>
            <w:r w:rsidRPr="0099535E">
              <w:rPr>
                <w:rFonts w:ascii="Arial" w:hAnsi="Arial" w:cs="Arial"/>
                <w:bCs/>
                <w:sz w:val="18"/>
                <w:szCs w:val="18"/>
              </w:rPr>
              <w:t>.</w:t>
            </w:r>
            <w:r>
              <w:rPr>
                <w:rFonts w:ascii="Arial" w:hAnsi="Arial" w:cs="Arial"/>
                <w:bCs/>
                <w:sz w:val="18"/>
                <w:szCs w:val="18"/>
              </w:rPr>
              <w:t>6</w:t>
            </w:r>
          </w:p>
        </w:tc>
        <w:tc>
          <w:tcPr>
            <w:tcW w:w="1458" w:type="dxa"/>
            <w:tcBorders>
              <w:top w:val="nil"/>
              <w:left w:val="single" w:sz="4" w:space="0" w:color="0F243E" w:themeColor="text2" w:themeShade="80"/>
              <w:bottom w:val="nil"/>
              <w:right w:val="single" w:sz="4" w:space="0" w:color="0F243E" w:themeColor="text2" w:themeShade="80"/>
            </w:tcBorders>
          </w:tcPr>
          <w:p w14:paraId="123B350E" w14:textId="77777777" w:rsidR="00B024D9" w:rsidRDefault="00B024D9" w:rsidP="00FF1077">
            <w:pPr>
              <w:tabs>
                <w:tab w:val="decimal" w:pos="795"/>
              </w:tabs>
              <w:spacing w:line="276" w:lineRule="auto"/>
              <w:ind w:left="301" w:right="227"/>
              <w:jc w:val="right"/>
              <w:rPr>
                <w:rFonts w:ascii="Arial" w:hAnsi="Arial" w:cs="Arial"/>
                <w:bCs/>
                <w:sz w:val="18"/>
                <w:szCs w:val="18"/>
              </w:rPr>
            </w:pPr>
            <w:r>
              <w:rPr>
                <w:rFonts w:ascii="Arial" w:hAnsi="Arial" w:cs="Arial"/>
                <w:bCs/>
                <w:sz w:val="18"/>
                <w:szCs w:val="18"/>
              </w:rPr>
              <w:t>13,760.4</w:t>
            </w:r>
          </w:p>
        </w:tc>
        <w:tc>
          <w:tcPr>
            <w:tcW w:w="1418" w:type="dxa"/>
            <w:tcBorders>
              <w:top w:val="nil"/>
              <w:left w:val="single" w:sz="4" w:space="0" w:color="0F243E" w:themeColor="text2" w:themeShade="80"/>
              <w:bottom w:val="nil"/>
              <w:right w:val="double" w:sz="4" w:space="0" w:color="0F243E" w:themeColor="text2" w:themeShade="80"/>
            </w:tcBorders>
          </w:tcPr>
          <w:p w14:paraId="046F27B7" w14:textId="77777777" w:rsidR="00B024D9" w:rsidRDefault="00B024D9" w:rsidP="00FF1077">
            <w:pPr>
              <w:tabs>
                <w:tab w:val="decimal" w:pos="795"/>
              </w:tabs>
              <w:spacing w:line="276" w:lineRule="auto"/>
              <w:ind w:right="454"/>
              <w:jc w:val="right"/>
              <w:rPr>
                <w:rFonts w:ascii="Arial" w:hAnsi="Arial" w:cs="Arial"/>
                <w:bCs/>
                <w:sz w:val="18"/>
                <w:szCs w:val="18"/>
              </w:rPr>
            </w:pPr>
            <w:r>
              <w:rPr>
                <w:rFonts w:ascii="Arial" w:hAnsi="Arial" w:cs="Arial"/>
                <w:bCs/>
                <w:sz w:val="18"/>
                <w:szCs w:val="18"/>
              </w:rPr>
              <w:t>(-) 19.9</w:t>
            </w:r>
          </w:p>
        </w:tc>
      </w:tr>
      <w:tr w:rsidR="00B024D9" w14:paraId="289D5841" w14:textId="77777777" w:rsidTr="00FF1077">
        <w:trPr>
          <w:trHeight w:val="200"/>
          <w:jc w:val="center"/>
        </w:trPr>
        <w:tc>
          <w:tcPr>
            <w:tcW w:w="2940" w:type="dxa"/>
            <w:tcBorders>
              <w:top w:val="nil"/>
              <w:left w:val="double" w:sz="4" w:space="0" w:color="003366"/>
              <w:bottom w:val="nil"/>
              <w:right w:val="double" w:sz="4" w:space="0" w:color="003366"/>
            </w:tcBorders>
            <w:hideMark/>
          </w:tcPr>
          <w:p w14:paraId="1277DEC8" w14:textId="77777777" w:rsidR="00B024D9" w:rsidRDefault="00B024D9" w:rsidP="00FF1077">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Bienes intermedios</w:t>
            </w:r>
          </w:p>
        </w:tc>
        <w:tc>
          <w:tcPr>
            <w:tcW w:w="1195" w:type="dxa"/>
            <w:tcBorders>
              <w:top w:val="nil"/>
              <w:left w:val="double" w:sz="4" w:space="0" w:color="003366"/>
              <w:bottom w:val="nil"/>
              <w:right w:val="single" w:sz="4" w:space="0" w:color="0F243E" w:themeColor="text2" w:themeShade="80"/>
            </w:tcBorders>
            <w:vAlign w:val="bottom"/>
            <w:hideMark/>
          </w:tcPr>
          <w:p w14:paraId="1BAA562E" w14:textId="77777777" w:rsidR="00B024D9" w:rsidRPr="0099535E" w:rsidRDefault="00B024D9" w:rsidP="00FF1077">
            <w:pPr>
              <w:tabs>
                <w:tab w:val="decimal" w:pos="762"/>
              </w:tabs>
              <w:spacing w:line="276" w:lineRule="auto"/>
              <w:rPr>
                <w:rFonts w:ascii="Arial" w:hAnsi="Arial" w:cs="Arial"/>
                <w:bCs/>
                <w:sz w:val="18"/>
                <w:szCs w:val="18"/>
              </w:rPr>
            </w:pPr>
            <w:r>
              <w:rPr>
                <w:rFonts w:ascii="Arial" w:hAnsi="Arial" w:cs="Arial"/>
                <w:bCs/>
                <w:sz w:val="18"/>
                <w:szCs w:val="18"/>
              </w:rPr>
              <w:t>17,001.7</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70B8ED0A" w14:textId="77777777" w:rsidR="00B024D9" w:rsidRPr="0099535E" w:rsidRDefault="00B024D9" w:rsidP="00FF1077">
            <w:pPr>
              <w:tabs>
                <w:tab w:val="decimal" w:pos="795"/>
              </w:tabs>
              <w:spacing w:line="276" w:lineRule="auto"/>
              <w:rPr>
                <w:rFonts w:ascii="Arial" w:hAnsi="Arial" w:cs="Arial"/>
                <w:bCs/>
                <w:sz w:val="18"/>
                <w:szCs w:val="18"/>
              </w:rPr>
            </w:pPr>
            <w:r w:rsidRPr="0099535E">
              <w:rPr>
                <w:rFonts w:ascii="Arial" w:hAnsi="Arial" w:cs="Arial"/>
                <w:bCs/>
                <w:sz w:val="18"/>
                <w:szCs w:val="18"/>
              </w:rPr>
              <w:t>(-</w:t>
            </w:r>
            <w:proofErr w:type="gramStart"/>
            <w:r w:rsidRPr="0099535E">
              <w:rPr>
                <w:rFonts w:ascii="Arial" w:hAnsi="Arial" w:cs="Arial"/>
                <w:bCs/>
                <w:sz w:val="18"/>
                <w:szCs w:val="18"/>
              </w:rPr>
              <w:t xml:space="preserve">) </w:t>
            </w:r>
            <w:r>
              <w:rPr>
                <w:rFonts w:ascii="Arial" w:hAnsi="Arial" w:cs="Arial"/>
                <w:bCs/>
                <w:sz w:val="18"/>
                <w:szCs w:val="18"/>
              </w:rPr>
              <w:t xml:space="preserve"> 46</w:t>
            </w:r>
            <w:proofErr w:type="gramEnd"/>
            <w:r w:rsidRPr="0099535E">
              <w:rPr>
                <w:rFonts w:ascii="Arial" w:hAnsi="Arial" w:cs="Arial"/>
                <w:bCs/>
                <w:sz w:val="18"/>
                <w:szCs w:val="18"/>
              </w:rPr>
              <w:t>.</w:t>
            </w:r>
            <w:r>
              <w:rPr>
                <w:rFonts w:ascii="Arial" w:hAnsi="Arial" w:cs="Arial"/>
                <w:bCs/>
                <w:sz w:val="18"/>
                <w:szCs w:val="18"/>
              </w:rPr>
              <w:t>7</w:t>
            </w:r>
          </w:p>
        </w:tc>
        <w:tc>
          <w:tcPr>
            <w:tcW w:w="1458" w:type="dxa"/>
            <w:tcBorders>
              <w:top w:val="nil"/>
              <w:left w:val="single" w:sz="4" w:space="0" w:color="0F243E" w:themeColor="text2" w:themeShade="80"/>
              <w:bottom w:val="nil"/>
              <w:right w:val="single" w:sz="4" w:space="0" w:color="0F243E" w:themeColor="text2" w:themeShade="80"/>
            </w:tcBorders>
          </w:tcPr>
          <w:p w14:paraId="016A79AB" w14:textId="77777777" w:rsidR="00B024D9" w:rsidRPr="0099535E" w:rsidRDefault="00B024D9" w:rsidP="00FF1077">
            <w:pPr>
              <w:tabs>
                <w:tab w:val="decimal" w:pos="795"/>
              </w:tabs>
              <w:spacing w:line="276" w:lineRule="auto"/>
              <w:ind w:left="301" w:right="227"/>
              <w:jc w:val="right"/>
              <w:rPr>
                <w:rFonts w:ascii="Arial" w:hAnsi="Arial" w:cs="Arial"/>
                <w:bCs/>
                <w:sz w:val="18"/>
                <w:szCs w:val="18"/>
              </w:rPr>
            </w:pPr>
            <w:r>
              <w:rPr>
                <w:rFonts w:ascii="Arial" w:hAnsi="Arial" w:cs="Arial"/>
                <w:bCs/>
                <w:sz w:val="18"/>
                <w:szCs w:val="18"/>
              </w:rPr>
              <w:t>120,322.7</w:t>
            </w:r>
          </w:p>
        </w:tc>
        <w:tc>
          <w:tcPr>
            <w:tcW w:w="1418" w:type="dxa"/>
            <w:tcBorders>
              <w:top w:val="nil"/>
              <w:left w:val="single" w:sz="4" w:space="0" w:color="0F243E" w:themeColor="text2" w:themeShade="80"/>
              <w:bottom w:val="nil"/>
              <w:right w:val="double" w:sz="4" w:space="0" w:color="0F243E" w:themeColor="text2" w:themeShade="80"/>
            </w:tcBorders>
          </w:tcPr>
          <w:p w14:paraId="6CCA5149" w14:textId="77777777" w:rsidR="00B024D9" w:rsidRPr="0099535E" w:rsidRDefault="00B024D9" w:rsidP="00FF1077">
            <w:pPr>
              <w:tabs>
                <w:tab w:val="decimal" w:pos="795"/>
              </w:tabs>
              <w:spacing w:line="276" w:lineRule="auto"/>
              <w:ind w:right="454"/>
              <w:jc w:val="right"/>
              <w:rPr>
                <w:rFonts w:ascii="Arial" w:hAnsi="Arial" w:cs="Arial"/>
                <w:bCs/>
                <w:sz w:val="18"/>
                <w:szCs w:val="18"/>
              </w:rPr>
            </w:pPr>
            <w:r>
              <w:rPr>
                <w:rFonts w:ascii="Arial" w:hAnsi="Arial" w:cs="Arial"/>
                <w:bCs/>
                <w:sz w:val="18"/>
                <w:szCs w:val="18"/>
              </w:rPr>
              <w:t>(-) 18.1</w:t>
            </w:r>
          </w:p>
        </w:tc>
      </w:tr>
      <w:tr w:rsidR="00B024D9" w14:paraId="12C5BFD8" w14:textId="77777777" w:rsidTr="00FF1077">
        <w:trPr>
          <w:trHeight w:val="200"/>
          <w:jc w:val="center"/>
        </w:trPr>
        <w:tc>
          <w:tcPr>
            <w:tcW w:w="2940" w:type="dxa"/>
            <w:tcBorders>
              <w:top w:val="nil"/>
              <w:left w:val="double" w:sz="4" w:space="0" w:color="003366"/>
              <w:bottom w:val="nil"/>
              <w:right w:val="double" w:sz="4" w:space="0" w:color="003366"/>
            </w:tcBorders>
            <w:hideMark/>
          </w:tcPr>
          <w:p w14:paraId="374F88DC" w14:textId="77777777" w:rsidR="00B024D9" w:rsidRDefault="00B024D9" w:rsidP="00FF1077">
            <w:pPr>
              <w:spacing w:line="276" w:lineRule="auto"/>
              <w:ind w:left="275" w:firstLine="181"/>
              <w:jc w:val="both"/>
              <w:rPr>
                <w:rFonts w:ascii="Arial" w:hAnsi="Arial" w:cs="Arial"/>
                <w:snapToGrid w:val="0"/>
                <w:sz w:val="18"/>
                <w:szCs w:val="18"/>
                <w:lang w:eastAsia="en-US"/>
              </w:rPr>
            </w:pPr>
            <w:r>
              <w:rPr>
                <w:rFonts w:ascii="Arial" w:hAnsi="Arial" w:cs="Arial"/>
                <w:snapToGrid w:val="0"/>
                <w:sz w:val="18"/>
                <w:szCs w:val="18"/>
                <w:lang w:eastAsia="en-US"/>
              </w:rPr>
              <w:t>Petroleras</w:t>
            </w:r>
          </w:p>
        </w:tc>
        <w:tc>
          <w:tcPr>
            <w:tcW w:w="1195" w:type="dxa"/>
            <w:tcBorders>
              <w:top w:val="nil"/>
              <w:left w:val="double" w:sz="4" w:space="0" w:color="003366"/>
              <w:bottom w:val="nil"/>
              <w:right w:val="single" w:sz="4" w:space="0" w:color="0F243E" w:themeColor="text2" w:themeShade="80"/>
            </w:tcBorders>
            <w:vAlign w:val="bottom"/>
            <w:hideMark/>
          </w:tcPr>
          <w:p w14:paraId="01423233" w14:textId="77777777" w:rsidR="00B024D9" w:rsidRPr="0099535E" w:rsidRDefault="00B024D9" w:rsidP="00FF1077">
            <w:pPr>
              <w:tabs>
                <w:tab w:val="decimal" w:pos="762"/>
              </w:tabs>
              <w:spacing w:line="276" w:lineRule="auto"/>
              <w:rPr>
                <w:rFonts w:ascii="Arial" w:hAnsi="Arial" w:cs="Arial"/>
                <w:bCs/>
                <w:sz w:val="18"/>
                <w:szCs w:val="18"/>
              </w:rPr>
            </w:pPr>
            <w:r>
              <w:rPr>
                <w:rFonts w:ascii="Arial" w:hAnsi="Arial" w:cs="Arial"/>
                <w:bCs/>
                <w:sz w:val="18"/>
                <w:szCs w:val="18"/>
              </w:rPr>
              <w:t>1,062.1</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638C6C92" w14:textId="77777777" w:rsidR="00B024D9" w:rsidRPr="0099535E" w:rsidRDefault="00B024D9" w:rsidP="00FF1077">
            <w:pPr>
              <w:tabs>
                <w:tab w:val="decimal" w:pos="795"/>
              </w:tabs>
              <w:spacing w:line="276" w:lineRule="auto"/>
              <w:rPr>
                <w:rFonts w:ascii="Arial" w:hAnsi="Arial" w:cs="Arial"/>
                <w:bCs/>
                <w:sz w:val="18"/>
                <w:szCs w:val="18"/>
              </w:rPr>
            </w:pPr>
            <w:r w:rsidRPr="0099535E">
              <w:rPr>
                <w:rFonts w:ascii="Arial" w:hAnsi="Arial" w:cs="Arial"/>
                <w:bCs/>
                <w:sz w:val="18"/>
                <w:szCs w:val="18"/>
              </w:rPr>
              <w:t xml:space="preserve"> (-</w:t>
            </w:r>
            <w:proofErr w:type="gramStart"/>
            <w:r w:rsidRPr="0099535E">
              <w:rPr>
                <w:rFonts w:ascii="Arial" w:hAnsi="Arial" w:cs="Arial"/>
                <w:bCs/>
                <w:sz w:val="18"/>
                <w:szCs w:val="18"/>
              </w:rPr>
              <w:t xml:space="preserve">)  </w:t>
            </w:r>
            <w:r>
              <w:rPr>
                <w:rFonts w:ascii="Arial" w:hAnsi="Arial" w:cs="Arial"/>
                <w:bCs/>
                <w:sz w:val="18"/>
                <w:szCs w:val="18"/>
              </w:rPr>
              <w:t>63</w:t>
            </w:r>
            <w:proofErr w:type="gramEnd"/>
            <w:r w:rsidRPr="0099535E">
              <w:rPr>
                <w:rFonts w:ascii="Arial" w:hAnsi="Arial" w:cs="Arial"/>
                <w:bCs/>
                <w:sz w:val="18"/>
                <w:szCs w:val="18"/>
              </w:rPr>
              <w:t>.</w:t>
            </w:r>
            <w:r>
              <w:rPr>
                <w:rFonts w:ascii="Arial" w:hAnsi="Arial" w:cs="Arial"/>
                <w:bCs/>
                <w:sz w:val="18"/>
                <w:szCs w:val="18"/>
              </w:rPr>
              <w:t>3</w:t>
            </w:r>
          </w:p>
        </w:tc>
        <w:tc>
          <w:tcPr>
            <w:tcW w:w="1458" w:type="dxa"/>
            <w:tcBorders>
              <w:top w:val="nil"/>
              <w:left w:val="single" w:sz="4" w:space="0" w:color="0F243E" w:themeColor="text2" w:themeShade="80"/>
              <w:bottom w:val="nil"/>
              <w:right w:val="single" w:sz="4" w:space="0" w:color="0F243E" w:themeColor="text2" w:themeShade="80"/>
            </w:tcBorders>
          </w:tcPr>
          <w:p w14:paraId="1D2E1707" w14:textId="77777777" w:rsidR="00B024D9" w:rsidRPr="0099535E" w:rsidRDefault="00B024D9" w:rsidP="00FF1077">
            <w:pPr>
              <w:tabs>
                <w:tab w:val="decimal" w:pos="795"/>
              </w:tabs>
              <w:spacing w:line="276" w:lineRule="auto"/>
              <w:ind w:left="301" w:right="227"/>
              <w:jc w:val="right"/>
              <w:rPr>
                <w:rFonts w:ascii="Arial" w:hAnsi="Arial" w:cs="Arial"/>
                <w:bCs/>
                <w:sz w:val="18"/>
                <w:szCs w:val="18"/>
              </w:rPr>
            </w:pPr>
            <w:r>
              <w:rPr>
                <w:rFonts w:ascii="Arial" w:hAnsi="Arial" w:cs="Arial"/>
                <w:bCs/>
                <w:sz w:val="18"/>
                <w:szCs w:val="18"/>
              </w:rPr>
              <w:t>8,929.6</w:t>
            </w:r>
          </w:p>
        </w:tc>
        <w:tc>
          <w:tcPr>
            <w:tcW w:w="1418" w:type="dxa"/>
            <w:tcBorders>
              <w:top w:val="nil"/>
              <w:left w:val="single" w:sz="4" w:space="0" w:color="0F243E" w:themeColor="text2" w:themeShade="80"/>
              <w:bottom w:val="nil"/>
              <w:right w:val="double" w:sz="4" w:space="0" w:color="0F243E" w:themeColor="text2" w:themeShade="80"/>
            </w:tcBorders>
          </w:tcPr>
          <w:p w14:paraId="0C361B66" w14:textId="77777777" w:rsidR="00B024D9" w:rsidRPr="0099535E" w:rsidRDefault="00B024D9" w:rsidP="00FF1077">
            <w:pPr>
              <w:tabs>
                <w:tab w:val="decimal" w:pos="795"/>
              </w:tabs>
              <w:spacing w:line="276" w:lineRule="auto"/>
              <w:ind w:right="454"/>
              <w:jc w:val="right"/>
              <w:rPr>
                <w:rFonts w:ascii="Arial" w:hAnsi="Arial" w:cs="Arial"/>
                <w:bCs/>
                <w:sz w:val="18"/>
                <w:szCs w:val="18"/>
              </w:rPr>
            </w:pPr>
            <w:r>
              <w:rPr>
                <w:rFonts w:ascii="Arial" w:hAnsi="Arial" w:cs="Arial"/>
                <w:bCs/>
                <w:sz w:val="18"/>
                <w:szCs w:val="18"/>
              </w:rPr>
              <w:t>(-) 33.4</w:t>
            </w:r>
          </w:p>
        </w:tc>
      </w:tr>
      <w:tr w:rsidR="00B024D9" w14:paraId="53855095" w14:textId="77777777" w:rsidTr="00FF1077">
        <w:trPr>
          <w:trHeight w:val="200"/>
          <w:jc w:val="center"/>
        </w:trPr>
        <w:tc>
          <w:tcPr>
            <w:tcW w:w="2940" w:type="dxa"/>
            <w:tcBorders>
              <w:top w:val="nil"/>
              <w:left w:val="double" w:sz="4" w:space="0" w:color="003366"/>
              <w:bottom w:val="nil"/>
              <w:right w:val="double" w:sz="4" w:space="0" w:color="003366"/>
            </w:tcBorders>
            <w:hideMark/>
          </w:tcPr>
          <w:p w14:paraId="475D8641" w14:textId="77777777" w:rsidR="00B024D9" w:rsidRDefault="00B024D9" w:rsidP="00FF1077">
            <w:pPr>
              <w:spacing w:line="276" w:lineRule="auto"/>
              <w:ind w:left="275" w:firstLine="181"/>
              <w:jc w:val="both"/>
              <w:rPr>
                <w:rFonts w:ascii="Arial" w:hAnsi="Arial" w:cs="Arial"/>
                <w:snapToGrid w:val="0"/>
                <w:sz w:val="18"/>
                <w:szCs w:val="18"/>
                <w:lang w:eastAsia="en-US"/>
              </w:rPr>
            </w:pPr>
            <w:r>
              <w:rPr>
                <w:rFonts w:ascii="Arial" w:hAnsi="Arial" w:cs="Arial"/>
                <w:snapToGrid w:val="0"/>
                <w:sz w:val="18"/>
                <w:szCs w:val="18"/>
                <w:lang w:eastAsia="en-US"/>
              </w:rPr>
              <w:t>No petroleras</w:t>
            </w:r>
          </w:p>
        </w:tc>
        <w:tc>
          <w:tcPr>
            <w:tcW w:w="1195" w:type="dxa"/>
            <w:tcBorders>
              <w:top w:val="nil"/>
              <w:left w:val="double" w:sz="4" w:space="0" w:color="003366"/>
              <w:bottom w:val="nil"/>
              <w:right w:val="single" w:sz="4" w:space="0" w:color="0F243E" w:themeColor="text2" w:themeShade="80"/>
            </w:tcBorders>
            <w:vAlign w:val="bottom"/>
            <w:hideMark/>
          </w:tcPr>
          <w:p w14:paraId="69F43BB6" w14:textId="77777777" w:rsidR="00B024D9" w:rsidRPr="0099535E" w:rsidRDefault="00B024D9" w:rsidP="00FF1077">
            <w:pPr>
              <w:tabs>
                <w:tab w:val="decimal" w:pos="762"/>
              </w:tabs>
              <w:spacing w:line="276" w:lineRule="auto"/>
              <w:rPr>
                <w:rFonts w:ascii="Arial" w:hAnsi="Arial" w:cs="Arial"/>
                <w:bCs/>
                <w:sz w:val="18"/>
                <w:szCs w:val="18"/>
              </w:rPr>
            </w:pPr>
            <w:r>
              <w:rPr>
                <w:rFonts w:ascii="Arial" w:hAnsi="Arial" w:cs="Arial"/>
                <w:bCs/>
                <w:sz w:val="18"/>
                <w:szCs w:val="18"/>
              </w:rPr>
              <w:t>15,939.7</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59A395A0" w14:textId="77777777" w:rsidR="00B024D9" w:rsidRPr="0099535E" w:rsidRDefault="00B024D9" w:rsidP="00FF1077">
            <w:pPr>
              <w:tabs>
                <w:tab w:val="decimal" w:pos="795"/>
              </w:tabs>
              <w:spacing w:line="276" w:lineRule="auto"/>
              <w:rPr>
                <w:rFonts w:ascii="Arial" w:hAnsi="Arial" w:cs="Arial"/>
                <w:bCs/>
                <w:sz w:val="18"/>
                <w:szCs w:val="18"/>
              </w:rPr>
            </w:pPr>
            <w:r>
              <w:rPr>
                <w:rFonts w:ascii="Arial" w:hAnsi="Arial" w:cs="Arial"/>
                <w:bCs/>
                <w:sz w:val="18"/>
                <w:szCs w:val="18"/>
              </w:rPr>
              <w:t>(-</w:t>
            </w:r>
            <w:proofErr w:type="gramStart"/>
            <w:r>
              <w:rPr>
                <w:rFonts w:ascii="Arial" w:hAnsi="Arial" w:cs="Arial"/>
                <w:bCs/>
                <w:sz w:val="18"/>
                <w:szCs w:val="18"/>
              </w:rPr>
              <w:t>)</w:t>
            </w:r>
            <w:r w:rsidRPr="0099535E">
              <w:rPr>
                <w:rFonts w:ascii="Arial" w:hAnsi="Arial" w:cs="Arial"/>
                <w:bCs/>
                <w:sz w:val="18"/>
                <w:szCs w:val="18"/>
              </w:rPr>
              <w:t xml:space="preserve">  </w:t>
            </w:r>
            <w:r>
              <w:rPr>
                <w:rFonts w:ascii="Arial" w:hAnsi="Arial" w:cs="Arial"/>
                <w:bCs/>
                <w:sz w:val="18"/>
                <w:szCs w:val="18"/>
              </w:rPr>
              <w:t>45</w:t>
            </w:r>
            <w:proofErr w:type="gramEnd"/>
            <w:r w:rsidRPr="0099535E">
              <w:rPr>
                <w:rFonts w:ascii="Arial" w:hAnsi="Arial" w:cs="Arial"/>
                <w:bCs/>
                <w:sz w:val="18"/>
                <w:szCs w:val="18"/>
              </w:rPr>
              <w:t>.</w:t>
            </w:r>
            <w:r>
              <w:rPr>
                <w:rFonts w:ascii="Arial" w:hAnsi="Arial" w:cs="Arial"/>
                <w:bCs/>
                <w:sz w:val="18"/>
                <w:szCs w:val="18"/>
              </w:rPr>
              <w:t>0</w:t>
            </w:r>
          </w:p>
        </w:tc>
        <w:tc>
          <w:tcPr>
            <w:tcW w:w="1458" w:type="dxa"/>
            <w:tcBorders>
              <w:top w:val="nil"/>
              <w:left w:val="single" w:sz="4" w:space="0" w:color="0F243E" w:themeColor="text2" w:themeShade="80"/>
              <w:bottom w:val="nil"/>
              <w:right w:val="single" w:sz="4" w:space="0" w:color="0F243E" w:themeColor="text2" w:themeShade="80"/>
            </w:tcBorders>
          </w:tcPr>
          <w:p w14:paraId="73AFF32A" w14:textId="77777777" w:rsidR="00B024D9" w:rsidRDefault="00B024D9" w:rsidP="00FF1077">
            <w:pPr>
              <w:tabs>
                <w:tab w:val="decimal" w:pos="795"/>
              </w:tabs>
              <w:spacing w:line="276" w:lineRule="auto"/>
              <w:ind w:left="301" w:right="227"/>
              <w:jc w:val="right"/>
              <w:rPr>
                <w:rFonts w:ascii="Arial" w:hAnsi="Arial" w:cs="Arial"/>
                <w:bCs/>
                <w:sz w:val="18"/>
                <w:szCs w:val="18"/>
              </w:rPr>
            </w:pPr>
            <w:r>
              <w:rPr>
                <w:rFonts w:ascii="Arial" w:hAnsi="Arial" w:cs="Arial"/>
                <w:bCs/>
                <w:sz w:val="18"/>
                <w:szCs w:val="18"/>
              </w:rPr>
              <w:t>111,393.1</w:t>
            </w:r>
          </w:p>
        </w:tc>
        <w:tc>
          <w:tcPr>
            <w:tcW w:w="1418" w:type="dxa"/>
            <w:tcBorders>
              <w:top w:val="nil"/>
              <w:left w:val="single" w:sz="4" w:space="0" w:color="0F243E" w:themeColor="text2" w:themeShade="80"/>
              <w:bottom w:val="nil"/>
              <w:right w:val="double" w:sz="4" w:space="0" w:color="0F243E" w:themeColor="text2" w:themeShade="80"/>
            </w:tcBorders>
          </w:tcPr>
          <w:p w14:paraId="40107C82" w14:textId="77777777" w:rsidR="00B024D9" w:rsidRDefault="00B024D9" w:rsidP="00FF1077">
            <w:pPr>
              <w:tabs>
                <w:tab w:val="decimal" w:pos="795"/>
              </w:tabs>
              <w:spacing w:line="276" w:lineRule="auto"/>
              <w:ind w:right="454"/>
              <w:jc w:val="right"/>
              <w:rPr>
                <w:rFonts w:ascii="Arial" w:hAnsi="Arial" w:cs="Arial"/>
                <w:bCs/>
                <w:sz w:val="18"/>
                <w:szCs w:val="18"/>
              </w:rPr>
            </w:pPr>
            <w:r>
              <w:rPr>
                <w:rFonts w:ascii="Arial" w:hAnsi="Arial" w:cs="Arial"/>
                <w:bCs/>
                <w:sz w:val="18"/>
                <w:szCs w:val="18"/>
              </w:rPr>
              <w:t>(-) 16.5</w:t>
            </w:r>
          </w:p>
        </w:tc>
      </w:tr>
      <w:tr w:rsidR="00B024D9" w14:paraId="66B730EC" w14:textId="77777777" w:rsidTr="00FF1077">
        <w:trPr>
          <w:trHeight w:val="200"/>
          <w:jc w:val="center"/>
        </w:trPr>
        <w:tc>
          <w:tcPr>
            <w:tcW w:w="2940" w:type="dxa"/>
            <w:tcBorders>
              <w:top w:val="nil"/>
              <w:left w:val="double" w:sz="4" w:space="0" w:color="003366"/>
              <w:bottom w:val="nil"/>
              <w:right w:val="double" w:sz="4" w:space="0" w:color="003366"/>
            </w:tcBorders>
            <w:hideMark/>
          </w:tcPr>
          <w:p w14:paraId="3C71374D" w14:textId="77777777" w:rsidR="00B024D9" w:rsidRDefault="00B024D9" w:rsidP="00FF1077">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Bienes de capital</w:t>
            </w:r>
          </w:p>
        </w:tc>
        <w:tc>
          <w:tcPr>
            <w:tcW w:w="1195" w:type="dxa"/>
            <w:tcBorders>
              <w:top w:val="nil"/>
              <w:left w:val="double" w:sz="4" w:space="0" w:color="003366"/>
              <w:bottom w:val="nil"/>
              <w:right w:val="single" w:sz="4" w:space="0" w:color="0F243E" w:themeColor="text2" w:themeShade="80"/>
            </w:tcBorders>
            <w:vAlign w:val="bottom"/>
            <w:hideMark/>
          </w:tcPr>
          <w:p w14:paraId="5E635046" w14:textId="77777777" w:rsidR="00B024D9" w:rsidRPr="0099535E" w:rsidRDefault="00B024D9" w:rsidP="00FF1077">
            <w:pPr>
              <w:tabs>
                <w:tab w:val="decimal" w:pos="762"/>
              </w:tabs>
              <w:spacing w:line="276" w:lineRule="auto"/>
              <w:rPr>
                <w:rFonts w:ascii="Arial" w:hAnsi="Arial" w:cs="Arial"/>
                <w:bCs/>
                <w:sz w:val="18"/>
                <w:szCs w:val="18"/>
              </w:rPr>
            </w:pPr>
            <w:r>
              <w:rPr>
                <w:rFonts w:ascii="Arial" w:hAnsi="Arial" w:cs="Arial"/>
                <w:bCs/>
                <w:sz w:val="18"/>
                <w:szCs w:val="18"/>
              </w:rPr>
              <w:t>2</w:t>
            </w:r>
            <w:r w:rsidRPr="0099535E">
              <w:rPr>
                <w:rFonts w:ascii="Arial" w:hAnsi="Arial" w:cs="Arial"/>
                <w:bCs/>
                <w:sz w:val="18"/>
                <w:szCs w:val="18"/>
              </w:rPr>
              <w:t>,</w:t>
            </w:r>
            <w:r>
              <w:rPr>
                <w:rFonts w:ascii="Arial" w:hAnsi="Arial" w:cs="Arial"/>
                <w:bCs/>
                <w:sz w:val="18"/>
                <w:szCs w:val="18"/>
              </w:rPr>
              <w:t>271.3</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230B7C53" w14:textId="77777777" w:rsidR="00B024D9" w:rsidRPr="0099535E" w:rsidRDefault="00B024D9" w:rsidP="00FF1077">
            <w:pPr>
              <w:tabs>
                <w:tab w:val="decimal" w:pos="795"/>
              </w:tabs>
              <w:spacing w:line="276" w:lineRule="auto"/>
              <w:rPr>
                <w:rFonts w:ascii="Arial" w:hAnsi="Arial" w:cs="Arial"/>
                <w:bCs/>
                <w:sz w:val="18"/>
                <w:szCs w:val="18"/>
              </w:rPr>
            </w:pPr>
            <w:r w:rsidRPr="0099535E">
              <w:rPr>
                <w:rFonts w:ascii="Arial" w:hAnsi="Arial" w:cs="Arial"/>
                <w:bCs/>
                <w:sz w:val="18"/>
                <w:szCs w:val="18"/>
              </w:rPr>
              <w:t>(-</w:t>
            </w:r>
            <w:proofErr w:type="gramStart"/>
            <w:r w:rsidRPr="0099535E">
              <w:rPr>
                <w:rFonts w:ascii="Arial" w:hAnsi="Arial" w:cs="Arial"/>
                <w:bCs/>
                <w:sz w:val="18"/>
                <w:szCs w:val="18"/>
              </w:rPr>
              <w:t xml:space="preserve">)  </w:t>
            </w:r>
            <w:r>
              <w:rPr>
                <w:rFonts w:ascii="Arial" w:hAnsi="Arial" w:cs="Arial"/>
                <w:bCs/>
                <w:sz w:val="18"/>
                <w:szCs w:val="18"/>
              </w:rPr>
              <w:t>38</w:t>
            </w:r>
            <w:proofErr w:type="gramEnd"/>
            <w:r>
              <w:rPr>
                <w:rFonts w:ascii="Arial" w:hAnsi="Arial" w:cs="Arial"/>
                <w:bCs/>
                <w:sz w:val="18"/>
                <w:szCs w:val="18"/>
              </w:rPr>
              <w:t>.3</w:t>
            </w:r>
          </w:p>
        </w:tc>
        <w:tc>
          <w:tcPr>
            <w:tcW w:w="1458" w:type="dxa"/>
            <w:tcBorders>
              <w:top w:val="nil"/>
              <w:left w:val="single" w:sz="4" w:space="0" w:color="0F243E" w:themeColor="text2" w:themeShade="80"/>
              <w:bottom w:val="nil"/>
              <w:right w:val="single" w:sz="4" w:space="0" w:color="0F243E" w:themeColor="text2" w:themeShade="80"/>
            </w:tcBorders>
          </w:tcPr>
          <w:p w14:paraId="0AAD4F67" w14:textId="77777777" w:rsidR="00B024D9" w:rsidRPr="0099535E" w:rsidRDefault="00B024D9" w:rsidP="00FF1077">
            <w:pPr>
              <w:tabs>
                <w:tab w:val="decimal" w:pos="795"/>
              </w:tabs>
              <w:spacing w:line="276" w:lineRule="auto"/>
              <w:ind w:left="301" w:right="227"/>
              <w:jc w:val="right"/>
              <w:rPr>
                <w:rFonts w:ascii="Arial" w:hAnsi="Arial" w:cs="Arial"/>
                <w:bCs/>
                <w:sz w:val="18"/>
                <w:szCs w:val="18"/>
              </w:rPr>
            </w:pPr>
            <w:r>
              <w:rPr>
                <w:rFonts w:ascii="Arial" w:hAnsi="Arial" w:cs="Arial"/>
                <w:bCs/>
                <w:sz w:val="18"/>
                <w:szCs w:val="18"/>
              </w:rPr>
              <w:t>13,693.1</w:t>
            </w:r>
          </w:p>
        </w:tc>
        <w:tc>
          <w:tcPr>
            <w:tcW w:w="1418" w:type="dxa"/>
            <w:tcBorders>
              <w:top w:val="nil"/>
              <w:left w:val="single" w:sz="4" w:space="0" w:color="0F243E" w:themeColor="text2" w:themeShade="80"/>
              <w:bottom w:val="nil"/>
              <w:right w:val="double" w:sz="4" w:space="0" w:color="0F243E" w:themeColor="text2" w:themeShade="80"/>
            </w:tcBorders>
          </w:tcPr>
          <w:p w14:paraId="35CBCE54" w14:textId="77777777" w:rsidR="00B024D9" w:rsidRPr="0099535E" w:rsidRDefault="00B024D9" w:rsidP="00FF1077">
            <w:pPr>
              <w:tabs>
                <w:tab w:val="decimal" w:pos="795"/>
              </w:tabs>
              <w:spacing w:line="276" w:lineRule="auto"/>
              <w:ind w:right="454"/>
              <w:jc w:val="right"/>
              <w:rPr>
                <w:rFonts w:ascii="Arial" w:hAnsi="Arial" w:cs="Arial"/>
                <w:bCs/>
                <w:sz w:val="18"/>
                <w:szCs w:val="18"/>
              </w:rPr>
            </w:pPr>
            <w:r>
              <w:rPr>
                <w:rFonts w:ascii="Arial" w:hAnsi="Arial" w:cs="Arial"/>
                <w:bCs/>
                <w:sz w:val="18"/>
                <w:szCs w:val="18"/>
              </w:rPr>
              <w:t>(-) 21.7</w:t>
            </w:r>
          </w:p>
        </w:tc>
      </w:tr>
      <w:tr w:rsidR="00B024D9" w14:paraId="2CFB2AF6" w14:textId="77777777" w:rsidTr="00FF1077">
        <w:trPr>
          <w:trHeight w:val="200"/>
          <w:jc w:val="center"/>
        </w:trPr>
        <w:tc>
          <w:tcPr>
            <w:tcW w:w="2940" w:type="dxa"/>
            <w:tcBorders>
              <w:top w:val="nil"/>
              <w:left w:val="double" w:sz="4" w:space="0" w:color="003366"/>
              <w:bottom w:val="double" w:sz="4" w:space="0" w:color="003366"/>
              <w:right w:val="double" w:sz="4" w:space="0" w:color="003366"/>
            </w:tcBorders>
            <w:hideMark/>
          </w:tcPr>
          <w:p w14:paraId="1CDCC7B8" w14:textId="77777777" w:rsidR="00B024D9" w:rsidRDefault="00B024D9" w:rsidP="00FF1077">
            <w:pPr>
              <w:tabs>
                <w:tab w:val="right" w:pos="2862"/>
              </w:tabs>
              <w:spacing w:before="20" w:after="20" w:line="276" w:lineRule="auto"/>
              <w:ind w:firstLine="181"/>
              <w:rPr>
                <w:rFonts w:ascii="Arial" w:hAnsi="Arial" w:cs="Arial"/>
                <w:b/>
                <w:snapToGrid w:val="0"/>
                <w:sz w:val="18"/>
                <w:szCs w:val="18"/>
                <w:u w:val="single"/>
                <w:lang w:eastAsia="en-US"/>
              </w:rPr>
            </w:pPr>
            <w:r>
              <w:rPr>
                <w:rFonts w:ascii="Arial" w:hAnsi="Arial" w:cs="Arial"/>
                <w:b/>
                <w:snapToGrid w:val="0"/>
                <w:sz w:val="18"/>
                <w:szCs w:val="18"/>
                <w:u w:val="single"/>
                <w:lang w:eastAsia="en-US"/>
              </w:rPr>
              <w:t>Saldo de la Balanza Comercial</w:t>
            </w:r>
          </w:p>
        </w:tc>
        <w:tc>
          <w:tcPr>
            <w:tcW w:w="1195" w:type="dxa"/>
            <w:tcBorders>
              <w:top w:val="nil"/>
              <w:left w:val="double" w:sz="4" w:space="0" w:color="003366"/>
              <w:bottom w:val="double" w:sz="4" w:space="0" w:color="003366"/>
              <w:right w:val="single" w:sz="4" w:space="0" w:color="0F243E" w:themeColor="text2" w:themeShade="80"/>
            </w:tcBorders>
            <w:vAlign w:val="center"/>
            <w:hideMark/>
          </w:tcPr>
          <w:p w14:paraId="5CE6AC98" w14:textId="77777777" w:rsidR="00B024D9" w:rsidRPr="0099535E" w:rsidRDefault="00B024D9" w:rsidP="00FF1077">
            <w:pPr>
              <w:tabs>
                <w:tab w:val="decimal" w:pos="762"/>
              </w:tabs>
              <w:spacing w:before="20" w:after="20" w:line="276" w:lineRule="auto"/>
              <w:rPr>
                <w:rFonts w:ascii="Arial" w:hAnsi="Arial" w:cs="Arial"/>
                <w:b/>
                <w:bCs/>
                <w:sz w:val="18"/>
                <w:szCs w:val="18"/>
                <w:u w:val="single"/>
              </w:rPr>
            </w:pPr>
            <w:r>
              <w:rPr>
                <w:rFonts w:ascii="Arial" w:hAnsi="Arial" w:cs="Arial"/>
                <w:b/>
                <w:bCs/>
                <w:sz w:val="18"/>
                <w:szCs w:val="18"/>
              </w:rPr>
              <w:t xml:space="preserve">(-) </w:t>
            </w:r>
            <w:r>
              <w:rPr>
                <w:rFonts w:ascii="Arial" w:hAnsi="Arial" w:cs="Arial"/>
                <w:b/>
                <w:bCs/>
                <w:sz w:val="18"/>
                <w:szCs w:val="18"/>
                <w:u w:val="single"/>
              </w:rPr>
              <w:t>3,522.6</w:t>
            </w:r>
          </w:p>
        </w:tc>
        <w:tc>
          <w:tcPr>
            <w:tcW w:w="1196" w:type="dxa"/>
            <w:tcBorders>
              <w:top w:val="nil"/>
              <w:left w:val="single" w:sz="4" w:space="0" w:color="0F243E" w:themeColor="text2" w:themeShade="80"/>
              <w:bottom w:val="double" w:sz="4" w:space="0" w:color="003366"/>
              <w:right w:val="double" w:sz="4" w:space="0" w:color="0F243E" w:themeColor="text2" w:themeShade="80"/>
            </w:tcBorders>
            <w:vAlign w:val="center"/>
          </w:tcPr>
          <w:p w14:paraId="18781964" w14:textId="77777777" w:rsidR="00B024D9" w:rsidRPr="00FD6092" w:rsidRDefault="00B024D9" w:rsidP="00FF1077">
            <w:pPr>
              <w:tabs>
                <w:tab w:val="left" w:pos="192"/>
                <w:tab w:val="decimal" w:pos="795"/>
              </w:tabs>
              <w:spacing w:before="20" w:after="20" w:line="276" w:lineRule="auto"/>
              <w:rPr>
                <w:rFonts w:ascii="Arial" w:hAnsi="Arial" w:cs="Arial"/>
                <w:bCs/>
                <w:sz w:val="18"/>
                <w:szCs w:val="18"/>
                <w:u w:val="single"/>
              </w:rPr>
            </w:pPr>
            <w:r w:rsidRPr="0099535E">
              <w:rPr>
                <w:rFonts w:ascii="Arial" w:hAnsi="Arial" w:cs="Arial"/>
                <w:b/>
                <w:bCs/>
                <w:sz w:val="18"/>
                <w:szCs w:val="18"/>
              </w:rPr>
              <w:t xml:space="preserve">   </w:t>
            </w:r>
            <w:r>
              <w:rPr>
                <w:rFonts w:ascii="Arial" w:hAnsi="Arial" w:cs="Arial"/>
                <w:b/>
                <w:bCs/>
                <w:sz w:val="18"/>
                <w:szCs w:val="18"/>
              </w:rPr>
              <w:t xml:space="preserve"> </w:t>
            </w:r>
            <w:r w:rsidRPr="0099535E">
              <w:rPr>
                <w:rFonts w:ascii="Arial" w:hAnsi="Arial" w:cs="Arial"/>
                <w:b/>
                <w:bCs/>
                <w:sz w:val="18"/>
                <w:szCs w:val="18"/>
              </w:rPr>
              <w:t xml:space="preserve"> </w:t>
            </w:r>
            <w:r>
              <w:rPr>
                <w:rFonts w:ascii="Arial" w:hAnsi="Arial" w:cs="Arial"/>
                <w:b/>
                <w:bCs/>
                <w:sz w:val="18"/>
                <w:szCs w:val="18"/>
              </w:rPr>
              <w:t xml:space="preserve">      </w:t>
            </w:r>
            <w:r>
              <w:rPr>
                <w:rFonts w:ascii="Arial" w:hAnsi="Arial" w:cs="Arial"/>
                <w:b/>
                <w:bCs/>
                <w:sz w:val="18"/>
                <w:szCs w:val="18"/>
                <w:u w:val="single"/>
              </w:rPr>
              <w:t>S.S.</w:t>
            </w:r>
          </w:p>
        </w:tc>
        <w:tc>
          <w:tcPr>
            <w:tcW w:w="1458" w:type="dxa"/>
            <w:tcBorders>
              <w:top w:val="nil"/>
              <w:left w:val="single" w:sz="4" w:space="0" w:color="0F243E" w:themeColor="text2" w:themeShade="80"/>
              <w:bottom w:val="double" w:sz="4" w:space="0" w:color="003366"/>
              <w:right w:val="single" w:sz="4" w:space="0" w:color="0F243E" w:themeColor="text2" w:themeShade="80"/>
            </w:tcBorders>
          </w:tcPr>
          <w:p w14:paraId="5272C075" w14:textId="77777777" w:rsidR="00B024D9" w:rsidRPr="00FD6092" w:rsidRDefault="00B024D9" w:rsidP="00FF1077">
            <w:pPr>
              <w:tabs>
                <w:tab w:val="left" w:pos="192"/>
                <w:tab w:val="decimal" w:pos="795"/>
              </w:tabs>
              <w:spacing w:before="20" w:after="20" w:line="276" w:lineRule="auto"/>
              <w:ind w:left="301" w:right="227"/>
              <w:jc w:val="right"/>
              <w:rPr>
                <w:rFonts w:ascii="Arial" w:hAnsi="Arial" w:cs="Arial"/>
                <w:b/>
                <w:bCs/>
                <w:sz w:val="18"/>
                <w:szCs w:val="18"/>
                <w:u w:val="single"/>
              </w:rPr>
            </w:pPr>
            <w:r>
              <w:rPr>
                <w:rFonts w:ascii="Arial" w:hAnsi="Arial" w:cs="Arial"/>
                <w:b/>
                <w:bCs/>
                <w:sz w:val="18"/>
                <w:szCs w:val="18"/>
              </w:rPr>
              <w:t xml:space="preserve">(-) </w:t>
            </w:r>
            <w:r w:rsidRPr="00AF5775">
              <w:rPr>
                <w:rFonts w:ascii="Arial" w:hAnsi="Arial" w:cs="Arial"/>
                <w:b/>
                <w:bCs/>
                <w:sz w:val="18"/>
                <w:szCs w:val="18"/>
                <w:u w:val="single"/>
              </w:rPr>
              <w:t>2,</w:t>
            </w:r>
            <w:r>
              <w:rPr>
                <w:rFonts w:ascii="Arial" w:hAnsi="Arial" w:cs="Arial"/>
                <w:b/>
                <w:bCs/>
                <w:sz w:val="18"/>
                <w:szCs w:val="18"/>
                <w:u w:val="single"/>
              </w:rPr>
              <w:t>887.6</w:t>
            </w:r>
          </w:p>
        </w:tc>
        <w:tc>
          <w:tcPr>
            <w:tcW w:w="1418" w:type="dxa"/>
            <w:tcBorders>
              <w:top w:val="nil"/>
              <w:left w:val="single" w:sz="4" w:space="0" w:color="0F243E" w:themeColor="text2" w:themeShade="80"/>
              <w:bottom w:val="double" w:sz="4" w:space="0" w:color="003366"/>
              <w:right w:val="double" w:sz="4" w:space="0" w:color="0F243E" w:themeColor="text2" w:themeShade="80"/>
            </w:tcBorders>
          </w:tcPr>
          <w:p w14:paraId="174E2C03" w14:textId="77777777" w:rsidR="00B024D9" w:rsidRPr="00FD6092" w:rsidRDefault="00B024D9" w:rsidP="00FF1077">
            <w:pPr>
              <w:tabs>
                <w:tab w:val="left" w:pos="192"/>
                <w:tab w:val="decimal" w:pos="795"/>
              </w:tabs>
              <w:spacing w:before="20" w:after="20" w:line="276" w:lineRule="auto"/>
              <w:ind w:right="454"/>
              <w:jc w:val="right"/>
              <w:rPr>
                <w:rFonts w:ascii="Arial" w:hAnsi="Arial" w:cs="Arial"/>
                <w:b/>
                <w:bCs/>
                <w:sz w:val="18"/>
                <w:szCs w:val="18"/>
                <w:u w:val="single"/>
              </w:rPr>
            </w:pPr>
            <w:r w:rsidRPr="00FE1A9D">
              <w:rPr>
                <w:rFonts w:ascii="Arial" w:hAnsi="Arial" w:cs="Arial"/>
                <w:b/>
                <w:bCs/>
                <w:sz w:val="18"/>
                <w:szCs w:val="18"/>
              </w:rPr>
              <w:t xml:space="preserve">   </w:t>
            </w:r>
            <w:r>
              <w:rPr>
                <w:rFonts w:ascii="Arial" w:hAnsi="Arial" w:cs="Arial"/>
                <w:b/>
                <w:bCs/>
                <w:sz w:val="18"/>
                <w:szCs w:val="18"/>
                <w:u w:val="single"/>
              </w:rPr>
              <w:t>S.S.</w:t>
            </w:r>
          </w:p>
        </w:tc>
      </w:tr>
    </w:tbl>
    <w:p w14:paraId="3AABD7DD" w14:textId="77777777" w:rsidR="00B024D9" w:rsidRDefault="00B024D9" w:rsidP="00B024D9">
      <w:pPr>
        <w:pStyle w:val="p01"/>
        <w:keepNext/>
        <w:widowControl/>
        <w:spacing w:before="0"/>
        <w:ind w:left="-142"/>
        <w:rPr>
          <w:rFonts w:ascii="Arial" w:hAnsi="Arial" w:cs="Arial"/>
          <w:color w:val="auto"/>
          <w:sz w:val="16"/>
          <w:szCs w:val="16"/>
        </w:rPr>
      </w:pPr>
      <w:r>
        <w:rPr>
          <w:rFonts w:ascii="Arial" w:hAnsi="Arial" w:cs="Arial"/>
          <w:color w:val="auto"/>
          <w:sz w:val="16"/>
          <w:szCs w:val="16"/>
        </w:rPr>
        <w:t xml:space="preserve">            Nota: </w:t>
      </w:r>
      <w:r w:rsidRPr="0073085B">
        <w:rPr>
          <w:rFonts w:ascii="Arial" w:hAnsi="Arial" w:cs="Arial"/>
          <w:color w:val="auto"/>
          <w:sz w:val="16"/>
          <w:szCs w:val="16"/>
        </w:rPr>
        <w:t>Debido al redondeo, las sumas de los parciales</w:t>
      </w:r>
      <w:r>
        <w:rPr>
          <w:rFonts w:ascii="Arial" w:hAnsi="Arial" w:cs="Arial"/>
          <w:sz w:val="16"/>
          <w:szCs w:val="16"/>
        </w:rPr>
        <w:t xml:space="preserve"> </w:t>
      </w:r>
      <w:r w:rsidRPr="007A66E8">
        <w:rPr>
          <w:rFonts w:ascii="Arial" w:hAnsi="Arial" w:cs="Arial"/>
          <w:color w:val="auto"/>
          <w:sz w:val="16"/>
          <w:szCs w:val="16"/>
        </w:rPr>
        <w:t>pueden no coincidir con los totales.</w:t>
      </w:r>
    </w:p>
    <w:p w14:paraId="6D851179" w14:textId="77777777" w:rsidR="00B024D9" w:rsidRDefault="00B024D9" w:rsidP="00B024D9">
      <w:pPr>
        <w:pStyle w:val="p0"/>
        <w:keepLines w:val="0"/>
        <w:tabs>
          <w:tab w:val="left" w:pos="1260"/>
        </w:tabs>
        <w:spacing w:before="20"/>
        <w:jc w:val="left"/>
        <w:rPr>
          <w:rFonts w:ascii="Arial" w:hAnsi="Arial" w:cs="Arial"/>
          <w:color w:val="auto"/>
          <w:sz w:val="16"/>
          <w:szCs w:val="16"/>
        </w:rPr>
      </w:pPr>
      <w:r>
        <w:rPr>
          <w:rFonts w:ascii="Arial" w:hAnsi="Arial" w:cs="Arial"/>
          <w:color w:val="auto"/>
          <w:sz w:val="16"/>
          <w:szCs w:val="16"/>
        </w:rPr>
        <w:t xml:space="preserve">        * </w:t>
      </w:r>
      <w:r w:rsidRPr="007A66E8">
        <w:rPr>
          <w:rFonts w:ascii="Arial" w:hAnsi="Arial" w:cs="Arial"/>
          <w:color w:val="auto"/>
          <w:sz w:val="16"/>
          <w:szCs w:val="16"/>
        </w:rPr>
        <w:t>Cifras oportunas.</w:t>
      </w:r>
    </w:p>
    <w:p w14:paraId="24FC4725" w14:textId="77777777" w:rsidR="00B024D9" w:rsidRDefault="00B024D9" w:rsidP="00B024D9">
      <w:pPr>
        <w:pStyle w:val="p0"/>
        <w:keepLines w:val="0"/>
        <w:tabs>
          <w:tab w:val="left" w:pos="1260"/>
        </w:tabs>
        <w:spacing w:before="20"/>
        <w:ind w:left="-142"/>
        <w:jc w:val="left"/>
        <w:rPr>
          <w:rFonts w:ascii="Arial" w:hAnsi="Arial" w:cs="Arial"/>
          <w:color w:val="auto"/>
          <w:sz w:val="16"/>
          <w:szCs w:val="16"/>
        </w:rPr>
      </w:pPr>
      <w:r>
        <w:rPr>
          <w:rFonts w:ascii="Arial" w:hAnsi="Arial" w:cs="Arial"/>
          <w:color w:val="auto"/>
          <w:sz w:val="16"/>
          <w:szCs w:val="16"/>
        </w:rPr>
        <w:t xml:space="preserve">           S.S. Sin Significado.</w:t>
      </w:r>
    </w:p>
    <w:p w14:paraId="7D421767" w14:textId="77777777" w:rsidR="00B024D9" w:rsidRDefault="00B024D9" w:rsidP="00B024D9">
      <w:pPr>
        <w:pStyle w:val="p0"/>
        <w:keepLines w:val="0"/>
        <w:tabs>
          <w:tab w:val="left" w:pos="1260"/>
        </w:tabs>
        <w:spacing w:before="20"/>
        <w:jc w:val="left"/>
        <w:rPr>
          <w:rFonts w:ascii="Arial" w:hAnsi="Arial" w:cs="Arial"/>
          <w:color w:val="auto"/>
          <w:sz w:val="16"/>
          <w:szCs w:val="16"/>
        </w:rPr>
      </w:pPr>
      <w:r>
        <w:rPr>
          <w:rFonts w:ascii="Arial" w:hAnsi="Arial" w:cs="Arial"/>
          <w:color w:val="auto"/>
          <w:sz w:val="16"/>
          <w:szCs w:val="16"/>
        </w:rPr>
        <w:tab/>
      </w:r>
    </w:p>
    <w:p w14:paraId="6B88B6C3" w14:textId="77777777" w:rsidR="00B024D9" w:rsidRDefault="00B024D9" w:rsidP="00B024D9">
      <w:pPr>
        <w:pStyle w:val="p01"/>
        <w:keepNext/>
        <w:widowControl/>
        <w:spacing w:before="0"/>
        <w:ind w:left="2127" w:hanging="1560"/>
        <w:rPr>
          <w:rFonts w:ascii="Arial" w:hAnsi="Arial" w:cs="Arial"/>
          <w:color w:val="auto"/>
          <w:sz w:val="16"/>
          <w:szCs w:val="16"/>
        </w:rPr>
      </w:pPr>
    </w:p>
    <w:p w14:paraId="76D849DA" w14:textId="77777777" w:rsidR="00B024D9" w:rsidRDefault="00B024D9" w:rsidP="00B024D9">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ab/>
      </w:r>
    </w:p>
    <w:p w14:paraId="62962981" w14:textId="77777777" w:rsidR="00B024D9" w:rsidRDefault="00B024D9" w:rsidP="00B024D9">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ab/>
      </w:r>
      <w:r w:rsidRPr="009F77A0">
        <w:rPr>
          <w:rFonts w:ascii="Arial" w:hAnsi="Arial" w:cs="Arial"/>
          <w:b/>
          <w:color w:val="000000"/>
          <w:szCs w:val="24"/>
        </w:rPr>
        <w:t>Se anexa Nota Técnica</w:t>
      </w:r>
    </w:p>
    <w:p w14:paraId="35C316B3" w14:textId="77777777" w:rsidR="00B024D9" w:rsidRPr="00FF186F" w:rsidRDefault="00B024D9" w:rsidP="00B024D9">
      <w:pPr>
        <w:pStyle w:val="p0"/>
      </w:pPr>
    </w:p>
    <w:p w14:paraId="184AACE4" w14:textId="77777777" w:rsidR="00B024D9" w:rsidRDefault="00B024D9" w:rsidP="00B024D9">
      <w:pPr>
        <w:pStyle w:val="NormalWeb"/>
        <w:spacing w:before="0" w:beforeAutospacing="0" w:after="0" w:afterAutospacing="0"/>
        <w:ind w:left="-426" w:right="-518"/>
        <w:contextualSpacing/>
        <w:jc w:val="center"/>
        <w:rPr>
          <w:rFonts w:ascii="Arial" w:hAnsi="Arial" w:cs="Arial"/>
          <w:sz w:val="20"/>
          <w:szCs w:val="20"/>
        </w:rPr>
      </w:pPr>
    </w:p>
    <w:p w14:paraId="03D774D5" w14:textId="77777777" w:rsidR="00B024D9" w:rsidRDefault="00B024D9" w:rsidP="00B024D9">
      <w:pPr>
        <w:pStyle w:val="NormalWeb"/>
        <w:spacing w:before="0" w:beforeAutospacing="0" w:after="0" w:afterAutospacing="0"/>
        <w:ind w:left="-426" w:right="-518"/>
        <w:contextualSpacing/>
        <w:jc w:val="center"/>
        <w:rPr>
          <w:rFonts w:ascii="Arial" w:hAnsi="Arial" w:cs="Arial"/>
          <w:sz w:val="20"/>
          <w:szCs w:val="20"/>
        </w:rPr>
      </w:pPr>
    </w:p>
    <w:p w14:paraId="7BA9C639" w14:textId="77777777" w:rsidR="00B024D9" w:rsidRPr="00A75D20" w:rsidRDefault="00B024D9" w:rsidP="00B024D9">
      <w:pPr>
        <w:pStyle w:val="NormalWeb"/>
        <w:spacing w:before="0" w:beforeAutospacing="0" w:after="0" w:afterAutospacing="0"/>
        <w:ind w:left="-426" w:right="-518"/>
        <w:contextualSpacing/>
        <w:jc w:val="center"/>
        <w:rPr>
          <w:rFonts w:ascii="Arial" w:hAnsi="Arial" w:cs="Arial"/>
          <w:sz w:val="22"/>
          <w:szCs w:val="22"/>
        </w:rPr>
      </w:pPr>
      <w:r w:rsidRPr="00A75D20">
        <w:rPr>
          <w:rFonts w:ascii="Arial" w:hAnsi="Arial" w:cs="Arial"/>
          <w:sz w:val="22"/>
          <w:szCs w:val="22"/>
        </w:rPr>
        <w:t xml:space="preserve">Para consultas de medios y periodistas, contactar a: </w:t>
      </w:r>
      <w:hyperlink r:id="rId8" w:history="1">
        <w:r w:rsidRPr="00A75D20">
          <w:rPr>
            <w:rStyle w:val="Hipervnculo"/>
            <w:rFonts w:ascii="Arial" w:hAnsi="Arial" w:cs="Arial"/>
            <w:sz w:val="22"/>
            <w:szCs w:val="22"/>
          </w:rPr>
          <w:t>comunicacionsocial@inegi.org.mx</w:t>
        </w:r>
      </w:hyperlink>
      <w:r w:rsidRPr="00A75D20">
        <w:rPr>
          <w:rFonts w:ascii="Arial" w:hAnsi="Arial" w:cs="Arial"/>
          <w:sz w:val="22"/>
          <w:szCs w:val="22"/>
        </w:rPr>
        <w:t xml:space="preserve"> </w:t>
      </w:r>
    </w:p>
    <w:p w14:paraId="3B267769" w14:textId="77777777" w:rsidR="00B024D9" w:rsidRPr="00A75D20" w:rsidRDefault="00B024D9" w:rsidP="00B024D9">
      <w:pPr>
        <w:pStyle w:val="NormalWeb"/>
        <w:spacing w:before="0" w:beforeAutospacing="0" w:after="0" w:afterAutospacing="0"/>
        <w:ind w:left="-426" w:right="-518"/>
        <w:contextualSpacing/>
        <w:jc w:val="center"/>
        <w:rPr>
          <w:rFonts w:ascii="Arial" w:hAnsi="Arial" w:cs="Arial"/>
          <w:sz w:val="22"/>
          <w:szCs w:val="22"/>
        </w:rPr>
      </w:pPr>
      <w:r w:rsidRPr="00A75D20">
        <w:rPr>
          <w:rFonts w:ascii="Arial" w:hAnsi="Arial" w:cs="Arial"/>
          <w:sz w:val="22"/>
          <w:szCs w:val="22"/>
        </w:rPr>
        <w:t xml:space="preserve">o llamar al teléfono (55) 52-78-10-00, </w:t>
      </w:r>
      <w:proofErr w:type="spellStart"/>
      <w:r w:rsidRPr="00A75D20">
        <w:rPr>
          <w:rFonts w:ascii="Arial" w:hAnsi="Arial" w:cs="Arial"/>
          <w:sz w:val="22"/>
          <w:szCs w:val="22"/>
        </w:rPr>
        <w:t>exts</w:t>
      </w:r>
      <w:proofErr w:type="spellEnd"/>
      <w:r w:rsidRPr="00A75D20">
        <w:rPr>
          <w:rFonts w:ascii="Arial" w:hAnsi="Arial" w:cs="Arial"/>
          <w:sz w:val="22"/>
          <w:szCs w:val="22"/>
        </w:rPr>
        <w:t>. 1134, 1260 y 1241.</w:t>
      </w:r>
    </w:p>
    <w:p w14:paraId="4DBFD6FA" w14:textId="77777777" w:rsidR="00B024D9" w:rsidRPr="00A75D20" w:rsidRDefault="00B024D9" w:rsidP="00B024D9">
      <w:pPr>
        <w:ind w:left="-426" w:right="-518"/>
        <w:contextualSpacing/>
        <w:jc w:val="center"/>
        <w:rPr>
          <w:rFonts w:ascii="Arial" w:hAnsi="Arial" w:cs="Arial"/>
          <w:sz w:val="22"/>
          <w:szCs w:val="22"/>
        </w:rPr>
      </w:pPr>
    </w:p>
    <w:p w14:paraId="53A71ADF" w14:textId="77777777" w:rsidR="00B024D9" w:rsidRPr="00A75D20" w:rsidRDefault="00B024D9" w:rsidP="00B024D9">
      <w:pPr>
        <w:ind w:left="-426" w:right="-518"/>
        <w:contextualSpacing/>
        <w:jc w:val="center"/>
        <w:rPr>
          <w:rFonts w:ascii="Arial" w:hAnsi="Arial" w:cs="Arial"/>
          <w:sz w:val="22"/>
          <w:szCs w:val="22"/>
        </w:rPr>
      </w:pPr>
      <w:r w:rsidRPr="00A75D20">
        <w:rPr>
          <w:rFonts w:ascii="Arial" w:hAnsi="Arial" w:cs="Arial"/>
          <w:sz w:val="22"/>
          <w:szCs w:val="22"/>
        </w:rPr>
        <w:t xml:space="preserve">Dirección de Atención a Medios / Dirección General Adjunta de Comunicación </w:t>
      </w:r>
    </w:p>
    <w:p w14:paraId="4CBEC5FC" w14:textId="77777777" w:rsidR="00B024D9" w:rsidRPr="00FF186F" w:rsidRDefault="00B024D9" w:rsidP="00B024D9">
      <w:pPr>
        <w:ind w:left="-426" w:right="-518"/>
        <w:contextualSpacing/>
        <w:jc w:val="center"/>
        <w:rPr>
          <w:sz w:val="22"/>
          <w:szCs w:val="22"/>
        </w:rPr>
      </w:pPr>
    </w:p>
    <w:p w14:paraId="4DBE40BE" w14:textId="77777777" w:rsidR="00B024D9" w:rsidRPr="008F0992" w:rsidRDefault="00B024D9" w:rsidP="00B024D9">
      <w:pPr>
        <w:ind w:left="-425" w:right="-516"/>
        <w:contextualSpacing/>
        <w:jc w:val="center"/>
        <w:rPr>
          <w:noProof/>
          <w:lang w:eastAsia="es-MX"/>
        </w:rPr>
      </w:pPr>
      <w:r w:rsidRPr="008F0992">
        <w:rPr>
          <w:noProof/>
          <w:lang w:val="es-MX" w:eastAsia="es-MX"/>
        </w:rPr>
        <w:drawing>
          <wp:inline distT="0" distB="0" distL="0" distR="0" wp14:anchorId="74A5A2BB" wp14:editId="1160E5C2">
            <wp:extent cx="318472" cy="322419"/>
            <wp:effectExtent l="0" t="0" r="5715" b="1905"/>
            <wp:docPr id="2" name="Imagen 2"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8390" cy="332460"/>
                    </a:xfrm>
                    <a:prstGeom prst="rect">
                      <a:avLst/>
                    </a:prstGeom>
                    <a:noFill/>
                    <a:ln>
                      <a:noFill/>
                    </a:ln>
                  </pic:spPr>
                </pic:pic>
              </a:graphicData>
            </a:graphic>
          </wp:inline>
        </w:drawing>
      </w:r>
      <w:r>
        <w:rPr>
          <w:noProof/>
          <w:lang w:eastAsia="es-MX"/>
        </w:rPr>
        <w:t xml:space="preserve"> </w:t>
      </w:r>
      <w:r w:rsidRPr="008F0992">
        <w:rPr>
          <w:noProof/>
          <w:lang w:val="es-MX" w:eastAsia="es-MX"/>
        </w:rPr>
        <w:drawing>
          <wp:inline distT="0" distB="0" distL="0" distR="0" wp14:anchorId="4D5B06D6" wp14:editId="382224E5">
            <wp:extent cx="327704" cy="325467"/>
            <wp:effectExtent l="0" t="0" r="0" b="0"/>
            <wp:docPr id="4" name="Imagen 4"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3660" cy="440632"/>
                    </a:xfrm>
                    <a:prstGeom prst="rect">
                      <a:avLst/>
                    </a:prstGeom>
                    <a:noFill/>
                    <a:ln>
                      <a:noFill/>
                    </a:ln>
                  </pic:spPr>
                </pic:pic>
              </a:graphicData>
            </a:graphic>
          </wp:inline>
        </w:drawing>
      </w:r>
      <w:r>
        <w:rPr>
          <w:noProof/>
          <w:lang w:eastAsia="es-MX"/>
        </w:rPr>
        <w:t xml:space="preserve"> </w:t>
      </w:r>
      <w:r w:rsidRPr="008F0992">
        <w:rPr>
          <w:noProof/>
          <w:lang w:val="es-MX" w:eastAsia="es-MX"/>
        </w:rPr>
        <w:drawing>
          <wp:inline distT="0" distB="0" distL="0" distR="0" wp14:anchorId="10EE4747" wp14:editId="2031195B">
            <wp:extent cx="321276" cy="324093"/>
            <wp:effectExtent l="0" t="0" r="3175" b="0"/>
            <wp:docPr id="5" name="Imagen 5"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2052" cy="334964"/>
                    </a:xfrm>
                    <a:prstGeom prst="rect">
                      <a:avLst/>
                    </a:prstGeom>
                    <a:noFill/>
                    <a:ln>
                      <a:noFill/>
                    </a:ln>
                  </pic:spPr>
                </pic:pic>
              </a:graphicData>
            </a:graphic>
          </wp:inline>
        </w:drawing>
      </w:r>
      <w:r>
        <w:rPr>
          <w:noProof/>
          <w:lang w:eastAsia="es-MX"/>
        </w:rPr>
        <w:t xml:space="preserve"> </w:t>
      </w:r>
      <w:r w:rsidRPr="008F0992">
        <w:rPr>
          <w:noProof/>
          <w:lang w:val="es-MX" w:eastAsia="es-MX"/>
        </w:rPr>
        <w:drawing>
          <wp:inline distT="0" distB="0" distL="0" distR="0" wp14:anchorId="16A67222" wp14:editId="0A752D10">
            <wp:extent cx="321276" cy="326574"/>
            <wp:effectExtent l="0" t="0" r="3175" b="0"/>
            <wp:docPr id="30" name="Imagen 30"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0702" cy="376816"/>
                    </a:xfrm>
                    <a:prstGeom prst="rect">
                      <a:avLst/>
                    </a:prstGeom>
                    <a:noFill/>
                    <a:ln>
                      <a:noFill/>
                    </a:ln>
                  </pic:spPr>
                </pic:pic>
              </a:graphicData>
            </a:graphic>
          </wp:inline>
        </w:drawing>
      </w:r>
      <w:r>
        <w:rPr>
          <w:noProof/>
          <w:lang w:eastAsia="es-MX"/>
        </w:rPr>
        <w:t xml:space="preserve">  </w:t>
      </w:r>
      <w:r w:rsidRPr="008F0992">
        <w:rPr>
          <w:noProof/>
          <w:sz w:val="14"/>
          <w:szCs w:val="18"/>
          <w:lang w:val="es-MX" w:eastAsia="es-MX"/>
        </w:rPr>
        <w:drawing>
          <wp:inline distT="0" distB="0" distL="0" distR="0" wp14:anchorId="4C4E86D1" wp14:editId="7B96EF1E">
            <wp:extent cx="2323070" cy="319707"/>
            <wp:effectExtent l="0" t="0" r="1270" b="4445"/>
            <wp:docPr id="38" name="Imagen 3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93623" cy="356941"/>
                    </a:xfrm>
                    <a:prstGeom prst="rect">
                      <a:avLst/>
                    </a:prstGeom>
                    <a:noFill/>
                    <a:ln>
                      <a:noFill/>
                    </a:ln>
                  </pic:spPr>
                </pic:pic>
              </a:graphicData>
            </a:graphic>
          </wp:inline>
        </w:drawing>
      </w:r>
    </w:p>
    <w:p w14:paraId="16C69DF4" w14:textId="77777777" w:rsidR="00B024D9" w:rsidRPr="00157C43" w:rsidRDefault="00B024D9" w:rsidP="00B024D9">
      <w:pPr>
        <w:pStyle w:val="bullet"/>
        <w:numPr>
          <w:ilvl w:val="0"/>
          <w:numId w:val="0"/>
        </w:numPr>
        <w:tabs>
          <w:tab w:val="left" w:pos="8789"/>
        </w:tabs>
        <w:spacing w:before="0"/>
        <w:ind w:right="51"/>
        <w:jc w:val="center"/>
        <w:rPr>
          <w:rFonts w:cs="Arial"/>
          <w:szCs w:val="24"/>
        </w:rPr>
        <w:sectPr w:rsidR="00B024D9" w:rsidRPr="00157C43" w:rsidSect="00274BEE">
          <w:headerReference w:type="even" r:id="rId19"/>
          <w:headerReference w:type="default" r:id="rId20"/>
          <w:footerReference w:type="even" r:id="rId21"/>
          <w:footerReference w:type="default" r:id="rId22"/>
          <w:headerReference w:type="first" r:id="rId23"/>
          <w:footerReference w:type="first" r:id="rId24"/>
          <w:pgSz w:w="12240" w:h="15840" w:code="1"/>
          <w:pgMar w:top="238" w:right="1701" w:bottom="244" w:left="1588" w:header="510" w:footer="510" w:gutter="0"/>
          <w:paperSrc w:first="14"/>
          <w:cols w:space="720"/>
          <w:docGrid w:linePitch="272"/>
        </w:sectPr>
      </w:pPr>
    </w:p>
    <w:p w14:paraId="5CA666D1" w14:textId="77777777" w:rsidR="00B024D9" w:rsidRDefault="00B024D9" w:rsidP="00E203DE">
      <w:pPr>
        <w:pStyle w:val="Ttulo2"/>
        <w:keepNext w:val="0"/>
        <w:widowControl w:val="0"/>
        <w:spacing w:before="100" w:beforeAutospacing="1"/>
        <w:contextualSpacing/>
        <w:jc w:val="center"/>
        <w:rPr>
          <w:b/>
          <w:color w:val="000000" w:themeColor="text1"/>
          <w:sz w:val="28"/>
          <w:szCs w:val="28"/>
        </w:rPr>
      </w:pPr>
      <w:r w:rsidRPr="00115549">
        <w:rPr>
          <w:b/>
          <w:color w:val="000000" w:themeColor="text1"/>
          <w:sz w:val="28"/>
          <w:szCs w:val="28"/>
        </w:rPr>
        <w:lastRenderedPageBreak/>
        <w:t>NOTA TÉCNICA</w:t>
      </w:r>
    </w:p>
    <w:p w14:paraId="139EACD4" w14:textId="1276F446" w:rsidR="00757DAD" w:rsidRPr="00E203DE" w:rsidRDefault="00757DAD" w:rsidP="00E203DE">
      <w:pPr>
        <w:pStyle w:val="Ttulo2"/>
        <w:keepNext w:val="0"/>
        <w:widowControl w:val="0"/>
        <w:jc w:val="center"/>
        <w:rPr>
          <w:b/>
          <w:sz w:val="28"/>
          <w:szCs w:val="28"/>
        </w:rPr>
      </w:pPr>
      <w:r w:rsidRPr="00E203DE">
        <w:rPr>
          <w:b/>
          <w:sz w:val="28"/>
          <w:szCs w:val="28"/>
        </w:rPr>
        <w:t>INFORMACI</w:t>
      </w:r>
      <w:r w:rsidR="00EE1110" w:rsidRPr="00E203DE">
        <w:rPr>
          <w:b/>
          <w:sz w:val="28"/>
          <w:szCs w:val="28"/>
        </w:rPr>
        <w:t>Ó</w:t>
      </w:r>
      <w:r w:rsidRPr="00E203DE">
        <w:rPr>
          <w:b/>
          <w:sz w:val="28"/>
          <w:szCs w:val="28"/>
        </w:rPr>
        <w:t xml:space="preserve">N OPORTUNA SOBRE </w:t>
      </w:r>
      <w:r w:rsidR="008129A8" w:rsidRPr="00E203DE">
        <w:rPr>
          <w:b/>
          <w:sz w:val="28"/>
          <w:szCs w:val="28"/>
        </w:rPr>
        <w:t>LA BALANZA COMERCIAL DE MERCANCÍAS DE MÉXICO</w:t>
      </w:r>
      <w:r w:rsidR="002C15E2" w:rsidRPr="00E203DE">
        <w:rPr>
          <w:b/>
          <w:sz w:val="28"/>
          <w:szCs w:val="28"/>
        </w:rPr>
        <w:t xml:space="preserve"> D</w:t>
      </w:r>
      <w:r w:rsidRPr="00E203DE">
        <w:rPr>
          <w:b/>
          <w:sz w:val="28"/>
          <w:szCs w:val="28"/>
        </w:rPr>
        <w:t xml:space="preserve">URANTE </w:t>
      </w:r>
      <w:r w:rsidR="00812AF2" w:rsidRPr="00E203DE">
        <w:rPr>
          <w:b/>
          <w:sz w:val="28"/>
          <w:szCs w:val="28"/>
        </w:rPr>
        <w:t>MAYO</w:t>
      </w:r>
      <w:r w:rsidR="00F8687D" w:rsidRPr="00E203DE">
        <w:rPr>
          <w:b/>
          <w:sz w:val="28"/>
          <w:szCs w:val="28"/>
        </w:rPr>
        <w:t xml:space="preserve"> </w:t>
      </w:r>
      <w:r w:rsidRPr="00E203DE">
        <w:rPr>
          <w:b/>
          <w:sz w:val="28"/>
          <w:szCs w:val="28"/>
        </w:rPr>
        <w:t>DE 20</w:t>
      </w:r>
      <w:r w:rsidR="008415A7" w:rsidRPr="00E203DE">
        <w:rPr>
          <w:b/>
          <w:sz w:val="28"/>
          <w:szCs w:val="28"/>
        </w:rPr>
        <w:t>20</w:t>
      </w:r>
    </w:p>
    <w:p w14:paraId="5E8C89E8" w14:textId="1EA15948" w:rsidR="00B729CE" w:rsidRDefault="00B729CE">
      <w:pPr>
        <w:rPr>
          <w:rFonts w:ascii="Arial" w:hAnsi="Arial" w:cs="Arial"/>
          <w:b/>
          <w:sz w:val="21"/>
          <w:szCs w:val="21"/>
          <w:lang w:val="es-ES_tradnl"/>
        </w:rPr>
      </w:pPr>
    </w:p>
    <w:p w14:paraId="7DF49BD9" w14:textId="77777777" w:rsidR="008B781A" w:rsidRDefault="008B781A">
      <w:pPr>
        <w:rPr>
          <w:rFonts w:ascii="Arial" w:hAnsi="Arial" w:cs="Arial"/>
          <w:b/>
          <w:sz w:val="21"/>
          <w:szCs w:val="21"/>
          <w:lang w:val="es-ES_tradnl"/>
        </w:rPr>
      </w:pPr>
    </w:p>
    <w:p w14:paraId="3D6CF991" w14:textId="5ACB03B4" w:rsidR="00B806AD" w:rsidRDefault="004038B1" w:rsidP="00D7261D">
      <w:pPr>
        <w:pStyle w:val="p0"/>
        <w:keepLines w:val="0"/>
        <w:tabs>
          <w:tab w:val="left" w:pos="1260"/>
        </w:tabs>
        <w:spacing w:before="20"/>
        <w:jc w:val="left"/>
        <w:rPr>
          <w:rFonts w:ascii="Arial" w:hAnsi="Arial" w:cs="Arial"/>
          <w:color w:val="auto"/>
          <w:sz w:val="16"/>
          <w:szCs w:val="16"/>
        </w:rPr>
      </w:pPr>
      <w:r>
        <w:rPr>
          <w:rFonts w:ascii="Arial" w:hAnsi="Arial" w:cs="Arial"/>
          <w:color w:val="auto"/>
          <w:sz w:val="16"/>
          <w:szCs w:val="16"/>
        </w:rPr>
        <w:tab/>
      </w:r>
    </w:p>
    <w:p w14:paraId="18AF00AD" w14:textId="77777777" w:rsidR="002305FE" w:rsidRPr="002305FE" w:rsidRDefault="002305FE" w:rsidP="002D5D99">
      <w:pPr>
        <w:pStyle w:val="titulos"/>
        <w:spacing w:before="120" w:after="120"/>
      </w:pPr>
      <w:r w:rsidRPr="002305FE">
        <w:t>CIFRAS ORIGINALES</w:t>
      </w:r>
    </w:p>
    <w:p w14:paraId="0CB9ADE4" w14:textId="77777777" w:rsidR="00757DAD" w:rsidRDefault="00757DAD" w:rsidP="002D5D99">
      <w:pPr>
        <w:pStyle w:val="titulos"/>
        <w:spacing w:before="240" w:after="120" w:line="280" w:lineRule="exact"/>
        <w:rPr>
          <w:u w:val="none"/>
        </w:rPr>
      </w:pPr>
      <w:r w:rsidRPr="00BF61C6">
        <w:rPr>
          <w:u w:val="none"/>
        </w:rPr>
        <w:t xml:space="preserve">Saldo de </w:t>
      </w:r>
      <w:r w:rsidRPr="00730C79">
        <w:rPr>
          <w:u w:val="none"/>
        </w:rPr>
        <w:t>la Balanza</w:t>
      </w:r>
      <w:r w:rsidRPr="00BF61C6">
        <w:rPr>
          <w:u w:val="none"/>
        </w:rPr>
        <w:t xml:space="preserve"> Comercial</w:t>
      </w:r>
      <w:r w:rsidR="008E6995">
        <w:rPr>
          <w:u w:val="none"/>
        </w:rPr>
        <w:t xml:space="preserve"> de M</w:t>
      </w:r>
      <w:r w:rsidR="008759D4">
        <w:rPr>
          <w:u w:val="none"/>
        </w:rPr>
        <w:t xml:space="preserve">ercancías </w:t>
      </w:r>
    </w:p>
    <w:p w14:paraId="0FB80DCA" w14:textId="20AA92EF" w:rsidR="007156F0" w:rsidRDefault="007156F0" w:rsidP="003C6884">
      <w:pPr>
        <w:pStyle w:val="Textoindependiente21"/>
        <w:numPr>
          <w:ilvl w:val="12"/>
          <w:numId w:val="0"/>
        </w:numPr>
        <w:spacing w:before="360" w:after="120" w:line="280" w:lineRule="exact"/>
        <w:rPr>
          <w:spacing w:val="5"/>
          <w:sz w:val="24"/>
        </w:rPr>
      </w:pPr>
      <w:r w:rsidRPr="007156F0">
        <w:rPr>
          <w:spacing w:val="5"/>
          <w:sz w:val="24"/>
        </w:rPr>
        <w:t xml:space="preserve">La información oportuna de comercio exterior de mayo de 2020 indica un déficit comercial de </w:t>
      </w:r>
      <w:r>
        <w:rPr>
          <w:spacing w:val="5"/>
          <w:sz w:val="24"/>
        </w:rPr>
        <w:t>(-)</w:t>
      </w:r>
      <w:r w:rsidRPr="007156F0">
        <w:rPr>
          <w:spacing w:val="5"/>
          <w:sz w:val="24"/>
        </w:rPr>
        <w:t>3,523 millones de dólares</w:t>
      </w:r>
      <w:r>
        <w:rPr>
          <w:spacing w:val="5"/>
          <w:sz w:val="24"/>
        </w:rPr>
        <w:t>; d</w:t>
      </w:r>
      <w:r w:rsidRPr="007156F0">
        <w:rPr>
          <w:spacing w:val="5"/>
          <w:sz w:val="24"/>
        </w:rPr>
        <w:t xml:space="preserve">icho saldo se compara con el déficit de </w:t>
      </w:r>
      <w:r>
        <w:rPr>
          <w:spacing w:val="5"/>
          <w:sz w:val="24"/>
        </w:rPr>
        <w:t>(-)</w:t>
      </w:r>
      <w:r w:rsidRPr="007156F0">
        <w:rPr>
          <w:spacing w:val="5"/>
          <w:sz w:val="24"/>
        </w:rPr>
        <w:t xml:space="preserve">3,087 millones de dólares reportado en abril. El incremento en el déficit comercial entre abril y mayo se originó de la combinación de una ampliación del déficit de la balanza de productos no petroleros, que pasó de </w:t>
      </w:r>
      <w:r w:rsidR="00080720">
        <w:rPr>
          <w:spacing w:val="5"/>
          <w:sz w:val="24"/>
        </w:rPr>
        <w:t>(-)</w:t>
      </w:r>
      <w:r w:rsidRPr="007156F0">
        <w:rPr>
          <w:spacing w:val="5"/>
          <w:sz w:val="24"/>
        </w:rPr>
        <w:t xml:space="preserve">1,809 millones de dólares en abril a </w:t>
      </w:r>
      <w:r w:rsidR="00080720">
        <w:rPr>
          <w:spacing w:val="5"/>
          <w:sz w:val="24"/>
        </w:rPr>
        <w:t>(-)</w:t>
      </w:r>
      <w:r w:rsidRPr="007156F0">
        <w:rPr>
          <w:spacing w:val="5"/>
          <w:sz w:val="24"/>
        </w:rPr>
        <w:t xml:space="preserve">3,053 millones de dólares en mayo, y de una disminución del déficit de la balanza de productos petroleros, que pasó de </w:t>
      </w:r>
      <w:r w:rsidR="00080720">
        <w:rPr>
          <w:spacing w:val="5"/>
          <w:sz w:val="24"/>
        </w:rPr>
        <w:t>(-)</w:t>
      </w:r>
      <w:r w:rsidRPr="007156F0">
        <w:rPr>
          <w:spacing w:val="5"/>
          <w:sz w:val="24"/>
        </w:rPr>
        <w:t xml:space="preserve">1,279 millones de dólares a </w:t>
      </w:r>
      <w:r w:rsidR="00080720">
        <w:rPr>
          <w:spacing w:val="5"/>
          <w:sz w:val="24"/>
        </w:rPr>
        <w:t>(-)</w:t>
      </w:r>
      <w:r w:rsidRPr="007156F0">
        <w:rPr>
          <w:spacing w:val="5"/>
          <w:sz w:val="24"/>
        </w:rPr>
        <w:t>470 millones de dólares.</w:t>
      </w:r>
    </w:p>
    <w:p w14:paraId="7A2C83B8" w14:textId="752A4569" w:rsidR="00194FE3" w:rsidRPr="00024FE2" w:rsidRDefault="00194FE3" w:rsidP="00DF794C">
      <w:pPr>
        <w:pStyle w:val="Textoindependiente21"/>
        <w:numPr>
          <w:ilvl w:val="12"/>
          <w:numId w:val="0"/>
        </w:numPr>
        <w:spacing w:before="360" w:after="120" w:line="280" w:lineRule="exact"/>
        <w:rPr>
          <w:spacing w:val="5"/>
          <w:sz w:val="24"/>
        </w:rPr>
      </w:pPr>
      <w:r w:rsidRPr="00F67BDE">
        <w:rPr>
          <w:spacing w:val="5"/>
          <w:sz w:val="24"/>
        </w:rPr>
        <w:t xml:space="preserve">En los primeros </w:t>
      </w:r>
      <w:r w:rsidR="00F92A8E">
        <w:rPr>
          <w:spacing w:val="5"/>
          <w:sz w:val="24"/>
        </w:rPr>
        <w:t>cinco</w:t>
      </w:r>
      <w:r w:rsidRPr="00F67BDE">
        <w:rPr>
          <w:spacing w:val="5"/>
          <w:sz w:val="24"/>
        </w:rPr>
        <w:t xml:space="preserve"> meses de este año, la balanza comercial presentó un </w:t>
      </w:r>
      <w:r w:rsidR="00F92A8E">
        <w:rPr>
          <w:spacing w:val="5"/>
          <w:sz w:val="24"/>
        </w:rPr>
        <w:t>déficit</w:t>
      </w:r>
      <w:r w:rsidRPr="00F67BDE">
        <w:rPr>
          <w:spacing w:val="5"/>
          <w:sz w:val="24"/>
        </w:rPr>
        <w:t xml:space="preserve"> de </w:t>
      </w:r>
      <w:r w:rsidR="00F92A8E">
        <w:rPr>
          <w:spacing w:val="5"/>
          <w:sz w:val="24"/>
        </w:rPr>
        <w:t>(-)2,888</w:t>
      </w:r>
      <w:r w:rsidRPr="00F67BDE">
        <w:rPr>
          <w:spacing w:val="5"/>
          <w:sz w:val="24"/>
        </w:rPr>
        <w:t xml:space="preserve"> millones de dólares.</w:t>
      </w:r>
    </w:p>
    <w:p w14:paraId="08DCE551" w14:textId="20B280ED" w:rsidR="007359C1" w:rsidRPr="00434477" w:rsidRDefault="007359C1" w:rsidP="00434477">
      <w:pPr>
        <w:pStyle w:val="p0"/>
        <w:keepNext/>
        <w:widowControl/>
        <w:spacing w:before="0"/>
        <w:ind w:right="-23"/>
        <w:jc w:val="left"/>
        <w:rPr>
          <w:color w:val="000000" w:themeColor="text1"/>
          <w:spacing w:val="3"/>
          <w:sz w:val="18"/>
          <w:szCs w:val="18"/>
        </w:rPr>
      </w:pPr>
    </w:p>
    <w:p w14:paraId="56F3AA95" w14:textId="77777777" w:rsidR="009E09B5" w:rsidRPr="00B81A87" w:rsidRDefault="009E09B5" w:rsidP="009E09B5">
      <w:pPr>
        <w:pStyle w:val="p01"/>
        <w:keepNext/>
        <w:widowControl/>
        <w:ind w:right="-23"/>
        <w:jc w:val="center"/>
        <w:outlineLvl w:val="0"/>
        <w:rPr>
          <w:rFonts w:ascii="Arial" w:hAnsi="Arial" w:cs="Arial"/>
          <w:b/>
          <w:smallCaps/>
          <w:color w:val="auto"/>
          <w:sz w:val="22"/>
          <w:lang w:val="es-MX"/>
        </w:rPr>
      </w:pPr>
      <w:r w:rsidRPr="00581D9B">
        <w:rPr>
          <w:rFonts w:ascii="Arial" w:hAnsi="Arial" w:cs="Arial"/>
          <w:b/>
          <w:smallCaps/>
          <w:color w:val="auto"/>
          <w:sz w:val="22"/>
          <w:lang w:val="es-MX"/>
        </w:rPr>
        <w:t>Bal</w:t>
      </w:r>
      <w:r>
        <w:rPr>
          <w:rFonts w:ascii="Arial" w:hAnsi="Arial" w:cs="Arial"/>
          <w:b/>
          <w:smallCaps/>
          <w:color w:val="auto"/>
          <w:sz w:val="22"/>
          <w:lang w:val="es-MX"/>
        </w:rPr>
        <w:t>anza c</w:t>
      </w:r>
      <w:r w:rsidRPr="00581D9B">
        <w:rPr>
          <w:rFonts w:ascii="Arial" w:hAnsi="Arial" w:cs="Arial"/>
          <w:b/>
          <w:smallCaps/>
          <w:color w:val="auto"/>
          <w:sz w:val="22"/>
          <w:lang w:val="es-MX"/>
        </w:rPr>
        <w:t>omercial</w:t>
      </w:r>
      <w:r>
        <w:rPr>
          <w:rFonts w:ascii="Arial" w:hAnsi="Arial" w:cs="Arial"/>
          <w:b/>
          <w:smallCaps/>
          <w:color w:val="auto"/>
          <w:sz w:val="22"/>
          <w:lang w:val="es-MX"/>
        </w:rPr>
        <w:t xml:space="preserve"> de </w:t>
      </w:r>
      <w:r w:rsidRPr="00B81A87">
        <w:rPr>
          <w:rFonts w:ascii="Arial" w:hAnsi="Arial" w:cs="Arial"/>
          <w:b/>
          <w:smallCaps/>
          <w:color w:val="auto"/>
          <w:sz w:val="22"/>
          <w:lang w:val="es-MX"/>
        </w:rPr>
        <w:t>mercancías de México</w:t>
      </w:r>
    </w:p>
    <w:p w14:paraId="5CE4077E" w14:textId="77777777" w:rsidR="009E09B5" w:rsidRPr="00B81A87" w:rsidRDefault="009E09B5" w:rsidP="009E09B5">
      <w:pPr>
        <w:pStyle w:val="p0"/>
        <w:keepNext/>
        <w:widowControl/>
        <w:spacing w:before="0"/>
        <w:ind w:right="-23"/>
        <w:jc w:val="center"/>
        <w:rPr>
          <w:color w:val="auto"/>
          <w:spacing w:val="3"/>
          <w:sz w:val="18"/>
          <w:szCs w:val="18"/>
        </w:rPr>
      </w:pPr>
      <w:r w:rsidRPr="00B81A87">
        <w:rPr>
          <w:rFonts w:ascii="Arial" w:hAnsi="Arial" w:cs="Arial"/>
          <w:color w:val="auto"/>
          <w:sz w:val="20"/>
          <w:lang w:val="es-MX"/>
        </w:rPr>
        <w:t>(Millones de dólares)</w:t>
      </w:r>
      <w:r w:rsidRPr="00B81A87">
        <w:rPr>
          <w:color w:val="auto"/>
          <w:spacing w:val="3"/>
          <w:sz w:val="18"/>
          <w:szCs w:val="18"/>
        </w:rPr>
        <w:t xml:space="preserve"> </w:t>
      </w:r>
    </w:p>
    <w:tbl>
      <w:tblPr>
        <w:tblW w:w="5171" w:type="pct"/>
        <w:jc w:val="center"/>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1E0" w:firstRow="1" w:lastRow="1" w:firstColumn="1" w:lastColumn="1" w:noHBand="0" w:noVBand="0"/>
      </w:tblPr>
      <w:tblGrid>
        <w:gridCol w:w="2508"/>
        <w:gridCol w:w="1069"/>
        <w:gridCol w:w="1096"/>
        <w:gridCol w:w="1096"/>
        <w:gridCol w:w="1096"/>
        <w:gridCol w:w="1096"/>
        <w:gridCol w:w="1095"/>
      </w:tblGrid>
      <w:tr w:rsidR="009E09B5" w:rsidRPr="00843651" w14:paraId="20994E39" w14:textId="77777777" w:rsidTr="009E09B5">
        <w:trPr>
          <w:trHeight w:val="293"/>
          <w:jc w:val="center"/>
        </w:trPr>
        <w:tc>
          <w:tcPr>
            <w:tcW w:w="2508" w:type="dxa"/>
            <w:vMerge w:val="restart"/>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33006629" w14:textId="77777777" w:rsidR="009E09B5" w:rsidRPr="00B97765" w:rsidRDefault="009E09B5" w:rsidP="00115050">
            <w:pPr>
              <w:keepNext/>
              <w:keepLines/>
              <w:jc w:val="center"/>
              <w:rPr>
                <w:rFonts w:ascii="Arial" w:hAnsi="Arial" w:cs="Arial"/>
                <w:sz w:val="18"/>
                <w:szCs w:val="18"/>
              </w:rPr>
            </w:pPr>
            <w:r w:rsidRPr="00B97765">
              <w:rPr>
                <w:rFonts w:ascii="Arial" w:hAnsi="Arial" w:cs="Arial"/>
                <w:sz w:val="18"/>
                <w:szCs w:val="18"/>
              </w:rPr>
              <w:t>Concepto</w:t>
            </w:r>
            <w:r w:rsidRPr="00B97765">
              <w:rPr>
                <w:rFonts w:ascii="Arial" w:hAnsi="Arial" w:cs="Arial"/>
                <w:sz w:val="18"/>
                <w:szCs w:val="18"/>
              </w:rPr>
              <w:br w:type="page"/>
            </w:r>
            <w:r w:rsidRPr="00B97765">
              <w:rPr>
                <w:rFonts w:ascii="Arial" w:hAnsi="Arial" w:cs="Arial"/>
                <w:sz w:val="18"/>
                <w:szCs w:val="18"/>
              </w:rPr>
              <w:br w:type="page"/>
            </w:r>
          </w:p>
        </w:tc>
        <w:tc>
          <w:tcPr>
            <w:tcW w:w="1069" w:type="dxa"/>
            <w:vMerge w:val="restart"/>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315BF043" w14:textId="74270961" w:rsidR="009E09B5" w:rsidRDefault="009E09B5" w:rsidP="00115050">
            <w:pPr>
              <w:keepNext/>
              <w:keepLines/>
              <w:jc w:val="center"/>
              <w:rPr>
                <w:rFonts w:ascii="Arial" w:hAnsi="Arial" w:cs="Arial"/>
                <w:sz w:val="18"/>
                <w:szCs w:val="18"/>
              </w:rPr>
            </w:pPr>
            <w:r>
              <w:rPr>
                <w:rFonts w:ascii="Arial" w:hAnsi="Arial" w:cs="Arial"/>
                <w:sz w:val="18"/>
                <w:szCs w:val="18"/>
              </w:rPr>
              <w:t>2018</w:t>
            </w:r>
          </w:p>
        </w:tc>
        <w:tc>
          <w:tcPr>
            <w:tcW w:w="1096" w:type="dxa"/>
            <w:vMerge w:val="restart"/>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2F1D0B1D" w14:textId="368ACF92" w:rsidR="009E09B5" w:rsidRDefault="009E09B5" w:rsidP="00115050">
            <w:pPr>
              <w:keepNext/>
              <w:keepLines/>
              <w:jc w:val="center"/>
              <w:rPr>
                <w:rFonts w:ascii="Arial" w:hAnsi="Arial" w:cs="Arial"/>
                <w:sz w:val="18"/>
                <w:szCs w:val="18"/>
              </w:rPr>
            </w:pPr>
            <w:r>
              <w:rPr>
                <w:rFonts w:ascii="Arial" w:hAnsi="Arial" w:cs="Arial"/>
                <w:sz w:val="18"/>
                <w:szCs w:val="18"/>
              </w:rPr>
              <w:t>2019</w:t>
            </w:r>
          </w:p>
        </w:tc>
        <w:tc>
          <w:tcPr>
            <w:tcW w:w="4383" w:type="dxa"/>
            <w:gridSpan w:val="4"/>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08402A09" w14:textId="4CACC43D" w:rsidR="009E09B5" w:rsidRDefault="009E09B5" w:rsidP="009E09B5">
            <w:pPr>
              <w:keepNext/>
              <w:keepLines/>
              <w:jc w:val="center"/>
              <w:rPr>
                <w:rFonts w:ascii="Arial" w:hAnsi="Arial" w:cs="Arial"/>
                <w:sz w:val="18"/>
                <w:szCs w:val="18"/>
              </w:rPr>
            </w:pPr>
            <w:r>
              <w:rPr>
                <w:rFonts w:ascii="Arial" w:hAnsi="Arial" w:cs="Arial"/>
                <w:sz w:val="18"/>
                <w:szCs w:val="18"/>
              </w:rPr>
              <w:t>2020</w:t>
            </w:r>
          </w:p>
        </w:tc>
      </w:tr>
      <w:tr w:rsidR="00A4494D" w:rsidRPr="00843651" w14:paraId="5E342665" w14:textId="77777777" w:rsidTr="009E09B5">
        <w:trPr>
          <w:trHeight w:val="265"/>
          <w:jc w:val="center"/>
        </w:trPr>
        <w:tc>
          <w:tcPr>
            <w:tcW w:w="2508" w:type="dxa"/>
            <w:vMerge/>
            <w:tcBorders>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345AA7F7" w14:textId="77777777" w:rsidR="00A4494D" w:rsidRPr="00843651" w:rsidRDefault="00A4494D" w:rsidP="00A4494D">
            <w:pPr>
              <w:keepNext/>
              <w:keepLines/>
              <w:spacing w:before="60" w:after="60"/>
              <w:jc w:val="both"/>
              <w:rPr>
                <w:rFonts w:ascii="Arial" w:hAnsi="Arial" w:cs="Arial"/>
                <w:sz w:val="16"/>
                <w:szCs w:val="16"/>
              </w:rPr>
            </w:pPr>
          </w:p>
        </w:tc>
        <w:tc>
          <w:tcPr>
            <w:tcW w:w="1069" w:type="dxa"/>
            <w:vMerge/>
            <w:tcBorders>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14EA7E9B" w14:textId="77777777" w:rsidR="00A4494D" w:rsidRDefault="00A4494D" w:rsidP="00A4494D">
            <w:pPr>
              <w:keepNext/>
              <w:keepLines/>
              <w:spacing w:before="40" w:after="40"/>
              <w:ind w:left="-100" w:right="-51"/>
              <w:jc w:val="center"/>
              <w:rPr>
                <w:rFonts w:ascii="Arial" w:hAnsi="Arial" w:cs="Arial"/>
                <w:sz w:val="18"/>
                <w:szCs w:val="18"/>
              </w:rPr>
            </w:pPr>
          </w:p>
        </w:tc>
        <w:tc>
          <w:tcPr>
            <w:tcW w:w="1096" w:type="dxa"/>
            <w:vMerge/>
            <w:tcBorders>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0307CBEA" w14:textId="77777777" w:rsidR="00A4494D" w:rsidRDefault="00A4494D" w:rsidP="00A4494D">
            <w:pPr>
              <w:keepNext/>
              <w:keepLines/>
              <w:spacing w:before="40" w:after="40"/>
              <w:ind w:left="-100" w:right="-51"/>
              <w:jc w:val="center"/>
              <w:rPr>
                <w:rFonts w:ascii="Arial" w:hAnsi="Arial" w:cs="Arial"/>
                <w:sz w:val="18"/>
                <w:szCs w:val="18"/>
              </w:rPr>
            </w:pPr>
          </w:p>
        </w:tc>
        <w:tc>
          <w:tcPr>
            <w:tcW w:w="1096" w:type="dxa"/>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5D268E0C" w14:textId="412E151C" w:rsidR="00A4494D" w:rsidRDefault="00812AF2" w:rsidP="00A4494D">
            <w:pPr>
              <w:keepNext/>
              <w:keepLines/>
              <w:spacing w:before="40" w:after="40"/>
              <w:ind w:left="-100" w:right="-51"/>
              <w:jc w:val="center"/>
              <w:rPr>
                <w:rFonts w:ascii="Arial" w:hAnsi="Arial" w:cs="Arial"/>
                <w:sz w:val="18"/>
                <w:szCs w:val="18"/>
              </w:rPr>
            </w:pPr>
            <w:r>
              <w:rPr>
                <w:rFonts w:ascii="Arial" w:hAnsi="Arial" w:cs="Arial"/>
                <w:sz w:val="18"/>
                <w:szCs w:val="18"/>
              </w:rPr>
              <w:t>Mar</w:t>
            </w:r>
          </w:p>
        </w:tc>
        <w:tc>
          <w:tcPr>
            <w:tcW w:w="1096" w:type="dxa"/>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2B244B7D" w14:textId="7A1A8839" w:rsidR="00A4494D" w:rsidRDefault="00812AF2" w:rsidP="00A4494D">
            <w:pPr>
              <w:keepNext/>
              <w:keepLines/>
              <w:spacing w:before="40" w:after="40"/>
              <w:ind w:left="-100" w:right="-51"/>
              <w:jc w:val="center"/>
              <w:rPr>
                <w:rFonts w:ascii="Arial" w:hAnsi="Arial" w:cs="Arial"/>
                <w:sz w:val="18"/>
                <w:szCs w:val="18"/>
              </w:rPr>
            </w:pPr>
            <w:r>
              <w:rPr>
                <w:rFonts w:ascii="Arial" w:hAnsi="Arial" w:cs="Arial"/>
                <w:sz w:val="18"/>
                <w:szCs w:val="18"/>
              </w:rPr>
              <w:t>Abr</w:t>
            </w:r>
          </w:p>
        </w:tc>
        <w:tc>
          <w:tcPr>
            <w:tcW w:w="1096" w:type="dxa"/>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2A70BED2" w14:textId="281E616F" w:rsidR="00A4494D" w:rsidRDefault="00812AF2" w:rsidP="00A4494D">
            <w:pPr>
              <w:keepNext/>
              <w:keepLines/>
              <w:spacing w:before="40" w:after="40"/>
              <w:ind w:left="-100" w:right="-51"/>
              <w:jc w:val="center"/>
              <w:rPr>
                <w:rFonts w:ascii="Arial" w:hAnsi="Arial" w:cs="Arial"/>
                <w:sz w:val="18"/>
                <w:szCs w:val="18"/>
              </w:rPr>
            </w:pPr>
            <w:r>
              <w:rPr>
                <w:rFonts w:ascii="Arial" w:hAnsi="Arial" w:cs="Arial"/>
                <w:sz w:val="18"/>
                <w:szCs w:val="18"/>
              </w:rPr>
              <w:t>May</w:t>
            </w:r>
            <w:r w:rsidR="00A4494D">
              <w:rPr>
                <w:rFonts w:ascii="Arial" w:hAnsi="Arial" w:cs="Arial"/>
                <w:sz w:val="18"/>
                <w:szCs w:val="18"/>
              </w:rPr>
              <w:t>*</w:t>
            </w:r>
          </w:p>
        </w:tc>
        <w:tc>
          <w:tcPr>
            <w:tcW w:w="1095" w:type="dxa"/>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425551E9" w14:textId="3325BE61" w:rsidR="00A4494D" w:rsidRDefault="00A4494D" w:rsidP="00812AF2">
            <w:pPr>
              <w:keepNext/>
              <w:keepLines/>
              <w:spacing w:before="40" w:after="40"/>
              <w:ind w:left="-100" w:right="-51"/>
              <w:jc w:val="center"/>
              <w:rPr>
                <w:rFonts w:ascii="Arial" w:hAnsi="Arial" w:cs="Arial"/>
                <w:sz w:val="18"/>
                <w:szCs w:val="18"/>
              </w:rPr>
            </w:pPr>
            <w:r>
              <w:rPr>
                <w:rFonts w:ascii="Arial" w:hAnsi="Arial" w:cs="Arial"/>
                <w:sz w:val="18"/>
                <w:szCs w:val="18"/>
              </w:rPr>
              <w:t>Ene-</w:t>
            </w:r>
            <w:r w:rsidR="00812AF2">
              <w:rPr>
                <w:rFonts w:ascii="Arial" w:hAnsi="Arial" w:cs="Arial"/>
                <w:sz w:val="18"/>
                <w:szCs w:val="18"/>
              </w:rPr>
              <w:t>May</w:t>
            </w:r>
            <w:r>
              <w:rPr>
                <w:rFonts w:ascii="Arial" w:hAnsi="Arial" w:cs="Arial"/>
                <w:sz w:val="18"/>
                <w:szCs w:val="18"/>
              </w:rPr>
              <w:t>*</w:t>
            </w:r>
          </w:p>
        </w:tc>
      </w:tr>
      <w:tr w:rsidR="00812AF2" w:rsidRPr="00843651" w14:paraId="5905A954" w14:textId="77777777" w:rsidTr="003C6884">
        <w:trPr>
          <w:jc w:val="center"/>
        </w:trPr>
        <w:tc>
          <w:tcPr>
            <w:tcW w:w="2508" w:type="dxa"/>
            <w:tcBorders>
              <w:top w:val="double" w:sz="4" w:space="0" w:color="0F243E" w:themeColor="text2" w:themeShade="80"/>
              <w:left w:val="double" w:sz="4" w:space="0" w:color="0F243E" w:themeColor="text2" w:themeShade="80"/>
              <w:bottom w:val="nil"/>
              <w:right w:val="double" w:sz="4" w:space="0" w:color="0F243E" w:themeColor="text2" w:themeShade="80"/>
            </w:tcBorders>
            <w:vAlign w:val="center"/>
          </w:tcPr>
          <w:p w14:paraId="11B1C6DD" w14:textId="77777777" w:rsidR="00812AF2" w:rsidRPr="00843651" w:rsidRDefault="00812AF2" w:rsidP="00812AF2">
            <w:pPr>
              <w:keepNext/>
              <w:keepLines/>
              <w:spacing w:before="40" w:after="40"/>
              <w:ind w:left="183"/>
              <w:jc w:val="both"/>
              <w:rPr>
                <w:rFonts w:ascii="Arial" w:hAnsi="Arial" w:cs="Arial"/>
                <w:b/>
                <w:spacing w:val="-6"/>
                <w:sz w:val="18"/>
                <w:szCs w:val="18"/>
              </w:rPr>
            </w:pPr>
            <w:r w:rsidRPr="00843651">
              <w:rPr>
                <w:rFonts w:ascii="Arial" w:hAnsi="Arial" w:cs="Arial"/>
                <w:b/>
                <w:spacing w:val="-6"/>
                <w:sz w:val="18"/>
                <w:szCs w:val="18"/>
              </w:rPr>
              <w:t>Exportaciones Totales</w:t>
            </w:r>
          </w:p>
        </w:tc>
        <w:tc>
          <w:tcPr>
            <w:tcW w:w="1069" w:type="dxa"/>
            <w:tcBorders>
              <w:top w:val="double" w:sz="4" w:space="0" w:color="0F243E" w:themeColor="text2" w:themeShade="80"/>
              <w:left w:val="nil"/>
              <w:bottom w:val="nil"/>
              <w:right w:val="double" w:sz="4" w:space="0" w:color="0F243E" w:themeColor="text2" w:themeShade="80"/>
            </w:tcBorders>
            <w:vAlign w:val="center"/>
          </w:tcPr>
          <w:p w14:paraId="6C26BB6A" w14:textId="75CE51CE" w:rsidR="00812AF2" w:rsidRDefault="00812AF2" w:rsidP="00812AF2">
            <w:pPr>
              <w:keepNext/>
              <w:keepLines/>
              <w:tabs>
                <w:tab w:val="decimal" w:pos="788"/>
              </w:tabs>
              <w:spacing w:before="40" w:after="40"/>
              <w:ind w:right="227"/>
              <w:jc w:val="right"/>
              <w:rPr>
                <w:rFonts w:ascii="Arial" w:hAnsi="Arial" w:cs="Arial"/>
                <w:b/>
                <w:bCs/>
                <w:sz w:val="18"/>
                <w:szCs w:val="18"/>
              </w:rPr>
            </w:pPr>
            <w:r w:rsidRPr="003C6884">
              <w:rPr>
                <w:rFonts w:ascii="Arial" w:hAnsi="Arial" w:cs="Arial"/>
                <w:b/>
                <w:bCs/>
                <w:sz w:val="18"/>
                <w:szCs w:val="18"/>
              </w:rPr>
              <w:t>450,713</w:t>
            </w:r>
          </w:p>
        </w:tc>
        <w:tc>
          <w:tcPr>
            <w:tcW w:w="1096" w:type="dxa"/>
            <w:tcBorders>
              <w:top w:val="double" w:sz="4" w:space="0" w:color="0F243E" w:themeColor="text2" w:themeShade="80"/>
              <w:left w:val="nil"/>
              <w:bottom w:val="nil"/>
              <w:right w:val="double" w:sz="4" w:space="0" w:color="0F243E" w:themeColor="text2" w:themeShade="80"/>
            </w:tcBorders>
            <w:vAlign w:val="center"/>
          </w:tcPr>
          <w:p w14:paraId="24F0B504" w14:textId="45000F26" w:rsidR="00812AF2" w:rsidRDefault="00812AF2" w:rsidP="00812AF2">
            <w:pPr>
              <w:keepNext/>
              <w:keepLines/>
              <w:tabs>
                <w:tab w:val="decimal" w:pos="788"/>
              </w:tabs>
              <w:spacing w:before="40" w:after="40"/>
              <w:ind w:right="227"/>
              <w:jc w:val="right"/>
              <w:rPr>
                <w:rFonts w:ascii="Arial" w:hAnsi="Arial" w:cs="Arial"/>
                <w:b/>
                <w:bCs/>
                <w:sz w:val="18"/>
                <w:szCs w:val="18"/>
              </w:rPr>
            </w:pPr>
            <w:r w:rsidRPr="003C6884">
              <w:rPr>
                <w:rFonts w:ascii="Arial" w:hAnsi="Arial" w:cs="Arial"/>
                <w:b/>
                <w:bCs/>
                <w:sz w:val="18"/>
                <w:szCs w:val="18"/>
              </w:rPr>
              <w:t>460,704</w:t>
            </w:r>
          </w:p>
        </w:tc>
        <w:tc>
          <w:tcPr>
            <w:tcW w:w="1096" w:type="dxa"/>
            <w:tcBorders>
              <w:top w:val="double" w:sz="4" w:space="0" w:color="0F243E" w:themeColor="text2" w:themeShade="80"/>
              <w:left w:val="double" w:sz="4" w:space="0" w:color="0F243E" w:themeColor="text2" w:themeShade="80"/>
              <w:bottom w:val="nil"/>
              <w:right w:val="nil"/>
            </w:tcBorders>
            <w:vAlign w:val="center"/>
          </w:tcPr>
          <w:p w14:paraId="415D1652" w14:textId="38539893" w:rsidR="00812AF2" w:rsidRDefault="00812AF2" w:rsidP="00812AF2">
            <w:pPr>
              <w:keepNext/>
              <w:keepLines/>
              <w:tabs>
                <w:tab w:val="decimal" w:pos="788"/>
              </w:tabs>
              <w:spacing w:before="40" w:after="40"/>
              <w:ind w:right="227"/>
              <w:jc w:val="right"/>
              <w:rPr>
                <w:rFonts w:ascii="Arial" w:hAnsi="Arial" w:cs="Arial"/>
                <w:b/>
                <w:bCs/>
                <w:sz w:val="18"/>
                <w:szCs w:val="18"/>
              </w:rPr>
            </w:pPr>
            <w:r w:rsidRPr="003C6884">
              <w:rPr>
                <w:rFonts w:ascii="Arial" w:hAnsi="Arial" w:cs="Arial"/>
                <w:b/>
                <w:bCs/>
                <w:sz w:val="18"/>
                <w:szCs w:val="18"/>
              </w:rPr>
              <w:t>38,343</w:t>
            </w:r>
          </w:p>
        </w:tc>
        <w:tc>
          <w:tcPr>
            <w:tcW w:w="1096" w:type="dxa"/>
            <w:tcBorders>
              <w:top w:val="double" w:sz="4" w:space="0" w:color="0F243E" w:themeColor="text2" w:themeShade="80"/>
              <w:left w:val="nil"/>
              <w:bottom w:val="nil"/>
              <w:right w:val="nil"/>
            </w:tcBorders>
            <w:vAlign w:val="center"/>
          </w:tcPr>
          <w:p w14:paraId="2B2E26A6" w14:textId="7C8976A0" w:rsidR="00812AF2" w:rsidRDefault="00812AF2" w:rsidP="00812AF2">
            <w:pPr>
              <w:keepNext/>
              <w:keepLines/>
              <w:tabs>
                <w:tab w:val="decimal" w:pos="788"/>
              </w:tabs>
              <w:spacing w:before="40" w:after="40"/>
              <w:ind w:right="227"/>
              <w:jc w:val="right"/>
              <w:rPr>
                <w:rFonts w:ascii="Arial" w:hAnsi="Arial" w:cs="Arial"/>
                <w:b/>
                <w:bCs/>
                <w:sz w:val="18"/>
                <w:szCs w:val="18"/>
              </w:rPr>
            </w:pPr>
            <w:r w:rsidRPr="003C6884">
              <w:rPr>
                <w:rFonts w:ascii="Arial" w:hAnsi="Arial" w:cs="Arial"/>
                <w:b/>
                <w:bCs/>
                <w:sz w:val="18"/>
                <w:szCs w:val="18"/>
              </w:rPr>
              <w:t>23,385</w:t>
            </w:r>
          </w:p>
        </w:tc>
        <w:tc>
          <w:tcPr>
            <w:tcW w:w="1096" w:type="dxa"/>
            <w:tcBorders>
              <w:top w:val="double" w:sz="4" w:space="0" w:color="0F243E" w:themeColor="text2" w:themeShade="80"/>
              <w:left w:val="nil"/>
              <w:bottom w:val="nil"/>
              <w:right w:val="nil"/>
            </w:tcBorders>
            <w:vAlign w:val="center"/>
          </w:tcPr>
          <w:p w14:paraId="248D867F" w14:textId="610C479E" w:rsidR="00812AF2" w:rsidRDefault="003A1100" w:rsidP="00812AF2">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18,070</w:t>
            </w:r>
          </w:p>
        </w:tc>
        <w:tc>
          <w:tcPr>
            <w:tcW w:w="1095" w:type="dxa"/>
            <w:tcBorders>
              <w:top w:val="double" w:sz="4" w:space="0" w:color="0F243E" w:themeColor="text2" w:themeShade="80"/>
              <w:left w:val="nil"/>
              <w:bottom w:val="nil"/>
              <w:right w:val="double" w:sz="4" w:space="0" w:color="0F243E" w:themeColor="text2" w:themeShade="80"/>
            </w:tcBorders>
            <w:vAlign w:val="center"/>
          </w:tcPr>
          <w:p w14:paraId="646D87F5" w14:textId="1714D433" w:rsidR="00812AF2" w:rsidRDefault="00A96576" w:rsidP="00812AF2">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149,977</w:t>
            </w:r>
          </w:p>
        </w:tc>
      </w:tr>
      <w:tr w:rsidR="00812AF2" w:rsidRPr="00843651" w14:paraId="1D799AE1" w14:textId="77777777" w:rsidTr="003C6884">
        <w:trPr>
          <w:jc w:val="center"/>
        </w:trPr>
        <w:tc>
          <w:tcPr>
            <w:tcW w:w="2508" w:type="dxa"/>
            <w:tcBorders>
              <w:top w:val="nil"/>
              <w:left w:val="double" w:sz="4" w:space="0" w:color="0F243E" w:themeColor="text2" w:themeShade="80"/>
              <w:bottom w:val="nil"/>
              <w:right w:val="double" w:sz="4" w:space="0" w:color="0F243E" w:themeColor="text2" w:themeShade="80"/>
            </w:tcBorders>
            <w:vAlign w:val="center"/>
          </w:tcPr>
          <w:p w14:paraId="493DE7DD" w14:textId="77777777" w:rsidR="00812AF2" w:rsidRPr="00843651" w:rsidRDefault="00812AF2" w:rsidP="00812AF2">
            <w:pPr>
              <w:keepNext/>
              <w:keepLines/>
              <w:spacing w:before="40" w:after="40"/>
              <w:ind w:left="393"/>
              <w:jc w:val="both"/>
              <w:rPr>
                <w:rFonts w:ascii="Arial" w:hAnsi="Arial" w:cs="Arial"/>
                <w:sz w:val="18"/>
                <w:szCs w:val="18"/>
              </w:rPr>
            </w:pPr>
            <w:r w:rsidRPr="00843651">
              <w:rPr>
                <w:rFonts w:ascii="Arial" w:hAnsi="Arial" w:cs="Arial"/>
                <w:sz w:val="18"/>
                <w:szCs w:val="18"/>
              </w:rPr>
              <w:t>Petroleras</w:t>
            </w:r>
          </w:p>
        </w:tc>
        <w:tc>
          <w:tcPr>
            <w:tcW w:w="1069" w:type="dxa"/>
            <w:tcBorders>
              <w:top w:val="nil"/>
              <w:left w:val="nil"/>
              <w:bottom w:val="nil"/>
              <w:right w:val="double" w:sz="4" w:space="0" w:color="0F243E" w:themeColor="text2" w:themeShade="80"/>
            </w:tcBorders>
            <w:vAlign w:val="center"/>
          </w:tcPr>
          <w:p w14:paraId="66F4D5C9" w14:textId="3DC3234B" w:rsidR="00812AF2" w:rsidRPr="003C6884" w:rsidRDefault="00812AF2" w:rsidP="00812AF2">
            <w:pPr>
              <w:keepNext/>
              <w:keepLines/>
              <w:tabs>
                <w:tab w:val="decimal" w:pos="788"/>
              </w:tabs>
              <w:spacing w:before="40" w:after="40"/>
              <w:ind w:right="227"/>
              <w:jc w:val="right"/>
              <w:rPr>
                <w:rFonts w:ascii="Arial" w:hAnsi="Arial" w:cs="Arial"/>
                <w:bCs/>
                <w:sz w:val="18"/>
                <w:szCs w:val="18"/>
              </w:rPr>
            </w:pPr>
            <w:r w:rsidRPr="003C6884">
              <w:rPr>
                <w:rFonts w:ascii="Arial" w:hAnsi="Arial" w:cs="Arial"/>
                <w:bCs/>
                <w:sz w:val="18"/>
                <w:szCs w:val="18"/>
              </w:rPr>
              <w:t>30,630</w:t>
            </w:r>
          </w:p>
        </w:tc>
        <w:tc>
          <w:tcPr>
            <w:tcW w:w="1096" w:type="dxa"/>
            <w:tcBorders>
              <w:top w:val="nil"/>
              <w:left w:val="nil"/>
              <w:bottom w:val="nil"/>
              <w:right w:val="double" w:sz="4" w:space="0" w:color="0F243E" w:themeColor="text2" w:themeShade="80"/>
            </w:tcBorders>
            <w:vAlign w:val="center"/>
          </w:tcPr>
          <w:p w14:paraId="59BA6B51" w14:textId="1C719CCB" w:rsidR="00812AF2" w:rsidRPr="003C6884" w:rsidRDefault="00812AF2" w:rsidP="00812AF2">
            <w:pPr>
              <w:keepNext/>
              <w:keepLines/>
              <w:tabs>
                <w:tab w:val="decimal" w:pos="788"/>
              </w:tabs>
              <w:spacing w:before="40" w:after="40"/>
              <w:ind w:right="227"/>
              <w:jc w:val="right"/>
              <w:rPr>
                <w:rFonts w:ascii="Arial" w:hAnsi="Arial" w:cs="Arial"/>
                <w:bCs/>
                <w:sz w:val="18"/>
                <w:szCs w:val="18"/>
              </w:rPr>
            </w:pPr>
            <w:r w:rsidRPr="003C6884">
              <w:rPr>
                <w:rFonts w:ascii="Arial" w:hAnsi="Arial" w:cs="Arial"/>
                <w:bCs/>
                <w:sz w:val="18"/>
                <w:szCs w:val="18"/>
              </w:rPr>
              <w:t>25,842</w:t>
            </w:r>
          </w:p>
        </w:tc>
        <w:tc>
          <w:tcPr>
            <w:tcW w:w="1096" w:type="dxa"/>
            <w:tcBorders>
              <w:top w:val="nil"/>
              <w:left w:val="double" w:sz="4" w:space="0" w:color="0F243E" w:themeColor="text2" w:themeShade="80"/>
              <w:bottom w:val="nil"/>
              <w:right w:val="nil"/>
            </w:tcBorders>
            <w:vAlign w:val="center"/>
          </w:tcPr>
          <w:p w14:paraId="5FB3E076" w14:textId="3FD0015F" w:rsidR="00812AF2" w:rsidRPr="003C6884" w:rsidRDefault="00812AF2" w:rsidP="00812AF2">
            <w:pPr>
              <w:keepNext/>
              <w:keepLines/>
              <w:tabs>
                <w:tab w:val="decimal" w:pos="788"/>
              </w:tabs>
              <w:spacing w:before="40" w:after="40"/>
              <w:ind w:right="227"/>
              <w:jc w:val="right"/>
              <w:rPr>
                <w:rFonts w:ascii="Arial" w:hAnsi="Arial" w:cs="Arial"/>
                <w:bCs/>
                <w:sz w:val="18"/>
                <w:szCs w:val="18"/>
              </w:rPr>
            </w:pPr>
            <w:r w:rsidRPr="003C6884">
              <w:rPr>
                <w:rFonts w:ascii="Arial" w:hAnsi="Arial" w:cs="Arial"/>
                <w:bCs/>
                <w:sz w:val="18"/>
                <w:szCs w:val="18"/>
              </w:rPr>
              <w:t>1,246</w:t>
            </w:r>
          </w:p>
        </w:tc>
        <w:tc>
          <w:tcPr>
            <w:tcW w:w="1096" w:type="dxa"/>
            <w:tcBorders>
              <w:top w:val="nil"/>
              <w:left w:val="nil"/>
              <w:bottom w:val="nil"/>
              <w:right w:val="nil"/>
            </w:tcBorders>
            <w:vAlign w:val="center"/>
          </w:tcPr>
          <w:p w14:paraId="12B6E723" w14:textId="615D4B39" w:rsidR="00812AF2" w:rsidRPr="003C6884" w:rsidRDefault="00812AF2" w:rsidP="00812AF2">
            <w:pPr>
              <w:keepNext/>
              <w:keepLines/>
              <w:tabs>
                <w:tab w:val="decimal" w:pos="788"/>
              </w:tabs>
              <w:spacing w:before="40" w:after="40"/>
              <w:ind w:right="227"/>
              <w:jc w:val="right"/>
              <w:rPr>
                <w:rFonts w:ascii="Arial" w:hAnsi="Arial" w:cs="Arial"/>
                <w:bCs/>
                <w:sz w:val="18"/>
                <w:szCs w:val="18"/>
              </w:rPr>
            </w:pPr>
            <w:r w:rsidRPr="003C6884">
              <w:rPr>
                <w:rFonts w:ascii="Arial" w:hAnsi="Arial" w:cs="Arial"/>
                <w:bCs/>
                <w:sz w:val="18"/>
                <w:szCs w:val="18"/>
              </w:rPr>
              <w:t>758</w:t>
            </w:r>
          </w:p>
        </w:tc>
        <w:tc>
          <w:tcPr>
            <w:tcW w:w="1096" w:type="dxa"/>
            <w:tcBorders>
              <w:top w:val="nil"/>
              <w:left w:val="nil"/>
              <w:bottom w:val="nil"/>
              <w:right w:val="nil"/>
            </w:tcBorders>
            <w:vAlign w:val="center"/>
          </w:tcPr>
          <w:p w14:paraId="0DCDDC25" w14:textId="15F488EA" w:rsidR="00812AF2" w:rsidRPr="003C6884" w:rsidRDefault="00F32479" w:rsidP="00812AF2">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929</w:t>
            </w:r>
          </w:p>
        </w:tc>
        <w:tc>
          <w:tcPr>
            <w:tcW w:w="1095" w:type="dxa"/>
            <w:tcBorders>
              <w:top w:val="nil"/>
              <w:left w:val="nil"/>
              <w:bottom w:val="nil"/>
              <w:right w:val="double" w:sz="4" w:space="0" w:color="0F243E" w:themeColor="text2" w:themeShade="80"/>
            </w:tcBorders>
            <w:vAlign w:val="center"/>
          </w:tcPr>
          <w:p w14:paraId="2D833449" w14:textId="1DC0C6EF" w:rsidR="00812AF2" w:rsidRPr="003C6884" w:rsidRDefault="00A96576" w:rsidP="00812AF2">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6,786</w:t>
            </w:r>
          </w:p>
        </w:tc>
      </w:tr>
      <w:tr w:rsidR="00812AF2" w:rsidRPr="00843651" w14:paraId="2651A8DA" w14:textId="77777777" w:rsidTr="003C6884">
        <w:trPr>
          <w:jc w:val="center"/>
        </w:trPr>
        <w:tc>
          <w:tcPr>
            <w:tcW w:w="2508" w:type="dxa"/>
            <w:tcBorders>
              <w:top w:val="nil"/>
              <w:left w:val="double" w:sz="4" w:space="0" w:color="0F243E" w:themeColor="text2" w:themeShade="80"/>
              <w:bottom w:val="nil"/>
              <w:right w:val="double" w:sz="4" w:space="0" w:color="0F243E" w:themeColor="text2" w:themeShade="80"/>
            </w:tcBorders>
            <w:vAlign w:val="center"/>
          </w:tcPr>
          <w:p w14:paraId="5D3772B8" w14:textId="77777777" w:rsidR="00812AF2" w:rsidRPr="00843651" w:rsidRDefault="00812AF2" w:rsidP="00812AF2">
            <w:pPr>
              <w:keepNext/>
              <w:keepLines/>
              <w:spacing w:before="40" w:after="40"/>
              <w:ind w:left="393"/>
              <w:jc w:val="both"/>
              <w:rPr>
                <w:rFonts w:ascii="Arial" w:hAnsi="Arial" w:cs="Arial"/>
                <w:sz w:val="18"/>
                <w:szCs w:val="18"/>
              </w:rPr>
            </w:pPr>
            <w:r w:rsidRPr="00843651">
              <w:rPr>
                <w:rFonts w:ascii="Arial" w:hAnsi="Arial" w:cs="Arial"/>
                <w:sz w:val="18"/>
                <w:szCs w:val="18"/>
              </w:rPr>
              <w:t>No Petroleras</w:t>
            </w:r>
          </w:p>
        </w:tc>
        <w:tc>
          <w:tcPr>
            <w:tcW w:w="1069" w:type="dxa"/>
            <w:tcBorders>
              <w:top w:val="nil"/>
              <w:left w:val="nil"/>
              <w:bottom w:val="nil"/>
              <w:right w:val="double" w:sz="4" w:space="0" w:color="0F243E" w:themeColor="text2" w:themeShade="80"/>
            </w:tcBorders>
            <w:vAlign w:val="center"/>
          </w:tcPr>
          <w:p w14:paraId="3338D389" w14:textId="31146181" w:rsidR="00812AF2" w:rsidRPr="003C6884" w:rsidRDefault="00812AF2" w:rsidP="00812AF2">
            <w:pPr>
              <w:keepNext/>
              <w:keepLines/>
              <w:tabs>
                <w:tab w:val="decimal" w:pos="788"/>
              </w:tabs>
              <w:spacing w:before="40" w:after="40"/>
              <w:ind w:right="227"/>
              <w:jc w:val="right"/>
              <w:rPr>
                <w:rFonts w:ascii="Arial" w:hAnsi="Arial" w:cs="Arial"/>
                <w:bCs/>
                <w:sz w:val="18"/>
                <w:szCs w:val="18"/>
              </w:rPr>
            </w:pPr>
            <w:r w:rsidRPr="003C6884">
              <w:rPr>
                <w:rFonts w:ascii="Arial" w:hAnsi="Arial" w:cs="Arial"/>
                <w:bCs/>
                <w:sz w:val="18"/>
                <w:szCs w:val="18"/>
              </w:rPr>
              <w:t>420,083</w:t>
            </w:r>
          </w:p>
        </w:tc>
        <w:tc>
          <w:tcPr>
            <w:tcW w:w="1096" w:type="dxa"/>
            <w:tcBorders>
              <w:top w:val="nil"/>
              <w:left w:val="nil"/>
              <w:bottom w:val="nil"/>
              <w:right w:val="double" w:sz="4" w:space="0" w:color="0F243E" w:themeColor="text2" w:themeShade="80"/>
            </w:tcBorders>
            <w:vAlign w:val="center"/>
          </w:tcPr>
          <w:p w14:paraId="26180EAE" w14:textId="7DB58D77" w:rsidR="00812AF2" w:rsidRPr="003C6884" w:rsidRDefault="00812AF2" w:rsidP="00812AF2">
            <w:pPr>
              <w:keepNext/>
              <w:keepLines/>
              <w:tabs>
                <w:tab w:val="decimal" w:pos="788"/>
              </w:tabs>
              <w:spacing w:before="40" w:after="40"/>
              <w:ind w:right="227"/>
              <w:jc w:val="right"/>
              <w:rPr>
                <w:rFonts w:ascii="Arial" w:hAnsi="Arial" w:cs="Arial"/>
                <w:bCs/>
                <w:sz w:val="18"/>
                <w:szCs w:val="18"/>
              </w:rPr>
            </w:pPr>
            <w:r w:rsidRPr="003C6884">
              <w:rPr>
                <w:rFonts w:ascii="Arial" w:hAnsi="Arial" w:cs="Arial"/>
                <w:bCs/>
                <w:sz w:val="18"/>
                <w:szCs w:val="18"/>
              </w:rPr>
              <w:t>434,862</w:t>
            </w:r>
          </w:p>
        </w:tc>
        <w:tc>
          <w:tcPr>
            <w:tcW w:w="1096" w:type="dxa"/>
            <w:tcBorders>
              <w:top w:val="nil"/>
              <w:left w:val="double" w:sz="4" w:space="0" w:color="0F243E" w:themeColor="text2" w:themeShade="80"/>
              <w:bottom w:val="nil"/>
              <w:right w:val="nil"/>
            </w:tcBorders>
            <w:vAlign w:val="center"/>
          </w:tcPr>
          <w:p w14:paraId="03F7EFDF" w14:textId="672FDA17" w:rsidR="00812AF2" w:rsidRPr="003C6884" w:rsidRDefault="00812AF2" w:rsidP="00812AF2">
            <w:pPr>
              <w:keepNext/>
              <w:keepLines/>
              <w:tabs>
                <w:tab w:val="decimal" w:pos="788"/>
              </w:tabs>
              <w:spacing w:before="40" w:after="40"/>
              <w:ind w:right="227"/>
              <w:jc w:val="right"/>
              <w:rPr>
                <w:rFonts w:ascii="Arial" w:hAnsi="Arial" w:cs="Arial"/>
                <w:bCs/>
                <w:sz w:val="18"/>
                <w:szCs w:val="18"/>
              </w:rPr>
            </w:pPr>
            <w:r w:rsidRPr="003C6884">
              <w:rPr>
                <w:rFonts w:ascii="Arial" w:hAnsi="Arial" w:cs="Arial"/>
                <w:bCs/>
                <w:sz w:val="18"/>
                <w:szCs w:val="18"/>
              </w:rPr>
              <w:t>37,097</w:t>
            </w:r>
          </w:p>
        </w:tc>
        <w:tc>
          <w:tcPr>
            <w:tcW w:w="1096" w:type="dxa"/>
            <w:tcBorders>
              <w:top w:val="nil"/>
              <w:left w:val="nil"/>
              <w:bottom w:val="nil"/>
              <w:right w:val="nil"/>
            </w:tcBorders>
            <w:vAlign w:val="center"/>
          </w:tcPr>
          <w:p w14:paraId="59B9FC80" w14:textId="5AA3AC23" w:rsidR="00812AF2" w:rsidRPr="003C6884" w:rsidRDefault="00812AF2" w:rsidP="00812AF2">
            <w:pPr>
              <w:keepNext/>
              <w:keepLines/>
              <w:tabs>
                <w:tab w:val="decimal" w:pos="788"/>
              </w:tabs>
              <w:spacing w:before="40" w:after="40"/>
              <w:ind w:right="227"/>
              <w:jc w:val="right"/>
              <w:rPr>
                <w:rFonts w:ascii="Arial" w:hAnsi="Arial" w:cs="Arial"/>
                <w:bCs/>
                <w:sz w:val="18"/>
                <w:szCs w:val="18"/>
              </w:rPr>
            </w:pPr>
            <w:r w:rsidRPr="003C6884">
              <w:rPr>
                <w:rFonts w:ascii="Arial" w:hAnsi="Arial" w:cs="Arial"/>
                <w:bCs/>
                <w:sz w:val="18"/>
                <w:szCs w:val="18"/>
              </w:rPr>
              <w:t>22,627</w:t>
            </w:r>
          </w:p>
        </w:tc>
        <w:tc>
          <w:tcPr>
            <w:tcW w:w="1096" w:type="dxa"/>
            <w:tcBorders>
              <w:top w:val="nil"/>
              <w:left w:val="nil"/>
              <w:bottom w:val="nil"/>
              <w:right w:val="nil"/>
            </w:tcBorders>
            <w:vAlign w:val="center"/>
          </w:tcPr>
          <w:p w14:paraId="4F18A712" w14:textId="162A2E47" w:rsidR="00812AF2" w:rsidRPr="003C6884" w:rsidRDefault="00966DCF" w:rsidP="00812AF2">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17,14</w:t>
            </w:r>
            <w:r w:rsidR="00A96576">
              <w:rPr>
                <w:rFonts w:ascii="Arial" w:hAnsi="Arial" w:cs="Arial"/>
                <w:bCs/>
                <w:sz w:val="18"/>
                <w:szCs w:val="18"/>
              </w:rPr>
              <w:t>0</w:t>
            </w:r>
          </w:p>
        </w:tc>
        <w:tc>
          <w:tcPr>
            <w:tcW w:w="1095" w:type="dxa"/>
            <w:tcBorders>
              <w:top w:val="nil"/>
              <w:left w:val="nil"/>
              <w:bottom w:val="nil"/>
              <w:right w:val="double" w:sz="4" w:space="0" w:color="0F243E" w:themeColor="text2" w:themeShade="80"/>
            </w:tcBorders>
            <w:vAlign w:val="center"/>
          </w:tcPr>
          <w:p w14:paraId="7FCE3EF1" w14:textId="563A7E5A" w:rsidR="00812AF2" w:rsidRPr="003C6884" w:rsidRDefault="00A96576" w:rsidP="00812AF2">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143,191</w:t>
            </w:r>
          </w:p>
        </w:tc>
      </w:tr>
      <w:tr w:rsidR="00812AF2" w:rsidRPr="00843651" w14:paraId="0104275A" w14:textId="77777777" w:rsidTr="003C6884">
        <w:trPr>
          <w:jc w:val="center"/>
        </w:trPr>
        <w:tc>
          <w:tcPr>
            <w:tcW w:w="2508" w:type="dxa"/>
            <w:tcBorders>
              <w:top w:val="nil"/>
              <w:left w:val="double" w:sz="4" w:space="0" w:color="0F243E" w:themeColor="text2" w:themeShade="80"/>
              <w:bottom w:val="nil"/>
              <w:right w:val="double" w:sz="4" w:space="0" w:color="0F243E" w:themeColor="text2" w:themeShade="80"/>
            </w:tcBorders>
            <w:vAlign w:val="center"/>
          </w:tcPr>
          <w:p w14:paraId="25C76C11" w14:textId="77777777" w:rsidR="00812AF2" w:rsidRPr="00843651" w:rsidRDefault="00812AF2" w:rsidP="00812AF2">
            <w:pPr>
              <w:keepNext/>
              <w:keepLines/>
              <w:spacing w:before="40" w:after="40"/>
              <w:ind w:left="183"/>
              <w:jc w:val="both"/>
              <w:rPr>
                <w:rFonts w:ascii="Arial" w:hAnsi="Arial" w:cs="Arial"/>
                <w:b/>
                <w:sz w:val="18"/>
                <w:szCs w:val="18"/>
              </w:rPr>
            </w:pPr>
            <w:r w:rsidRPr="00843651">
              <w:rPr>
                <w:rFonts w:ascii="Arial" w:hAnsi="Arial" w:cs="Arial"/>
                <w:b/>
                <w:spacing w:val="-6"/>
                <w:sz w:val="18"/>
                <w:szCs w:val="18"/>
              </w:rPr>
              <w:t>Importaciones Totales</w:t>
            </w:r>
          </w:p>
        </w:tc>
        <w:tc>
          <w:tcPr>
            <w:tcW w:w="1069" w:type="dxa"/>
            <w:tcBorders>
              <w:top w:val="nil"/>
              <w:left w:val="nil"/>
              <w:bottom w:val="nil"/>
              <w:right w:val="double" w:sz="4" w:space="0" w:color="0F243E" w:themeColor="text2" w:themeShade="80"/>
            </w:tcBorders>
            <w:vAlign w:val="center"/>
          </w:tcPr>
          <w:p w14:paraId="6E899CD8" w14:textId="2D500357" w:rsidR="00812AF2" w:rsidRDefault="00812AF2" w:rsidP="00812AF2">
            <w:pPr>
              <w:keepNext/>
              <w:keepLines/>
              <w:tabs>
                <w:tab w:val="decimal" w:pos="788"/>
              </w:tabs>
              <w:spacing w:before="40" w:after="40"/>
              <w:ind w:right="227"/>
              <w:jc w:val="right"/>
              <w:rPr>
                <w:rFonts w:ascii="Arial" w:hAnsi="Arial" w:cs="Arial"/>
                <w:b/>
                <w:bCs/>
                <w:sz w:val="18"/>
                <w:szCs w:val="18"/>
              </w:rPr>
            </w:pPr>
            <w:r w:rsidRPr="003C6884">
              <w:rPr>
                <w:rFonts w:ascii="Arial" w:hAnsi="Arial" w:cs="Arial"/>
                <w:b/>
                <w:bCs/>
                <w:sz w:val="18"/>
                <w:szCs w:val="18"/>
              </w:rPr>
              <w:t>464,302</w:t>
            </w:r>
          </w:p>
        </w:tc>
        <w:tc>
          <w:tcPr>
            <w:tcW w:w="1096" w:type="dxa"/>
            <w:tcBorders>
              <w:top w:val="nil"/>
              <w:left w:val="nil"/>
              <w:bottom w:val="nil"/>
              <w:right w:val="double" w:sz="4" w:space="0" w:color="0F243E" w:themeColor="text2" w:themeShade="80"/>
            </w:tcBorders>
            <w:vAlign w:val="center"/>
          </w:tcPr>
          <w:p w14:paraId="3052EE0D" w14:textId="77BBF3B1" w:rsidR="00812AF2" w:rsidRDefault="00812AF2" w:rsidP="00812AF2">
            <w:pPr>
              <w:keepNext/>
              <w:keepLines/>
              <w:tabs>
                <w:tab w:val="decimal" w:pos="788"/>
              </w:tabs>
              <w:spacing w:before="40" w:after="40"/>
              <w:ind w:right="227"/>
              <w:jc w:val="right"/>
              <w:rPr>
                <w:rFonts w:ascii="Arial" w:hAnsi="Arial" w:cs="Arial"/>
                <w:b/>
                <w:bCs/>
                <w:sz w:val="18"/>
                <w:szCs w:val="18"/>
              </w:rPr>
            </w:pPr>
            <w:r w:rsidRPr="003C6884">
              <w:rPr>
                <w:rFonts w:ascii="Arial" w:hAnsi="Arial" w:cs="Arial"/>
                <w:b/>
                <w:bCs/>
                <w:sz w:val="18"/>
                <w:szCs w:val="18"/>
              </w:rPr>
              <w:t>455,295</w:t>
            </w:r>
          </w:p>
        </w:tc>
        <w:tc>
          <w:tcPr>
            <w:tcW w:w="1096" w:type="dxa"/>
            <w:tcBorders>
              <w:top w:val="nil"/>
              <w:left w:val="double" w:sz="4" w:space="0" w:color="0F243E" w:themeColor="text2" w:themeShade="80"/>
              <w:bottom w:val="nil"/>
              <w:right w:val="nil"/>
            </w:tcBorders>
            <w:vAlign w:val="center"/>
          </w:tcPr>
          <w:p w14:paraId="78832BA1" w14:textId="745E41C8" w:rsidR="00812AF2" w:rsidRDefault="00812AF2" w:rsidP="00812AF2">
            <w:pPr>
              <w:keepNext/>
              <w:keepLines/>
              <w:tabs>
                <w:tab w:val="decimal" w:pos="788"/>
              </w:tabs>
              <w:spacing w:before="40" w:after="40"/>
              <w:ind w:right="227"/>
              <w:jc w:val="right"/>
              <w:rPr>
                <w:rFonts w:ascii="Arial" w:hAnsi="Arial" w:cs="Arial"/>
                <w:b/>
                <w:bCs/>
                <w:sz w:val="18"/>
                <w:szCs w:val="18"/>
              </w:rPr>
            </w:pPr>
            <w:r w:rsidRPr="003C6884">
              <w:rPr>
                <w:rFonts w:ascii="Arial" w:hAnsi="Arial" w:cs="Arial"/>
                <w:b/>
                <w:bCs/>
                <w:sz w:val="18"/>
                <w:szCs w:val="18"/>
              </w:rPr>
              <w:t>35,007</w:t>
            </w:r>
          </w:p>
        </w:tc>
        <w:tc>
          <w:tcPr>
            <w:tcW w:w="1096" w:type="dxa"/>
            <w:tcBorders>
              <w:top w:val="nil"/>
              <w:left w:val="nil"/>
              <w:bottom w:val="nil"/>
              <w:right w:val="nil"/>
            </w:tcBorders>
            <w:vAlign w:val="center"/>
          </w:tcPr>
          <w:p w14:paraId="5B2DC78F" w14:textId="4C251B6D" w:rsidR="00812AF2" w:rsidRDefault="00812AF2" w:rsidP="00812AF2">
            <w:pPr>
              <w:keepNext/>
              <w:keepLines/>
              <w:tabs>
                <w:tab w:val="decimal" w:pos="788"/>
              </w:tabs>
              <w:spacing w:before="40" w:after="40"/>
              <w:ind w:right="227"/>
              <w:jc w:val="right"/>
              <w:rPr>
                <w:rFonts w:ascii="Arial" w:hAnsi="Arial" w:cs="Arial"/>
                <w:b/>
                <w:bCs/>
                <w:sz w:val="18"/>
                <w:szCs w:val="18"/>
              </w:rPr>
            </w:pPr>
            <w:r w:rsidRPr="003C6884">
              <w:rPr>
                <w:rFonts w:ascii="Arial" w:hAnsi="Arial" w:cs="Arial"/>
                <w:b/>
                <w:bCs/>
                <w:sz w:val="18"/>
                <w:szCs w:val="18"/>
              </w:rPr>
              <w:t>26,472</w:t>
            </w:r>
          </w:p>
        </w:tc>
        <w:tc>
          <w:tcPr>
            <w:tcW w:w="1096" w:type="dxa"/>
            <w:tcBorders>
              <w:top w:val="nil"/>
              <w:left w:val="nil"/>
              <w:bottom w:val="nil"/>
              <w:right w:val="nil"/>
            </w:tcBorders>
            <w:vAlign w:val="center"/>
          </w:tcPr>
          <w:p w14:paraId="064D8D66" w14:textId="5F5A94C9" w:rsidR="00812AF2" w:rsidRDefault="00966DCF" w:rsidP="00812AF2">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21,592</w:t>
            </w:r>
          </w:p>
        </w:tc>
        <w:tc>
          <w:tcPr>
            <w:tcW w:w="1095" w:type="dxa"/>
            <w:tcBorders>
              <w:top w:val="nil"/>
              <w:left w:val="nil"/>
              <w:bottom w:val="nil"/>
              <w:right w:val="double" w:sz="4" w:space="0" w:color="0F243E" w:themeColor="text2" w:themeShade="80"/>
            </w:tcBorders>
            <w:vAlign w:val="center"/>
          </w:tcPr>
          <w:p w14:paraId="68362A5D" w14:textId="021C7BB2" w:rsidR="00812AF2" w:rsidRDefault="00A96576" w:rsidP="00812AF2">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152,864</w:t>
            </w:r>
          </w:p>
        </w:tc>
      </w:tr>
      <w:tr w:rsidR="00812AF2" w:rsidRPr="00843651" w14:paraId="709051BD" w14:textId="77777777" w:rsidTr="003C6884">
        <w:trPr>
          <w:jc w:val="center"/>
        </w:trPr>
        <w:tc>
          <w:tcPr>
            <w:tcW w:w="2508" w:type="dxa"/>
            <w:tcBorders>
              <w:top w:val="nil"/>
              <w:left w:val="double" w:sz="4" w:space="0" w:color="0F243E" w:themeColor="text2" w:themeShade="80"/>
              <w:bottom w:val="nil"/>
              <w:right w:val="double" w:sz="4" w:space="0" w:color="0F243E" w:themeColor="text2" w:themeShade="80"/>
            </w:tcBorders>
            <w:vAlign w:val="center"/>
          </w:tcPr>
          <w:p w14:paraId="17665AF3" w14:textId="77777777" w:rsidR="00812AF2" w:rsidRPr="00843651" w:rsidRDefault="00812AF2" w:rsidP="00812AF2">
            <w:pPr>
              <w:keepNext/>
              <w:keepLines/>
              <w:spacing w:before="40" w:after="40"/>
              <w:ind w:left="393"/>
              <w:jc w:val="both"/>
              <w:rPr>
                <w:rFonts w:ascii="Arial" w:hAnsi="Arial" w:cs="Arial"/>
                <w:sz w:val="18"/>
                <w:szCs w:val="18"/>
              </w:rPr>
            </w:pPr>
            <w:r w:rsidRPr="00843651">
              <w:rPr>
                <w:rFonts w:ascii="Arial" w:hAnsi="Arial" w:cs="Arial"/>
                <w:sz w:val="18"/>
                <w:szCs w:val="18"/>
              </w:rPr>
              <w:t>Petroleras</w:t>
            </w:r>
          </w:p>
        </w:tc>
        <w:tc>
          <w:tcPr>
            <w:tcW w:w="1069" w:type="dxa"/>
            <w:tcBorders>
              <w:top w:val="nil"/>
              <w:left w:val="nil"/>
              <w:bottom w:val="nil"/>
              <w:right w:val="double" w:sz="4" w:space="0" w:color="0F243E" w:themeColor="text2" w:themeShade="80"/>
            </w:tcBorders>
            <w:vAlign w:val="center"/>
          </w:tcPr>
          <w:p w14:paraId="4CBBD90B" w14:textId="29C2ECD1" w:rsidR="00812AF2" w:rsidRPr="003C6884" w:rsidRDefault="00812AF2" w:rsidP="00812AF2">
            <w:pPr>
              <w:keepNext/>
              <w:keepLines/>
              <w:tabs>
                <w:tab w:val="decimal" w:pos="788"/>
              </w:tabs>
              <w:spacing w:before="40" w:after="40"/>
              <w:ind w:right="227"/>
              <w:jc w:val="right"/>
              <w:rPr>
                <w:rFonts w:ascii="Arial" w:hAnsi="Arial" w:cs="Arial"/>
                <w:bCs/>
                <w:sz w:val="18"/>
                <w:szCs w:val="18"/>
              </w:rPr>
            </w:pPr>
            <w:r w:rsidRPr="003C6884">
              <w:rPr>
                <w:rFonts w:ascii="Arial" w:hAnsi="Arial" w:cs="Arial"/>
                <w:bCs/>
                <w:sz w:val="18"/>
                <w:szCs w:val="18"/>
              </w:rPr>
              <w:t>53,762</w:t>
            </w:r>
          </w:p>
        </w:tc>
        <w:tc>
          <w:tcPr>
            <w:tcW w:w="1096" w:type="dxa"/>
            <w:tcBorders>
              <w:top w:val="nil"/>
              <w:left w:val="nil"/>
              <w:bottom w:val="nil"/>
              <w:right w:val="double" w:sz="4" w:space="0" w:color="0F243E" w:themeColor="text2" w:themeShade="80"/>
            </w:tcBorders>
            <w:vAlign w:val="center"/>
          </w:tcPr>
          <w:p w14:paraId="5D826C40" w14:textId="689ABCB5" w:rsidR="00812AF2" w:rsidRPr="003C6884" w:rsidRDefault="00812AF2" w:rsidP="00812AF2">
            <w:pPr>
              <w:keepNext/>
              <w:keepLines/>
              <w:tabs>
                <w:tab w:val="decimal" w:pos="788"/>
              </w:tabs>
              <w:spacing w:before="40" w:after="40"/>
              <w:ind w:right="227"/>
              <w:jc w:val="right"/>
              <w:rPr>
                <w:rFonts w:ascii="Arial" w:hAnsi="Arial" w:cs="Arial"/>
                <w:bCs/>
                <w:sz w:val="18"/>
                <w:szCs w:val="18"/>
              </w:rPr>
            </w:pPr>
            <w:r w:rsidRPr="003C6884">
              <w:rPr>
                <w:rFonts w:ascii="Arial" w:hAnsi="Arial" w:cs="Arial"/>
                <w:bCs/>
                <w:sz w:val="18"/>
                <w:szCs w:val="18"/>
              </w:rPr>
              <w:t>47,207</w:t>
            </w:r>
          </w:p>
        </w:tc>
        <w:tc>
          <w:tcPr>
            <w:tcW w:w="1096" w:type="dxa"/>
            <w:tcBorders>
              <w:top w:val="nil"/>
              <w:left w:val="double" w:sz="4" w:space="0" w:color="0F243E" w:themeColor="text2" w:themeShade="80"/>
              <w:bottom w:val="nil"/>
              <w:right w:val="nil"/>
            </w:tcBorders>
            <w:vAlign w:val="center"/>
          </w:tcPr>
          <w:p w14:paraId="6F7FAEF6" w14:textId="1DF67286" w:rsidR="00812AF2" w:rsidRPr="003C6884" w:rsidRDefault="00812AF2" w:rsidP="00812AF2">
            <w:pPr>
              <w:keepNext/>
              <w:keepLines/>
              <w:tabs>
                <w:tab w:val="decimal" w:pos="788"/>
              </w:tabs>
              <w:spacing w:before="40" w:after="40"/>
              <w:ind w:right="227"/>
              <w:jc w:val="right"/>
              <w:rPr>
                <w:rFonts w:ascii="Arial" w:hAnsi="Arial" w:cs="Arial"/>
                <w:bCs/>
                <w:sz w:val="18"/>
                <w:szCs w:val="18"/>
              </w:rPr>
            </w:pPr>
            <w:r w:rsidRPr="003C6884">
              <w:rPr>
                <w:rFonts w:ascii="Arial" w:hAnsi="Arial" w:cs="Arial"/>
                <w:bCs/>
                <w:sz w:val="18"/>
                <w:szCs w:val="18"/>
              </w:rPr>
              <w:t>3,216</w:t>
            </w:r>
          </w:p>
        </w:tc>
        <w:tc>
          <w:tcPr>
            <w:tcW w:w="1096" w:type="dxa"/>
            <w:tcBorders>
              <w:top w:val="nil"/>
              <w:left w:val="nil"/>
              <w:bottom w:val="nil"/>
              <w:right w:val="nil"/>
            </w:tcBorders>
            <w:vAlign w:val="center"/>
          </w:tcPr>
          <w:p w14:paraId="1067F9CC" w14:textId="5D2C397B" w:rsidR="00812AF2" w:rsidRPr="003C6884" w:rsidRDefault="00812AF2" w:rsidP="00812AF2">
            <w:pPr>
              <w:keepNext/>
              <w:keepLines/>
              <w:tabs>
                <w:tab w:val="decimal" w:pos="788"/>
              </w:tabs>
              <w:spacing w:before="40" w:after="40"/>
              <w:ind w:right="227"/>
              <w:jc w:val="right"/>
              <w:rPr>
                <w:rFonts w:ascii="Arial" w:hAnsi="Arial" w:cs="Arial"/>
                <w:bCs/>
                <w:sz w:val="18"/>
                <w:szCs w:val="18"/>
              </w:rPr>
            </w:pPr>
            <w:r w:rsidRPr="003C6884">
              <w:rPr>
                <w:rFonts w:ascii="Arial" w:hAnsi="Arial" w:cs="Arial"/>
                <w:bCs/>
                <w:sz w:val="18"/>
                <w:szCs w:val="18"/>
              </w:rPr>
              <w:t>2,037</w:t>
            </w:r>
          </w:p>
        </w:tc>
        <w:tc>
          <w:tcPr>
            <w:tcW w:w="1096" w:type="dxa"/>
            <w:tcBorders>
              <w:top w:val="nil"/>
              <w:left w:val="nil"/>
              <w:bottom w:val="nil"/>
              <w:right w:val="nil"/>
            </w:tcBorders>
            <w:vAlign w:val="center"/>
          </w:tcPr>
          <w:p w14:paraId="7FE6C645" w14:textId="655BE565" w:rsidR="00812AF2" w:rsidRPr="003C6884" w:rsidRDefault="00966DCF" w:rsidP="00812AF2">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1,399</w:t>
            </w:r>
          </w:p>
        </w:tc>
        <w:tc>
          <w:tcPr>
            <w:tcW w:w="1095" w:type="dxa"/>
            <w:tcBorders>
              <w:top w:val="nil"/>
              <w:left w:val="nil"/>
              <w:bottom w:val="nil"/>
              <w:right w:val="double" w:sz="4" w:space="0" w:color="0F243E" w:themeColor="text2" w:themeShade="80"/>
            </w:tcBorders>
            <w:vAlign w:val="center"/>
          </w:tcPr>
          <w:p w14:paraId="535149FD" w14:textId="2925DCE0" w:rsidR="00812AF2" w:rsidRPr="003C6884" w:rsidRDefault="00A96576" w:rsidP="00812AF2">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14,018</w:t>
            </w:r>
          </w:p>
        </w:tc>
      </w:tr>
      <w:tr w:rsidR="00812AF2" w:rsidRPr="00843651" w14:paraId="31A6D780" w14:textId="77777777" w:rsidTr="003C6884">
        <w:trPr>
          <w:jc w:val="center"/>
        </w:trPr>
        <w:tc>
          <w:tcPr>
            <w:tcW w:w="2508" w:type="dxa"/>
            <w:tcBorders>
              <w:top w:val="nil"/>
              <w:left w:val="double" w:sz="4" w:space="0" w:color="0F243E" w:themeColor="text2" w:themeShade="80"/>
              <w:bottom w:val="nil"/>
              <w:right w:val="double" w:sz="4" w:space="0" w:color="0F243E" w:themeColor="text2" w:themeShade="80"/>
            </w:tcBorders>
            <w:vAlign w:val="center"/>
          </w:tcPr>
          <w:p w14:paraId="6B9CAFE7" w14:textId="77777777" w:rsidR="00812AF2" w:rsidRPr="00843651" w:rsidRDefault="00812AF2" w:rsidP="00812AF2">
            <w:pPr>
              <w:keepNext/>
              <w:keepLines/>
              <w:spacing w:before="40" w:after="40"/>
              <w:ind w:left="393"/>
              <w:jc w:val="both"/>
              <w:rPr>
                <w:rFonts w:ascii="Arial" w:hAnsi="Arial" w:cs="Arial"/>
                <w:sz w:val="18"/>
                <w:szCs w:val="18"/>
              </w:rPr>
            </w:pPr>
            <w:r w:rsidRPr="00843651">
              <w:rPr>
                <w:rFonts w:ascii="Arial" w:hAnsi="Arial" w:cs="Arial"/>
                <w:sz w:val="18"/>
                <w:szCs w:val="18"/>
              </w:rPr>
              <w:t>No Petroleras</w:t>
            </w:r>
          </w:p>
        </w:tc>
        <w:tc>
          <w:tcPr>
            <w:tcW w:w="1069" w:type="dxa"/>
            <w:tcBorders>
              <w:top w:val="nil"/>
              <w:left w:val="nil"/>
              <w:bottom w:val="nil"/>
              <w:right w:val="double" w:sz="4" w:space="0" w:color="0F243E" w:themeColor="text2" w:themeShade="80"/>
            </w:tcBorders>
            <w:vAlign w:val="center"/>
          </w:tcPr>
          <w:p w14:paraId="75150EA6" w14:textId="4EA59E76" w:rsidR="00812AF2" w:rsidRPr="003C6884" w:rsidRDefault="00812AF2" w:rsidP="00812AF2">
            <w:pPr>
              <w:keepNext/>
              <w:keepLines/>
              <w:tabs>
                <w:tab w:val="decimal" w:pos="788"/>
              </w:tabs>
              <w:spacing w:before="40" w:after="40"/>
              <w:ind w:right="227"/>
              <w:jc w:val="right"/>
              <w:rPr>
                <w:rFonts w:ascii="Arial" w:hAnsi="Arial" w:cs="Arial"/>
                <w:bCs/>
                <w:sz w:val="18"/>
                <w:szCs w:val="18"/>
              </w:rPr>
            </w:pPr>
            <w:r w:rsidRPr="003C6884">
              <w:rPr>
                <w:rFonts w:ascii="Arial" w:hAnsi="Arial" w:cs="Arial"/>
                <w:bCs/>
                <w:sz w:val="18"/>
                <w:szCs w:val="18"/>
              </w:rPr>
              <w:t>410,541</w:t>
            </w:r>
          </w:p>
        </w:tc>
        <w:tc>
          <w:tcPr>
            <w:tcW w:w="1096" w:type="dxa"/>
            <w:tcBorders>
              <w:top w:val="nil"/>
              <w:left w:val="nil"/>
              <w:bottom w:val="nil"/>
              <w:right w:val="double" w:sz="4" w:space="0" w:color="0F243E" w:themeColor="text2" w:themeShade="80"/>
            </w:tcBorders>
            <w:vAlign w:val="center"/>
          </w:tcPr>
          <w:p w14:paraId="43DFFF80" w14:textId="0EF91B08" w:rsidR="00812AF2" w:rsidRPr="003C6884" w:rsidRDefault="00812AF2" w:rsidP="00812AF2">
            <w:pPr>
              <w:keepNext/>
              <w:keepLines/>
              <w:tabs>
                <w:tab w:val="decimal" w:pos="788"/>
              </w:tabs>
              <w:spacing w:before="40" w:after="40"/>
              <w:ind w:right="227"/>
              <w:jc w:val="right"/>
              <w:rPr>
                <w:rFonts w:ascii="Arial" w:hAnsi="Arial" w:cs="Arial"/>
                <w:bCs/>
                <w:sz w:val="18"/>
                <w:szCs w:val="18"/>
              </w:rPr>
            </w:pPr>
            <w:r w:rsidRPr="003C6884">
              <w:rPr>
                <w:rFonts w:ascii="Arial" w:hAnsi="Arial" w:cs="Arial"/>
                <w:bCs/>
                <w:sz w:val="18"/>
                <w:szCs w:val="18"/>
              </w:rPr>
              <w:t>408,088</w:t>
            </w:r>
          </w:p>
        </w:tc>
        <w:tc>
          <w:tcPr>
            <w:tcW w:w="1096" w:type="dxa"/>
            <w:tcBorders>
              <w:top w:val="nil"/>
              <w:left w:val="double" w:sz="4" w:space="0" w:color="0F243E" w:themeColor="text2" w:themeShade="80"/>
              <w:bottom w:val="nil"/>
              <w:right w:val="nil"/>
            </w:tcBorders>
            <w:vAlign w:val="center"/>
          </w:tcPr>
          <w:p w14:paraId="03599B75" w14:textId="73A4B9AE" w:rsidR="00812AF2" w:rsidRPr="003C6884" w:rsidRDefault="00812AF2" w:rsidP="00812AF2">
            <w:pPr>
              <w:keepNext/>
              <w:keepLines/>
              <w:tabs>
                <w:tab w:val="decimal" w:pos="788"/>
              </w:tabs>
              <w:spacing w:before="40" w:after="40"/>
              <w:ind w:right="227"/>
              <w:jc w:val="right"/>
              <w:rPr>
                <w:rFonts w:ascii="Arial" w:hAnsi="Arial" w:cs="Arial"/>
                <w:bCs/>
                <w:sz w:val="18"/>
                <w:szCs w:val="18"/>
              </w:rPr>
            </w:pPr>
            <w:r w:rsidRPr="003C6884">
              <w:rPr>
                <w:rFonts w:ascii="Arial" w:hAnsi="Arial" w:cs="Arial"/>
                <w:bCs/>
                <w:sz w:val="18"/>
                <w:szCs w:val="18"/>
              </w:rPr>
              <w:t>31,791</w:t>
            </w:r>
          </w:p>
        </w:tc>
        <w:tc>
          <w:tcPr>
            <w:tcW w:w="1096" w:type="dxa"/>
            <w:tcBorders>
              <w:top w:val="nil"/>
              <w:left w:val="nil"/>
              <w:bottom w:val="nil"/>
              <w:right w:val="nil"/>
            </w:tcBorders>
            <w:vAlign w:val="center"/>
          </w:tcPr>
          <w:p w14:paraId="1FAD95B2" w14:textId="31A3E35E" w:rsidR="00812AF2" w:rsidRPr="003C6884" w:rsidRDefault="00812AF2" w:rsidP="00812AF2">
            <w:pPr>
              <w:keepNext/>
              <w:keepLines/>
              <w:tabs>
                <w:tab w:val="decimal" w:pos="788"/>
              </w:tabs>
              <w:spacing w:before="40" w:after="40"/>
              <w:ind w:right="227"/>
              <w:jc w:val="right"/>
              <w:rPr>
                <w:rFonts w:ascii="Arial" w:hAnsi="Arial" w:cs="Arial"/>
                <w:bCs/>
                <w:sz w:val="18"/>
                <w:szCs w:val="18"/>
              </w:rPr>
            </w:pPr>
            <w:r w:rsidRPr="003C6884">
              <w:rPr>
                <w:rFonts w:ascii="Arial" w:hAnsi="Arial" w:cs="Arial"/>
                <w:bCs/>
                <w:sz w:val="18"/>
                <w:szCs w:val="18"/>
              </w:rPr>
              <w:t>24,435</w:t>
            </w:r>
          </w:p>
        </w:tc>
        <w:tc>
          <w:tcPr>
            <w:tcW w:w="1096" w:type="dxa"/>
            <w:tcBorders>
              <w:top w:val="nil"/>
              <w:left w:val="nil"/>
              <w:bottom w:val="nil"/>
              <w:right w:val="nil"/>
            </w:tcBorders>
            <w:vAlign w:val="center"/>
          </w:tcPr>
          <w:p w14:paraId="61549E5C" w14:textId="1BCD1286" w:rsidR="00812AF2" w:rsidRPr="003C6884" w:rsidRDefault="00966DCF" w:rsidP="00812AF2">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20,193</w:t>
            </w:r>
          </w:p>
        </w:tc>
        <w:tc>
          <w:tcPr>
            <w:tcW w:w="1095" w:type="dxa"/>
            <w:tcBorders>
              <w:top w:val="nil"/>
              <w:left w:val="nil"/>
              <w:bottom w:val="nil"/>
              <w:right w:val="double" w:sz="4" w:space="0" w:color="0F243E" w:themeColor="text2" w:themeShade="80"/>
            </w:tcBorders>
            <w:vAlign w:val="center"/>
          </w:tcPr>
          <w:p w14:paraId="064C2151" w14:textId="43426C42" w:rsidR="00812AF2" w:rsidRPr="003C6884" w:rsidRDefault="00A96576" w:rsidP="00812AF2">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138,847</w:t>
            </w:r>
          </w:p>
        </w:tc>
      </w:tr>
      <w:tr w:rsidR="00812AF2" w:rsidRPr="00843651" w14:paraId="207B0700" w14:textId="77777777" w:rsidTr="003C6884">
        <w:trPr>
          <w:jc w:val="center"/>
        </w:trPr>
        <w:tc>
          <w:tcPr>
            <w:tcW w:w="2508" w:type="dxa"/>
            <w:tcBorders>
              <w:top w:val="nil"/>
              <w:left w:val="double" w:sz="4" w:space="0" w:color="0F243E" w:themeColor="text2" w:themeShade="80"/>
              <w:bottom w:val="nil"/>
              <w:right w:val="double" w:sz="4" w:space="0" w:color="0F243E" w:themeColor="text2" w:themeShade="80"/>
            </w:tcBorders>
            <w:vAlign w:val="center"/>
          </w:tcPr>
          <w:p w14:paraId="68A61061" w14:textId="77777777" w:rsidR="00812AF2" w:rsidRPr="00843651" w:rsidRDefault="00812AF2" w:rsidP="00812AF2">
            <w:pPr>
              <w:keepNext/>
              <w:keepLines/>
              <w:spacing w:before="40" w:after="40"/>
              <w:ind w:left="183"/>
              <w:jc w:val="both"/>
              <w:rPr>
                <w:rFonts w:ascii="Arial" w:hAnsi="Arial" w:cs="Arial"/>
                <w:b/>
                <w:sz w:val="18"/>
                <w:szCs w:val="18"/>
              </w:rPr>
            </w:pPr>
            <w:r w:rsidRPr="00843651">
              <w:rPr>
                <w:rFonts w:ascii="Arial" w:hAnsi="Arial" w:cs="Arial"/>
                <w:b/>
                <w:sz w:val="18"/>
                <w:szCs w:val="18"/>
              </w:rPr>
              <w:t>Balanza Comercial Total</w:t>
            </w:r>
          </w:p>
        </w:tc>
        <w:tc>
          <w:tcPr>
            <w:tcW w:w="1069" w:type="dxa"/>
            <w:tcBorders>
              <w:top w:val="nil"/>
              <w:left w:val="nil"/>
              <w:bottom w:val="nil"/>
              <w:right w:val="double" w:sz="4" w:space="0" w:color="0F243E" w:themeColor="text2" w:themeShade="80"/>
            </w:tcBorders>
            <w:vAlign w:val="center"/>
          </w:tcPr>
          <w:p w14:paraId="45CF52FF" w14:textId="48AC8A31" w:rsidR="00812AF2" w:rsidRPr="00655EF9" w:rsidRDefault="00812AF2" w:rsidP="00812AF2">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 xml:space="preserve">(-) </w:t>
            </w:r>
            <w:r w:rsidRPr="003C6884">
              <w:rPr>
                <w:rFonts w:ascii="Arial" w:hAnsi="Arial" w:cs="Arial"/>
                <w:b/>
                <w:bCs/>
                <w:sz w:val="18"/>
                <w:szCs w:val="18"/>
              </w:rPr>
              <w:t>13,589</w:t>
            </w:r>
          </w:p>
        </w:tc>
        <w:tc>
          <w:tcPr>
            <w:tcW w:w="1096" w:type="dxa"/>
            <w:tcBorders>
              <w:top w:val="nil"/>
              <w:left w:val="nil"/>
              <w:bottom w:val="nil"/>
              <w:right w:val="double" w:sz="4" w:space="0" w:color="0F243E" w:themeColor="text2" w:themeShade="80"/>
            </w:tcBorders>
            <w:vAlign w:val="center"/>
          </w:tcPr>
          <w:p w14:paraId="3DAFE0D8" w14:textId="50B9EC4A" w:rsidR="00812AF2" w:rsidRPr="00655EF9" w:rsidRDefault="00812AF2" w:rsidP="00812AF2">
            <w:pPr>
              <w:keepNext/>
              <w:keepLines/>
              <w:tabs>
                <w:tab w:val="decimal" w:pos="788"/>
              </w:tabs>
              <w:spacing w:before="40" w:after="40"/>
              <w:ind w:right="227"/>
              <w:jc w:val="right"/>
              <w:rPr>
                <w:rFonts w:ascii="Arial" w:hAnsi="Arial" w:cs="Arial"/>
                <w:b/>
                <w:bCs/>
                <w:sz w:val="18"/>
                <w:szCs w:val="18"/>
              </w:rPr>
            </w:pPr>
            <w:r w:rsidRPr="003C6884">
              <w:rPr>
                <w:rFonts w:ascii="Arial" w:hAnsi="Arial" w:cs="Arial"/>
                <w:b/>
                <w:bCs/>
                <w:sz w:val="18"/>
                <w:szCs w:val="18"/>
              </w:rPr>
              <w:t>5,409</w:t>
            </w:r>
          </w:p>
        </w:tc>
        <w:tc>
          <w:tcPr>
            <w:tcW w:w="1096" w:type="dxa"/>
            <w:tcBorders>
              <w:top w:val="nil"/>
              <w:left w:val="double" w:sz="4" w:space="0" w:color="0F243E" w:themeColor="text2" w:themeShade="80"/>
              <w:bottom w:val="nil"/>
              <w:right w:val="nil"/>
            </w:tcBorders>
            <w:vAlign w:val="center"/>
          </w:tcPr>
          <w:p w14:paraId="1F51A100" w14:textId="4610883B" w:rsidR="00812AF2" w:rsidRPr="00655EF9" w:rsidRDefault="00812AF2" w:rsidP="00812AF2">
            <w:pPr>
              <w:keepNext/>
              <w:keepLines/>
              <w:tabs>
                <w:tab w:val="decimal" w:pos="788"/>
              </w:tabs>
              <w:spacing w:before="40" w:after="40"/>
              <w:ind w:right="227"/>
              <w:jc w:val="right"/>
              <w:rPr>
                <w:rFonts w:ascii="Arial" w:hAnsi="Arial" w:cs="Arial"/>
                <w:b/>
                <w:bCs/>
                <w:sz w:val="18"/>
                <w:szCs w:val="18"/>
              </w:rPr>
            </w:pPr>
            <w:r w:rsidRPr="003C6884">
              <w:rPr>
                <w:rFonts w:ascii="Arial" w:hAnsi="Arial" w:cs="Arial"/>
                <w:b/>
                <w:bCs/>
                <w:sz w:val="18"/>
                <w:szCs w:val="18"/>
              </w:rPr>
              <w:t>3,336</w:t>
            </w:r>
          </w:p>
        </w:tc>
        <w:tc>
          <w:tcPr>
            <w:tcW w:w="1096" w:type="dxa"/>
            <w:tcBorders>
              <w:top w:val="nil"/>
              <w:left w:val="nil"/>
              <w:bottom w:val="nil"/>
              <w:right w:val="nil"/>
            </w:tcBorders>
            <w:vAlign w:val="center"/>
          </w:tcPr>
          <w:p w14:paraId="199A515F" w14:textId="5C36865B" w:rsidR="00812AF2" w:rsidRDefault="00812AF2" w:rsidP="00812AF2">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 xml:space="preserve">(-) </w:t>
            </w:r>
            <w:r w:rsidRPr="003C6884">
              <w:rPr>
                <w:rFonts w:ascii="Arial" w:hAnsi="Arial" w:cs="Arial"/>
                <w:b/>
                <w:bCs/>
                <w:sz w:val="18"/>
                <w:szCs w:val="18"/>
              </w:rPr>
              <w:t>3,087</w:t>
            </w:r>
          </w:p>
        </w:tc>
        <w:tc>
          <w:tcPr>
            <w:tcW w:w="1096" w:type="dxa"/>
            <w:tcBorders>
              <w:top w:val="nil"/>
              <w:left w:val="nil"/>
              <w:bottom w:val="nil"/>
              <w:right w:val="nil"/>
            </w:tcBorders>
            <w:vAlign w:val="center"/>
          </w:tcPr>
          <w:p w14:paraId="50307138" w14:textId="5FC0A687" w:rsidR="00812AF2" w:rsidRDefault="00812AF2" w:rsidP="00BD35B1">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 xml:space="preserve">(-) </w:t>
            </w:r>
            <w:r w:rsidRPr="003C6884">
              <w:rPr>
                <w:rFonts w:ascii="Arial" w:hAnsi="Arial" w:cs="Arial"/>
                <w:b/>
                <w:bCs/>
                <w:sz w:val="18"/>
                <w:szCs w:val="18"/>
              </w:rPr>
              <w:t>3,</w:t>
            </w:r>
            <w:r w:rsidR="00BD35B1">
              <w:rPr>
                <w:rFonts w:ascii="Arial" w:hAnsi="Arial" w:cs="Arial"/>
                <w:b/>
                <w:bCs/>
                <w:sz w:val="18"/>
                <w:szCs w:val="18"/>
              </w:rPr>
              <w:t>523</w:t>
            </w:r>
          </w:p>
        </w:tc>
        <w:tc>
          <w:tcPr>
            <w:tcW w:w="1095" w:type="dxa"/>
            <w:tcBorders>
              <w:top w:val="nil"/>
              <w:left w:val="nil"/>
              <w:bottom w:val="nil"/>
              <w:right w:val="double" w:sz="4" w:space="0" w:color="0F243E" w:themeColor="text2" w:themeShade="80"/>
            </w:tcBorders>
            <w:vAlign w:val="center"/>
          </w:tcPr>
          <w:p w14:paraId="6D7444A9" w14:textId="22710136" w:rsidR="00812AF2" w:rsidRPr="00655EF9" w:rsidRDefault="00A96576" w:rsidP="00A96576">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 2,888</w:t>
            </w:r>
          </w:p>
        </w:tc>
      </w:tr>
      <w:tr w:rsidR="00812AF2" w:rsidRPr="00843651" w14:paraId="5D2D2230" w14:textId="77777777" w:rsidTr="003C6884">
        <w:trPr>
          <w:jc w:val="center"/>
        </w:trPr>
        <w:tc>
          <w:tcPr>
            <w:tcW w:w="2508" w:type="dxa"/>
            <w:tcBorders>
              <w:top w:val="nil"/>
              <w:left w:val="double" w:sz="4" w:space="0" w:color="0F243E" w:themeColor="text2" w:themeShade="80"/>
              <w:bottom w:val="nil"/>
              <w:right w:val="double" w:sz="4" w:space="0" w:color="0F243E" w:themeColor="text2" w:themeShade="80"/>
            </w:tcBorders>
            <w:vAlign w:val="center"/>
          </w:tcPr>
          <w:p w14:paraId="2AC84B5D" w14:textId="77777777" w:rsidR="00812AF2" w:rsidRPr="00843651" w:rsidRDefault="00812AF2" w:rsidP="00812AF2">
            <w:pPr>
              <w:keepNext/>
              <w:keepLines/>
              <w:spacing w:before="40" w:after="40"/>
              <w:ind w:left="393"/>
              <w:jc w:val="both"/>
              <w:rPr>
                <w:rFonts w:ascii="Arial" w:hAnsi="Arial" w:cs="Arial"/>
                <w:sz w:val="18"/>
                <w:szCs w:val="18"/>
              </w:rPr>
            </w:pPr>
            <w:r w:rsidRPr="00843651">
              <w:rPr>
                <w:rFonts w:ascii="Arial" w:hAnsi="Arial" w:cs="Arial"/>
                <w:sz w:val="18"/>
                <w:szCs w:val="18"/>
              </w:rPr>
              <w:t>Petrolera</w:t>
            </w:r>
          </w:p>
        </w:tc>
        <w:tc>
          <w:tcPr>
            <w:tcW w:w="1069" w:type="dxa"/>
            <w:tcBorders>
              <w:top w:val="nil"/>
              <w:left w:val="nil"/>
              <w:bottom w:val="nil"/>
              <w:right w:val="double" w:sz="4" w:space="0" w:color="0F243E" w:themeColor="text2" w:themeShade="80"/>
            </w:tcBorders>
            <w:vAlign w:val="center"/>
          </w:tcPr>
          <w:p w14:paraId="610009BF" w14:textId="69E2697D" w:rsidR="00812AF2" w:rsidRPr="003C6884" w:rsidRDefault="00812AF2" w:rsidP="00812AF2">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 xml:space="preserve">(-) </w:t>
            </w:r>
            <w:r w:rsidRPr="003C6884">
              <w:rPr>
                <w:rFonts w:ascii="Arial" w:hAnsi="Arial" w:cs="Arial"/>
                <w:bCs/>
                <w:sz w:val="18"/>
                <w:szCs w:val="18"/>
              </w:rPr>
              <w:t>23,132</w:t>
            </w:r>
          </w:p>
        </w:tc>
        <w:tc>
          <w:tcPr>
            <w:tcW w:w="1096" w:type="dxa"/>
            <w:tcBorders>
              <w:top w:val="nil"/>
              <w:left w:val="nil"/>
              <w:bottom w:val="nil"/>
              <w:right w:val="double" w:sz="4" w:space="0" w:color="0F243E" w:themeColor="text2" w:themeShade="80"/>
            </w:tcBorders>
            <w:vAlign w:val="center"/>
          </w:tcPr>
          <w:p w14:paraId="5982D1DB" w14:textId="060C7ED3" w:rsidR="00812AF2" w:rsidRPr="003C6884" w:rsidRDefault="00812AF2" w:rsidP="00812AF2">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 xml:space="preserve">(-) </w:t>
            </w:r>
            <w:r w:rsidRPr="003C6884">
              <w:rPr>
                <w:rFonts w:ascii="Arial" w:hAnsi="Arial" w:cs="Arial"/>
                <w:bCs/>
                <w:sz w:val="18"/>
                <w:szCs w:val="18"/>
              </w:rPr>
              <w:t>21,365</w:t>
            </w:r>
          </w:p>
        </w:tc>
        <w:tc>
          <w:tcPr>
            <w:tcW w:w="1096" w:type="dxa"/>
            <w:tcBorders>
              <w:top w:val="nil"/>
              <w:left w:val="double" w:sz="4" w:space="0" w:color="0F243E" w:themeColor="text2" w:themeShade="80"/>
              <w:bottom w:val="nil"/>
              <w:right w:val="nil"/>
            </w:tcBorders>
            <w:vAlign w:val="center"/>
          </w:tcPr>
          <w:p w14:paraId="0AB9A6DD" w14:textId="05918F9C" w:rsidR="00812AF2" w:rsidRPr="003C6884" w:rsidRDefault="00812AF2" w:rsidP="00812AF2">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 xml:space="preserve">(-) </w:t>
            </w:r>
            <w:r w:rsidRPr="003C6884">
              <w:rPr>
                <w:rFonts w:ascii="Arial" w:hAnsi="Arial" w:cs="Arial"/>
                <w:bCs/>
                <w:sz w:val="18"/>
                <w:szCs w:val="18"/>
              </w:rPr>
              <w:t>1,970</w:t>
            </w:r>
          </w:p>
        </w:tc>
        <w:tc>
          <w:tcPr>
            <w:tcW w:w="1096" w:type="dxa"/>
            <w:tcBorders>
              <w:top w:val="nil"/>
              <w:left w:val="nil"/>
              <w:bottom w:val="nil"/>
              <w:right w:val="nil"/>
            </w:tcBorders>
            <w:vAlign w:val="center"/>
          </w:tcPr>
          <w:p w14:paraId="0F4319C5" w14:textId="5AA2DBB9" w:rsidR="00812AF2" w:rsidRPr="003C6884" w:rsidRDefault="00812AF2" w:rsidP="00812AF2">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 xml:space="preserve">(-) </w:t>
            </w:r>
            <w:r w:rsidRPr="003C6884">
              <w:rPr>
                <w:rFonts w:ascii="Arial" w:hAnsi="Arial" w:cs="Arial"/>
                <w:bCs/>
                <w:sz w:val="18"/>
                <w:szCs w:val="18"/>
              </w:rPr>
              <w:t>1,279</w:t>
            </w:r>
          </w:p>
        </w:tc>
        <w:tc>
          <w:tcPr>
            <w:tcW w:w="1096" w:type="dxa"/>
            <w:tcBorders>
              <w:top w:val="nil"/>
              <w:left w:val="nil"/>
              <w:bottom w:val="nil"/>
              <w:right w:val="nil"/>
            </w:tcBorders>
            <w:vAlign w:val="center"/>
          </w:tcPr>
          <w:p w14:paraId="1C4057DC" w14:textId="33C45537" w:rsidR="00812AF2" w:rsidRPr="003C6884" w:rsidRDefault="00812AF2" w:rsidP="00D752F7">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 xml:space="preserve">(-) </w:t>
            </w:r>
            <w:r w:rsidR="00D752F7">
              <w:rPr>
                <w:rFonts w:ascii="Arial" w:hAnsi="Arial" w:cs="Arial"/>
                <w:bCs/>
                <w:sz w:val="18"/>
                <w:szCs w:val="18"/>
              </w:rPr>
              <w:t xml:space="preserve">   470</w:t>
            </w:r>
          </w:p>
        </w:tc>
        <w:tc>
          <w:tcPr>
            <w:tcW w:w="1095" w:type="dxa"/>
            <w:tcBorders>
              <w:top w:val="nil"/>
              <w:left w:val="nil"/>
              <w:bottom w:val="nil"/>
              <w:right w:val="double" w:sz="4" w:space="0" w:color="0F243E" w:themeColor="text2" w:themeShade="80"/>
            </w:tcBorders>
            <w:vAlign w:val="center"/>
          </w:tcPr>
          <w:p w14:paraId="6B775CB9" w14:textId="7C727247" w:rsidR="00812AF2" w:rsidRPr="003C6884" w:rsidRDefault="00812AF2" w:rsidP="00A96576">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 xml:space="preserve">(-) </w:t>
            </w:r>
            <w:r w:rsidR="00A96576">
              <w:rPr>
                <w:rFonts w:ascii="Arial" w:hAnsi="Arial" w:cs="Arial"/>
                <w:bCs/>
                <w:sz w:val="18"/>
                <w:szCs w:val="18"/>
              </w:rPr>
              <w:t>7,232</w:t>
            </w:r>
          </w:p>
        </w:tc>
      </w:tr>
      <w:tr w:rsidR="00812AF2" w:rsidRPr="00843651" w14:paraId="2E2CB40B" w14:textId="77777777" w:rsidTr="003C6884">
        <w:trPr>
          <w:jc w:val="center"/>
        </w:trPr>
        <w:tc>
          <w:tcPr>
            <w:tcW w:w="2508" w:type="dxa"/>
            <w:tcBorders>
              <w:top w:val="nil"/>
              <w:left w:val="double" w:sz="4" w:space="0" w:color="0F243E" w:themeColor="text2" w:themeShade="80"/>
              <w:bottom w:val="double" w:sz="4" w:space="0" w:color="0F243E" w:themeColor="text2" w:themeShade="80"/>
              <w:right w:val="double" w:sz="4" w:space="0" w:color="0F243E" w:themeColor="text2" w:themeShade="80"/>
            </w:tcBorders>
            <w:vAlign w:val="center"/>
          </w:tcPr>
          <w:p w14:paraId="27856461" w14:textId="77777777" w:rsidR="00812AF2" w:rsidRPr="00843651" w:rsidRDefault="00812AF2" w:rsidP="00812AF2">
            <w:pPr>
              <w:keepNext/>
              <w:keepLines/>
              <w:spacing w:before="40" w:after="40"/>
              <w:ind w:left="393"/>
              <w:jc w:val="both"/>
              <w:rPr>
                <w:rFonts w:ascii="Arial" w:hAnsi="Arial" w:cs="Arial"/>
                <w:sz w:val="18"/>
                <w:szCs w:val="18"/>
              </w:rPr>
            </w:pPr>
            <w:r w:rsidRPr="00843651">
              <w:rPr>
                <w:rFonts w:ascii="Arial" w:hAnsi="Arial" w:cs="Arial"/>
                <w:sz w:val="18"/>
                <w:szCs w:val="18"/>
              </w:rPr>
              <w:t>No Petrolera</w:t>
            </w:r>
          </w:p>
        </w:tc>
        <w:tc>
          <w:tcPr>
            <w:tcW w:w="1069" w:type="dxa"/>
            <w:tcBorders>
              <w:top w:val="nil"/>
              <w:left w:val="nil"/>
              <w:bottom w:val="double" w:sz="4" w:space="0" w:color="0F243E" w:themeColor="text2" w:themeShade="80"/>
              <w:right w:val="double" w:sz="4" w:space="0" w:color="0F243E" w:themeColor="text2" w:themeShade="80"/>
            </w:tcBorders>
            <w:vAlign w:val="center"/>
          </w:tcPr>
          <w:p w14:paraId="4368A804" w14:textId="658E4106" w:rsidR="00812AF2" w:rsidRPr="003C6884" w:rsidRDefault="00812AF2" w:rsidP="00812AF2">
            <w:pPr>
              <w:keepNext/>
              <w:keepLines/>
              <w:tabs>
                <w:tab w:val="decimal" w:pos="788"/>
              </w:tabs>
              <w:spacing w:before="40" w:after="40"/>
              <w:ind w:right="227"/>
              <w:jc w:val="right"/>
              <w:rPr>
                <w:rFonts w:ascii="Arial" w:hAnsi="Arial" w:cs="Arial"/>
                <w:bCs/>
                <w:sz w:val="18"/>
                <w:szCs w:val="18"/>
              </w:rPr>
            </w:pPr>
            <w:r w:rsidRPr="003C6884">
              <w:rPr>
                <w:rFonts w:ascii="Arial" w:hAnsi="Arial" w:cs="Arial"/>
                <w:bCs/>
                <w:sz w:val="18"/>
                <w:szCs w:val="18"/>
              </w:rPr>
              <w:t>9,543</w:t>
            </w:r>
          </w:p>
        </w:tc>
        <w:tc>
          <w:tcPr>
            <w:tcW w:w="1096" w:type="dxa"/>
            <w:tcBorders>
              <w:top w:val="nil"/>
              <w:left w:val="nil"/>
              <w:bottom w:val="double" w:sz="4" w:space="0" w:color="0F243E" w:themeColor="text2" w:themeShade="80"/>
              <w:right w:val="double" w:sz="4" w:space="0" w:color="0F243E" w:themeColor="text2" w:themeShade="80"/>
            </w:tcBorders>
            <w:vAlign w:val="center"/>
          </w:tcPr>
          <w:p w14:paraId="210285EF" w14:textId="0E3246D4" w:rsidR="00812AF2" w:rsidRPr="003C6884" w:rsidRDefault="00812AF2" w:rsidP="00812AF2">
            <w:pPr>
              <w:keepNext/>
              <w:keepLines/>
              <w:tabs>
                <w:tab w:val="decimal" w:pos="788"/>
              </w:tabs>
              <w:spacing w:before="40" w:after="40"/>
              <w:ind w:right="227"/>
              <w:jc w:val="right"/>
              <w:rPr>
                <w:rFonts w:ascii="Arial" w:hAnsi="Arial" w:cs="Arial"/>
                <w:bCs/>
                <w:sz w:val="18"/>
                <w:szCs w:val="18"/>
              </w:rPr>
            </w:pPr>
            <w:r w:rsidRPr="003C6884">
              <w:rPr>
                <w:rFonts w:ascii="Arial" w:hAnsi="Arial" w:cs="Arial"/>
                <w:bCs/>
                <w:sz w:val="18"/>
                <w:szCs w:val="18"/>
              </w:rPr>
              <w:t>26,773</w:t>
            </w:r>
          </w:p>
        </w:tc>
        <w:tc>
          <w:tcPr>
            <w:tcW w:w="1096" w:type="dxa"/>
            <w:tcBorders>
              <w:top w:val="nil"/>
              <w:left w:val="double" w:sz="4" w:space="0" w:color="0F243E" w:themeColor="text2" w:themeShade="80"/>
              <w:bottom w:val="double" w:sz="4" w:space="0" w:color="0F243E" w:themeColor="text2" w:themeShade="80"/>
              <w:right w:val="nil"/>
            </w:tcBorders>
            <w:vAlign w:val="center"/>
          </w:tcPr>
          <w:p w14:paraId="78D8EB8D" w14:textId="4B897CBE" w:rsidR="00812AF2" w:rsidRPr="003C6884" w:rsidRDefault="00812AF2" w:rsidP="00812AF2">
            <w:pPr>
              <w:keepNext/>
              <w:keepLines/>
              <w:tabs>
                <w:tab w:val="decimal" w:pos="788"/>
              </w:tabs>
              <w:spacing w:before="40" w:after="40"/>
              <w:ind w:right="227"/>
              <w:jc w:val="right"/>
              <w:rPr>
                <w:rFonts w:ascii="Arial" w:hAnsi="Arial" w:cs="Arial"/>
                <w:bCs/>
                <w:sz w:val="18"/>
                <w:szCs w:val="18"/>
              </w:rPr>
            </w:pPr>
            <w:r w:rsidRPr="003C6884">
              <w:rPr>
                <w:rFonts w:ascii="Arial" w:hAnsi="Arial" w:cs="Arial"/>
                <w:bCs/>
                <w:sz w:val="18"/>
                <w:szCs w:val="18"/>
              </w:rPr>
              <w:t>5,306</w:t>
            </w:r>
          </w:p>
        </w:tc>
        <w:tc>
          <w:tcPr>
            <w:tcW w:w="1096" w:type="dxa"/>
            <w:tcBorders>
              <w:top w:val="nil"/>
              <w:left w:val="nil"/>
              <w:bottom w:val="double" w:sz="4" w:space="0" w:color="0F243E" w:themeColor="text2" w:themeShade="80"/>
              <w:right w:val="nil"/>
            </w:tcBorders>
            <w:vAlign w:val="center"/>
          </w:tcPr>
          <w:p w14:paraId="34D1763C" w14:textId="70B5609E" w:rsidR="00812AF2" w:rsidRPr="003C6884" w:rsidRDefault="00812AF2" w:rsidP="00812AF2">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 xml:space="preserve">(-) </w:t>
            </w:r>
            <w:r w:rsidRPr="003C6884">
              <w:rPr>
                <w:rFonts w:ascii="Arial" w:hAnsi="Arial" w:cs="Arial"/>
                <w:bCs/>
                <w:sz w:val="18"/>
                <w:szCs w:val="18"/>
              </w:rPr>
              <w:t>1,809</w:t>
            </w:r>
          </w:p>
        </w:tc>
        <w:tc>
          <w:tcPr>
            <w:tcW w:w="1096" w:type="dxa"/>
            <w:tcBorders>
              <w:top w:val="nil"/>
              <w:left w:val="nil"/>
              <w:bottom w:val="double" w:sz="4" w:space="0" w:color="0F243E" w:themeColor="text2" w:themeShade="80"/>
              <w:right w:val="nil"/>
            </w:tcBorders>
            <w:vAlign w:val="center"/>
          </w:tcPr>
          <w:p w14:paraId="62B1B8EE" w14:textId="40DDEB95" w:rsidR="00812AF2" w:rsidRPr="003C6884" w:rsidRDefault="00812AF2" w:rsidP="007C0B12">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 xml:space="preserve">(-) </w:t>
            </w:r>
            <w:r w:rsidR="007C0B12">
              <w:rPr>
                <w:rFonts w:ascii="Arial" w:hAnsi="Arial" w:cs="Arial"/>
                <w:bCs/>
                <w:sz w:val="18"/>
                <w:szCs w:val="18"/>
              </w:rPr>
              <w:t>3,053</w:t>
            </w:r>
          </w:p>
        </w:tc>
        <w:tc>
          <w:tcPr>
            <w:tcW w:w="1095" w:type="dxa"/>
            <w:tcBorders>
              <w:top w:val="nil"/>
              <w:left w:val="nil"/>
              <w:bottom w:val="double" w:sz="4" w:space="0" w:color="0F243E" w:themeColor="text2" w:themeShade="80"/>
              <w:right w:val="double" w:sz="4" w:space="0" w:color="0F243E" w:themeColor="text2" w:themeShade="80"/>
            </w:tcBorders>
            <w:vAlign w:val="center"/>
          </w:tcPr>
          <w:p w14:paraId="57107A32" w14:textId="1D9A79A7" w:rsidR="00812AF2" w:rsidRPr="003C6884" w:rsidRDefault="00A96576" w:rsidP="00812AF2">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4,344</w:t>
            </w:r>
          </w:p>
        </w:tc>
      </w:tr>
    </w:tbl>
    <w:p w14:paraId="50F1E1F9" w14:textId="0403E8B6" w:rsidR="009E09B5" w:rsidRPr="009E09B5" w:rsidRDefault="009E09B5" w:rsidP="009E09B5">
      <w:pPr>
        <w:pStyle w:val="p01"/>
        <w:keepNext/>
        <w:widowControl/>
        <w:spacing w:before="0"/>
        <w:jc w:val="left"/>
        <w:rPr>
          <w:rFonts w:ascii="Arial" w:hAnsi="Arial" w:cs="Arial"/>
          <w:color w:val="auto"/>
          <w:sz w:val="16"/>
          <w:szCs w:val="16"/>
        </w:rPr>
      </w:pPr>
      <w:r w:rsidRPr="009E09B5">
        <w:rPr>
          <w:rFonts w:ascii="Arial" w:hAnsi="Arial" w:cs="Arial"/>
          <w:color w:val="auto"/>
          <w:sz w:val="16"/>
          <w:szCs w:val="16"/>
        </w:rPr>
        <w:t>* Cifras oportunas.</w:t>
      </w:r>
    </w:p>
    <w:p w14:paraId="042065B0" w14:textId="77777777" w:rsidR="001735C2" w:rsidRDefault="001735C2" w:rsidP="00530678">
      <w:pPr>
        <w:pStyle w:val="Textoindependiente211"/>
        <w:numPr>
          <w:ilvl w:val="12"/>
          <w:numId w:val="0"/>
        </w:numPr>
        <w:spacing w:before="240" w:after="120" w:line="280" w:lineRule="exact"/>
        <w:rPr>
          <w:rFonts w:cs="Arial"/>
          <w:spacing w:val="5"/>
          <w:sz w:val="24"/>
          <w:szCs w:val="22"/>
        </w:rPr>
      </w:pPr>
    </w:p>
    <w:p w14:paraId="1691E39A" w14:textId="2EEAE358" w:rsidR="00932D63" w:rsidRPr="00530678" w:rsidRDefault="00932D63" w:rsidP="00530678">
      <w:pPr>
        <w:pStyle w:val="Textoindependiente211"/>
        <w:numPr>
          <w:ilvl w:val="12"/>
          <w:numId w:val="0"/>
        </w:numPr>
        <w:spacing w:before="240" w:after="120" w:line="280" w:lineRule="exact"/>
        <w:rPr>
          <w:rFonts w:cs="Arial"/>
          <w:spacing w:val="5"/>
          <w:szCs w:val="22"/>
        </w:rPr>
      </w:pPr>
      <w:r w:rsidRPr="00932D63">
        <w:rPr>
          <w:rFonts w:cs="Arial"/>
          <w:spacing w:val="5"/>
          <w:sz w:val="24"/>
          <w:szCs w:val="22"/>
        </w:rPr>
        <w:lastRenderedPageBreak/>
        <w:t xml:space="preserve">En </w:t>
      </w:r>
      <w:r>
        <w:rPr>
          <w:rFonts w:cs="Arial"/>
          <w:spacing w:val="5"/>
          <w:sz w:val="24"/>
          <w:szCs w:val="22"/>
        </w:rPr>
        <w:t>el quinto mes de este año</w:t>
      </w:r>
      <w:r w:rsidRPr="00932D63">
        <w:rPr>
          <w:rFonts w:cs="Arial"/>
          <w:spacing w:val="5"/>
          <w:sz w:val="24"/>
          <w:szCs w:val="22"/>
        </w:rPr>
        <w:t>, el valor de las exportaciones petroleras fue de 929 millones de dólares. Este monto se integró por 720 millones de dólares de ventas de petróleo crudo</w:t>
      </w:r>
      <w:r w:rsidRPr="00EF5511">
        <w:rPr>
          <w:rStyle w:val="Refdenotaalpie"/>
          <w:spacing w:val="4"/>
          <w:sz w:val="24"/>
          <w:szCs w:val="24"/>
          <w:lang w:val="es-ES"/>
        </w:rPr>
        <w:footnoteReference w:id="2"/>
      </w:r>
      <w:r w:rsidRPr="00932D63">
        <w:rPr>
          <w:rFonts w:cs="Arial"/>
          <w:spacing w:val="5"/>
          <w:sz w:val="24"/>
          <w:szCs w:val="22"/>
        </w:rPr>
        <w:t xml:space="preserve"> y por</w:t>
      </w:r>
      <w:r>
        <w:rPr>
          <w:rFonts w:cs="Arial"/>
          <w:spacing w:val="5"/>
          <w:sz w:val="24"/>
          <w:szCs w:val="22"/>
        </w:rPr>
        <w:t xml:space="preserve"> </w:t>
      </w:r>
      <w:r w:rsidRPr="00932D63">
        <w:rPr>
          <w:rFonts w:cs="Arial"/>
          <w:spacing w:val="5"/>
          <w:sz w:val="24"/>
          <w:szCs w:val="22"/>
        </w:rPr>
        <w:t xml:space="preserve">209 millones de dólares de exportaciones de otros productos petroleros. En ese mes, el precio promedio de la mezcla mexicana de crudo de exportación se situó en 21.88 dólares por barril, cifra </w:t>
      </w:r>
      <w:r w:rsidR="00073DA5">
        <w:rPr>
          <w:rFonts w:cs="Arial"/>
          <w:spacing w:val="5"/>
          <w:sz w:val="24"/>
          <w:szCs w:val="22"/>
        </w:rPr>
        <w:t>superior</w:t>
      </w:r>
      <w:r w:rsidRPr="00932D63">
        <w:rPr>
          <w:rFonts w:cs="Arial"/>
          <w:spacing w:val="5"/>
          <w:sz w:val="24"/>
          <w:szCs w:val="22"/>
        </w:rPr>
        <w:t xml:space="preserve"> en 7.70 dólares respecto </w:t>
      </w:r>
      <w:r w:rsidR="00542F00">
        <w:rPr>
          <w:rFonts w:cs="Arial"/>
          <w:spacing w:val="5"/>
          <w:sz w:val="24"/>
          <w:szCs w:val="22"/>
        </w:rPr>
        <w:t>a</w:t>
      </w:r>
      <w:r w:rsidRPr="00932D63">
        <w:rPr>
          <w:rFonts w:cs="Arial"/>
          <w:spacing w:val="5"/>
          <w:sz w:val="24"/>
          <w:szCs w:val="22"/>
        </w:rPr>
        <w:t xml:space="preserve"> la del mes previo, pero menor en 38.43 dólares en comparación con la de mayo de 2019. En cuanto al volumen de crudo exportado, </w:t>
      </w:r>
      <w:r>
        <w:rPr>
          <w:rFonts w:cs="Arial"/>
          <w:spacing w:val="5"/>
          <w:sz w:val="24"/>
          <w:szCs w:val="22"/>
        </w:rPr>
        <w:t>é</w:t>
      </w:r>
      <w:r w:rsidRPr="00932D63">
        <w:rPr>
          <w:rFonts w:cs="Arial"/>
          <w:spacing w:val="5"/>
          <w:sz w:val="24"/>
          <w:szCs w:val="22"/>
        </w:rPr>
        <w:t>ste se ubicó en el mes de referencia en 1.062 millones de barriles diarios, nivel inferior al de</w:t>
      </w:r>
      <w:r>
        <w:rPr>
          <w:rFonts w:cs="Arial"/>
          <w:spacing w:val="5"/>
          <w:sz w:val="24"/>
          <w:szCs w:val="22"/>
        </w:rPr>
        <w:t xml:space="preserve"> </w:t>
      </w:r>
      <w:r w:rsidRPr="00932D63">
        <w:rPr>
          <w:rFonts w:cs="Arial"/>
          <w:spacing w:val="5"/>
          <w:sz w:val="24"/>
          <w:szCs w:val="22"/>
        </w:rPr>
        <w:t>1.179 millones de barriles diarios de abril y al de 1.205 millones de barriles diarios de mayo de 2019.</w:t>
      </w:r>
    </w:p>
    <w:p w14:paraId="07D61AA2" w14:textId="77777777" w:rsidR="00757DAD" w:rsidRDefault="00757DAD" w:rsidP="00190EB6">
      <w:pPr>
        <w:pStyle w:val="titulos"/>
        <w:spacing w:before="240" w:after="120" w:line="280" w:lineRule="exact"/>
        <w:rPr>
          <w:u w:val="none"/>
        </w:rPr>
      </w:pPr>
      <w:r>
        <w:rPr>
          <w:u w:val="none"/>
        </w:rPr>
        <w:t>Exportaciones Totales</w:t>
      </w:r>
      <w:r w:rsidR="00197E84">
        <w:rPr>
          <w:u w:val="none"/>
        </w:rPr>
        <w:t xml:space="preserve"> </w:t>
      </w:r>
      <w:r w:rsidR="00197E84" w:rsidRPr="00D10AE2">
        <w:rPr>
          <w:u w:val="none"/>
        </w:rPr>
        <w:t>de Mercancías</w:t>
      </w:r>
    </w:p>
    <w:p w14:paraId="620C48DD" w14:textId="2C6B3FBB" w:rsidR="00530678" w:rsidRPr="00407DDF" w:rsidRDefault="00407DDF" w:rsidP="00C04B7E">
      <w:pPr>
        <w:pStyle w:val="Textoindependiente211"/>
        <w:numPr>
          <w:ilvl w:val="12"/>
          <w:numId w:val="0"/>
        </w:numPr>
        <w:spacing w:before="240" w:after="120" w:line="280" w:lineRule="exact"/>
        <w:rPr>
          <w:rFonts w:cs="Arial"/>
          <w:spacing w:val="5"/>
          <w:sz w:val="24"/>
          <w:szCs w:val="22"/>
        </w:rPr>
      </w:pPr>
      <w:r w:rsidRPr="00407DDF">
        <w:rPr>
          <w:rFonts w:cs="Arial"/>
          <w:spacing w:val="5"/>
          <w:sz w:val="24"/>
          <w:szCs w:val="22"/>
        </w:rPr>
        <w:t xml:space="preserve">En </w:t>
      </w:r>
      <w:r>
        <w:rPr>
          <w:rFonts w:cs="Arial"/>
          <w:spacing w:val="5"/>
          <w:sz w:val="24"/>
          <w:szCs w:val="22"/>
        </w:rPr>
        <w:t>mayo de 2020</w:t>
      </w:r>
      <w:r w:rsidRPr="00407DDF">
        <w:rPr>
          <w:rFonts w:cs="Arial"/>
          <w:spacing w:val="5"/>
          <w:sz w:val="24"/>
          <w:szCs w:val="22"/>
        </w:rPr>
        <w:t>, el valor de las exportaciones de mercancías sumó</w:t>
      </w:r>
      <w:r>
        <w:rPr>
          <w:rFonts w:cs="Arial"/>
          <w:spacing w:val="5"/>
          <w:sz w:val="24"/>
          <w:szCs w:val="22"/>
        </w:rPr>
        <w:t xml:space="preserve"> </w:t>
      </w:r>
      <w:r w:rsidRPr="00407DDF">
        <w:rPr>
          <w:rFonts w:cs="Arial"/>
          <w:spacing w:val="5"/>
          <w:sz w:val="24"/>
          <w:szCs w:val="22"/>
        </w:rPr>
        <w:t xml:space="preserve">18,070 millones de dólares, monto menor en </w:t>
      </w:r>
      <w:r>
        <w:rPr>
          <w:rFonts w:cs="Arial"/>
          <w:spacing w:val="5"/>
          <w:sz w:val="24"/>
          <w:szCs w:val="22"/>
        </w:rPr>
        <w:t>(-)</w:t>
      </w:r>
      <w:r w:rsidRPr="00407DDF">
        <w:rPr>
          <w:rFonts w:cs="Arial"/>
          <w:spacing w:val="5"/>
          <w:sz w:val="24"/>
          <w:szCs w:val="22"/>
        </w:rPr>
        <w:t xml:space="preserve">56.7% al del mismo mes de 2019. Dicha tasa se derivó de descensos de </w:t>
      </w:r>
      <w:r>
        <w:rPr>
          <w:rFonts w:cs="Arial"/>
          <w:spacing w:val="5"/>
          <w:sz w:val="24"/>
          <w:szCs w:val="22"/>
        </w:rPr>
        <w:t>(-)</w:t>
      </w:r>
      <w:r w:rsidRPr="00407DDF">
        <w:rPr>
          <w:rFonts w:cs="Arial"/>
          <w:spacing w:val="5"/>
          <w:sz w:val="24"/>
          <w:szCs w:val="22"/>
        </w:rPr>
        <w:t xml:space="preserve">56.3% en las exportaciones no petroleras y de </w:t>
      </w:r>
      <w:r>
        <w:rPr>
          <w:rFonts w:cs="Arial"/>
          <w:spacing w:val="5"/>
          <w:sz w:val="24"/>
          <w:szCs w:val="22"/>
        </w:rPr>
        <w:t>(-)</w:t>
      </w:r>
      <w:r w:rsidRPr="00407DDF">
        <w:rPr>
          <w:rFonts w:cs="Arial"/>
          <w:spacing w:val="5"/>
          <w:sz w:val="24"/>
          <w:szCs w:val="22"/>
        </w:rPr>
        <w:t xml:space="preserve">63.8% en las petroleras. Al interior de las exportaciones no petroleras, las dirigidas a Estados Unidos se redujeron </w:t>
      </w:r>
      <w:r>
        <w:rPr>
          <w:rFonts w:cs="Arial"/>
          <w:spacing w:val="5"/>
          <w:sz w:val="24"/>
          <w:szCs w:val="22"/>
        </w:rPr>
        <w:t>(-)</w:t>
      </w:r>
      <w:r w:rsidRPr="00407DDF">
        <w:rPr>
          <w:rFonts w:cs="Arial"/>
          <w:spacing w:val="5"/>
          <w:sz w:val="24"/>
          <w:szCs w:val="22"/>
        </w:rPr>
        <w:t>57.2% a tasa anual</w:t>
      </w:r>
      <w:r>
        <w:rPr>
          <w:rFonts w:cs="Arial"/>
          <w:spacing w:val="5"/>
          <w:sz w:val="24"/>
          <w:szCs w:val="22"/>
        </w:rPr>
        <w:t xml:space="preserve"> y </w:t>
      </w:r>
      <w:r w:rsidRPr="00407DDF">
        <w:rPr>
          <w:rFonts w:cs="Arial"/>
          <w:spacing w:val="5"/>
          <w:sz w:val="24"/>
          <w:szCs w:val="22"/>
        </w:rPr>
        <w:t xml:space="preserve">las canalizadas al resto del mundo lo hicieron en </w:t>
      </w:r>
      <w:r>
        <w:rPr>
          <w:rFonts w:cs="Arial"/>
          <w:spacing w:val="5"/>
          <w:sz w:val="24"/>
          <w:szCs w:val="22"/>
        </w:rPr>
        <w:t>(-)</w:t>
      </w:r>
      <w:r w:rsidRPr="00407DDF">
        <w:rPr>
          <w:rFonts w:cs="Arial"/>
          <w:spacing w:val="5"/>
          <w:sz w:val="24"/>
          <w:szCs w:val="22"/>
        </w:rPr>
        <w:t>51.8</w:t>
      </w:r>
      <w:r>
        <w:rPr>
          <w:rFonts w:cs="Arial"/>
          <w:spacing w:val="5"/>
          <w:sz w:val="24"/>
          <w:szCs w:val="22"/>
        </w:rPr>
        <w:t xml:space="preserve"> por ciento</w:t>
      </w:r>
      <w:r w:rsidRPr="00407DDF">
        <w:rPr>
          <w:rFonts w:cs="Arial"/>
          <w:spacing w:val="5"/>
          <w:sz w:val="24"/>
          <w:szCs w:val="22"/>
        </w:rPr>
        <w:t>.</w:t>
      </w:r>
    </w:p>
    <w:p w14:paraId="6DBAA2AE" w14:textId="77777777" w:rsidR="00434477" w:rsidRDefault="00434477" w:rsidP="00D47CF8">
      <w:pPr>
        <w:pStyle w:val="Textoindependiente21"/>
        <w:numPr>
          <w:ilvl w:val="12"/>
          <w:numId w:val="0"/>
        </w:numPr>
        <w:spacing w:after="0" w:line="280" w:lineRule="exact"/>
        <w:ind w:left="284"/>
        <w:rPr>
          <w:spacing w:val="4"/>
          <w:sz w:val="24"/>
          <w:szCs w:val="24"/>
          <w:lang w:val="es-ES"/>
        </w:rPr>
      </w:pPr>
    </w:p>
    <w:p w14:paraId="7E2C3612" w14:textId="77777777" w:rsidR="00434477" w:rsidRDefault="00434477" w:rsidP="00434477">
      <w:pPr>
        <w:pStyle w:val="Textoindependiente21"/>
        <w:keepNext/>
        <w:keepLines/>
        <w:widowControl w:val="0"/>
        <w:numPr>
          <w:ilvl w:val="12"/>
          <w:numId w:val="0"/>
        </w:numPr>
        <w:spacing w:after="0"/>
        <w:jc w:val="center"/>
        <w:rPr>
          <w:rFonts w:cs="Arial"/>
          <w:b/>
          <w:smallCaps/>
          <w:lang w:val="es-MX"/>
        </w:rPr>
      </w:pPr>
      <w:r>
        <w:rPr>
          <w:rFonts w:cs="Arial"/>
          <w:b/>
          <w:smallCaps/>
          <w:lang w:val="es-MX"/>
        </w:rPr>
        <w:t xml:space="preserve">Exportaciones no petroleras </w:t>
      </w:r>
      <w:r w:rsidRPr="0012766E">
        <w:rPr>
          <w:rFonts w:cs="Arial"/>
          <w:b/>
          <w:smallCaps/>
          <w:lang w:val="es-MX"/>
        </w:rPr>
        <w:t xml:space="preserve">a distintos mercados </w:t>
      </w:r>
    </w:p>
    <w:tbl>
      <w:tblPr>
        <w:tblW w:w="4533" w:type="pct"/>
        <w:jc w:val="center"/>
        <w:tblBorders>
          <w:top w:val="single" w:sz="8" w:space="0" w:color="000080"/>
          <w:bottom w:val="single" w:sz="8" w:space="0" w:color="000080"/>
        </w:tblBorders>
        <w:tblLayout w:type="fixed"/>
        <w:tblCellMar>
          <w:left w:w="0" w:type="dxa"/>
          <w:right w:w="0" w:type="dxa"/>
        </w:tblCellMar>
        <w:tblLook w:val="01E0" w:firstRow="1" w:lastRow="1" w:firstColumn="1" w:lastColumn="1" w:noHBand="0" w:noVBand="0"/>
      </w:tblPr>
      <w:tblGrid>
        <w:gridCol w:w="1912"/>
        <w:gridCol w:w="1335"/>
        <w:gridCol w:w="849"/>
        <w:gridCol w:w="861"/>
        <w:gridCol w:w="997"/>
        <w:gridCol w:w="978"/>
        <w:gridCol w:w="1007"/>
      </w:tblGrid>
      <w:tr w:rsidR="009E09B5" w:rsidRPr="00075546" w14:paraId="6166D105" w14:textId="77777777" w:rsidTr="00601D33">
        <w:trPr>
          <w:trHeight w:val="374"/>
          <w:jc w:val="center"/>
        </w:trPr>
        <w:tc>
          <w:tcPr>
            <w:tcW w:w="1204" w:type="pct"/>
            <w:vMerge w:val="restart"/>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01234907" w14:textId="77777777" w:rsidR="009E09B5" w:rsidRPr="00231C06" w:rsidRDefault="009E09B5" w:rsidP="00115050">
            <w:pPr>
              <w:keepNext/>
              <w:keepLines/>
              <w:widowControl w:val="0"/>
              <w:jc w:val="center"/>
              <w:rPr>
                <w:rFonts w:ascii="Arial" w:hAnsi="Arial" w:cs="Arial"/>
                <w:snapToGrid w:val="0"/>
                <w:sz w:val="18"/>
                <w:szCs w:val="18"/>
                <w:lang w:eastAsia="en-US"/>
              </w:rPr>
            </w:pPr>
            <w:r w:rsidRPr="00231C06">
              <w:rPr>
                <w:rFonts w:ascii="Arial" w:hAnsi="Arial" w:cs="Arial"/>
                <w:snapToGrid w:val="0"/>
                <w:sz w:val="18"/>
                <w:szCs w:val="18"/>
                <w:lang w:eastAsia="en-US"/>
              </w:rPr>
              <w:t>Concepto</w:t>
            </w:r>
          </w:p>
        </w:tc>
        <w:tc>
          <w:tcPr>
            <w:tcW w:w="841" w:type="pct"/>
            <w:vMerge w:val="restart"/>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41B54804" w14:textId="77777777" w:rsidR="009E09B5" w:rsidRDefault="009E09B5" w:rsidP="00115050">
            <w:pPr>
              <w:pStyle w:val="Textoindependiente21"/>
              <w:keepNext/>
              <w:keepLines/>
              <w:widowControl w:val="0"/>
              <w:numPr>
                <w:ilvl w:val="12"/>
                <w:numId w:val="0"/>
              </w:numPr>
              <w:spacing w:after="0"/>
              <w:ind w:left="-170" w:right="-80"/>
              <w:jc w:val="center"/>
              <w:rPr>
                <w:rFonts w:cs="Arial"/>
                <w:color w:val="000000"/>
                <w:sz w:val="18"/>
                <w:szCs w:val="18"/>
                <w:lang w:val="es-ES"/>
              </w:rPr>
            </w:pPr>
            <w:r w:rsidRPr="00231C06">
              <w:rPr>
                <w:rFonts w:cs="Arial"/>
                <w:color w:val="000000"/>
                <w:sz w:val="18"/>
                <w:szCs w:val="18"/>
                <w:lang w:val="es-ES"/>
              </w:rPr>
              <w:t>Estructura</w:t>
            </w:r>
            <w:r>
              <w:rPr>
                <w:rFonts w:cs="Arial"/>
                <w:color w:val="000000"/>
                <w:sz w:val="18"/>
                <w:szCs w:val="18"/>
                <w:lang w:val="es-ES"/>
              </w:rPr>
              <w:t xml:space="preserve"> </w:t>
            </w:r>
            <w:r w:rsidRPr="00231C06">
              <w:rPr>
                <w:rFonts w:cs="Arial"/>
                <w:color w:val="000000"/>
                <w:sz w:val="18"/>
                <w:szCs w:val="18"/>
                <w:lang w:val="es-ES"/>
              </w:rPr>
              <w:t>%</w:t>
            </w:r>
          </w:p>
          <w:p w14:paraId="62989D51" w14:textId="799345A9" w:rsidR="009E09B5" w:rsidRPr="00231C06" w:rsidRDefault="009E09B5" w:rsidP="00812AF2">
            <w:pPr>
              <w:pStyle w:val="Textoindependiente21"/>
              <w:keepNext/>
              <w:keepLines/>
              <w:widowControl w:val="0"/>
              <w:numPr>
                <w:ilvl w:val="12"/>
                <w:numId w:val="0"/>
              </w:numPr>
              <w:spacing w:after="0"/>
              <w:ind w:left="-143" w:right="-80"/>
              <w:jc w:val="center"/>
              <w:rPr>
                <w:rFonts w:cs="Arial"/>
                <w:color w:val="000000"/>
                <w:sz w:val="18"/>
                <w:szCs w:val="18"/>
                <w:lang w:val="es-ES"/>
              </w:rPr>
            </w:pPr>
            <w:r>
              <w:rPr>
                <w:rFonts w:cs="Arial"/>
                <w:color w:val="000000"/>
                <w:sz w:val="18"/>
                <w:szCs w:val="18"/>
              </w:rPr>
              <w:t>Ene-</w:t>
            </w:r>
            <w:r w:rsidR="00812AF2">
              <w:rPr>
                <w:rFonts w:cs="Arial"/>
                <w:color w:val="000000"/>
                <w:sz w:val="18"/>
                <w:szCs w:val="18"/>
              </w:rPr>
              <w:t>May</w:t>
            </w:r>
            <w:r>
              <w:rPr>
                <w:rFonts w:cs="Arial"/>
                <w:color w:val="000000"/>
                <w:sz w:val="18"/>
                <w:szCs w:val="18"/>
              </w:rPr>
              <w:t xml:space="preserve"> 2020*</w:t>
            </w:r>
          </w:p>
        </w:tc>
        <w:tc>
          <w:tcPr>
            <w:tcW w:w="2956" w:type="pct"/>
            <w:gridSpan w:val="5"/>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13D805E5" w14:textId="462F8DAD" w:rsidR="009E09B5" w:rsidRDefault="009E09B5" w:rsidP="00115050">
            <w:pPr>
              <w:pStyle w:val="Textoindependiente21"/>
              <w:keepNext/>
              <w:keepLines/>
              <w:widowControl w:val="0"/>
              <w:numPr>
                <w:ilvl w:val="12"/>
                <w:numId w:val="0"/>
              </w:numPr>
              <w:spacing w:after="0"/>
              <w:jc w:val="center"/>
              <w:rPr>
                <w:rFonts w:cs="Arial"/>
                <w:color w:val="000000"/>
                <w:sz w:val="18"/>
                <w:szCs w:val="18"/>
                <w:lang w:val="es-ES"/>
              </w:rPr>
            </w:pPr>
            <w:r>
              <w:rPr>
                <w:rFonts w:cs="Arial"/>
                <w:color w:val="000000"/>
                <w:sz w:val="18"/>
                <w:szCs w:val="18"/>
                <w:lang w:val="es-ES"/>
              </w:rPr>
              <w:t>Variación porcentual anual</w:t>
            </w:r>
          </w:p>
        </w:tc>
      </w:tr>
      <w:tr w:rsidR="009E09B5" w:rsidRPr="00075546" w14:paraId="2AEF241E" w14:textId="77777777" w:rsidTr="00601D33">
        <w:trPr>
          <w:trHeight w:val="253"/>
          <w:jc w:val="center"/>
        </w:trPr>
        <w:tc>
          <w:tcPr>
            <w:tcW w:w="1204" w:type="pct"/>
            <w:vMerge/>
            <w:tcBorders>
              <w:left w:val="double" w:sz="4" w:space="0" w:color="0F243E" w:themeColor="text2" w:themeShade="80"/>
              <w:right w:val="double" w:sz="4" w:space="0" w:color="0F243E" w:themeColor="text2" w:themeShade="80"/>
            </w:tcBorders>
            <w:shd w:val="clear" w:color="auto" w:fill="D6E3BC" w:themeFill="accent3" w:themeFillTint="66"/>
            <w:vAlign w:val="center"/>
          </w:tcPr>
          <w:p w14:paraId="406D9AD0" w14:textId="77777777" w:rsidR="009E09B5" w:rsidRPr="00231C06" w:rsidRDefault="009E09B5" w:rsidP="00115050">
            <w:pPr>
              <w:keepNext/>
              <w:keepLines/>
              <w:widowControl w:val="0"/>
              <w:spacing w:before="60" w:after="60"/>
              <w:jc w:val="center"/>
              <w:rPr>
                <w:rFonts w:ascii="Arial" w:hAnsi="Arial" w:cs="Arial"/>
                <w:snapToGrid w:val="0"/>
                <w:sz w:val="18"/>
                <w:szCs w:val="18"/>
                <w:lang w:eastAsia="en-US"/>
              </w:rPr>
            </w:pPr>
          </w:p>
        </w:tc>
        <w:tc>
          <w:tcPr>
            <w:tcW w:w="841" w:type="pct"/>
            <w:vMerge/>
            <w:tcBorders>
              <w:left w:val="double" w:sz="4" w:space="0" w:color="0F243E" w:themeColor="text2" w:themeShade="80"/>
              <w:right w:val="double" w:sz="4" w:space="0" w:color="0F243E" w:themeColor="text2" w:themeShade="80"/>
            </w:tcBorders>
            <w:shd w:val="clear" w:color="auto" w:fill="D6E3BC" w:themeFill="accent3" w:themeFillTint="66"/>
            <w:vAlign w:val="center"/>
          </w:tcPr>
          <w:p w14:paraId="47D8E9EA" w14:textId="77777777" w:rsidR="009E09B5" w:rsidRPr="00231C06" w:rsidRDefault="009E09B5" w:rsidP="00115050">
            <w:pPr>
              <w:pStyle w:val="Textoindependiente21"/>
              <w:keepNext/>
              <w:keepLines/>
              <w:widowControl w:val="0"/>
              <w:numPr>
                <w:ilvl w:val="12"/>
                <w:numId w:val="0"/>
              </w:numPr>
              <w:spacing w:before="40" w:after="40"/>
              <w:ind w:left="-109" w:right="-106"/>
              <w:jc w:val="center"/>
              <w:rPr>
                <w:rFonts w:cs="Arial"/>
                <w:color w:val="000000"/>
                <w:sz w:val="18"/>
                <w:szCs w:val="18"/>
                <w:lang w:val="es-ES"/>
              </w:rPr>
            </w:pPr>
          </w:p>
        </w:tc>
        <w:tc>
          <w:tcPr>
            <w:tcW w:w="535" w:type="pct"/>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7ECDBF85" w14:textId="77777777" w:rsidR="009E09B5" w:rsidRDefault="009E09B5" w:rsidP="00115050">
            <w:pPr>
              <w:pStyle w:val="Textoindependiente21"/>
              <w:keepNext/>
              <w:keepLines/>
              <w:widowControl w:val="0"/>
              <w:numPr>
                <w:ilvl w:val="12"/>
                <w:numId w:val="0"/>
              </w:numPr>
              <w:spacing w:after="0"/>
              <w:jc w:val="center"/>
              <w:rPr>
                <w:rFonts w:cs="Arial"/>
                <w:color w:val="000000"/>
                <w:sz w:val="18"/>
                <w:szCs w:val="18"/>
                <w:lang w:val="es-ES"/>
              </w:rPr>
            </w:pPr>
            <w:r>
              <w:rPr>
                <w:rFonts w:cs="Arial"/>
                <w:color w:val="000000"/>
                <w:sz w:val="18"/>
                <w:szCs w:val="18"/>
                <w:lang w:val="es-ES"/>
              </w:rPr>
              <w:t>2019</w:t>
            </w:r>
          </w:p>
        </w:tc>
        <w:tc>
          <w:tcPr>
            <w:tcW w:w="2420" w:type="pct"/>
            <w:gridSpan w:val="4"/>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7D2C636C" w14:textId="12D925CE" w:rsidR="009E09B5" w:rsidRDefault="009E09B5" w:rsidP="00434477">
            <w:pPr>
              <w:pStyle w:val="Textoindependiente21"/>
              <w:keepNext/>
              <w:keepLines/>
              <w:widowControl w:val="0"/>
              <w:numPr>
                <w:ilvl w:val="12"/>
                <w:numId w:val="0"/>
              </w:numPr>
              <w:spacing w:after="0"/>
              <w:jc w:val="center"/>
              <w:rPr>
                <w:rFonts w:cs="Arial"/>
                <w:color w:val="000000"/>
                <w:sz w:val="18"/>
                <w:szCs w:val="18"/>
                <w:lang w:val="es-ES"/>
              </w:rPr>
            </w:pPr>
            <w:r>
              <w:rPr>
                <w:rFonts w:cs="Arial"/>
                <w:color w:val="000000"/>
                <w:sz w:val="18"/>
                <w:szCs w:val="18"/>
                <w:lang w:val="es-ES"/>
              </w:rPr>
              <w:t>2020</w:t>
            </w:r>
          </w:p>
        </w:tc>
      </w:tr>
      <w:tr w:rsidR="00A4494D" w:rsidRPr="00075546" w14:paraId="30909D35" w14:textId="77777777" w:rsidTr="00601D33">
        <w:trPr>
          <w:trHeight w:val="110"/>
          <w:jc w:val="center"/>
        </w:trPr>
        <w:tc>
          <w:tcPr>
            <w:tcW w:w="1204" w:type="pct"/>
            <w:vMerge/>
            <w:tcBorders>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vAlign w:val="center"/>
          </w:tcPr>
          <w:p w14:paraId="33494C5F" w14:textId="77777777" w:rsidR="00A4494D" w:rsidRPr="00231C06" w:rsidRDefault="00A4494D" w:rsidP="00A4494D">
            <w:pPr>
              <w:pStyle w:val="Textoindependiente21"/>
              <w:keepNext/>
              <w:keepLines/>
              <w:widowControl w:val="0"/>
              <w:numPr>
                <w:ilvl w:val="12"/>
                <w:numId w:val="0"/>
              </w:numPr>
              <w:spacing w:before="120" w:after="120"/>
              <w:jc w:val="center"/>
              <w:rPr>
                <w:rFonts w:cs="Arial"/>
                <w:color w:val="000000"/>
                <w:sz w:val="18"/>
                <w:szCs w:val="18"/>
                <w:lang w:val="es-ES"/>
              </w:rPr>
            </w:pPr>
          </w:p>
        </w:tc>
        <w:tc>
          <w:tcPr>
            <w:tcW w:w="841" w:type="pct"/>
            <w:vMerge/>
            <w:tcBorders>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vAlign w:val="center"/>
          </w:tcPr>
          <w:p w14:paraId="1E039834" w14:textId="77777777" w:rsidR="00A4494D" w:rsidRPr="00231C06" w:rsidRDefault="00A4494D" w:rsidP="00A4494D">
            <w:pPr>
              <w:pStyle w:val="Textoindependiente21"/>
              <w:keepNext/>
              <w:keepLines/>
              <w:widowControl w:val="0"/>
              <w:numPr>
                <w:ilvl w:val="12"/>
                <w:numId w:val="0"/>
              </w:numPr>
              <w:spacing w:before="40" w:after="40"/>
              <w:ind w:left="-109" w:right="-106"/>
              <w:jc w:val="center"/>
              <w:rPr>
                <w:rFonts w:cs="Arial"/>
                <w:color w:val="000000"/>
                <w:sz w:val="18"/>
                <w:szCs w:val="18"/>
                <w:lang w:val="es-ES"/>
              </w:rPr>
            </w:pPr>
          </w:p>
        </w:tc>
        <w:tc>
          <w:tcPr>
            <w:tcW w:w="535" w:type="pct"/>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0AF2C581" w14:textId="2988F4DF" w:rsidR="00A4494D" w:rsidRDefault="00A4494D" w:rsidP="00A4494D">
            <w:pPr>
              <w:keepNext/>
              <w:keepLines/>
              <w:widowControl w:val="0"/>
              <w:spacing w:before="40" w:after="40"/>
              <w:ind w:left="-98" w:right="-94"/>
              <w:jc w:val="center"/>
              <w:rPr>
                <w:rFonts w:ascii="Arial" w:hAnsi="Arial" w:cs="Arial"/>
                <w:color w:val="000000"/>
                <w:sz w:val="18"/>
                <w:szCs w:val="18"/>
              </w:rPr>
            </w:pPr>
            <w:r>
              <w:rPr>
                <w:rFonts w:ascii="Arial" w:hAnsi="Arial" w:cs="Arial"/>
                <w:color w:val="000000"/>
                <w:sz w:val="18"/>
                <w:szCs w:val="18"/>
              </w:rPr>
              <w:t>Anual</w:t>
            </w:r>
          </w:p>
        </w:tc>
        <w:tc>
          <w:tcPr>
            <w:tcW w:w="542" w:type="pct"/>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1E8FABB3" w14:textId="68ADC9F6" w:rsidR="00A4494D" w:rsidRDefault="00812AF2" w:rsidP="00A4494D">
            <w:pPr>
              <w:keepNext/>
              <w:keepLines/>
              <w:widowControl w:val="0"/>
              <w:spacing w:before="40" w:after="40"/>
              <w:ind w:left="-98" w:right="-94"/>
              <w:jc w:val="center"/>
              <w:rPr>
                <w:rFonts w:ascii="Arial" w:hAnsi="Arial" w:cs="Arial"/>
                <w:color w:val="000000"/>
                <w:sz w:val="18"/>
                <w:szCs w:val="18"/>
              </w:rPr>
            </w:pPr>
            <w:r>
              <w:rPr>
                <w:rFonts w:ascii="Arial" w:hAnsi="Arial" w:cs="Arial"/>
                <w:color w:val="000000"/>
                <w:sz w:val="18"/>
                <w:szCs w:val="18"/>
              </w:rPr>
              <w:t>Mar</w:t>
            </w:r>
          </w:p>
        </w:tc>
        <w:tc>
          <w:tcPr>
            <w:tcW w:w="628" w:type="pct"/>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08BAB099" w14:textId="04B154E7" w:rsidR="00A4494D" w:rsidRDefault="00812AF2" w:rsidP="00A4494D">
            <w:pPr>
              <w:keepNext/>
              <w:keepLines/>
              <w:widowControl w:val="0"/>
              <w:spacing w:before="40" w:after="40"/>
              <w:ind w:left="-98" w:right="-94"/>
              <w:jc w:val="center"/>
              <w:rPr>
                <w:rFonts w:ascii="Arial" w:hAnsi="Arial" w:cs="Arial"/>
                <w:color w:val="000000"/>
                <w:sz w:val="18"/>
                <w:szCs w:val="18"/>
              </w:rPr>
            </w:pPr>
            <w:r>
              <w:rPr>
                <w:rFonts w:ascii="Arial" w:hAnsi="Arial" w:cs="Arial"/>
                <w:color w:val="000000"/>
                <w:sz w:val="18"/>
                <w:szCs w:val="18"/>
              </w:rPr>
              <w:t>Abr</w:t>
            </w:r>
          </w:p>
        </w:tc>
        <w:tc>
          <w:tcPr>
            <w:tcW w:w="616" w:type="pct"/>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7D158464" w14:textId="5F99174B" w:rsidR="00A4494D" w:rsidRDefault="00812AF2" w:rsidP="00A4494D">
            <w:pPr>
              <w:keepNext/>
              <w:keepLines/>
              <w:widowControl w:val="0"/>
              <w:spacing w:before="40" w:after="40"/>
              <w:ind w:left="-98" w:right="-94"/>
              <w:jc w:val="center"/>
              <w:rPr>
                <w:rFonts w:ascii="Arial" w:hAnsi="Arial" w:cs="Arial"/>
                <w:color w:val="000000"/>
                <w:sz w:val="18"/>
                <w:szCs w:val="18"/>
              </w:rPr>
            </w:pPr>
            <w:r>
              <w:rPr>
                <w:rFonts w:ascii="Arial" w:hAnsi="Arial" w:cs="Arial"/>
                <w:color w:val="000000"/>
                <w:sz w:val="18"/>
                <w:szCs w:val="18"/>
              </w:rPr>
              <w:t>May</w:t>
            </w:r>
            <w:r w:rsidR="00A4494D">
              <w:rPr>
                <w:rFonts w:ascii="Arial" w:hAnsi="Arial" w:cs="Arial"/>
                <w:color w:val="000000"/>
                <w:sz w:val="18"/>
                <w:szCs w:val="18"/>
              </w:rPr>
              <w:t>*</w:t>
            </w:r>
          </w:p>
        </w:tc>
        <w:tc>
          <w:tcPr>
            <w:tcW w:w="634" w:type="pct"/>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3D84F3FA" w14:textId="6AD8E42C" w:rsidR="00A4494D" w:rsidRDefault="00A4494D" w:rsidP="00812AF2">
            <w:pPr>
              <w:keepNext/>
              <w:keepLines/>
              <w:widowControl w:val="0"/>
              <w:spacing w:before="40" w:after="40"/>
              <w:ind w:left="-98" w:right="-94"/>
              <w:jc w:val="center"/>
              <w:rPr>
                <w:rFonts w:ascii="Arial" w:hAnsi="Arial" w:cs="Arial"/>
                <w:color w:val="000000"/>
                <w:sz w:val="18"/>
                <w:szCs w:val="18"/>
              </w:rPr>
            </w:pPr>
            <w:r>
              <w:rPr>
                <w:rFonts w:ascii="Arial" w:hAnsi="Arial" w:cs="Arial"/>
                <w:color w:val="000000"/>
                <w:sz w:val="18"/>
                <w:szCs w:val="18"/>
              </w:rPr>
              <w:t>Ene-</w:t>
            </w:r>
            <w:r w:rsidR="00812AF2">
              <w:rPr>
                <w:rFonts w:ascii="Arial" w:hAnsi="Arial" w:cs="Arial"/>
                <w:color w:val="000000"/>
                <w:sz w:val="18"/>
                <w:szCs w:val="18"/>
              </w:rPr>
              <w:t>May</w:t>
            </w:r>
            <w:r>
              <w:rPr>
                <w:rFonts w:ascii="Arial" w:hAnsi="Arial" w:cs="Arial"/>
                <w:color w:val="000000"/>
                <w:sz w:val="18"/>
                <w:szCs w:val="18"/>
              </w:rPr>
              <w:t>*</w:t>
            </w:r>
          </w:p>
        </w:tc>
      </w:tr>
      <w:tr w:rsidR="00812AF2" w:rsidRPr="00075546" w14:paraId="348F0AB2" w14:textId="77777777" w:rsidTr="00601D33">
        <w:trPr>
          <w:jc w:val="center"/>
        </w:trPr>
        <w:tc>
          <w:tcPr>
            <w:tcW w:w="1204" w:type="pct"/>
            <w:tcBorders>
              <w:top w:val="double" w:sz="4" w:space="0" w:color="0F243E" w:themeColor="text2" w:themeShade="80"/>
              <w:left w:val="double" w:sz="4" w:space="0" w:color="0F243E" w:themeColor="text2" w:themeShade="80"/>
              <w:bottom w:val="nil"/>
              <w:right w:val="double" w:sz="4" w:space="0" w:color="0F243E" w:themeColor="text2" w:themeShade="80"/>
            </w:tcBorders>
            <w:vAlign w:val="center"/>
          </w:tcPr>
          <w:p w14:paraId="36EBB67F" w14:textId="77777777" w:rsidR="00812AF2" w:rsidRPr="00231C06" w:rsidRDefault="00812AF2" w:rsidP="00812AF2">
            <w:pPr>
              <w:pStyle w:val="Textoindependiente21"/>
              <w:keepNext/>
              <w:keepLines/>
              <w:widowControl w:val="0"/>
              <w:numPr>
                <w:ilvl w:val="12"/>
                <w:numId w:val="0"/>
              </w:numPr>
              <w:spacing w:before="20" w:after="0"/>
              <w:ind w:left="113" w:right="-57"/>
              <w:rPr>
                <w:rFonts w:cs="Arial"/>
                <w:b/>
                <w:sz w:val="18"/>
                <w:szCs w:val="18"/>
                <w:lang w:val="es-ES"/>
              </w:rPr>
            </w:pPr>
            <w:r w:rsidRPr="00231C06">
              <w:rPr>
                <w:rFonts w:cs="Arial"/>
                <w:b/>
                <w:sz w:val="18"/>
                <w:szCs w:val="18"/>
                <w:lang w:val="es-ES"/>
              </w:rPr>
              <w:t>Total</w:t>
            </w:r>
          </w:p>
        </w:tc>
        <w:tc>
          <w:tcPr>
            <w:tcW w:w="841" w:type="pct"/>
            <w:tcBorders>
              <w:top w:val="double" w:sz="4" w:space="0" w:color="0F243E" w:themeColor="text2" w:themeShade="80"/>
              <w:left w:val="nil"/>
              <w:bottom w:val="nil"/>
              <w:right w:val="double" w:sz="4" w:space="0" w:color="0F243E" w:themeColor="text2" w:themeShade="80"/>
            </w:tcBorders>
            <w:vAlign w:val="bottom"/>
          </w:tcPr>
          <w:p w14:paraId="0BC5017A" w14:textId="77777777" w:rsidR="00812AF2" w:rsidRPr="003A1E24" w:rsidRDefault="00812AF2" w:rsidP="00812AF2">
            <w:pPr>
              <w:ind w:right="397"/>
              <w:jc w:val="right"/>
              <w:rPr>
                <w:rFonts w:ascii="Arial" w:hAnsi="Arial" w:cs="Arial"/>
                <w:b/>
                <w:sz w:val="18"/>
                <w:szCs w:val="18"/>
              </w:rPr>
            </w:pPr>
            <w:r w:rsidRPr="003A1E24">
              <w:rPr>
                <w:rFonts w:ascii="Arial" w:hAnsi="Arial" w:cs="Arial"/>
                <w:b/>
                <w:sz w:val="18"/>
                <w:szCs w:val="18"/>
              </w:rPr>
              <w:t>100.00</w:t>
            </w:r>
          </w:p>
        </w:tc>
        <w:tc>
          <w:tcPr>
            <w:tcW w:w="535" w:type="pct"/>
            <w:tcBorders>
              <w:top w:val="double" w:sz="4" w:space="0" w:color="0F243E" w:themeColor="text2" w:themeShade="80"/>
              <w:left w:val="double" w:sz="4" w:space="0" w:color="0F243E" w:themeColor="text2" w:themeShade="80"/>
              <w:bottom w:val="nil"/>
              <w:right w:val="double" w:sz="4" w:space="0" w:color="0F243E" w:themeColor="text2" w:themeShade="80"/>
            </w:tcBorders>
          </w:tcPr>
          <w:p w14:paraId="1FD668E8" w14:textId="25148C16" w:rsidR="00812AF2" w:rsidRDefault="00812AF2" w:rsidP="00812AF2">
            <w:pPr>
              <w:spacing w:before="20"/>
              <w:ind w:right="227"/>
              <w:jc w:val="right"/>
              <w:rPr>
                <w:rFonts w:ascii="Arial" w:hAnsi="Arial" w:cs="Arial"/>
                <w:b/>
                <w:bCs/>
                <w:sz w:val="18"/>
                <w:szCs w:val="18"/>
              </w:rPr>
            </w:pPr>
            <w:r>
              <w:rPr>
                <w:rFonts w:ascii="Arial" w:hAnsi="Arial" w:cs="Arial"/>
                <w:b/>
                <w:bCs/>
                <w:sz w:val="18"/>
                <w:szCs w:val="18"/>
              </w:rPr>
              <w:t>3.5</w:t>
            </w:r>
          </w:p>
        </w:tc>
        <w:tc>
          <w:tcPr>
            <w:tcW w:w="542" w:type="pct"/>
            <w:tcBorders>
              <w:top w:val="double" w:sz="4" w:space="0" w:color="0F243E" w:themeColor="text2" w:themeShade="80"/>
              <w:left w:val="double" w:sz="4" w:space="0" w:color="0F243E" w:themeColor="text2" w:themeShade="80"/>
              <w:bottom w:val="nil"/>
              <w:right w:val="nil"/>
            </w:tcBorders>
          </w:tcPr>
          <w:p w14:paraId="7F835FF9" w14:textId="2DD93F1B" w:rsidR="00812AF2" w:rsidRDefault="00812AF2" w:rsidP="00856423">
            <w:pPr>
              <w:spacing w:before="20"/>
              <w:ind w:right="284"/>
              <w:jc w:val="right"/>
              <w:rPr>
                <w:rFonts w:ascii="Arial" w:hAnsi="Arial" w:cs="Arial"/>
                <w:b/>
                <w:bCs/>
                <w:sz w:val="18"/>
                <w:szCs w:val="18"/>
              </w:rPr>
            </w:pPr>
            <w:r>
              <w:rPr>
                <w:rFonts w:ascii="Arial" w:hAnsi="Arial" w:cs="Arial"/>
                <w:b/>
                <w:bCs/>
                <w:sz w:val="18"/>
                <w:szCs w:val="18"/>
              </w:rPr>
              <w:t>1.2</w:t>
            </w:r>
          </w:p>
        </w:tc>
        <w:tc>
          <w:tcPr>
            <w:tcW w:w="628" w:type="pct"/>
            <w:tcBorders>
              <w:top w:val="double" w:sz="4" w:space="0" w:color="0F243E" w:themeColor="text2" w:themeShade="80"/>
              <w:left w:val="nil"/>
              <w:bottom w:val="nil"/>
              <w:right w:val="nil"/>
            </w:tcBorders>
          </w:tcPr>
          <w:p w14:paraId="6E05CF89" w14:textId="55794431" w:rsidR="00812AF2" w:rsidRDefault="00812AF2" w:rsidP="00630A9A">
            <w:pPr>
              <w:spacing w:before="20"/>
              <w:ind w:right="227"/>
              <w:jc w:val="right"/>
              <w:rPr>
                <w:rFonts w:ascii="Arial" w:hAnsi="Arial" w:cs="Arial"/>
                <w:b/>
                <w:bCs/>
                <w:sz w:val="18"/>
                <w:szCs w:val="18"/>
              </w:rPr>
            </w:pPr>
            <w:r>
              <w:rPr>
                <w:rFonts w:ascii="Arial" w:hAnsi="Arial" w:cs="Arial"/>
                <w:b/>
                <w:bCs/>
                <w:sz w:val="18"/>
                <w:szCs w:val="18"/>
              </w:rPr>
              <w:t>(-) 39.4</w:t>
            </w:r>
          </w:p>
        </w:tc>
        <w:tc>
          <w:tcPr>
            <w:tcW w:w="616" w:type="pct"/>
            <w:tcBorders>
              <w:top w:val="double" w:sz="4" w:space="0" w:color="0F243E" w:themeColor="text2" w:themeShade="80"/>
              <w:left w:val="nil"/>
              <w:bottom w:val="nil"/>
              <w:right w:val="nil"/>
            </w:tcBorders>
          </w:tcPr>
          <w:p w14:paraId="6FF7B32D" w14:textId="3877024F" w:rsidR="00812AF2" w:rsidRDefault="00812AF2" w:rsidP="00630A9A">
            <w:pPr>
              <w:spacing w:before="20"/>
              <w:ind w:right="227"/>
              <w:jc w:val="right"/>
              <w:rPr>
                <w:rFonts w:ascii="Arial" w:hAnsi="Arial" w:cs="Arial"/>
                <w:b/>
                <w:bCs/>
                <w:sz w:val="18"/>
                <w:szCs w:val="18"/>
              </w:rPr>
            </w:pPr>
            <w:r>
              <w:rPr>
                <w:rFonts w:ascii="Arial" w:hAnsi="Arial" w:cs="Arial"/>
                <w:b/>
                <w:bCs/>
                <w:sz w:val="18"/>
                <w:szCs w:val="18"/>
              </w:rPr>
              <w:t xml:space="preserve">(-) </w:t>
            </w:r>
            <w:r w:rsidR="00630A9A">
              <w:rPr>
                <w:rFonts w:ascii="Arial" w:hAnsi="Arial" w:cs="Arial"/>
                <w:b/>
                <w:bCs/>
                <w:sz w:val="18"/>
                <w:szCs w:val="18"/>
              </w:rPr>
              <w:t>56.3</w:t>
            </w:r>
          </w:p>
        </w:tc>
        <w:tc>
          <w:tcPr>
            <w:tcW w:w="634" w:type="pct"/>
            <w:tcBorders>
              <w:top w:val="double" w:sz="4" w:space="0" w:color="0F243E" w:themeColor="text2" w:themeShade="80"/>
              <w:left w:val="nil"/>
              <w:bottom w:val="nil"/>
              <w:right w:val="double" w:sz="4" w:space="0" w:color="0F243E" w:themeColor="text2" w:themeShade="80"/>
            </w:tcBorders>
            <w:vAlign w:val="center"/>
          </w:tcPr>
          <w:p w14:paraId="0CA1C1A8" w14:textId="30F0C075" w:rsidR="00812AF2" w:rsidRDefault="00812AF2" w:rsidP="00630A9A">
            <w:pPr>
              <w:spacing w:before="20"/>
              <w:ind w:right="227"/>
              <w:jc w:val="right"/>
              <w:rPr>
                <w:rFonts w:ascii="Arial" w:hAnsi="Arial" w:cs="Arial"/>
                <w:b/>
                <w:bCs/>
                <w:sz w:val="18"/>
                <w:szCs w:val="18"/>
              </w:rPr>
            </w:pPr>
            <w:r>
              <w:rPr>
                <w:rFonts w:ascii="Arial" w:hAnsi="Arial" w:cs="Arial"/>
                <w:b/>
                <w:bCs/>
                <w:sz w:val="18"/>
                <w:szCs w:val="18"/>
              </w:rPr>
              <w:t xml:space="preserve">(-)   </w:t>
            </w:r>
            <w:r w:rsidR="00630A9A">
              <w:rPr>
                <w:rFonts w:ascii="Arial" w:hAnsi="Arial" w:cs="Arial"/>
                <w:b/>
                <w:bCs/>
                <w:sz w:val="18"/>
                <w:szCs w:val="18"/>
              </w:rPr>
              <w:t>19.4</w:t>
            </w:r>
          </w:p>
        </w:tc>
      </w:tr>
      <w:tr w:rsidR="00812AF2" w:rsidRPr="00075546" w14:paraId="0A542283" w14:textId="77777777" w:rsidTr="00601D33">
        <w:trPr>
          <w:jc w:val="center"/>
        </w:trPr>
        <w:tc>
          <w:tcPr>
            <w:tcW w:w="1204" w:type="pct"/>
            <w:tcBorders>
              <w:top w:val="nil"/>
              <w:left w:val="double" w:sz="4" w:space="0" w:color="0F243E" w:themeColor="text2" w:themeShade="80"/>
              <w:bottom w:val="nil"/>
              <w:right w:val="double" w:sz="4" w:space="0" w:color="0F243E" w:themeColor="text2" w:themeShade="80"/>
            </w:tcBorders>
            <w:vAlign w:val="center"/>
          </w:tcPr>
          <w:p w14:paraId="6E9A1F22" w14:textId="77777777" w:rsidR="00812AF2" w:rsidRPr="00231C06" w:rsidRDefault="00812AF2" w:rsidP="00812AF2">
            <w:pPr>
              <w:pStyle w:val="Textoindependiente21"/>
              <w:keepNext/>
              <w:keepLines/>
              <w:widowControl w:val="0"/>
              <w:numPr>
                <w:ilvl w:val="12"/>
                <w:numId w:val="0"/>
              </w:numPr>
              <w:spacing w:before="20" w:after="0"/>
              <w:ind w:left="170" w:right="-79" w:firstLine="11"/>
              <w:rPr>
                <w:rFonts w:cs="Arial"/>
                <w:b/>
                <w:sz w:val="18"/>
                <w:szCs w:val="18"/>
                <w:lang w:val="es-ES"/>
              </w:rPr>
            </w:pPr>
            <w:r w:rsidRPr="00231C06">
              <w:rPr>
                <w:rFonts w:cs="Arial"/>
                <w:b/>
                <w:sz w:val="18"/>
                <w:szCs w:val="18"/>
                <w:lang w:val="es-ES"/>
              </w:rPr>
              <w:t>Estados Unidos</w:t>
            </w:r>
          </w:p>
        </w:tc>
        <w:tc>
          <w:tcPr>
            <w:tcW w:w="841" w:type="pct"/>
            <w:tcBorders>
              <w:top w:val="nil"/>
              <w:left w:val="nil"/>
              <w:bottom w:val="nil"/>
              <w:right w:val="double" w:sz="4" w:space="0" w:color="0F243E" w:themeColor="text2" w:themeShade="80"/>
            </w:tcBorders>
            <w:vAlign w:val="bottom"/>
          </w:tcPr>
          <w:p w14:paraId="29A95EB4" w14:textId="49F993B3" w:rsidR="00812AF2" w:rsidRPr="003A1E24" w:rsidRDefault="00812AF2" w:rsidP="00856423">
            <w:pPr>
              <w:ind w:right="397"/>
              <w:jc w:val="right"/>
              <w:rPr>
                <w:rFonts w:ascii="Arial" w:hAnsi="Arial" w:cs="Arial"/>
                <w:b/>
                <w:sz w:val="18"/>
                <w:szCs w:val="18"/>
              </w:rPr>
            </w:pPr>
            <w:r>
              <w:rPr>
                <w:rFonts w:ascii="Arial" w:hAnsi="Arial" w:cs="Arial"/>
                <w:b/>
                <w:sz w:val="18"/>
                <w:szCs w:val="18"/>
              </w:rPr>
              <w:t>81.</w:t>
            </w:r>
            <w:r w:rsidR="00856423">
              <w:rPr>
                <w:rFonts w:ascii="Arial" w:hAnsi="Arial" w:cs="Arial"/>
                <w:b/>
                <w:sz w:val="18"/>
                <w:szCs w:val="18"/>
              </w:rPr>
              <w:t>30</w:t>
            </w:r>
          </w:p>
        </w:tc>
        <w:tc>
          <w:tcPr>
            <w:tcW w:w="535" w:type="pct"/>
            <w:tcBorders>
              <w:top w:val="nil"/>
              <w:left w:val="double" w:sz="4" w:space="0" w:color="0F243E" w:themeColor="text2" w:themeShade="80"/>
              <w:bottom w:val="nil"/>
              <w:right w:val="double" w:sz="4" w:space="0" w:color="0F243E" w:themeColor="text2" w:themeShade="80"/>
            </w:tcBorders>
          </w:tcPr>
          <w:p w14:paraId="61A2E2E6" w14:textId="6B7F8F80" w:rsidR="00812AF2" w:rsidRDefault="00812AF2" w:rsidP="00812AF2">
            <w:pPr>
              <w:ind w:right="227"/>
              <w:jc w:val="right"/>
              <w:rPr>
                <w:rFonts w:ascii="Arial" w:hAnsi="Arial" w:cs="Arial"/>
                <w:b/>
                <w:bCs/>
                <w:sz w:val="18"/>
                <w:szCs w:val="18"/>
              </w:rPr>
            </w:pPr>
            <w:r>
              <w:rPr>
                <w:rFonts w:ascii="Arial" w:hAnsi="Arial" w:cs="Arial"/>
                <w:b/>
                <w:bCs/>
                <w:sz w:val="18"/>
                <w:szCs w:val="18"/>
              </w:rPr>
              <w:t>4.6</w:t>
            </w:r>
          </w:p>
        </w:tc>
        <w:tc>
          <w:tcPr>
            <w:tcW w:w="542" w:type="pct"/>
            <w:tcBorders>
              <w:top w:val="nil"/>
              <w:left w:val="double" w:sz="4" w:space="0" w:color="0F243E" w:themeColor="text2" w:themeShade="80"/>
              <w:bottom w:val="nil"/>
              <w:right w:val="nil"/>
            </w:tcBorders>
          </w:tcPr>
          <w:p w14:paraId="40E784A5" w14:textId="52E62DD3" w:rsidR="00812AF2" w:rsidRDefault="00812AF2" w:rsidP="00856423">
            <w:pPr>
              <w:ind w:right="284"/>
              <w:jc w:val="right"/>
              <w:rPr>
                <w:rFonts w:ascii="Arial" w:hAnsi="Arial" w:cs="Arial"/>
                <w:b/>
                <w:bCs/>
                <w:sz w:val="18"/>
                <w:szCs w:val="18"/>
              </w:rPr>
            </w:pPr>
            <w:r>
              <w:rPr>
                <w:rFonts w:ascii="Arial" w:hAnsi="Arial" w:cs="Arial"/>
                <w:b/>
                <w:bCs/>
                <w:sz w:val="18"/>
                <w:szCs w:val="18"/>
              </w:rPr>
              <w:t>1.0</w:t>
            </w:r>
          </w:p>
        </w:tc>
        <w:tc>
          <w:tcPr>
            <w:tcW w:w="628" w:type="pct"/>
            <w:tcBorders>
              <w:top w:val="nil"/>
              <w:left w:val="nil"/>
              <w:bottom w:val="nil"/>
              <w:right w:val="nil"/>
            </w:tcBorders>
          </w:tcPr>
          <w:p w14:paraId="0CD887C9" w14:textId="30C3F583" w:rsidR="00812AF2" w:rsidRDefault="00812AF2" w:rsidP="00630A9A">
            <w:pPr>
              <w:ind w:right="227"/>
              <w:jc w:val="right"/>
              <w:rPr>
                <w:rFonts w:ascii="Arial" w:hAnsi="Arial" w:cs="Arial"/>
                <w:b/>
                <w:bCs/>
                <w:sz w:val="18"/>
                <w:szCs w:val="18"/>
              </w:rPr>
            </w:pPr>
            <w:r>
              <w:rPr>
                <w:rFonts w:ascii="Arial" w:hAnsi="Arial" w:cs="Arial"/>
                <w:b/>
                <w:bCs/>
                <w:sz w:val="18"/>
                <w:szCs w:val="18"/>
              </w:rPr>
              <w:t>(-) 40.7</w:t>
            </w:r>
          </w:p>
        </w:tc>
        <w:tc>
          <w:tcPr>
            <w:tcW w:w="616" w:type="pct"/>
            <w:tcBorders>
              <w:top w:val="nil"/>
              <w:left w:val="nil"/>
              <w:bottom w:val="nil"/>
              <w:right w:val="nil"/>
            </w:tcBorders>
          </w:tcPr>
          <w:p w14:paraId="69DDD553" w14:textId="00AA05D8" w:rsidR="00812AF2" w:rsidRDefault="00812AF2" w:rsidP="00630A9A">
            <w:pPr>
              <w:ind w:right="227"/>
              <w:jc w:val="right"/>
              <w:rPr>
                <w:rFonts w:ascii="Arial" w:hAnsi="Arial" w:cs="Arial"/>
                <w:b/>
                <w:bCs/>
                <w:sz w:val="18"/>
                <w:szCs w:val="18"/>
              </w:rPr>
            </w:pPr>
            <w:r>
              <w:rPr>
                <w:rFonts w:ascii="Arial" w:hAnsi="Arial" w:cs="Arial"/>
                <w:b/>
                <w:bCs/>
                <w:sz w:val="18"/>
                <w:szCs w:val="18"/>
              </w:rPr>
              <w:t xml:space="preserve">(-) </w:t>
            </w:r>
            <w:r w:rsidR="00630A9A">
              <w:rPr>
                <w:rFonts w:ascii="Arial" w:hAnsi="Arial" w:cs="Arial"/>
                <w:b/>
                <w:bCs/>
                <w:sz w:val="18"/>
                <w:szCs w:val="18"/>
              </w:rPr>
              <w:t>57.2</w:t>
            </w:r>
          </w:p>
        </w:tc>
        <w:tc>
          <w:tcPr>
            <w:tcW w:w="634" w:type="pct"/>
            <w:tcBorders>
              <w:top w:val="nil"/>
              <w:left w:val="nil"/>
              <w:bottom w:val="nil"/>
              <w:right w:val="double" w:sz="4" w:space="0" w:color="0F243E" w:themeColor="text2" w:themeShade="80"/>
            </w:tcBorders>
            <w:vAlign w:val="center"/>
          </w:tcPr>
          <w:p w14:paraId="7E4DD0E7" w14:textId="6F06B006" w:rsidR="00812AF2" w:rsidRDefault="00812AF2" w:rsidP="00630A9A">
            <w:pPr>
              <w:spacing w:before="20"/>
              <w:ind w:right="227"/>
              <w:jc w:val="right"/>
              <w:rPr>
                <w:rFonts w:ascii="Arial" w:hAnsi="Arial" w:cs="Arial"/>
                <w:b/>
                <w:bCs/>
                <w:sz w:val="18"/>
                <w:szCs w:val="18"/>
              </w:rPr>
            </w:pPr>
            <w:r>
              <w:rPr>
                <w:rFonts w:ascii="Arial" w:hAnsi="Arial" w:cs="Arial"/>
                <w:b/>
                <w:bCs/>
                <w:sz w:val="18"/>
                <w:szCs w:val="18"/>
              </w:rPr>
              <w:t xml:space="preserve">(-)   </w:t>
            </w:r>
            <w:r w:rsidR="00630A9A">
              <w:rPr>
                <w:rFonts w:ascii="Arial" w:hAnsi="Arial" w:cs="Arial"/>
                <w:b/>
                <w:bCs/>
                <w:sz w:val="18"/>
                <w:szCs w:val="18"/>
              </w:rPr>
              <w:t>19.9</w:t>
            </w:r>
          </w:p>
        </w:tc>
      </w:tr>
      <w:tr w:rsidR="00812AF2" w:rsidRPr="00075546" w14:paraId="7D6DCB41" w14:textId="77777777" w:rsidTr="00601D33">
        <w:trPr>
          <w:jc w:val="center"/>
        </w:trPr>
        <w:tc>
          <w:tcPr>
            <w:tcW w:w="1204" w:type="pct"/>
            <w:tcBorders>
              <w:top w:val="nil"/>
              <w:left w:val="double" w:sz="4" w:space="0" w:color="0F243E" w:themeColor="text2" w:themeShade="80"/>
              <w:bottom w:val="nil"/>
              <w:right w:val="double" w:sz="4" w:space="0" w:color="0F243E" w:themeColor="text2" w:themeShade="80"/>
            </w:tcBorders>
            <w:vAlign w:val="center"/>
          </w:tcPr>
          <w:p w14:paraId="58BCA0FA" w14:textId="77777777" w:rsidR="00812AF2" w:rsidRPr="00231C06" w:rsidRDefault="00812AF2" w:rsidP="00812AF2">
            <w:pPr>
              <w:pStyle w:val="Textoindependiente21"/>
              <w:keepNext/>
              <w:keepLines/>
              <w:widowControl w:val="0"/>
              <w:numPr>
                <w:ilvl w:val="12"/>
                <w:numId w:val="0"/>
              </w:numPr>
              <w:spacing w:before="20" w:after="0"/>
              <w:ind w:left="426" w:right="-82"/>
              <w:rPr>
                <w:rFonts w:cs="Arial"/>
                <w:sz w:val="18"/>
                <w:szCs w:val="18"/>
                <w:lang w:val="es-ES"/>
              </w:rPr>
            </w:pPr>
            <w:r w:rsidRPr="00231C06">
              <w:rPr>
                <w:rFonts w:cs="Arial"/>
                <w:sz w:val="18"/>
                <w:szCs w:val="18"/>
                <w:lang w:val="es-ES"/>
              </w:rPr>
              <w:t>Automotriz</w:t>
            </w:r>
          </w:p>
        </w:tc>
        <w:tc>
          <w:tcPr>
            <w:tcW w:w="841" w:type="pct"/>
            <w:tcBorders>
              <w:top w:val="nil"/>
              <w:left w:val="nil"/>
              <w:bottom w:val="nil"/>
              <w:right w:val="double" w:sz="4" w:space="0" w:color="0F243E" w:themeColor="text2" w:themeShade="80"/>
            </w:tcBorders>
            <w:vAlign w:val="bottom"/>
          </w:tcPr>
          <w:p w14:paraId="57788929" w14:textId="72C56510" w:rsidR="00812AF2" w:rsidRPr="003A1E24" w:rsidRDefault="00856423" w:rsidP="00812AF2">
            <w:pPr>
              <w:tabs>
                <w:tab w:val="decimal" w:pos="141"/>
              </w:tabs>
              <w:ind w:right="397"/>
              <w:jc w:val="right"/>
              <w:rPr>
                <w:rFonts w:ascii="Arial" w:hAnsi="Arial" w:cs="Arial"/>
                <w:sz w:val="18"/>
                <w:szCs w:val="18"/>
              </w:rPr>
            </w:pPr>
            <w:r>
              <w:rPr>
                <w:rFonts w:ascii="Arial" w:hAnsi="Arial" w:cs="Arial"/>
                <w:sz w:val="18"/>
                <w:szCs w:val="18"/>
              </w:rPr>
              <w:t>22.34</w:t>
            </w:r>
          </w:p>
        </w:tc>
        <w:tc>
          <w:tcPr>
            <w:tcW w:w="535" w:type="pct"/>
            <w:tcBorders>
              <w:top w:val="nil"/>
              <w:left w:val="double" w:sz="4" w:space="0" w:color="0F243E" w:themeColor="text2" w:themeShade="80"/>
              <w:bottom w:val="nil"/>
              <w:right w:val="double" w:sz="4" w:space="0" w:color="0F243E" w:themeColor="text2" w:themeShade="80"/>
            </w:tcBorders>
          </w:tcPr>
          <w:p w14:paraId="4632CAC7" w14:textId="06975C64" w:rsidR="00812AF2" w:rsidRDefault="00812AF2" w:rsidP="00812AF2">
            <w:pPr>
              <w:ind w:right="227"/>
              <w:jc w:val="right"/>
              <w:rPr>
                <w:rFonts w:ascii="Arial" w:hAnsi="Arial" w:cs="Arial"/>
                <w:sz w:val="18"/>
                <w:szCs w:val="18"/>
              </w:rPr>
            </w:pPr>
            <w:r>
              <w:rPr>
                <w:rFonts w:ascii="Arial" w:hAnsi="Arial" w:cs="Arial"/>
                <w:sz w:val="18"/>
                <w:szCs w:val="18"/>
              </w:rPr>
              <w:t>5.5</w:t>
            </w:r>
          </w:p>
        </w:tc>
        <w:tc>
          <w:tcPr>
            <w:tcW w:w="542" w:type="pct"/>
            <w:tcBorders>
              <w:top w:val="nil"/>
              <w:left w:val="double" w:sz="4" w:space="0" w:color="0F243E" w:themeColor="text2" w:themeShade="80"/>
              <w:bottom w:val="nil"/>
              <w:right w:val="nil"/>
            </w:tcBorders>
          </w:tcPr>
          <w:p w14:paraId="259A08D0" w14:textId="0505C662" w:rsidR="00812AF2" w:rsidRDefault="00812AF2" w:rsidP="00856423">
            <w:pPr>
              <w:ind w:right="284"/>
              <w:jc w:val="right"/>
              <w:rPr>
                <w:rFonts w:ascii="Arial" w:hAnsi="Arial" w:cs="Arial"/>
                <w:sz w:val="18"/>
                <w:szCs w:val="18"/>
              </w:rPr>
            </w:pPr>
            <w:r>
              <w:rPr>
                <w:rFonts w:ascii="Arial" w:hAnsi="Arial" w:cs="Arial"/>
                <w:sz w:val="18"/>
                <w:szCs w:val="18"/>
              </w:rPr>
              <w:t>(-) 7.3</w:t>
            </w:r>
          </w:p>
        </w:tc>
        <w:tc>
          <w:tcPr>
            <w:tcW w:w="628" w:type="pct"/>
            <w:tcBorders>
              <w:top w:val="nil"/>
              <w:left w:val="nil"/>
              <w:bottom w:val="nil"/>
              <w:right w:val="nil"/>
            </w:tcBorders>
          </w:tcPr>
          <w:p w14:paraId="2150E935" w14:textId="74513397" w:rsidR="00812AF2" w:rsidRDefault="00812AF2" w:rsidP="00630A9A">
            <w:pPr>
              <w:ind w:right="227"/>
              <w:jc w:val="right"/>
              <w:rPr>
                <w:rFonts w:ascii="Arial" w:hAnsi="Arial" w:cs="Arial"/>
                <w:sz w:val="18"/>
                <w:szCs w:val="18"/>
              </w:rPr>
            </w:pPr>
            <w:r>
              <w:rPr>
                <w:rFonts w:ascii="Arial" w:hAnsi="Arial" w:cs="Arial"/>
                <w:sz w:val="18"/>
                <w:szCs w:val="18"/>
              </w:rPr>
              <w:t>(-) 80.0</w:t>
            </w:r>
          </w:p>
        </w:tc>
        <w:tc>
          <w:tcPr>
            <w:tcW w:w="616" w:type="pct"/>
            <w:tcBorders>
              <w:top w:val="nil"/>
              <w:left w:val="nil"/>
              <w:bottom w:val="nil"/>
              <w:right w:val="nil"/>
            </w:tcBorders>
          </w:tcPr>
          <w:p w14:paraId="380F6155" w14:textId="723D246C" w:rsidR="00812AF2" w:rsidRDefault="00812AF2" w:rsidP="00630A9A">
            <w:pPr>
              <w:ind w:right="227"/>
              <w:jc w:val="right"/>
              <w:rPr>
                <w:rFonts w:ascii="Arial" w:hAnsi="Arial" w:cs="Arial"/>
                <w:sz w:val="18"/>
                <w:szCs w:val="18"/>
              </w:rPr>
            </w:pPr>
            <w:r>
              <w:rPr>
                <w:rFonts w:ascii="Arial" w:hAnsi="Arial" w:cs="Arial"/>
                <w:sz w:val="18"/>
                <w:szCs w:val="18"/>
              </w:rPr>
              <w:t xml:space="preserve">(-) </w:t>
            </w:r>
            <w:r w:rsidR="00630A9A">
              <w:rPr>
                <w:rFonts w:ascii="Arial" w:hAnsi="Arial" w:cs="Arial"/>
                <w:sz w:val="18"/>
                <w:szCs w:val="18"/>
              </w:rPr>
              <w:t>90.7</w:t>
            </w:r>
          </w:p>
        </w:tc>
        <w:tc>
          <w:tcPr>
            <w:tcW w:w="634" w:type="pct"/>
            <w:tcBorders>
              <w:top w:val="nil"/>
              <w:left w:val="nil"/>
              <w:bottom w:val="nil"/>
              <w:right w:val="double" w:sz="4" w:space="0" w:color="0F243E" w:themeColor="text2" w:themeShade="80"/>
            </w:tcBorders>
            <w:vAlign w:val="center"/>
          </w:tcPr>
          <w:p w14:paraId="4115D3DE" w14:textId="1B5EDC60" w:rsidR="00812AF2" w:rsidRPr="003D7B13" w:rsidRDefault="00812AF2" w:rsidP="00630A9A">
            <w:pPr>
              <w:spacing w:before="20"/>
              <w:ind w:right="227"/>
              <w:jc w:val="right"/>
              <w:rPr>
                <w:rFonts w:ascii="Arial" w:hAnsi="Arial" w:cs="Arial"/>
                <w:bCs/>
                <w:sz w:val="18"/>
                <w:szCs w:val="18"/>
              </w:rPr>
            </w:pPr>
            <w:r>
              <w:rPr>
                <w:rFonts w:ascii="Arial" w:hAnsi="Arial" w:cs="Arial"/>
                <w:bCs/>
                <w:sz w:val="18"/>
                <w:szCs w:val="18"/>
              </w:rPr>
              <w:t xml:space="preserve">(-) </w:t>
            </w:r>
            <w:r w:rsidR="00630A9A">
              <w:rPr>
                <w:rFonts w:ascii="Arial" w:hAnsi="Arial" w:cs="Arial"/>
                <w:bCs/>
                <w:sz w:val="18"/>
                <w:szCs w:val="18"/>
              </w:rPr>
              <w:t xml:space="preserve">  35.9</w:t>
            </w:r>
          </w:p>
        </w:tc>
      </w:tr>
      <w:tr w:rsidR="00812AF2" w:rsidRPr="00075546" w14:paraId="51969188" w14:textId="77777777" w:rsidTr="00601D33">
        <w:trPr>
          <w:jc w:val="center"/>
        </w:trPr>
        <w:tc>
          <w:tcPr>
            <w:tcW w:w="1204" w:type="pct"/>
            <w:tcBorders>
              <w:top w:val="nil"/>
              <w:left w:val="double" w:sz="4" w:space="0" w:color="0F243E" w:themeColor="text2" w:themeShade="80"/>
              <w:bottom w:val="nil"/>
              <w:right w:val="double" w:sz="4" w:space="0" w:color="0F243E" w:themeColor="text2" w:themeShade="80"/>
            </w:tcBorders>
            <w:vAlign w:val="center"/>
          </w:tcPr>
          <w:p w14:paraId="781B741F" w14:textId="77777777" w:rsidR="00812AF2" w:rsidRPr="00231C06" w:rsidRDefault="00812AF2" w:rsidP="00812AF2">
            <w:pPr>
              <w:pStyle w:val="Textoindependiente21"/>
              <w:keepNext/>
              <w:keepLines/>
              <w:widowControl w:val="0"/>
              <w:numPr>
                <w:ilvl w:val="12"/>
                <w:numId w:val="0"/>
              </w:numPr>
              <w:spacing w:before="20" w:after="0"/>
              <w:ind w:left="426" w:right="-82"/>
              <w:rPr>
                <w:rFonts w:cs="Arial"/>
                <w:sz w:val="18"/>
                <w:szCs w:val="18"/>
                <w:lang w:val="es-ES"/>
              </w:rPr>
            </w:pPr>
            <w:r w:rsidRPr="00231C06">
              <w:rPr>
                <w:rFonts w:cs="Arial"/>
                <w:sz w:val="18"/>
                <w:szCs w:val="18"/>
                <w:lang w:val="es-ES"/>
              </w:rPr>
              <w:t>Otras</w:t>
            </w:r>
          </w:p>
        </w:tc>
        <w:tc>
          <w:tcPr>
            <w:tcW w:w="841" w:type="pct"/>
            <w:tcBorders>
              <w:top w:val="nil"/>
              <w:left w:val="nil"/>
              <w:bottom w:val="nil"/>
              <w:right w:val="double" w:sz="4" w:space="0" w:color="0F243E" w:themeColor="text2" w:themeShade="80"/>
            </w:tcBorders>
            <w:vAlign w:val="bottom"/>
          </w:tcPr>
          <w:p w14:paraId="5042BEAC" w14:textId="57A9E33A" w:rsidR="00812AF2" w:rsidRPr="003A1E24" w:rsidRDefault="00856423" w:rsidP="00812AF2">
            <w:pPr>
              <w:tabs>
                <w:tab w:val="decimal" w:pos="141"/>
              </w:tabs>
              <w:ind w:right="397"/>
              <w:jc w:val="right"/>
              <w:rPr>
                <w:rFonts w:ascii="Arial" w:hAnsi="Arial" w:cs="Arial"/>
                <w:sz w:val="18"/>
                <w:szCs w:val="18"/>
              </w:rPr>
            </w:pPr>
            <w:r>
              <w:rPr>
                <w:rFonts w:ascii="Arial" w:hAnsi="Arial" w:cs="Arial"/>
                <w:sz w:val="18"/>
                <w:szCs w:val="18"/>
              </w:rPr>
              <w:t>58.96</w:t>
            </w:r>
          </w:p>
        </w:tc>
        <w:tc>
          <w:tcPr>
            <w:tcW w:w="535" w:type="pct"/>
            <w:tcBorders>
              <w:top w:val="nil"/>
              <w:left w:val="double" w:sz="4" w:space="0" w:color="0F243E" w:themeColor="text2" w:themeShade="80"/>
              <w:bottom w:val="nil"/>
              <w:right w:val="double" w:sz="4" w:space="0" w:color="0F243E" w:themeColor="text2" w:themeShade="80"/>
            </w:tcBorders>
          </w:tcPr>
          <w:p w14:paraId="2B99BE9A" w14:textId="417D0208" w:rsidR="00812AF2" w:rsidRPr="00F11E8F" w:rsidRDefault="00812AF2" w:rsidP="00812AF2">
            <w:pPr>
              <w:ind w:right="227"/>
              <w:jc w:val="right"/>
              <w:rPr>
                <w:rFonts w:ascii="Arial" w:hAnsi="Arial" w:cs="Arial"/>
                <w:sz w:val="18"/>
                <w:szCs w:val="18"/>
              </w:rPr>
            </w:pPr>
            <w:r>
              <w:rPr>
                <w:rFonts w:ascii="Arial" w:hAnsi="Arial" w:cs="Arial"/>
                <w:sz w:val="18"/>
                <w:szCs w:val="18"/>
              </w:rPr>
              <w:t>4.1</w:t>
            </w:r>
          </w:p>
        </w:tc>
        <w:tc>
          <w:tcPr>
            <w:tcW w:w="542" w:type="pct"/>
            <w:tcBorders>
              <w:top w:val="nil"/>
              <w:left w:val="double" w:sz="4" w:space="0" w:color="0F243E" w:themeColor="text2" w:themeShade="80"/>
              <w:bottom w:val="nil"/>
              <w:right w:val="nil"/>
            </w:tcBorders>
          </w:tcPr>
          <w:p w14:paraId="4431E5EC" w14:textId="10D3814A" w:rsidR="00812AF2" w:rsidRDefault="00812AF2" w:rsidP="00856423">
            <w:pPr>
              <w:ind w:right="284"/>
              <w:jc w:val="right"/>
              <w:rPr>
                <w:rFonts w:ascii="Arial" w:hAnsi="Arial" w:cs="Arial"/>
                <w:sz w:val="18"/>
                <w:szCs w:val="18"/>
              </w:rPr>
            </w:pPr>
            <w:r>
              <w:rPr>
                <w:rFonts w:ascii="Arial" w:hAnsi="Arial" w:cs="Arial"/>
                <w:sz w:val="18"/>
                <w:szCs w:val="18"/>
              </w:rPr>
              <w:t>5.9</w:t>
            </w:r>
          </w:p>
        </w:tc>
        <w:tc>
          <w:tcPr>
            <w:tcW w:w="628" w:type="pct"/>
            <w:tcBorders>
              <w:top w:val="nil"/>
              <w:left w:val="nil"/>
              <w:bottom w:val="nil"/>
              <w:right w:val="nil"/>
            </w:tcBorders>
          </w:tcPr>
          <w:p w14:paraId="494E6F9E" w14:textId="18BD06EE" w:rsidR="00812AF2" w:rsidRDefault="00812AF2" w:rsidP="00630A9A">
            <w:pPr>
              <w:ind w:right="227"/>
              <w:jc w:val="right"/>
              <w:rPr>
                <w:rFonts w:ascii="Arial" w:hAnsi="Arial" w:cs="Arial"/>
                <w:sz w:val="18"/>
                <w:szCs w:val="18"/>
              </w:rPr>
            </w:pPr>
            <w:r>
              <w:rPr>
                <w:rFonts w:ascii="Arial" w:hAnsi="Arial" w:cs="Arial"/>
                <w:sz w:val="18"/>
                <w:szCs w:val="18"/>
              </w:rPr>
              <w:t>(-) 20.2</w:t>
            </w:r>
          </w:p>
        </w:tc>
        <w:tc>
          <w:tcPr>
            <w:tcW w:w="616" w:type="pct"/>
            <w:tcBorders>
              <w:top w:val="nil"/>
              <w:left w:val="nil"/>
              <w:bottom w:val="nil"/>
              <w:right w:val="nil"/>
            </w:tcBorders>
          </w:tcPr>
          <w:p w14:paraId="611CD4EA" w14:textId="165FB907" w:rsidR="00812AF2" w:rsidRDefault="00812AF2" w:rsidP="00630A9A">
            <w:pPr>
              <w:ind w:right="227"/>
              <w:jc w:val="right"/>
              <w:rPr>
                <w:rFonts w:ascii="Arial" w:hAnsi="Arial" w:cs="Arial"/>
                <w:sz w:val="18"/>
                <w:szCs w:val="18"/>
              </w:rPr>
            </w:pPr>
            <w:r>
              <w:rPr>
                <w:rFonts w:ascii="Arial" w:hAnsi="Arial" w:cs="Arial"/>
                <w:sz w:val="18"/>
                <w:szCs w:val="18"/>
              </w:rPr>
              <w:t xml:space="preserve">(-) </w:t>
            </w:r>
            <w:r w:rsidR="00630A9A">
              <w:rPr>
                <w:rFonts w:ascii="Arial" w:hAnsi="Arial" w:cs="Arial"/>
                <w:sz w:val="18"/>
                <w:szCs w:val="18"/>
              </w:rPr>
              <w:t>39.7</w:t>
            </w:r>
          </w:p>
        </w:tc>
        <w:tc>
          <w:tcPr>
            <w:tcW w:w="634" w:type="pct"/>
            <w:tcBorders>
              <w:top w:val="nil"/>
              <w:left w:val="nil"/>
              <w:bottom w:val="nil"/>
              <w:right w:val="double" w:sz="4" w:space="0" w:color="0F243E" w:themeColor="text2" w:themeShade="80"/>
            </w:tcBorders>
            <w:vAlign w:val="center"/>
          </w:tcPr>
          <w:p w14:paraId="2A211104" w14:textId="1B482EC2" w:rsidR="00812AF2" w:rsidRPr="003D7B13" w:rsidRDefault="00812AF2" w:rsidP="00630A9A">
            <w:pPr>
              <w:spacing w:before="20"/>
              <w:ind w:right="227"/>
              <w:jc w:val="right"/>
              <w:rPr>
                <w:rFonts w:ascii="Arial" w:hAnsi="Arial" w:cs="Arial"/>
                <w:bCs/>
                <w:sz w:val="18"/>
                <w:szCs w:val="18"/>
              </w:rPr>
            </w:pPr>
            <w:r>
              <w:rPr>
                <w:rFonts w:ascii="Arial" w:hAnsi="Arial" w:cs="Arial"/>
                <w:bCs/>
                <w:sz w:val="18"/>
                <w:szCs w:val="18"/>
              </w:rPr>
              <w:t xml:space="preserve">(-) </w:t>
            </w:r>
            <w:r w:rsidR="00630A9A">
              <w:rPr>
                <w:rFonts w:ascii="Arial" w:hAnsi="Arial" w:cs="Arial"/>
                <w:bCs/>
                <w:sz w:val="18"/>
                <w:szCs w:val="18"/>
              </w:rPr>
              <w:t xml:space="preserve">  11.5</w:t>
            </w:r>
          </w:p>
        </w:tc>
      </w:tr>
      <w:tr w:rsidR="00812AF2" w:rsidRPr="00075546" w14:paraId="52E16F4F" w14:textId="77777777" w:rsidTr="00601D33">
        <w:trPr>
          <w:jc w:val="center"/>
        </w:trPr>
        <w:tc>
          <w:tcPr>
            <w:tcW w:w="1204" w:type="pct"/>
            <w:tcBorders>
              <w:top w:val="nil"/>
              <w:left w:val="double" w:sz="4" w:space="0" w:color="0F243E" w:themeColor="text2" w:themeShade="80"/>
              <w:bottom w:val="nil"/>
              <w:right w:val="double" w:sz="4" w:space="0" w:color="0F243E" w:themeColor="text2" w:themeShade="80"/>
            </w:tcBorders>
            <w:vAlign w:val="center"/>
          </w:tcPr>
          <w:p w14:paraId="1859E866" w14:textId="77777777" w:rsidR="00812AF2" w:rsidRPr="00231C06" w:rsidRDefault="00812AF2" w:rsidP="00812AF2">
            <w:pPr>
              <w:pStyle w:val="Textoindependiente21"/>
              <w:keepNext/>
              <w:keepLines/>
              <w:widowControl w:val="0"/>
              <w:numPr>
                <w:ilvl w:val="12"/>
                <w:numId w:val="0"/>
              </w:numPr>
              <w:spacing w:before="20" w:after="0"/>
              <w:ind w:left="170" w:right="-79" w:firstLine="11"/>
              <w:rPr>
                <w:rFonts w:cs="Arial"/>
                <w:b/>
                <w:sz w:val="18"/>
                <w:szCs w:val="18"/>
                <w:lang w:val="es-ES"/>
              </w:rPr>
            </w:pPr>
            <w:r w:rsidRPr="00231C06">
              <w:rPr>
                <w:rFonts w:cs="Arial"/>
                <w:b/>
                <w:sz w:val="18"/>
                <w:szCs w:val="18"/>
                <w:lang w:val="es-ES"/>
              </w:rPr>
              <w:t>Resto del Mundo</w:t>
            </w:r>
          </w:p>
        </w:tc>
        <w:tc>
          <w:tcPr>
            <w:tcW w:w="841" w:type="pct"/>
            <w:tcBorders>
              <w:top w:val="nil"/>
              <w:left w:val="nil"/>
              <w:bottom w:val="nil"/>
              <w:right w:val="double" w:sz="4" w:space="0" w:color="0F243E" w:themeColor="text2" w:themeShade="80"/>
            </w:tcBorders>
            <w:vAlign w:val="bottom"/>
          </w:tcPr>
          <w:p w14:paraId="4C354A4D" w14:textId="2861709D" w:rsidR="00812AF2" w:rsidRPr="003A1E24" w:rsidRDefault="00812AF2" w:rsidP="00856423">
            <w:pPr>
              <w:tabs>
                <w:tab w:val="decimal" w:pos="141"/>
              </w:tabs>
              <w:ind w:right="397"/>
              <w:jc w:val="right"/>
              <w:rPr>
                <w:rFonts w:ascii="Arial" w:hAnsi="Arial" w:cs="Arial"/>
                <w:b/>
                <w:sz w:val="18"/>
                <w:szCs w:val="18"/>
              </w:rPr>
            </w:pPr>
            <w:r>
              <w:rPr>
                <w:rFonts w:ascii="Arial" w:hAnsi="Arial" w:cs="Arial"/>
                <w:b/>
                <w:sz w:val="18"/>
                <w:szCs w:val="18"/>
              </w:rPr>
              <w:t>18.</w:t>
            </w:r>
            <w:r w:rsidR="00856423">
              <w:rPr>
                <w:rFonts w:ascii="Arial" w:hAnsi="Arial" w:cs="Arial"/>
                <w:b/>
                <w:sz w:val="18"/>
                <w:szCs w:val="18"/>
              </w:rPr>
              <w:t>70</w:t>
            </w:r>
          </w:p>
        </w:tc>
        <w:tc>
          <w:tcPr>
            <w:tcW w:w="535" w:type="pct"/>
            <w:tcBorders>
              <w:top w:val="nil"/>
              <w:left w:val="double" w:sz="4" w:space="0" w:color="0F243E" w:themeColor="text2" w:themeShade="80"/>
              <w:bottom w:val="nil"/>
              <w:right w:val="double" w:sz="4" w:space="0" w:color="0F243E" w:themeColor="text2" w:themeShade="80"/>
            </w:tcBorders>
          </w:tcPr>
          <w:p w14:paraId="33703D1F" w14:textId="1AD3D492" w:rsidR="00812AF2" w:rsidRDefault="00812AF2" w:rsidP="00812AF2">
            <w:pPr>
              <w:ind w:right="227"/>
              <w:jc w:val="right"/>
              <w:rPr>
                <w:rFonts w:ascii="Arial" w:hAnsi="Arial" w:cs="Arial"/>
                <w:b/>
                <w:bCs/>
                <w:sz w:val="18"/>
                <w:szCs w:val="18"/>
              </w:rPr>
            </w:pPr>
            <w:r>
              <w:rPr>
                <w:rFonts w:ascii="Arial" w:hAnsi="Arial" w:cs="Arial"/>
                <w:b/>
                <w:bCs/>
                <w:sz w:val="18"/>
                <w:szCs w:val="18"/>
              </w:rPr>
              <w:t>(-) 1.1</w:t>
            </w:r>
          </w:p>
        </w:tc>
        <w:tc>
          <w:tcPr>
            <w:tcW w:w="542" w:type="pct"/>
            <w:tcBorders>
              <w:top w:val="nil"/>
              <w:left w:val="double" w:sz="4" w:space="0" w:color="0F243E" w:themeColor="text2" w:themeShade="80"/>
              <w:bottom w:val="nil"/>
              <w:right w:val="nil"/>
            </w:tcBorders>
          </w:tcPr>
          <w:p w14:paraId="73E59D3C" w14:textId="1DFAE144" w:rsidR="00812AF2" w:rsidRDefault="00812AF2" w:rsidP="00856423">
            <w:pPr>
              <w:ind w:right="284"/>
              <w:jc w:val="right"/>
              <w:rPr>
                <w:rFonts w:ascii="Arial" w:hAnsi="Arial" w:cs="Arial"/>
                <w:b/>
                <w:bCs/>
                <w:sz w:val="18"/>
                <w:szCs w:val="18"/>
              </w:rPr>
            </w:pPr>
            <w:r>
              <w:rPr>
                <w:rFonts w:ascii="Arial" w:hAnsi="Arial" w:cs="Arial"/>
                <w:b/>
                <w:bCs/>
                <w:sz w:val="18"/>
                <w:szCs w:val="18"/>
              </w:rPr>
              <w:t>1.7</w:t>
            </w:r>
          </w:p>
        </w:tc>
        <w:tc>
          <w:tcPr>
            <w:tcW w:w="628" w:type="pct"/>
            <w:tcBorders>
              <w:top w:val="nil"/>
              <w:left w:val="nil"/>
              <w:bottom w:val="nil"/>
              <w:right w:val="nil"/>
            </w:tcBorders>
          </w:tcPr>
          <w:p w14:paraId="4ACDF1DE" w14:textId="7C4271A0" w:rsidR="00812AF2" w:rsidRDefault="00812AF2" w:rsidP="00630A9A">
            <w:pPr>
              <w:ind w:right="227"/>
              <w:jc w:val="right"/>
              <w:rPr>
                <w:rFonts w:ascii="Arial" w:hAnsi="Arial" w:cs="Arial"/>
                <w:b/>
                <w:bCs/>
                <w:sz w:val="18"/>
                <w:szCs w:val="18"/>
              </w:rPr>
            </w:pPr>
            <w:r>
              <w:rPr>
                <w:rFonts w:ascii="Arial" w:hAnsi="Arial" w:cs="Arial"/>
                <w:b/>
                <w:bCs/>
                <w:sz w:val="18"/>
                <w:szCs w:val="18"/>
              </w:rPr>
              <w:t>(-) 33.4</w:t>
            </w:r>
          </w:p>
        </w:tc>
        <w:tc>
          <w:tcPr>
            <w:tcW w:w="616" w:type="pct"/>
            <w:tcBorders>
              <w:top w:val="nil"/>
              <w:left w:val="nil"/>
              <w:bottom w:val="nil"/>
              <w:right w:val="nil"/>
            </w:tcBorders>
          </w:tcPr>
          <w:p w14:paraId="59C4C137" w14:textId="4CF52EEA" w:rsidR="00812AF2" w:rsidRDefault="00812AF2" w:rsidP="00630A9A">
            <w:pPr>
              <w:ind w:right="227"/>
              <w:jc w:val="right"/>
              <w:rPr>
                <w:rFonts w:ascii="Arial" w:hAnsi="Arial" w:cs="Arial"/>
                <w:b/>
                <w:bCs/>
                <w:sz w:val="18"/>
                <w:szCs w:val="18"/>
              </w:rPr>
            </w:pPr>
            <w:r>
              <w:rPr>
                <w:rFonts w:ascii="Arial" w:hAnsi="Arial" w:cs="Arial"/>
                <w:b/>
                <w:bCs/>
                <w:sz w:val="18"/>
                <w:szCs w:val="18"/>
              </w:rPr>
              <w:t xml:space="preserve">(-) </w:t>
            </w:r>
            <w:r w:rsidR="00630A9A">
              <w:rPr>
                <w:rFonts w:ascii="Arial" w:hAnsi="Arial" w:cs="Arial"/>
                <w:b/>
                <w:bCs/>
                <w:sz w:val="18"/>
                <w:szCs w:val="18"/>
              </w:rPr>
              <w:t>51.8</w:t>
            </w:r>
          </w:p>
        </w:tc>
        <w:tc>
          <w:tcPr>
            <w:tcW w:w="634" w:type="pct"/>
            <w:tcBorders>
              <w:top w:val="nil"/>
              <w:left w:val="nil"/>
              <w:bottom w:val="nil"/>
              <w:right w:val="double" w:sz="4" w:space="0" w:color="0F243E" w:themeColor="text2" w:themeShade="80"/>
            </w:tcBorders>
            <w:vAlign w:val="center"/>
          </w:tcPr>
          <w:p w14:paraId="6C354693" w14:textId="178039B1" w:rsidR="00812AF2" w:rsidRDefault="00812AF2" w:rsidP="00630A9A">
            <w:pPr>
              <w:spacing w:before="20"/>
              <w:ind w:right="227"/>
              <w:jc w:val="right"/>
              <w:rPr>
                <w:rFonts w:ascii="Arial" w:hAnsi="Arial" w:cs="Arial"/>
                <w:b/>
                <w:bCs/>
                <w:sz w:val="18"/>
                <w:szCs w:val="18"/>
              </w:rPr>
            </w:pPr>
            <w:r>
              <w:rPr>
                <w:rFonts w:ascii="Arial" w:hAnsi="Arial" w:cs="Arial"/>
                <w:b/>
                <w:bCs/>
                <w:sz w:val="18"/>
                <w:szCs w:val="18"/>
              </w:rPr>
              <w:t xml:space="preserve">(-)   </w:t>
            </w:r>
            <w:r w:rsidR="00630A9A">
              <w:rPr>
                <w:rFonts w:ascii="Arial" w:hAnsi="Arial" w:cs="Arial"/>
                <w:b/>
                <w:bCs/>
                <w:sz w:val="18"/>
                <w:szCs w:val="18"/>
              </w:rPr>
              <w:t>17.1</w:t>
            </w:r>
          </w:p>
        </w:tc>
      </w:tr>
      <w:tr w:rsidR="00812AF2" w:rsidRPr="00075546" w14:paraId="4428A02E" w14:textId="77777777" w:rsidTr="00601D33">
        <w:trPr>
          <w:jc w:val="center"/>
        </w:trPr>
        <w:tc>
          <w:tcPr>
            <w:tcW w:w="1204" w:type="pct"/>
            <w:tcBorders>
              <w:top w:val="nil"/>
              <w:left w:val="double" w:sz="4" w:space="0" w:color="0F243E" w:themeColor="text2" w:themeShade="80"/>
              <w:bottom w:val="nil"/>
              <w:right w:val="double" w:sz="4" w:space="0" w:color="0F243E" w:themeColor="text2" w:themeShade="80"/>
            </w:tcBorders>
            <w:vAlign w:val="center"/>
          </w:tcPr>
          <w:p w14:paraId="2D7817EC" w14:textId="77777777" w:rsidR="00812AF2" w:rsidRPr="00231C06" w:rsidRDefault="00812AF2" w:rsidP="00812AF2">
            <w:pPr>
              <w:pStyle w:val="Textoindependiente21"/>
              <w:keepNext/>
              <w:keepLines/>
              <w:widowControl w:val="0"/>
              <w:numPr>
                <w:ilvl w:val="12"/>
                <w:numId w:val="0"/>
              </w:numPr>
              <w:spacing w:before="20" w:after="0"/>
              <w:ind w:left="426" w:right="-82"/>
              <w:rPr>
                <w:rFonts w:cs="Arial"/>
                <w:sz w:val="18"/>
                <w:szCs w:val="18"/>
                <w:lang w:val="es-ES"/>
              </w:rPr>
            </w:pPr>
            <w:r w:rsidRPr="00231C06">
              <w:rPr>
                <w:rFonts w:cs="Arial"/>
                <w:sz w:val="18"/>
                <w:szCs w:val="18"/>
                <w:lang w:val="es-ES"/>
              </w:rPr>
              <w:t>Automotriz</w:t>
            </w:r>
          </w:p>
        </w:tc>
        <w:tc>
          <w:tcPr>
            <w:tcW w:w="841" w:type="pct"/>
            <w:tcBorders>
              <w:top w:val="nil"/>
              <w:left w:val="nil"/>
              <w:bottom w:val="nil"/>
              <w:right w:val="double" w:sz="4" w:space="0" w:color="0F243E" w:themeColor="text2" w:themeShade="80"/>
            </w:tcBorders>
            <w:vAlign w:val="bottom"/>
          </w:tcPr>
          <w:p w14:paraId="733A73A0" w14:textId="788049BC" w:rsidR="00812AF2" w:rsidRPr="003A1E24" w:rsidRDefault="00856423" w:rsidP="00812AF2">
            <w:pPr>
              <w:tabs>
                <w:tab w:val="decimal" w:pos="141"/>
              </w:tabs>
              <w:ind w:right="397"/>
              <w:jc w:val="right"/>
              <w:rPr>
                <w:rFonts w:ascii="Arial" w:hAnsi="Arial" w:cs="Arial"/>
                <w:sz w:val="18"/>
                <w:szCs w:val="18"/>
              </w:rPr>
            </w:pPr>
            <w:r>
              <w:rPr>
                <w:rFonts w:ascii="Arial" w:hAnsi="Arial" w:cs="Arial"/>
                <w:sz w:val="18"/>
                <w:szCs w:val="18"/>
              </w:rPr>
              <w:t>4.75</w:t>
            </w:r>
          </w:p>
        </w:tc>
        <w:tc>
          <w:tcPr>
            <w:tcW w:w="535" w:type="pct"/>
            <w:tcBorders>
              <w:top w:val="nil"/>
              <w:left w:val="double" w:sz="4" w:space="0" w:color="0F243E" w:themeColor="text2" w:themeShade="80"/>
              <w:bottom w:val="nil"/>
              <w:right w:val="double" w:sz="4" w:space="0" w:color="0F243E" w:themeColor="text2" w:themeShade="80"/>
            </w:tcBorders>
          </w:tcPr>
          <w:p w14:paraId="2472B87D" w14:textId="560E77F9" w:rsidR="00812AF2" w:rsidRDefault="00812AF2" w:rsidP="00812AF2">
            <w:pPr>
              <w:ind w:right="227"/>
              <w:jc w:val="right"/>
              <w:rPr>
                <w:rFonts w:ascii="Arial" w:hAnsi="Arial" w:cs="Arial"/>
                <w:sz w:val="18"/>
                <w:szCs w:val="18"/>
              </w:rPr>
            </w:pPr>
            <w:r>
              <w:rPr>
                <w:rFonts w:ascii="Arial" w:hAnsi="Arial" w:cs="Arial"/>
                <w:sz w:val="18"/>
                <w:szCs w:val="18"/>
              </w:rPr>
              <w:t>(-) 3.3</w:t>
            </w:r>
          </w:p>
        </w:tc>
        <w:tc>
          <w:tcPr>
            <w:tcW w:w="542" w:type="pct"/>
            <w:tcBorders>
              <w:top w:val="nil"/>
              <w:left w:val="double" w:sz="4" w:space="0" w:color="0F243E" w:themeColor="text2" w:themeShade="80"/>
              <w:bottom w:val="nil"/>
              <w:right w:val="nil"/>
            </w:tcBorders>
          </w:tcPr>
          <w:p w14:paraId="601C5485" w14:textId="60F41692" w:rsidR="00812AF2" w:rsidRDefault="00812AF2" w:rsidP="00856423">
            <w:pPr>
              <w:ind w:right="284"/>
              <w:jc w:val="right"/>
              <w:rPr>
                <w:rFonts w:ascii="Arial" w:hAnsi="Arial" w:cs="Arial"/>
                <w:sz w:val="18"/>
                <w:szCs w:val="18"/>
              </w:rPr>
            </w:pPr>
            <w:r>
              <w:rPr>
                <w:rFonts w:ascii="Arial" w:hAnsi="Arial" w:cs="Arial"/>
                <w:sz w:val="18"/>
                <w:szCs w:val="18"/>
              </w:rPr>
              <w:t>6.2</w:t>
            </w:r>
          </w:p>
        </w:tc>
        <w:tc>
          <w:tcPr>
            <w:tcW w:w="628" w:type="pct"/>
            <w:tcBorders>
              <w:top w:val="nil"/>
              <w:left w:val="nil"/>
              <w:bottom w:val="nil"/>
              <w:right w:val="nil"/>
            </w:tcBorders>
          </w:tcPr>
          <w:p w14:paraId="39E36C9A" w14:textId="5C81FEF4" w:rsidR="00812AF2" w:rsidRDefault="00812AF2" w:rsidP="00630A9A">
            <w:pPr>
              <w:ind w:right="227"/>
              <w:jc w:val="right"/>
              <w:rPr>
                <w:rFonts w:ascii="Arial" w:hAnsi="Arial" w:cs="Arial"/>
                <w:sz w:val="18"/>
                <w:szCs w:val="18"/>
              </w:rPr>
            </w:pPr>
            <w:r>
              <w:rPr>
                <w:rFonts w:ascii="Arial" w:hAnsi="Arial" w:cs="Arial"/>
                <w:sz w:val="18"/>
                <w:szCs w:val="18"/>
              </w:rPr>
              <w:t>(-) 74.6</w:t>
            </w:r>
          </w:p>
        </w:tc>
        <w:tc>
          <w:tcPr>
            <w:tcW w:w="616" w:type="pct"/>
            <w:tcBorders>
              <w:top w:val="nil"/>
              <w:left w:val="nil"/>
              <w:bottom w:val="nil"/>
              <w:right w:val="nil"/>
            </w:tcBorders>
          </w:tcPr>
          <w:p w14:paraId="64CA1434" w14:textId="26048AE4" w:rsidR="00812AF2" w:rsidRDefault="00812AF2" w:rsidP="00630A9A">
            <w:pPr>
              <w:ind w:right="227"/>
              <w:jc w:val="right"/>
              <w:rPr>
                <w:rFonts w:ascii="Arial" w:hAnsi="Arial" w:cs="Arial"/>
                <w:sz w:val="18"/>
                <w:szCs w:val="18"/>
              </w:rPr>
            </w:pPr>
            <w:r>
              <w:rPr>
                <w:rFonts w:ascii="Arial" w:hAnsi="Arial" w:cs="Arial"/>
                <w:sz w:val="18"/>
                <w:szCs w:val="18"/>
              </w:rPr>
              <w:t xml:space="preserve">(-) </w:t>
            </w:r>
            <w:r w:rsidR="00630A9A">
              <w:rPr>
                <w:rFonts w:ascii="Arial" w:hAnsi="Arial" w:cs="Arial"/>
                <w:sz w:val="18"/>
                <w:szCs w:val="18"/>
              </w:rPr>
              <w:t>86.7</w:t>
            </w:r>
          </w:p>
        </w:tc>
        <w:tc>
          <w:tcPr>
            <w:tcW w:w="634" w:type="pct"/>
            <w:tcBorders>
              <w:top w:val="nil"/>
              <w:left w:val="nil"/>
              <w:bottom w:val="nil"/>
              <w:right w:val="double" w:sz="4" w:space="0" w:color="0F243E" w:themeColor="text2" w:themeShade="80"/>
            </w:tcBorders>
            <w:vAlign w:val="center"/>
          </w:tcPr>
          <w:p w14:paraId="3775FAF0" w14:textId="3FD3CDA0" w:rsidR="00812AF2" w:rsidRPr="003D7B13" w:rsidRDefault="00812AF2" w:rsidP="00630A9A">
            <w:pPr>
              <w:spacing w:before="20"/>
              <w:ind w:right="227"/>
              <w:jc w:val="right"/>
              <w:rPr>
                <w:rFonts w:ascii="Arial" w:hAnsi="Arial" w:cs="Arial"/>
                <w:bCs/>
                <w:sz w:val="18"/>
                <w:szCs w:val="18"/>
              </w:rPr>
            </w:pPr>
            <w:r>
              <w:rPr>
                <w:rFonts w:ascii="Arial" w:hAnsi="Arial" w:cs="Arial"/>
                <w:bCs/>
                <w:sz w:val="18"/>
                <w:szCs w:val="18"/>
              </w:rPr>
              <w:t xml:space="preserve">(-) </w:t>
            </w:r>
            <w:r w:rsidR="00630A9A">
              <w:rPr>
                <w:rFonts w:ascii="Arial" w:hAnsi="Arial" w:cs="Arial"/>
                <w:bCs/>
                <w:sz w:val="18"/>
                <w:szCs w:val="18"/>
              </w:rPr>
              <w:t xml:space="preserve">  32.9</w:t>
            </w:r>
          </w:p>
        </w:tc>
      </w:tr>
      <w:tr w:rsidR="00812AF2" w:rsidRPr="00075546" w14:paraId="7DCC1781" w14:textId="77777777" w:rsidTr="00601D33">
        <w:trPr>
          <w:jc w:val="center"/>
        </w:trPr>
        <w:tc>
          <w:tcPr>
            <w:tcW w:w="1204" w:type="pct"/>
            <w:tcBorders>
              <w:top w:val="nil"/>
              <w:left w:val="double" w:sz="4" w:space="0" w:color="0F243E" w:themeColor="text2" w:themeShade="80"/>
              <w:bottom w:val="double" w:sz="4" w:space="0" w:color="0F243E" w:themeColor="text2" w:themeShade="80"/>
              <w:right w:val="double" w:sz="4" w:space="0" w:color="0F243E" w:themeColor="text2" w:themeShade="80"/>
            </w:tcBorders>
            <w:vAlign w:val="center"/>
          </w:tcPr>
          <w:p w14:paraId="6595DA21" w14:textId="77777777" w:rsidR="00812AF2" w:rsidRPr="00231C06" w:rsidRDefault="00812AF2" w:rsidP="00812AF2">
            <w:pPr>
              <w:pStyle w:val="Textoindependiente21"/>
              <w:keepNext/>
              <w:keepLines/>
              <w:widowControl w:val="0"/>
              <w:numPr>
                <w:ilvl w:val="12"/>
                <w:numId w:val="0"/>
              </w:numPr>
              <w:spacing w:before="20" w:after="0"/>
              <w:ind w:left="426" w:right="-82"/>
              <w:rPr>
                <w:rFonts w:cs="Arial"/>
                <w:sz w:val="18"/>
                <w:szCs w:val="18"/>
                <w:lang w:val="es-ES"/>
              </w:rPr>
            </w:pPr>
            <w:r w:rsidRPr="00231C06">
              <w:rPr>
                <w:rFonts w:cs="Arial"/>
                <w:sz w:val="18"/>
                <w:szCs w:val="18"/>
                <w:lang w:val="es-ES"/>
              </w:rPr>
              <w:t>Otras</w:t>
            </w:r>
          </w:p>
        </w:tc>
        <w:tc>
          <w:tcPr>
            <w:tcW w:w="841" w:type="pct"/>
            <w:tcBorders>
              <w:top w:val="nil"/>
              <w:left w:val="nil"/>
              <w:bottom w:val="double" w:sz="4" w:space="0" w:color="0F243E" w:themeColor="text2" w:themeShade="80"/>
              <w:right w:val="double" w:sz="4" w:space="0" w:color="0F243E" w:themeColor="text2" w:themeShade="80"/>
            </w:tcBorders>
            <w:vAlign w:val="bottom"/>
          </w:tcPr>
          <w:p w14:paraId="40DE0086" w14:textId="236B4B47" w:rsidR="00812AF2" w:rsidRPr="003A1E24" w:rsidRDefault="00812AF2" w:rsidP="00856423">
            <w:pPr>
              <w:tabs>
                <w:tab w:val="decimal" w:pos="141"/>
              </w:tabs>
              <w:ind w:right="397"/>
              <w:jc w:val="right"/>
              <w:rPr>
                <w:rFonts w:ascii="Arial" w:hAnsi="Arial" w:cs="Arial"/>
                <w:sz w:val="18"/>
                <w:szCs w:val="18"/>
              </w:rPr>
            </w:pPr>
            <w:r>
              <w:rPr>
                <w:rFonts w:ascii="Arial" w:hAnsi="Arial" w:cs="Arial"/>
                <w:sz w:val="18"/>
                <w:szCs w:val="18"/>
              </w:rPr>
              <w:t>13.</w:t>
            </w:r>
            <w:r w:rsidR="00856423">
              <w:rPr>
                <w:rFonts w:ascii="Arial" w:hAnsi="Arial" w:cs="Arial"/>
                <w:sz w:val="18"/>
                <w:szCs w:val="18"/>
              </w:rPr>
              <w:t>95</w:t>
            </w:r>
          </w:p>
        </w:tc>
        <w:tc>
          <w:tcPr>
            <w:tcW w:w="535" w:type="pct"/>
            <w:tcBorders>
              <w:top w:val="nil"/>
              <w:left w:val="double" w:sz="4" w:space="0" w:color="0F243E" w:themeColor="text2" w:themeShade="80"/>
              <w:bottom w:val="double" w:sz="4" w:space="0" w:color="0F243E" w:themeColor="text2" w:themeShade="80"/>
              <w:right w:val="double" w:sz="4" w:space="0" w:color="0F243E" w:themeColor="text2" w:themeShade="80"/>
            </w:tcBorders>
          </w:tcPr>
          <w:p w14:paraId="1FC6FB09" w14:textId="3143F245" w:rsidR="00812AF2" w:rsidRDefault="00812AF2" w:rsidP="00812AF2">
            <w:pPr>
              <w:ind w:right="227"/>
              <w:jc w:val="right"/>
              <w:rPr>
                <w:rFonts w:ascii="Arial" w:hAnsi="Arial" w:cs="Arial"/>
                <w:sz w:val="18"/>
                <w:szCs w:val="18"/>
              </w:rPr>
            </w:pPr>
            <w:r>
              <w:rPr>
                <w:rFonts w:ascii="Arial" w:hAnsi="Arial" w:cs="Arial"/>
                <w:sz w:val="18"/>
                <w:szCs w:val="18"/>
              </w:rPr>
              <w:t>0.0</w:t>
            </w:r>
          </w:p>
        </w:tc>
        <w:tc>
          <w:tcPr>
            <w:tcW w:w="542" w:type="pct"/>
            <w:tcBorders>
              <w:top w:val="nil"/>
              <w:left w:val="double" w:sz="4" w:space="0" w:color="0F243E" w:themeColor="text2" w:themeShade="80"/>
              <w:bottom w:val="double" w:sz="4" w:space="0" w:color="0F243E" w:themeColor="text2" w:themeShade="80"/>
              <w:right w:val="nil"/>
            </w:tcBorders>
          </w:tcPr>
          <w:p w14:paraId="2F994064" w14:textId="6E1793D8" w:rsidR="00812AF2" w:rsidRDefault="00812AF2" w:rsidP="00856423">
            <w:pPr>
              <w:ind w:right="284"/>
              <w:jc w:val="right"/>
              <w:rPr>
                <w:rFonts w:ascii="Arial" w:hAnsi="Arial" w:cs="Arial"/>
                <w:sz w:val="18"/>
                <w:szCs w:val="18"/>
              </w:rPr>
            </w:pPr>
            <w:r>
              <w:rPr>
                <w:rFonts w:ascii="Arial" w:hAnsi="Arial" w:cs="Arial"/>
                <w:sz w:val="18"/>
                <w:szCs w:val="18"/>
              </w:rPr>
              <w:t>(-) 0.5</w:t>
            </w:r>
          </w:p>
        </w:tc>
        <w:tc>
          <w:tcPr>
            <w:tcW w:w="628" w:type="pct"/>
            <w:tcBorders>
              <w:top w:val="nil"/>
              <w:left w:val="nil"/>
              <w:bottom w:val="double" w:sz="4" w:space="0" w:color="0F243E" w:themeColor="text2" w:themeShade="80"/>
              <w:right w:val="nil"/>
            </w:tcBorders>
          </w:tcPr>
          <w:p w14:paraId="2548180B" w14:textId="3AFB679B" w:rsidR="00812AF2" w:rsidRDefault="00812AF2" w:rsidP="00630A9A">
            <w:pPr>
              <w:ind w:right="227"/>
              <w:jc w:val="right"/>
              <w:rPr>
                <w:rFonts w:ascii="Arial" w:hAnsi="Arial" w:cs="Arial"/>
                <w:sz w:val="18"/>
                <w:szCs w:val="18"/>
              </w:rPr>
            </w:pPr>
            <w:r>
              <w:rPr>
                <w:rFonts w:ascii="Arial" w:hAnsi="Arial" w:cs="Arial"/>
                <w:sz w:val="18"/>
                <w:szCs w:val="18"/>
              </w:rPr>
              <w:t>(-) 14.4</w:t>
            </w:r>
          </w:p>
        </w:tc>
        <w:tc>
          <w:tcPr>
            <w:tcW w:w="616" w:type="pct"/>
            <w:tcBorders>
              <w:top w:val="nil"/>
              <w:left w:val="nil"/>
              <w:bottom w:val="double" w:sz="4" w:space="0" w:color="0F243E" w:themeColor="text2" w:themeShade="80"/>
              <w:right w:val="nil"/>
            </w:tcBorders>
          </w:tcPr>
          <w:p w14:paraId="59CF1E0F" w14:textId="0D4047E5" w:rsidR="00812AF2" w:rsidRDefault="00812AF2" w:rsidP="00630A9A">
            <w:pPr>
              <w:ind w:right="227"/>
              <w:jc w:val="right"/>
              <w:rPr>
                <w:rFonts w:ascii="Arial" w:hAnsi="Arial" w:cs="Arial"/>
                <w:sz w:val="18"/>
                <w:szCs w:val="18"/>
              </w:rPr>
            </w:pPr>
            <w:r>
              <w:rPr>
                <w:rFonts w:ascii="Arial" w:hAnsi="Arial" w:cs="Arial"/>
                <w:sz w:val="18"/>
                <w:szCs w:val="18"/>
              </w:rPr>
              <w:t xml:space="preserve">(-) </w:t>
            </w:r>
            <w:r w:rsidR="00630A9A">
              <w:rPr>
                <w:rFonts w:ascii="Arial" w:hAnsi="Arial" w:cs="Arial"/>
                <w:sz w:val="18"/>
                <w:szCs w:val="18"/>
              </w:rPr>
              <w:t>36.6</w:t>
            </w:r>
          </w:p>
        </w:tc>
        <w:tc>
          <w:tcPr>
            <w:tcW w:w="634" w:type="pct"/>
            <w:tcBorders>
              <w:top w:val="nil"/>
              <w:left w:val="nil"/>
              <w:bottom w:val="double" w:sz="4" w:space="0" w:color="0F243E" w:themeColor="text2" w:themeShade="80"/>
              <w:right w:val="double" w:sz="4" w:space="0" w:color="0F243E" w:themeColor="text2" w:themeShade="80"/>
            </w:tcBorders>
            <w:vAlign w:val="center"/>
          </w:tcPr>
          <w:p w14:paraId="79C10AE6" w14:textId="2CF85F7B" w:rsidR="00812AF2" w:rsidRPr="003D7B13" w:rsidRDefault="00812AF2" w:rsidP="00630A9A">
            <w:pPr>
              <w:spacing w:before="20"/>
              <w:ind w:right="227"/>
              <w:jc w:val="right"/>
              <w:rPr>
                <w:rFonts w:ascii="Arial" w:hAnsi="Arial" w:cs="Arial"/>
                <w:bCs/>
                <w:sz w:val="18"/>
                <w:szCs w:val="18"/>
              </w:rPr>
            </w:pPr>
            <w:r>
              <w:rPr>
                <w:rFonts w:ascii="Arial" w:hAnsi="Arial" w:cs="Arial"/>
                <w:bCs/>
                <w:sz w:val="18"/>
                <w:szCs w:val="18"/>
              </w:rPr>
              <w:t xml:space="preserve">(-) </w:t>
            </w:r>
            <w:r w:rsidR="00630A9A">
              <w:rPr>
                <w:rFonts w:ascii="Arial" w:hAnsi="Arial" w:cs="Arial"/>
                <w:bCs/>
                <w:sz w:val="18"/>
                <w:szCs w:val="18"/>
              </w:rPr>
              <w:t xml:space="preserve">  </w:t>
            </w:r>
            <w:r>
              <w:rPr>
                <w:rFonts w:ascii="Arial" w:hAnsi="Arial" w:cs="Arial"/>
                <w:bCs/>
                <w:sz w:val="18"/>
                <w:szCs w:val="18"/>
              </w:rPr>
              <w:t xml:space="preserve">  </w:t>
            </w:r>
            <w:r w:rsidR="00630A9A">
              <w:rPr>
                <w:rFonts w:ascii="Arial" w:hAnsi="Arial" w:cs="Arial"/>
                <w:bCs/>
                <w:sz w:val="18"/>
                <w:szCs w:val="18"/>
              </w:rPr>
              <w:t>9.9</w:t>
            </w:r>
          </w:p>
        </w:tc>
      </w:tr>
    </w:tbl>
    <w:p w14:paraId="1D088A0A" w14:textId="5688652A" w:rsidR="00434477" w:rsidRDefault="00434477" w:rsidP="006A538A">
      <w:pPr>
        <w:pStyle w:val="titulos"/>
        <w:widowControl/>
        <w:spacing w:before="0" w:line="280" w:lineRule="exact"/>
        <w:rPr>
          <w:rFonts w:cs="Arial"/>
          <w:b w:val="0"/>
          <w:i w:val="0"/>
          <w:color w:val="000000" w:themeColor="text1"/>
          <w:sz w:val="18"/>
          <w:u w:val="none"/>
          <w:lang w:val="es-MX"/>
        </w:rPr>
      </w:pPr>
      <w:r w:rsidRPr="006A538A">
        <w:rPr>
          <w:rFonts w:cs="Arial"/>
          <w:b w:val="0"/>
          <w:i w:val="0"/>
          <w:color w:val="000000" w:themeColor="text1"/>
          <w:sz w:val="18"/>
          <w:u w:val="none"/>
          <w:lang w:val="es-MX"/>
        </w:rPr>
        <w:t xml:space="preserve">  </w:t>
      </w:r>
      <w:r w:rsidR="006A538A">
        <w:rPr>
          <w:rFonts w:cs="Arial"/>
          <w:b w:val="0"/>
          <w:i w:val="0"/>
          <w:color w:val="000000" w:themeColor="text1"/>
          <w:sz w:val="18"/>
          <w:u w:val="none"/>
          <w:lang w:val="es-MX"/>
        </w:rPr>
        <w:tab/>
      </w:r>
      <w:r w:rsidRPr="006A538A">
        <w:rPr>
          <w:rFonts w:cs="Arial"/>
          <w:b w:val="0"/>
          <w:i w:val="0"/>
          <w:color w:val="000000" w:themeColor="text1"/>
          <w:sz w:val="18"/>
          <w:u w:val="none"/>
          <w:lang w:val="es-MX"/>
        </w:rPr>
        <w:t>* Cifras oportunas.</w:t>
      </w:r>
    </w:p>
    <w:p w14:paraId="08EACB17" w14:textId="77777777" w:rsidR="001735C2" w:rsidRDefault="001735C2" w:rsidP="00A21B4B">
      <w:pPr>
        <w:pStyle w:val="titulos"/>
        <w:widowControl/>
        <w:spacing w:line="280" w:lineRule="exact"/>
        <w:rPr>
          <w:u w:val="none"/>
        </w:rPr>
      </w:pPr>
    </w:p>
    <w:p w14:paraId="240E020D" w14:textId="77777777" w:rsidR="001735C2" w:rsidRDefault="001735C2" w:rsidP="00A21B4B">
      <w:pPr>
        <w:pStyle w:val="titulos"/>
        <w:widowControl/>
        <w:spacing w:line="280" w:lineRule="exact"/>
        <w:rPr>
          <w:u w:val="none"/>
        </w:rPr>
      </w:pPr>
    </w:p>
    <w:p w14:paraId="438C7348" w14:textId="77777777" w:rsidR="001735C2" w:rsidRDefault="001735C2" w:rsidP="00A21B4B">
      <w:pPr>
        <w:pStyle w:val="titulos"/>
        <w:widowControl/>
        <w:spacing w:line="280" w:lineRule="exact"/>
        <w:rPr>
          <w:u w:val="none"/>
        </w:rPr>
      </w:pPr>
    </w:p>
    <w:p w14:paraId="7C118B57" w14:textId="77777777" w:rsidR="001735C2" w:rsidRDefault="001735C2" w:rsidP="00A21B4B">
      <w:pPr>
        <w:pStyle w:val="titulos"/>
        <w:widowControl/>
        <w:spacing w:line="280" w:lineRule="exact"/>
        <w:rPr>
          <w:u w:val="none"/>
        </w:rPr>
      </w:pPr>
    </w:p>
    <w:p w14:paraId="046E6265" w14:textId="7E2F6A64" w:rsidR="00757DAD" w:rsidRDefault="00757DAD" w:rsidP="00A21B4B">
      <w:pPr>
        <w:pStyle w:val="titulos"/>
        <w:widowControl/>
        <w:spacing w:line="280" w:lineRule="exact"/>
        <w:rPr>
          <w:u w:val="none"/>
        </w:rPr>
      </w:pPr>
      <w:r>
        <w:rPr>
          <w:u w:val="none"/>
        </w:rPr>
        <w:lastRenderedPageBreak/>
        <w:t>Exportaciones por Tipo de Mercancía</w:t>
      </w:r>
    </w:p>
    <w:p w14:paraId="43907535" w14:textId="23282B10" w:rsidR="00CD002F" w:rsidRDefault="00705F3D" w:rsidP="00A7740C">
      <w:pPr>
        <w:pStyle w:val="Textoindependiente211"/>
        <w:numPr>
          <w:ilvl w:val="12"/>
          <w:numId w:val="0"/>
        </w:numPr>
        <w:spacing w:before="300" w:after="300" w:line="280" w:lineRule="exact"/>
        <w:rPr>
          <w:spacing w:val="4"/>
          <w:sz w:val="24"/>
          <w:szCs w:val="24"/>
          <w:lang w:val="es-ES"/>
        </w:rPr>
      </w:pPr>
      <w:r w:rsidRPr="00705F3D">
        <w:rPr>
          <w:spacing w:val="4"/>
          <w:sz w:val="24"/>
          <w:szCs w:val="24"/>
          <w:lang w:val="es-ES"/>
        </w:rPr>
        <w:t>Las exportaciones de productos manufacturados en mayo de 2020 alcanzaron</w:t>
      </w:r>
      <w:r>
        <w:rPr>
          <w:spacing w:val="4"/>
          <w:sz w:val="24"/>
          <w:szCs w:val="24"/>
          <w:lang w:val="es-ES"/>
        </w:rPr>
        <w:t xml:space="preserve"> </w:t>
      </w:r>
      <w:r w:rsidRPr="00705F3D">
        <w:rPr>
          <w:spacing w:val="4"/>
          <w:sz w:val="24"/>
          <w:szCs w:val="24"/>
          <w:lang w:val="es-ES"/>
        </w:rPr>
        <w:t xml:space="preserve">15,265 millones de dólares, lo que representó una caída de </w:t>
      </w:r>
      <w:r>
        <w:rPr>
          <w:spacing w:val="4"/>
          <w:sz w:val="24"/>
          <w:szCs w:val="24"/>
          <w:lang w:val="es-ES"/>
        </w:rPr>
        <w:t>(-)</w:t>
      </w:r>
      <w:r w:rsidRPr="00705F3D">
        <w:rPr>
          <w:spacing w:val="4"/>
          <w:sz w:val="24"/>
          <w:szCs w:val="24"/>
          <w:lang w:val="es-ES"/>
        </w:rPr>
        <w:t>58.7% a tasa anual. Los retrocesos anuales más importantes se observaron en las exportaciones de productos automotrices</w:t>
      </w:r>
      <w:r>
        <w:rPr>
          <w:spacing w:val="4"/>
          <w:sz w:val="24"/>
          <w:szCs w:val="24"/>
          <w:lang w:val="es-ES"/>
        </w:rPr>
        <w:t xml:space="preserve"> </w:t>
      </w:r>
      <w:r w:rsidRPr="00705F3D">
        <w:rPr>
          <w:spacing w:val="4"/>
          <w:sz w:val="24"/>
          <w:szCs w:val="24"/>
          <w:lang w:val="es-ES"/>
        </w:rPr>
        <w:t>(-90.1%), de equipos y aparatos eléctricos y electrónicos (-51.7%), de productos plásticos y de caucho (-50.8%), de equipo profesional y científico (-45.8%) y de maquinaria y equipo especial para industrias diversas (</w:t>
      </w:r>
      <w:r>
        <w:rPr>
          <w:spacing w:val="4"/>
          <w:sz w:val="24"/>
          <w:szCs w:val="24"/>
          <w:lang w:val="es-ES"/>
        </w:rPr>
        <w:noBreakHyphen/>
      </w:r>
      <w:r w:rsidRPr="00705F3D">
        <w:rPr>
          <w:spacing w:val="4"/>
          <w:sz w:val="24"/>
          <w:szCs w:val="24"/>
          <w:lang w:val="es-ES"/>
        </w:rPr>
        <w:t xml:space="preserve">42.4%). A su vez, la disminución anual en las exportaciones de productos automotrices fue resultado de reducciones de </w:t>
      </w:r>
      <w:r>
        <w:rPr>
          <w:spacing w:val="4"/>
          <w:sz w:val="24"/>
          <w:szCs w:val="24"/>
          <w:lang w:val="es-ES"/>
        </w:rPr>
        <w:t>(</w:t>
      </w:r>
      <w:r>
        <w:rPr>
          <w:spacing w:val="4"/>
          <w:sz w:val="24"/>
          <w:szCs w:val="24"/>
          <w:lang w:val="es-ES"/>
        </w:rPr>
        <w:noBreakHyphen/>
        <w:t>)</w:t>
      </w:r>
      <w:r w:rsidRPr="00705F3D">
        <w:rPr>
          <w:spacing w:val="4"/>
          <w:sz w:val="24"/>
          <w:szCs w:val="24"/>
          <w:lang w:val="es-ES"/>
        </w:rPr>
        <w:t xml:space="preserve">90.7% en las ventas canalizadas a Estados Unidos y de </w:t>
      </w:r>
      <w:r>
        <w:rPr>
          <w:spacing w:val="4"/>
          <w:sz w:val="24"/>
          <w:szCs w:val="24"/>
          <w:lang w:val="es-ES"/>
        </w:rPr>
        <w:t>(-)</w:t>
      </w:r>
      <w:r w:rsidRPr="00705F3D">
        <w:rPr>
          <w:spacing w:val="4"/>
          <w:sz w:val="24"/>
          <w:szCs w:val="24"/>
          <w:lang w:val="es-ES"/>
        </w:rPr>
        <w:t>86.7% en las dirigidas a otros mercados.</w:t>
      </w:r>
    </w:p>
    <w:p w14:paraId="2FB9339C" w14:textId="3F025237" w:rsidR="00D86231" w:rsidRDefault="00705F3D" w:rsidP="00A7740C">
      <w:pPr>
        <w:pStyle w:val="Textoindependiente211"/>
        <w:numPr>
          <w:ilvl w:val="12"/>
          <w:numId w:val="0"/>
        </w:numPr>
        <w:spacing w:before="300" w:after="300" w:line="280" w:lineRule="exact"/>
        <w:rPr>
          <w:spacing w:val="4"/>
          <w:sz w:val="24"/>
          <w:szCs w:val="24"/>
          <w:lang w:val="es-ES"/>
        </w:rPr>
      </w:pPr>
      <w:r w:rsidRPr="00705F3D">
        <w:rPr>
          <w:spacing w:val="4"/>
          <w:sz w:val="24"/>
          <w:szCs w:val="24"/>
          <w:lang w:val="es-ES"/>
        </w:rPr>
        <w:t xml:space="preserve">El valor de las exportaciones agropecuarias y pesqueras en el quinto mes del año en curso </w:t>
      </w:r>
      <w:r w:rsidR="00601D33">
        <w:rPr>
          <w:spacing w:val="4"/>
          <w:sz w:val="24"/>
          <w:szCs w:val="24"/>
          <w:lang w:val="es-ES"/>
        </w:rPr>
        <w:t>cerró en</w:t>
      </w:r>
      <w:r w:rsidRPr="00705F3D">
        <w:rPr>
          <w:spacing w:val="4"/>
          <w:sz w:val="24"/>
          <w:szCs w:val="24"/>
          <w:lang w:val="es-ES"/>
        </w:rPr>
        <w:t xml:space="preserve"> 1,479 millones de dólares, monto que implicó un descenso de </w:t>
      </w:r>
      <w:r w:rsidR="000A47DE">
        <w:rPr>
          <w:spacing w:val="4"/>
          <w:sz w:val="24"/>
          <w:szCs w:val="24"/>
          <w:lang w:val="es-ES"/>
        </w:rPr>
        <w:t>(-)</w:t>
      </w:r>
      <w:r w:rsidRPr="00705F3D">
        <w:rPr>
          <w:spacing w:val="4"/>
          <w:sz w:val="24"/>
          <w:szCs w:val="24"/>
          <w:lang w:val="es-ES"/>
        </w:rPr>
        <w:t>8.6% a tasa anual. Las contracciones anuales más importantes se registraron en las exportaciones de pescados</w:t>
      </w:r>
      <w:r w:rsidR="00073DA5">
        <w:rPr>
          <w:spacing w:val="4"/>
          <w:sz w:val="24"/>
          <w:szCs w:val="24"/>
          <w:lang w:val="es-ES"/>
        </w:rPr>
        <w:t>,</w:t>
      </w:r>
      <w:r w:rsidRPr="00705F3D">
        <w:rPr>
          <w:spacing w:val="4"/>
          <w:sz w:val="24"/>
          <w:szCs w:val="24"/>
          <w:lang w:val="es-ES"/>
        </w:rPr>
        <w:t xml:space="preserve"> crustáceos y moluscos (-38.6%), de melón, sandía y pap</w:t>
      </w:r>
      <w:r w:rsidR="000A47DE">
        <w:rPr>
          <w:spacing w:val="4"/>
          <w:sz w:val="24"/>
          <w:szCs w:val="24"/>
          <w:lang w:val="es-ES"/>
        </w:rPr>
        <w:t>aya (-36.2%), de cítricos (-36</w:t>
      </w:r>
      <w:r w:rsidRPr="00705F3D">
        <w:rPr>
          <w:spacing w:val="4"/>
          <w:sz w:val="24"/>
          <w:szCs w:val="24"/>
          <w:lang w:val="es-ES"/>
        </w:rPr>
        <w:t>%), de aguacates (-13.7%) y de frutas y frutos comestibles (-12.7%). En contraste, las expansiones anuales más relevantes se presentaron en las exportaciones de cebollas y ajos (63.6%) y de café crudo en grano (51.4%).</w:t>
      </w:r>
      <w:r w:rsidR="000E57F0" w:rsidRPr="000E57F0">
        <w:rPr>
          <w:spacing w:val="4"/>
          <w:sz w:val="24"/>
          <w:szCs w:val="24"/>
          <w:lang w:val="es-ES"/>
        </w:rPr>
        <w:t xml:space="preserve"> </w:t>
      </w:r>
      <w:r w:rsidR="00EE0750" w:rsidRPr="00C470DE">
        <w:rPr>
          <w:spacing w:val="4"/>
          <w:sz w:val="24"/>
          <w:szCs w:val="24"/>
          <w:lang w:val="es-ES"/>
        </w:rPr>
        <w:t xml:space="preserve">En cuanto a las exportaciones extractivas, éstas se ubicaron en </w:t>
      </w:r>
      <w:r w:rsidR="00161C5A">
        <w:rPr>
          <w:spacing w:val="4"/>
          <w:sz w:val="24"/>
          <w:szCs w:val="24"/>
          <w:lang w:val="es-ES"/>
        </w:rPr>
        <w:t>396</w:t>
      </w:r>
      <w:r w:rsidR="00861583" w:rsidRPr="00C470DE">
        <w:rPr>
          <w:spacing w:val="4"/>
          <w:sz w:val="24"/>
          <w:szCs w:val="24"/>
          <w:lang w:val="es-ES"/>
        </w:rPr>
        <w:t xml:space="preserve"> </w:t>
      </w:r>
      <w:r w:rsidR="00EE0750" w:rsidRPr="00C470DE">
        <w:rPr>
          <w:spacing w:val="4"/>
          <w:sz w:val="24"/>
          <w:szCs w:val="24"/>
          <w:lang w:val="es-ES"/>
        </w:rPr>
        <w:t xml:space="preserve">millones de dólares con una tasa anual de </w:t>
      </w:r>
      <w:r w:rsidR="00161C5A">
        <w:rPr>
          <w:spacing w:val="4"/>
          <w:sz w:val="24"/>
          <w:szCs w:val="24"/>
          <w:lang w:val="es-ES"/>
        </w:rPr>
        <w:t>(-)32.6</w:t>
      </w:r>
      <w:r w:rsidR="00EE0750" w:rsidRPr="00C470DE">
        <w:rPr>
          <w:spacing w:val="4"/>
          <w:sz w:val="24"/>
          <w:szCs w:val="24"/>
          <w:lang w:val="es-ES"/>
        </w:rPr>
        <w:t xml:space="preserve"> por ciento.</w:t>
      </w:r>
    </w:p>
    <w:p w14:paraId="60AB4E30" w14:textId="2C9309DA" w:rsidR="00194FE3" w:rsidRDefault="00705F3D" w:rsidP="00A7740C">
      <w:pPr>
        <w:pStyle w:val="Textoindependiente211"/>
        <w:numPr>
          <w:ilvl w:val="12"/>
          <w:numId w:val="0"/>
        </w:numPr>
        <w:spacing w:before="300" w:after="300" w:line="280" w:lineRule="exact"/>
        <w:rPr>
          <w:spacing w:val="4"/>
          <w:sz w:val="24"/>
          <w:szCs w:val="24"/>
          <w:lang w:val="es-ES"/>
        </w:rPr>
      </w:pPr>
      <w:r w:rsidRPr="00705F3D">
        <w:rPr>
          <w:spacing w:val="4"/>
          <w:sz w:val="24"/>
          <w:szCs w:val="24"/>
          <w:lang w:val="es-ES"/>
        </w:rPr>
        <w:t>En el periodo enero-mayo de 2020, el valor de las exportaciones totales sumó</w:t>
      </w:r>
      <w:r>
        <w:rPr>
          <w:spacing w:val="4"/>
          <w:sz w:val="24"/>
          <w:szCs w:val="24"/>
          <w:lang w:val="es-ES"/>
        </w:rPr>
        <w:t xml:space="preserve"> </w:t>
      </w:r>
      <w:r w:rsidRPr="00705F3D">
        <w:rPr>
          <w:spacing w:val="4"/>
          <w:sz w:val="24"/>
          <w:szCs w:val="24"/>
          <w:lang w:val="es-ES"/>
        </w:rPr>
        <w:t xml:space="preserve">149,977 millones de dólares, lo que significó una caída anual de </w:t>
      </w:r>
      <w:r w:rsidR="00D92580">
        <w:rPr>
          <w:spacing w:val="4"/>
          <w:sz w:val="24"/>
          <w:szCs w:val="24"/>
          <w:lang w:val="es-ES"/>
        </w:rPr>
        <w:t>(-)</w:t>
      </w:r>
      <w:r w:rsidRPr="00705F3D">
        <w:rPr>
          <w:spacing w:val="4"/>
          <w:sz w:val="24"/>
          <w:szCs w:val="24"/>
          <w:lang w:val="es-ES"/>
        </w:rPr>
        <w:t>20.8</w:t>
      </w:r>
      <w:r w:rsidR="00D92580">
        <w:rPr>
          <w:spacing w:val="4"/>
          <w:sz w:val="24"/>
          <w:szCs w:val="24"/>
          <w:lang w:val="es-ES"/>
        </w:rPr>
        <w:t xml:space="preserve"> por ciento</w:t>
      </w:r>
      <w:r w:rsidRPr="00705F3D">
        <w:rPr>
          <w:spacing w:val="4"/>
          <w:sz w:val="24"/>
          <w:szCs w:val="24"/>
          <w:lang w:val="es-ES"/>
        </w:rPr>
        <w:t xml:space="preserve">. Dicha tasa se derivó de retrocesos de </w:t>
      </w:r>
      <w:r w:rsidR="00D92580">
        <w:rPr>
          <w:spacing w:val="4"/>
          <w:sz w:val="24"/>
          <w:szCs w:val="24"/>
          <w:lang w:val="es-ES"/>
        </w:rPr>
        <w:t>(-)</w:t>
      </w:r>
      <w:r w:rsidRPr="00705F3D">
        <w:rPr>
          <w:spacing w:val="4"/>
          <w:sz w:val="24"/>
          <w:szCs w:val="24"/>
          <w:lang w:val="es-ES"/>
        </w:rPr>
        <w:t xml:space="preserve">19.4% en las exportaciones no petroleras y de </w:t>
      </w:r>
      <w:r w:rsidR="00D92580">
        <w:rPr>
          <w:spacing w:val="4"/>
          <w:sz w:val="24"/>
          <w:szCs w:val="24"/>
          <w:lang w:val="es-ES"/>
        </w:rPr>
        <w:t>(-)</w:t>
      </w:r>
      <w:r w:rsidRPr="00705F3D">
        <w:rPr>
          <w:spacing w:val="4"/>
          <w:sz w:val="24"/>
          <w:szCs w:val="24"/>
          <w:lang w:val="es-ES"/>
        </w:rPr>
        <w:t>42.9% en las petroleras.</w:t>
      </w:r>
    </w:p>
    <w:p w14:paraId="35EB48C3" w14:textId="77777777" w:rsidR="00757DAD" w:rsidRDefault="00757DAD" w:rsidP="00BB4B50">
      <w:pPr>
        <w:pStyle w:val="titulos"/>
        <w:keepNext/>
        <w:keepLines/>
        <w:widowControl/>
        <w:spacing w:before="120" w:after="120" w:line="280" w:lineRule="exact"/>
        <w:rPr>
          <w:u w:val="none"/>
        </w:rPr>
      </w:pPr>
      <w:r>
        <w:rPr>
          <w:u w:val="none"/>
        </w:rPr>
        <w:t>Estructura de las Exportaciones</w:t>
      </w:r>
    </w:p>
    <w:p w14:paraId="548317D5" w14:textId="6E7DDA8C" w:rsidR="00CC30E9" w:rsidRDefault="001F3263" w:rsidP="0094210A">
      <w:pPr>
        <w:pStyle w:val="Textoindependiente211"/>
        <w:numPr>
          <w:ilvl w:val="12"/>
          <w:numId w:val="0"/>
        </w:numPr>
        <w:spacing w:before="300" w:after="300" w:line="280" w:lineRule="exact"/>
        <w:rPr>
          <w:spacing w:val="4"/>
          <w:sz w:val="24"/>
          <w:szCs w:val="24"/>
          <w:lang w:val="es-ES"/>
        </w:rPr>
      </w:pPr>
      <w:r w:rsidRPr="001F3263">
        <w:rPr>
          <w:spacing w:val="4"/>
          <w:sz w:val="24"/>
          <w:szCs w:val="24"/>
          <w:lang w:val="es-ES"/>
        </w:rPr>
        <w:t xml:space="preserve">La estructura del valor de las exportaciones de mercancías durante los primeros cinco meses de 2020 fue la siguiente: bienes </w:t>
      </w:r>
      <w:r>
        <w:rPr>
          <w:spacing w:val="4"/>
          <w:sz w:val="24"/>
          <w:szCs w:val="24"/>
          <w:lang w:val="es-ES"/>
        </w:rPr>
        <w:t>manufacturados</w:t>
      </w:r>
      <w:r w:rsidRPr="001F3263">
        <w:rPr>
          <w:spacing w:val="4"/>
          <w:sz w:val="24"/>
          <w:szCs w:val="24"/>
          <w:lang w:val="es-ES"/>
        </w:rPr>
        <w:t xml:space="preserve"> 87.8%</w:t>
      </w:r>
      <w:r>
        <w:rPr>
          <w:spacing w:val="4"/>
          <w:sz w:val="24"/>
          <w:szCs w:val="24"/>
          <w:lang w:val="es-ES"/>
        </w:rPr>
        <w:t>,</w:t>
      </w:r>
      <w:r w:rsidRPr="001F3263">
        <w:rPr>
          <w:spacing w:val="4"/>
          <w:sz w:val="24"/>
          <w:szCs w:val="24"/>
          <w:lang w:val="es-ES"/>
        </w:rPr>
        <w:t xml:space="preserve"> </w:t>
      </w:r>
      <w:r>
        <w:rPr>
          <w:spacing w:val="4"/>
          <w:sz w:val="24"/>
          <w:szCs w:val="24"/>
          <w:lang w:val="es-ES"/>
        </w:rPr>
        <w:t>bienes agropecuarios 5.9%,</w:t>
      </w:r>
      <w:r w:rsidRPr="001F3263">
        <w:rPr>
          <w:spacing w:val="4"/>
          <w:sz w:val="24"/>
          <w:szCs w:val="24"/>
          <w:lang w:val="es-ES"/>
        </w:rPr>
        <w:t xml:space="preserve"> </w:t>
      </w:r>
      <w:r>
        <w:rPr>
          <w:spacing w:val="4"/>
          <w:sz w:val="24"/>
          <w:szCs w:val="24"/>
          <w:lang w:val="es-ES"/>
        </w:rPr>
        <w:t>productos petroleros</w:t>
      </w:r>
      <w:r w:rsidRPr="001F3263">
        <w:rPr>
          <w:spacing w:val="4"/>
          <w:sz w:val="24"/>
          <w:szCs w:val="24"/>
          <w:lang w:val="es-ES"/>
        </w:rPr>
        <w:t xml:space="preserve"> 4.5% y productos extractivos no </w:t>
      </w:r>
      <w:r>
        <w:rPr>
          <w:spacing w:val="4"/>
          <w:sz w:val="24"/>
          <w:szCs w:val="24"/>
          <w:lang w:val="es-ES"/>
        </w:rPr>
        <w:t>petroleros</w:t>
      </w:r>
      <w:r w:rsidRPr="001F3263">
        <w:rPr>
          <w:spacing w:val="4"/>
          <w:sz w:val="24"/>
          <w:szCs w:val="24"/>
          <w:lang w:val="es-ES"/>
        </w:rPr>
        <w:t xml:space="preserve"> 1.8</w:t>
      </w:r>
      <w:r w:rsidR="00E4088D">
        <w:rPr>
          <w:spacing w:val="4"/>
          <w:sz w:val="24"/>
          <w:szCs w:val="24"/>
          <w:lang w:val="es-ES"/>
        </w:rPr>
        <w:t xml:space="preserve"> por ciento</w:t>
      </w:r>
      <w:r w:rsidR="00E4088D" w:rsidRPr="00E4088D">
        <w:rPr>
          <w:spacing w:val="4"/>
          <w:sz w:val="24"/>
          <w:szCs w:val="24"/>
          <w:lang w:val="es-ES"/>
        </w:rPr>
        <w:t>.</w:t>
      </w:r>
    </w:p>
    <w:p w14:paraId="7A38744B" w14:textId="424C9619" w:rsidR="00757DAD" w:rsidRDefault="00757DAD" w:rsidP="003E1274">
      <w:pPr>
        <w:pStyle w:val="titulos"/>
        <w:keepNext/>
        <w:keepLines/>
        <w:widowControl/>
        <w:spacing w:before="240" w:after="120" w:line="280" w:lineRule="exact"/>
        <w:rPr>
          <w:u w:val="none"/>
        </w:rPr>
      </w:pPr>
      <w:r>
        <w:rPr>
          <w:u w:val="none"/>
        </w:rPr>
        <w:t>Importaciones Totales</w:t>
      </w:r>
      <w:r w:rsidR="00B971CF">
        <w:rPr>
          <w:u w:val="none"/>
        </w:rPr>
        <w:t xml:space="preserve"> </w:t>
      </w:r>
      <w:r w:rsidR="00B971CF" w:rsidRPr="00D10AE2">
        <w:rPr>
          <w:u w:val="none"/>
        </w:rPr>
        <w:t>de Mercancías</w:t>
      </w:r>
    </w:p>
    <w:p w14:paraId="4A1164B2" w14:textId="77B215C9" w:rsidR="00863D45" w:rsidRDefault="00863D45" w:rsidP="00863D45">
      <w:pPr>
        <w:pStyle w:val="Textoindependiente211"/>
        <w:numPr>
          <w:ilvl w:val="12"/>
          <w:numId w:val="0"/>
        </w:numPr>
        <w:spacing w:before="300" w:after="300" w:line="280" w:lineRule="exact"/>
        <w:rPr>
          <w:spacing w:val="4"/>
          <w:sz w:val="24"/>
          <w:szCs w:val="24"/>
          <w:lang w:val="es-ES"/>
        </w:rPr>
      </w:pPr>
      <w:r w:rsidRPr="00863D45">
        <w:rPr>
          <w:spacing w:val="4"/>
          <w:sz w:val="24"/>
          <w:szCs w:val="24"/>
          <w:lang w:val="es-ES"/>
        </w:rPr>
        <w:t xml:space="preserve">El valor de las importaciones de mercancías en </w:t>
      </w:r>
      <w:r w:rsidR="00A075BE">
        <w:rPr>
          <w:spacing w:val="4"/>
          <w:sz w:val="24"/>
          <w:szCs w:val="24"/>
          <w:lang w:val="es-ES"/>
        </w:rPr>
        <w:t>el quinto mes</w:t>
      </w:r>
      <w:r w:rsidRPr="00863D45">
        <w:rPr>
          <w:spacing w:val="4"/>
          <w:sz w:val="24"/>
          <w:szCs w:val="24"/>
          <w:lang w:val="es-ES"/>
        </w:rPr>
        <w:t xml:space="preserve"> de</w:t>
      </w:r>
      <w:r w:rsidR="00A075BE">
        <w:rPr>
          <w:spacing w:val="4"/>
          <w:sz w:val="24"/>
          <w:szCs w:val="24"/>
          <w:lang w:val="es-ES"/>
        </w:rPr>
        <w:t>l año</w:t>
      </w:r>
      <w:r w:rsidRPr="00863D45">
        <w:rPr>
          <w:spacing w:val="4"/>
          <w:sz w:val="24"/>
          <w:szCs w:val="24"/>
          <w:lang w:val="es-ES"/>
        </w:rPr>
        <w:t xml:space="preserve"> se ubicó en </w:t>
      </w:r>
      <w:r w:rsidR="004B207F">
        <w:rPr>
          <w:spacing w:val="4"/>
          <w:sz w:val="24"/>
          <w:szCs w:val="24"/>
          <w:lang w:val="es-ES"/>
        </w:rPr>
        <w:t>21,592</w:t>
      </w:r>
      <w:r w:rsidRPr="00863D45">
        <w:rPr>
          <w:spacing w:val="4"/>
          <w:sz w:val="24"/>
          <w:szCs w:val="24"/>
          <w:lang w:val="es-ES"/>
        </w:rPr>
        <w:t xml:space="preserve"> millones de dólares, lo que representó una </w:t>
      </w:r>
      <w:r w:rsidR="00FC7639">
        <w:rPr>
          <w:spacing w:val="4"/>
          <w:sz w:val="24"/>
          <w:szCs w:val="24"/>
          <w:lang w:val="es-ES"/>
        </w:rPr>
        <w:t>variación</w:t>
      </w:r>
      <w:r w:rsidRPr="00863D45">
        <w:rPr>
          <w:spacing w:val="4"/>
          <w:sz w:val="24"/>
          <w:szCs w:val="24"/>
          <w:lang w:val="es-ES"/>
        </w:rPr>
        <w:t xml:space="preserve"> anual de </w:t>
      </w:r>
      <w:r>
        <w:rPr>
          <w:spacing w:val="4"/>
          <w:sz w:val="24"/>
          <w:szCs w:val="24"/>
          <w:lang w:val="es-ES"/>
        </w:rPr>
        <w:t>(-)</w:t>
      </w:r>
      <w:r w:rsidR="004B207F">
        <w:rPr>
          <w:spacing w:val="4"/>
          <w:sz w:val="24"/>
          <w:szCs w:val="24"/>
          <w:lang w:val="es-ES"/>
        </w:rPr>
        <w:t>47.1</w:t>
      </w:r>
      <w:r>
        <w:rPr>
          <w:spacing w:val="4"/>
          <w:sz w:val="24"/>
          <w:szCs w:val="24"/>
          <w:lang w:val="es-ES"/>
        </w:rPr>
        <w:t xml:space="preserve"> por ciento</w:t>
      </w:r>
      <w:r w:rsidRPr="00863D45">
        <w:rPr>
          <w:spacing w:val="4"/>
          <w:sz w:val="24"/>
          <w:szCs w:val="24"/>
          <w:lang w:val="es-ES"/>
        </w:rPr>
        <w:t xml:space="preserve">. </w:t>
      </w:r>
    </w:p>
    <w:p w14:paraId="7B49C018" w14:textId="0458E636" w:rsidR="00455466" w:rsidRPr="00A075BE" w:rsidRDefault="00A075BE" w:rsidP="00863D45">
      <w:pPr>
        <w:pStyle w:val="Textoindependiente211"/>
        <w:numPr>
          <w:ilvl w:val="12"/>
          <w:numId w:val="0"/>
        </w:numPr>
        <w:spacing w:before="300" w:after="300" w:line="280" w:lineRule="exact"/>
        <w:rPr>
          <w:spacing w:val="4"/>
          <w:sz w:val="24"/>
          <w:szCs w:val="24"/>
          <w:lang w:val="es-ES"/>
        </w:rPr>
      </w:pPr>
      <w:r w:rsidRPr="00A075BE">
        <w:rPr>
          <w:spacing w:val="4"/>
          <w:sz w:val="24"/>
          <w:szCs w:val="24"/>
          <w:lang w:val="es-ES"/>
        </w:rPr>
        <w:lastRenderedPageBreak/>
        <w:t>En el periodo enero-mayo de 2020, el valor de las importaciones totales fue de</w:t>
      </w:r>
      <w:r>
        <w:rPr>
          <w:spacing w:val="4"/>
          <w:sz w:val="24"/>
          <w:szCs w:val="24"/>
          <w:lang w:val="es-ES"/>
        </w:rPr>
        <w:t xml:space="preserve"> </w:t>
      </w:r>
      <w:r w:rsidRPr="00A075BE">
        <w:rPr>
          <w:spacing w:val="4"/>
          <w:sz w:val="24"/>
          <w:szCs w:val="24"/>
          <w:lang w:val="es-ES"/>
        </w:rPr>
        <w:t xml:space="preserve">152,864 millones de dólares, monto menor en </w:t>
      </w:r>
      <w:r w:rsidR="002D52DA">
        <w:rPr>
          <w:spacing w:val="4"/>
          <w:sz w:val="24"/>
          <w:szCs w:val="24"/>
          <w:lang w:val="es-ES"/>
        </w:rPr>
        <w:t>(-)19</w:t>
      </w:r>
      <w:r w:rsidRPr="00A075BE">
        <w:rPr>
          <w:spacing w:val="4"/>
          <w:sz w:val="24"/>
          <w:szCs w:val="24"/>
          <w:lang w:val="es-ES"/>
        </w:rPr>
        <w:t xml:space="preserve">% al observado en igual lapso de 2019. A su interior, las importaciones no petroleras se redujeron a una tasa anual de </w:t>
      </w:r>
      <w:r w:rsidR="002D52DA">
        <w:rPr>
          <w:spacing w:val="4"/>
          <w:sz w:val="24"/>
          <w:szCs w:val="24"/>
          <w:lang w:val="es-ES"/>
        </w:rPr>
        <w:t>(-)</w:t>
      </w:r>
      <w:r w:rsidRPr="00A075BE">
        <w:rPr>
          <w:spacing w:val="4"/>
          <w:sz w:val="24"/>
          <w:szCs w:val="24"/>
          <w:lang w:val="es-ES"/>
        </w:rPr>
        <w:t>17.4%</w:t>
      </w:r>
      <w:r w:rsidR="002D52DA">
        <w:rPr>
          <w:spacing w:val="4"/>
          <w:sz w:val="24"/>
          <w:szCs w:val="24"/>
          <w:lang w:val="es-ES"/>
        </w:rPr>
        <w:t xml:space="preserve"> y </w:t>
      </w:r>
      <w:r w:rsidRPr="00A075BE">
        <w:rPr>
          <w:spacing w:val="4"/>
          <w:sz w:val="24"/>
          <w:szCs w:val="24"/>
          <w:lang w:val="es-ES"/>
        </w:rPr>
        <w:t xml:space="preserve">las petroleras lo hicieron en </w:t>
      </w:r>
      <w:r w:rsidR="002D52DA">
        <w:rPr>
          <w:spacing w:val="4"/>
          <w:sz w:val="24"/>
          <w:szCs w:val="24"/>
          <w:lang w:val="es-ES"/>
        </w:rPr>
        <w:t>(-)</w:t>
      </w:r>
      <w:r w:rsidRPr="00A075BE">
        <w:rPr>
          <w:spacing w:val="4"/>
          <w:sz w:val="24"/>
          <w:szCs w:val="24"/>
          <w:lang w:val="es-ES"/>
        </w:rPr>
        <w:t>32.1</w:t>
      </w:r>
      <w:r>
        <w:rPr>
          <w:spacing w:val="4"/>
          <w:sz w:val="24"/>
          <w:szCs w:val="24"/>
          <w:lang w:val="es-ES"/>
        </w:rPr>
        <w:t xml:space="preserve"> </w:t>
      </w:r>
      <w:r w:rsidR="00E03D89">
        <w:rPr>
          <w:spacing w:val="4"/>
          <w:sz w:val="24"/>
          <w:szCs w:val="24"/>
          <w:lang w:val="es-ES"/>
        </w:rPr>
        <w:t>por ciento</w:t>
      </w:r>
      <w:r w:rsidR="00455466" w:rsidRPr="00455466">
        <w:rPr>
          <w:spacing w:val="4"/>
          <w:sz w:val="24"/>
          <w:szCs w:val="24"/>
          <w:lang w:val="es-ES"/>
        </w:rPr>
        <w:t>.</w:t>
      </w:r>
    </w:p>
    <w:p w14:paraId="6036EC00" w14:textId="77777777" w:rsidR="00757DAD" w:rsidRDefault="00757DAD" w:rsidP="003E1274">
      <w:pPr>
        <w:pStyle w:val="titulos"/>
        <w:keepNext/>
        <w:keepLines/>
        <w:widowControl/>
        <w:spacing w:before="240" w:after="120" w:line="280" w:lineRule="exact"/>
        <w:rPr>
          <w:u w:val="none"/>
        </w:rPr>
      </w:pPr>
      <w:r>
        <w:rPr>
          <w:u w:val="none"/>
        </w:rPr>
        <w:t>Importaciones por Tipo de Bien</w:t>
      </w:r>
    </w:p>
    <w:p w14:paraId="0589C208" w14:textId="77777777" w:rsidR="007F3891" w:rsidRDefault="007F3891" w:rsidP="007F3891">
      <w:pPr>
        <w:pStyle w:val="Textoindependiente211"/>
        <w:numPr>
          <w:ilvl w:val="12"/>
          <w:numId w:val="0"/>
        </w:numPr>
        <w:spacing w:before="300" w:after="300" w:line="280" w:lineRule="exact"/>
        <w:rPr>
          <w:spacing w:val="4"/>
          <w:sz w:val="24"/>
          <w:szCs w:val="24"/>
          <w:lang w:val="es-ES"/>
        </w:rPr>
      </w:pPr>
      <w:r w:rsidRPr="007F3891">
        <w:rPr>
          <w:spacing w:val="4"/>
          <w:sz w:val="24"/>
          <w:szCs w:val="24"/>
          <w:lang w:val="es-ES"/>
        </w:rPr>
        <w:t xml:space="preserve">Las importaciones de bienes de consumo sumaron 2,319 millones de dólares, cifra que se tradujo en una disminución anual de </w:t>
      </w:r>
      <w:r>
        <w:rPr>
          <w:spacing w:val="4"/>
          <w:sz w:val="24"/>
          <w:szCs w:val="24"/>
          <w:lang w:val="es-ES"/>
        </w:rPr>
        <w:t>(-)</w:t>
      </w:r>
      <w:r w:rsidRPr="007F3891">
        <w:rPr>
          <w:spacing w:val="4"/>
          <w:sz w:val="24"/>
          <w:szCs w:val="24"/>
          <w:lang w:val="es-ES"/>
        </w:rPr>
        <w:t>55.8</w:t>
      </w:r>
      <w:r>
        <w:rPr>
          <w:spacing w:val="4"/>
          <w:sz w:val="24"/>
          <w:szCs w:val="24"/>
          <w:lang w:val="es-ES"/>
        </w:rPr>
        <w:t xml:space="preserve"> por ciento</w:t>
      </w:r>
      <w:r w:rsidRPr="007F3891">
        <w:rPr>
          <w:spacing w:val="4"/>
          <w:sz w:val="24"/>
          <w:szCs w:val="24"/>
          <w:lang w:val="es-ES"/>
        </w:rPr>
        <w:t xml:space="preserve">. Dicha tasa fue resultado de descensos de </w:t>
      </w:r>
      <w:r>
        <w:rPr>
          <w:spacing w:val="4"/>
          <w:sz w:val="24"/>
          <w:szCs w:val="24"/>
          <w:lang w:val="es-ES"/>
        </w:rPr>
        <w:t>(-)</w:t>
      </w:r>
      <w:r w:rsidRPr="007F3891">
        <w:rPr>
          <w:spacing w:val="4"/>
          <w:sz w:val="24"/>
          <w:szCs w:val="24"/>
          <w:lang w:val="es-ES"/>
        </w:rPr>
        <w:t xml:space="preserve">44.6% en las importaciones de bienes de consumo no petroleros y de </w:t>
      </w:r>
      <w:r>
        <w:rPr>
          <w:spacing w:val="4"/>
          <w:sz w:val="24"/>
          <w:szCs w:val="24"/>
          <w:lang w:val="es-ES"/>
        </w:rPr>
        <w:t>(-)</w:t>
      </w:r>
      <w:r w:rsidRPr="007F3891">
        <w:rPr>
          <w:spacing w:val="4"/>
          <w:sz w:val="24"/>
          <w:szCs w:val="24"/>
          <w:lang w:val="es-ES"/>
        </w:rPr>
        <w:t xml:space="preserve">79.9% en las de bienes de consumo petroleros (gasolina y gas butano y propano). </w:t>
      </w:r>
    </w:p>
    <w:p w14:paraId="166A2D09" w14:textId="5B11966F" w:rsidR="007F3891" w:rsidRDefault="007F3891" w:rsidP="007F3891">
      <w:pPr>
        <w:pStyle w:val="Textoindependiente211"/>
        <w:numPr>
          <w:ilvl w:val="12"/>
          <w:numId w:val="0"/>
        </w:numPr>
        <w:spacing w:before="300" w:after="300" w:line="280" w:lineRule="exact"/>
        <w:rPr>
          <w:spacing w:val="4"/>
          <w:sz w:val="24"/>
          <w:szCs w:val="24"/>
          <w:lang w:val="es-ES"/>
        </w:rPr>
      </w:pPr>
      <w:r w:rsidRPr="007F3891">
        <w:rPr>
          <w:spacing w:val="4"/>
          <w:sz w:val="24"/>
          <w:szCs w:val="24"/>
          <w:lang w:val="es-ES"/>
        </w:rPr>
        <w:t xml:space="preserve">Por su parte, en mayo </w:t>
      </w:r>
      <w:r>
        <w:rPr>
          <w:spacing w:val="4"/>
          <w:sz w:val="24"/>
          <w:szCs w:val="24"/>
          <w:lang w:val="es-ES"/>
        </w:rPr>
        <w:t>pasado</w:t>
      </w:r>
      <w:r w:rsidRPr="007F3891">
        <w:rPr>
          <w:spacing w:val="4"/>
          <w:sz w:val="24"/>
          <w:szCs w:val="24"/>
          <w:lang w:val="es-ES"/>
        </w:rPr>
        <w:t xml:space="preserve"> se importaron bienes de uso intermedio por un valor de 17,002 millones de dólares, nivel inferior en </w:t>
      </w:r>
      <w:r>
        <w:rPr>
          <w:spacing w:val="4"/>
          <w:sz w:val="24"/>
          <w:szCs w:val="24"/>
          <w:lang w:val="es-ES"/>
        </w:rPr>
        <w:t>(-)</w:t>
      </w:r>
      <w:r w:rsidRPr="007F3891">
        <w:rPr>
          <w:spacing w:val="4"/>
          <w:sz w:val="24"/>
          <w:szCs w:val="24"/>
          <w:lang w:val="es-ES"/>
        </w:rPr>
        <w:t xml:space="preserve">46.7% al reportado en mayo de 2019. A su vez, esta contracción anual se originó de retrocesos de </w:t>
      </w:r>
      <w:r>
        <w:rPr>
          <w:spacing w:val="4"/>
          <w:sz w:val="24"/>
          <w:szCs w:val="24"/>
          <w:lang w:val="es-ES"/>
        </w:rPr>
        <w:t>(</w:t>
      </w:r>
      <w:r>
        <w:rPr>
          <w:spacing w:val="4"/>
          <w:sz w:val="24"/>
          <w:szCs w:val="24"/>
          <w:lang w:val="es-ES"/>
        </w:rPr>
        <w:noBreakHyphen/>
        <w:t>)45</w:t>
      </w:r>
      <w:r w:rsidRPr="007F3891">
        <w:rPr>
          <w:spacing w:val="4"/>
          <w:sz w:val="24"/>
          <w:szCs w:val="24"/>
          <w:lang w:val="es-ES"/>
        </w:rPr>
        <w:t xml:space="preserve">% en las importaciones de bienes de uso intermedio no petroleros y de </w:t>
      </w:r>
      <w:r>
        <w:rPr>
          <w:spacing w:val="4"/>
          <w:sz w:val="24"/>
          <w:szCs w:val="24"/>
          <w:lang w:val="es-ES"/>
        </w:rPr>
        <w:t>(</w:t>
      </w:r>
      <w:r>
        <w:rPr>
          <w:spacing w:val="4"/>
          <w:sz w:val="24"/>
          <w:szCs w:val="24"/>
          <w:lang w:val="es-ES"/>
        </w:rPr>
        <w:noBreakHyphen/>
        <w:t>)</w:t>
      </w:r>
      <w:r w:rsidRPr="007F3891">
        <w:rPr>
          <w:spacing w:val="4"/>
          <w:sz w:val="24"/>
          <w:szCs w:val="24"/>
          <w:lang w:val="es-ES"/>
        </w:rPr>
        <w:t xml:space="preserve">63.3% en las de productos de uso intermedio petroleros. </w:t>
      </w:r>
    </w:p>
    <w:p w14:paraId="3C37CED9" w14:textId="7BEEB613" w:rsidR="007F3891" w:rsidRPr="007F3891" w:rsidRDefault="007F3891" w:rsidP="007F3891">
      <w:pPr>
        <w:pStyle w:val="Textoindependiente211"/>
        <w:numPr>
          <w:ilvl w:val="12"/>
          <w:numId w:val="0"/>
        </w:numPr>
        <w:spacing w:before="300" w:after="300" w:line="280" w:lineRule="exact"/>
        <w:rPr>
          <w:spacing w:val="4"/>
          <w:sz w:val="24"/>
          <w:szCs w:val="24"/>
          <w:lang w:val="es-ES"/>
        </w:rPr>
      </w:pPr>
      <w:r w:rsidRPr="007F3891">
        <w:rPr>
          <w:spacing w:val="4"/>
          <w:sz w:val="24"/>
          <w:szCs w:val="24"/>
          <w:lang w:val="es-ES"/>
        </w:rPr>
        <w:t xml:space="preserve">En lo que corresponde a las importaciones de bienes de capital, en el mes de referencia estas alcanzaron 2,271 millones de dólares, lo cual implicó una caída anual de </w:t>
      </w:r>
      <w:r>
        <w:rPr>
          <w:spacing w:val="4"/>
          <w:sz w:val="24"/>
          <w:szCs w:val="24"/>
          <w:lang w:val="es-ES"/>
        </w:rPr>
        <w:t>(-)</w:t>
      </w:r>
      <w:r w:rsidRPr="007F3891">
        <w:rPr>
          <w:spacing w:val="4"/>
          <w:sz w:val="24"/>
          <w:szCs w:val="24"/>
          <w:lang w:val="es-ES"/>
        </w:rPr>
        <w:t>38.3</w:t>
      </w:r>
      <w:r>
        <w:rPr>
          <w:spacing w:val="4"/>
          <w:sz w:val="24"/>
          <w:szCs w:val="24"/>
          <w:lang w:val="es-ES"/>
        </w:rPr>
        <w:t xml:space="preserve"> por ciento</w:t>
      </w:r>
      <w:r w:rsidRPr="007F3891">
        <w:rPr>
          <w:spacing w:val="4"/>
          <w:sz w:val="24"/>
          <w:szCs w:val="24"/>
          <w:lang w:val="es-ES"/>
        </w:rPr>
        <w:t>.</w:t>
      </w:r>
    </w:p>
    <w:p w14:paraId="620BB2B7" w14:textId="77777777" w:rsidR="00757DAD" w:rsidRDefault="00757DAD" w:rsidP="00B45C92">
      <w:pPr>
        <w:pStyle w:val="titulos"/>
        <w:keepNext/>
        <w:keepLines/>
        <w:widowControl/>
        <w:spacing w:line="280" w:lineRule="exact"/>
        <w:rPr>
          <w:u w:val="none"/>
        </w:rPr>
      </w:pPr>
      <w:r>
        <w:rPr>
          <w:u w:val="none"/>
        </w:rPr>
        <w:t>Estructura de l</w:t>
      </w:r>
      <w:r w:rsidR="002C6E44">
        <w:rPr>
          <w:u w:val="none"/>
        </w:rPr>
        <w:t>a</w:t>
      </w:r>
      <w:r>
        <w:rPr>
          <w:u w:val="none"/>
        </w:rPr>
        <w:t>s Importaciones</w:t>
      </w:r>
    </w:p>
    <w:p w14:paraId="75D4054C" w14:textId="1E161CA4" w:rsidR="00396FD3" w:rsidRDefault="00B92374" w:rsidP="0037650D">
      <w:pPr>
        <w:pStyle w:val="Textoindependiente211"/>
        <w:numPr>
          <w:ilvl w:val="12"/>
          <w:numId w:val="0"/>
        </w:numPr>
        <w:spacing w:before="300" w:after="300" w:line="280" w:lineRule="exact"/>
        <w:rPr>
          <w:spacing w:val="4"/>
          <w:sz w:val="24"/>
          <w:szCs w:val="24"/>
          <w:lang w:val="es-ES"/>
        </w:rPr>
      </w:pPr>
      <w:r w:rsidRPr="007D4B9C">
        <w:rPr>
          <w:spacing w:val="4"/>
          <w:sz w:val="24"/>
          <w:szCs w:val="24"/>
          <w:lang w:val="es-ES"/>
        </w:rPr>
        <w:t xml:space="preserve">La estructura del valor de las importaciones durante los primeros cinco meses de 2020 fue la siguiente: bienes de uso </w:t>
      </w:r>
      <w:r w:rsidR="00A04E9A">
        <w:rPr>
          <w:spacing w:val="4"/>
          <w:sz w:val="24"/>
          <w:szCs w:val="24"/>
          <w:lang w:val="es-ES"/>
        </w:rPr>
        <w:t>intermedio</w:t>
      </w:r>
      <w:r w:rsidRPr="007D4B9C">
        <w:rPr>
          <w:spacing w:val="4"/>
          <w:sz w:val="24"/>
          <w:szCs w:val="24"/>
          <w:lang w:val="es-ES"/>
        </w:rPr>
        <w:t xml:space="preserve"> 78.7%</w:t>
      </w:r>
      <w:r w:rsidR="00A04E9A">
        <w:rPr>
          <w:spacing w:val="4"/>
          <w:sz w:val="24"/>
          <w:szCs w:val="24"/>
          <w:lang w:val="es-ES"/>
        </w:rPr>
        <w:t>,</w:t>
      </w:r>
      <w:r w:rsidRPr="007D4B9C">
        <w:rPr>
          <w:spacing w:val="4"/>
          <w:sz w:val="24"/>
          <w:szCs w:val="24"/>
          <w:lang w:val="es-ES"/>
        </w:rPr>
        <w:t xml:space="preserve"> bienes de </w:t>
      </w:r>
      <w:r w:rsidR="00A04E9A">
        <w:rPr>
          <w:spacing w:val="4"/>
          <w:sz w:val="24"/>
          <w:szCs w:val="24"/>
          <w:lang w:val="es-ES"/>
        </w:rPr>
        <w:t>consumo</w:t>
      </w:r>
      <w:r w:rsidRPr="007D4B9C">
        <w:rPr>
          <w:spacing w:val="4"/>
          <w:sz w:val="24"/>
          <w:szCs w:val="24"/>
          <w:lang w:val="es-ES"/>
        </w:rPr>
        <w:t xml:space="preserve"> 12.3% y bienes de </w:t>
      </w:r>
      <w:r w:rsidR="00A04E9A">
        <w:rPr>
          <w:spacing w:val="4"/>
          <w:sz w:val="24"/>
          <w:szCs w:val="24"/>
          <w:lang w:val="es-ES"/>
        </w:rPr>
        <w:t>capital</w:t>
      </w:r>
      <w:r w:rsidRPr="007D4B9C">
        <w:rPr>
          <w:spacing w:val="4"/>
          <w:sz w:val="24"/>
          <w:szCs w:val="24"/>
          <w:lang w:val="es-ES"/>
        </w:rPr>
        <w:t xml:space="preserve"> </w:t>
      </w:r>
      <w:r w:rsidR="00A04E9A">
        <w:rPr>
          <w:spacing w:val="4"/>
          <w:sz w:val="24"/>
          <w:szCs w:val="24"/>
          <w:lang w:val="es-ES"/>
        </w:rPr>
        <w:t>9</w:t>
      </w:r>
      <w:r w:rsidR="00F541BC">
        <w:rPr>
          <w:spacing w:val="4"/>
          <w:sz w:val="24"/>
          <w:szCs w:val="24"/>
          <w:lang w:val="es-ES"/>
        </w:rPr>
        <w:t xml:space="preserve"> por ciento</w:t>
      </w:r>
      <w:r w:rsidR="00E03D89" w:rsidRPr="00455466">
        <w:rPr>
          <w:spacing w:val="4"/>
          <w:sz w:val="24"/>
          <w:szCs w:val="24"/>
          <w:lang w:val="es-ES"/>
        </w:rPr>
        <w:t>.</w:t>
      </w:r>
    </w:p>
    <w:p w14:paraId="61CE1193" w14:textId="2360D606" w:rsidR="00396FD3" w:rsidRDefault="00396FD3">
      <w:pPr>
        <w:rPr>
          <w:spacing w:val="4"/>
        </w:rPr>
      </w:pPr>
      <w:r>
        <w:rPr>
          <w:spacing w:val="4"/>
        </w:rPr>
        <w:br w:type="page"/>
      </w:r>
    </w:p>
    <w:p w14:paraId="54FF7ADF" w14:textId="77777777" w:rsidR="00647AD6" w:rsidRDefault="00647AD6">
      <w:pPr>
        <w:rPr>
          <w:rFonts w:ascii="Arial" w:hAnsi="Arial"/>
          <w:spacing w:val="4"/>
        </w:rPr>
      </w:pPr>
    </w:p>
    <w:p w14:paraId="61DC273F" w14:textId="77777777" w:rsidR="00743646" w:rsidRPr="002305FE" w:rsidRDefault="002305FE" w:rsidP="00647AD6">
      <w:pPr>
        <w:pStyle w:val="rollo"/>
        <w:keepLines w:val="0"/>
        <w:spacing w:before="120" w:line="280" w:lineRule="exact"/>
        <w:rPr>
          <w:b/>
          <w:i/>
          <w:lang w:val="es-ES"/>
        </w:rPr>
      </w:pPr>
      <w:r w:rsidRPr="002305FE">
        <w:rPr>
          <w:b/>
          <w:i/>
          <w:u w:val="single"/>
        </w:rPr>
        <w:t xml:space="preserve">CIFRAS </w:t>
      </w:r>
      <w:r>
        <w:rPr>
          <w:b/>
          <w:i/>
          <w:u w:val="single"/>
        </w:rPr>
        <w:t>AJUSTADAS POR ESTACIONALIDAD</w:t>
      </w:r>
    </w:p>
    <w:p w14:paraId="6ED09CD9" w14:textId="5C828AEC" w:rsidR="00C70F17" w:rsidRPr="000E6765" w:rsidRDefault="00C70F17" w:rsidP="00D75D6E">
      <w:pPr>
        <w:pStyle w:val="Textoindependiente211"/>
        <w:numPr>
          <w:ilvl w:val="12"/>
          <w:numId w:val="0"/>
        </w:numPr>
        <w:spacing w:before="300" w:after="300" w:line="280" w:lineRule="exact"/>
        <w:rPr>
          <w:spacing w:val="4"/>
          <w:sz w:val="24"/>
          <w:szCs w:val="24"/>
          <w:lang w:val="es-ES"/>
        </w:rPr>
      </w:pPr>
      <w:r w:rsidRPr="00C70F17">
        <w:rPr>
          <w:spacing w:val="4"/>
          <w:sz w:val="24"/>
          <w:szCs w:val="24"/>
          <w:lang w:val="es-ES"/>
        </w:rPr>
        <w:t xml:space="preserve">Con cifras desestacionalizadas, en mayo de 2020 la balanza comercial registró un déficit de </w:t>
      </w:r>
      <w:r>
        <w:rPr>
          <w:spacing w:val="4"/>
          <w:sz w:val="24"/>
          <w:szCs w:val="24"/>
          <w:lang w:val="es-ES"/>
        </w:rPr>
        <w:t>(-)</w:t>
      </w:r>
      <w:r w:rsidRPr="00C70F17">
        <w:rPr>
          <w:spacing w:val="4"/>
          <w:sz w:val="24"/>
          <w:szCs w:val="24"/>
          <w:lang w:val="es-ES"/>
        </w:rPr>
        <w:t xml:space="preserve">4,063 millones de dólares, mientras que en abril el déficit fue de </w:t>
      </w:r>
      <w:r>
        <w:rPr>
          <w:spacing w:val="4"/>
          <w:sz w:val="24"/>
          <w:szCs w:val="24"/>
          <w:lang w:val="es-ES"/>
        </w:rPr>
        <w:t>(-)</w:t>
      </w:r>
      <w:r w:rsidRPr="00C70F17">
        <w:rPr>
          <w:spacing w:val="4"/>
          <w:sz w:val="24"/>
          <w:szCs w:val="24"/>
          <w:lang w:val="es-ES"/>
        </w:rPr>
        <w:t>4,361 millones de dólares. La disminución del déficit ajustado por estacionalidad entre abril y mayo fue resultado neto de un aumento del déficit de la balanza de productos no petroleros, que pasó de</w:t>
      </w:r>
      <w:r>
        <w:rPr>
          <w:spacing w:val="4"/>
          <w:sz w:val="24"/>
          <w:szCs w:val="24"/>
          <w:lang w:val="es-ES"/>
        </w:rPr>
        <w:t xml:space="preserve"> (-)</w:t>
      </w:r>
      <w:r w:rsidRPr="00C70F17">
        <w:rPr>
          <w:spacing w:val="4"/>
          <w:sz w:val="24"/>
          <w:szCs w:val="24"/>
          <w:lang w:val="es-ES"/>
        </w:rPr>
        <w:t xml:space="preserve">3,074 millones de dólares en abril a </w:t>
      </w:r>
      <w:r>
        <w:rPr>
          <w:spacing w:val="4"/>
          <w:sz w:val="24"/>
          <w:szCs w:val="24"/>
          <w:lang w:val="es-ES"/>
        </w:rPr>
        <w:t>(-)</w:t>
      </w:r>
      <w:r w:rsidRPr="00C70F17">
        <w:rPr>
          <w:spacing w:val="4"/>
          <w:sz w:val="24"/>
          <w:szCs w:val="24"/>
          <w:lang w:val="es-ES"/>
        </w:rPr>
        <w:t xml:space="preserve">3,479 millones de dólares en mayo, y de un menor déficit de la balanza de productos petroleros, que pasó de </w:t>
      </w:r>
      <w:r>
        <w:rPr>
          <w:spacing w:val="4"/>
          <w:sz w:val="24"/>
          <w:szCs w:val="24"/>
          <w:lang w:val="es-ES"/>
        </w:rPr>
        <w:t>(-)</w:t>
      </w:r>
      <w:r w:rsidRPr="00C70F17">
        <w:rPr>
          <w:spacing w:val="4"/>
          <w:sz w:val="24"/>
          <w:szCs w:val="24"/>
          <w:lang w:val="es-ES"/>
        </w:rPr>
        <w:t xml:space="preserve">1,287 millones de dólares a </w:t>
      </w:r>
      <w:r>
        <w:rPr>
          <w:spacing w:val="4"/>
          <w:sz w:val="24"/>
          <w:szCs w:val="24"/>
          <w:lang w:val="es-ES"/>
        </w:rPr>
        <w:t>(</w:t>
      </w:r>
      <w:r>
        <w:rPr>
          <w:spacing w:val="4"/>
          <w:sz w:val="24"/>
          <w:szCs w:val="24"/>
          <w:lang w:val="es-ES"/>
        </w:rPr>
        <w:noBreakHyphen/>
        <w:t>)</w:t>
      </w:r>
      <w:r w:rsidRPr="00C70F17">
        <w:rPr>
          <w:spacing w:val="4"/>
          <w:sz w:val="24"/>
          <w:szCs w:val="24"/>
          <w:lang w:val="es-ES"/>
        </w:rPr>
        <w:t>584 millones de dólares en esa misma comparación.</w:t>
      </w:r>
    </w:p>
    <w:p w14:paraId="3E2475B8" w14:textId="51358958" w:rsidR="002305FE" w:rsidRPr="00437F85" w:rsidRDefault="002305FE" w:rsidP="0020228A">
      <w:pPr>
        <w:pStyle w:val="Textoindependiente217"/>
        <w:numPr>
          <w:ilvl w:val="12"/>
          <w:numId w:val="0"/>
        </w:numPr>
        <w:spacing w:before="120" w:after="0" w:line="280" w:lineRule="exact"/>
        <w:jc w:val="center"/>
        <w:rPr>
          <w:b/>
          <w:lang w:val="es-ES"/>
        </w:rPr>
      </w:pPr>
      <w:bookmarkStart w:id="0" w:name="_Hlk43973138"/>
      <w:r>
        <w:rPr>
          <w:b/>
          <w:lang w:val="es-ES"/>
        </w:rPr>
        <w:t xml:space="preserve">Saldo de la </w:t>
      </w:r>
      <w:r w:rsidRPr="00437F85">
        <w:rPr>
          <w:b/>
          <w:lang w:val="es-ES"/>
        </w:rPr>
        <w:t>Balanza Comercial</w:t>
      </w:r>
      <w:r w:rsidR="004A7E82">
        <w:rPr>
          <w:b/>
          <w:lang w:val="es-ES"/>
        </w:rPr>
        <w:t xml:space="preserve"> de Mercancías</w:t>
      </w:r>
      <w:r w:rsidR="005B46A4">
        <w:rPr>
          <w:b/>
          <w:lang w:val="es-ES"/>
        </w:rPr>
        <w:t xml:space="preserve"> de México</w:t>
      </w:r>
    </w:p>
    <w:p w14:paraId="17C4E2BF" w14:textId="77777777" w:rsidR="00A92A39" w:rsidRDefault="002305FE" w:rsidP="00BD5355">
      <w:pPr>
        <w:pStyle w:val="Textoindependiente217"/>
        <w:numPr>
          <w:ilvl w:val="12"/>
          <w:numId w:val="0"/>
        </w:numPr>
        <w:spacing w:after="0" w:line="260" w:lineRule="exact"/>
        <w:jc w:val="center"/>
        <w:rPr>
          <w:sz w:val="20"/>
          <w:lang w:val="es-ES"/>
        </w:rPr>
      </w:pPr>
      <w:r w:rsidRPr="00437F85">
        <w:rPr>
          <w:sz w:val="20"/>
          <w:lang w:val="es-ES"/>
        </w:rPr>
        <w:t>Serie desestacionalizada</w:t>
      </w:r>
    </w:p>
    <w:p w14:paraId="773B7720" w14:textId="77777777" w:rsidR="002305FE" w:rsidRPr="00437F85" w:rsidRDefault="00A92A39" w:rsidP="00BD5355">
      <w:pPr>
        <w:pStyle w:val="Textoindependiente217"/>
        <w:numPr>
          <w:ilvl w:val="12"/>
          <w:numId w:val="0"/>
        </w:numPr>
        <w:spacing w:after="0" w:line="260" w:lineRule="exact"/>
        <w:jc w:val="center"/>
        <w:rPr>
          <w:sz w:val="20"/>
          <w:lang w:val="es-ES"/>
        </w:rPr>
      </w:pPr>
      <w:r w:rsidRPr="00A92A39">
        <w:rPr>
          <w:sz w:val="18"/>
          <w:lang w:val="es-ES"/>
        </w:rPr>
        <w:t>Millones de dólares</w:t>
      </w:r>
    </w:p>
    <w:p w14:paraId="3F55FA3D" w14:textId="06D81306" w:rsidR="00BF5EC9" w:rsidRPr="006D29AC" w:rsidRDefault="00AD551B" w:rsidP="001154DF">
      <w:pPr>
        <w:pStyle w:val="Textoindependiente217"/>
        <w:widowControl w:val="0"/>
        <w:numPr>
          <w:ilvl w:val="12"/>
          <w:numId w:val="0"/>
        </w:numPr>
        <w:spacing w:after="0"/>
        <w:jc w:val="center"/>
        <w:rPr>
          <w:sz w:val="16"/>
          <w:szCs w:val="16"/>
          <w:lang w:val="es-ES"/>
        </w:rPr>
      </w:pPr>
      <w:r>
        <w:rPr>
          <w:noProof/>
          <w:lang w:val="es-MX" w:eastAsia="es-MX"/>
        </w:rPr>
        <w:drawing>
          <wp:inline distT="0" distB="0" distL="0" distR="0" wp14:anchorId="2A5E8142" wp14:editId="26FC0032">
            <wp:extent cx="5076000" cy="3276000"/>
            <wp:effectExtent l="0" t="0" r="29845" b="19685"/>
            <wp:docPr id="1" name="Gráfico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06DDA7D" w14:textId="77777777" w:rsidR="00E573F9" w:rsidRPr="001B1FDC" w:rsidRDefault="00D21735" w:rsidP="003C27E0">
      <w:pPr>
        <w:pStyle w:val="Textoindependiente217"/>
        <w:widowControl w:val="0"/>
        <w:numPr>
          <w:ilvl w:val="12"/>
          <w:numId w:val="0"/>
        </w:numPr>
        <w:spacing w:after="0"/>
        <w:ind w:left="993" w:hanging="11"/>
        <w:jc w:val="left"/>
        <w:rPr>
          <w:sz w:val="18"/>
          <w:szCs w:val="18"/>
          <w:lang w:val="es-ES"/>
        </w:rPr>
      </w:pPr>
      <w:r w:rsidRPr="001B1FDC">
        <w:rPr>
          <w:sz w:val="18"/>
          <w:szCs w:val="18"/>
          <w:lang w:val="es-ES"/>
        </w:rPr>
        <w:t>*</w:t>
      </w:r>
      <w:r w:rsidR="00636C24">
        <w:rPr>
          <w:sz w:val="18"/>
          <w:szCs w:val="18"/>
          <w:lang w:val="es-ES"/>
        </w:rPr>
        <w:t xml:space="preserve"> </w:t>
      </w:r>
      <w:r w:rsidR="00BF5EC9" w:rsidRPr="001B1FDC">
        <w:rPr>
          <w:sz w:val="18"/>
          <w:szCs w:val="18"/>
          <w:lang w:val="es-ES"/>
        </w:rPr>
        <w:t xml:space="preserve">Cifras </w:t>
      </w:r>
      <w:r w:rsidR="00380B6A">
        <w:rPr>
          <w:sz w:val="18"/>
          <w:szCs w:val="18"/>
          <w:lang w:val="es-ES"/>
        </w:rPr>
        <w:t>o</w:t>
      </w:r>
      <w:r w:rsidR="00BF5EC9" w:rsidRPr="001B1FDC">
        <w:rPr>
          <w:sz w:val="18"/>
          <w:szCs w:val="18"/>
          <w:lang w:val="es-ES"/>
        </w:rPr>
        <w:t>portunas</w:t>
      </w:r>
      <w:r w:rsidR="00380B6A">
        <w:rPr>
          <w:sz w:val="18"/>
          <w:szCs w:val="18"/>
          <w:lang w:val="es-ES"/>
        </w:rPr>
        <w:t>.</w:t>
      </w:r>
    </w:p>
    <w:p w14:paraId="0D183639" w14:textId="74F2E066" w:rsidR="000E6765" w:rsidRDefault="00647AD6" w:rsidP="001327FF">
      <w:pPr>
        <w:pStyle w:val="Textoindependiente211"/>
        <w:numPr>
          <w:ilvl w:val="12"/>
          <w:numId w:val="0"/>
        </w:numPr>
        <w:spacing w:before="300" w:after="300" w:line="280" w:lineRule="exact"/>
        <w:rPr>
          <w:rFonts w:asciiTheme="minorHAnsi" w:hAnsiTheme="minorHAnsi" w:cs="Calibri"/>
          <w:spacing w:val="5"/>
          <w:szCs w:val="22"/>
        </w:rPr>
      </w:pPr>
      <w:r w:rsidRPr="00647AD6">
        <w:rPr>
          <w:spacing w:val="4"/>
          <w:sz w:val="24"/>
          <w:szCs w:val="24"/>
          <w:lang w:val="es-ES"/>
        </w:rPr>
        <w:t xml:space="preserve">En el mes que se reporta, las exportaciones totales desestacionalizadas </w:t>
      </w:r>
      <w:r>
        <w:rPr>
          <w:spacing w:val="4"/>
          <w:sz w:val="24"/>
          <w:szCs w:val="24"/>
          <w:lang w:val="es-ES"/>
        </w:rPr>
        <w:t>mostraron</w:t>
      </w:r>
      <w:r w:rsidRPr="00647AD6">
        <w:rPr>
          <w:spacing w:val="4"/>
          <w:sz w:val="24"/>
          <w:szCs w:val="24"/>
          <w:lang w:val="es-ES"/>
        </w:rPr>
        <w:t xml:space="preserve"> un descenso mensual de </w:t>
      </w:r>
      <w:r>
        <w:rPr>
          <w:spacing w:val="4"/>
          <w:sz w:val="24"/>
          <w:szCs w:val="24"/>
          <w:lang w:val="es-ES"/>
        </w:rPr>
        <w:t>(-)</w:t>
      </w:r>
      <w:r w:rsidRPr="00647AD6">
        <w:rPr>
          <w:spacing w:val="4"/>
          <w:sz w:val="24"/>
          <w:szCs w:val="24"/>
          <w:lang w:val="es-ES"/>
        </w:rPr>
        <w:t xml:space="preserve">20.60%, el cual se originó de la combinación de un retroceso de </w:t>
      </w:r>
      <w:r>
        <w:rPr>
          <w:spacing w:val="4"/>
          <w:sz w:val="24"/>
          <w:szCs w:val="24"/>
          <w:lang w:val="es-ES"/>
        </w:rPr>
        <w:t>(-)</w:t>
      </w:r>
      <w:r w:rsidRPr="00647AD6">
        <w:rPr>
          <w:spacing w:val="4"/>
          <w:sz w:val="24"/>
          <w:szCs w:val="24"/>
          <w:lang w:val="es-ES"/>
        </w:rPr>
        <w:t>22.00% en las exportaciones no petroleras y de</w:t>
      </w:r>
      <w:r>
        <w:rPr>
          <w:spacing w:val="4"/>
          <w:sz w:val="24"/>
          <w:szCs w:val="24"/>
          <w:lang w:val="es-ES"/>
        </w:rPr>
        <w:t xml:space="preserve"> un</w:t>
      </w:r>
      <w:r w:rsidRPr="00647AD6">
        <w:rPr>
          <w:spacing w:val="4"/>
          <w:sz w:val="24"/>
          <w:szCs w:val="24"/>
          <w:lang w:val="es-ES"/>
        </w:rPr>
        <w:t xml:space="preserve"> </w:t>
      </w:r>
      <w:r w:rsidR="00454704">
        <w:rPr>
          <w:spacing w:val="4"/>
          <w:sz w:val="24"/>
          <w:szCs w:val="24"/>
          <w:lang w:val="es-ES"/>
        </w:rPr>
        <w:t>avance</w:t>
      </w:r>
      <w:r w:rsidRPr="00647AD6">
        <w:rPr>
          <w:spacing w:val="4"/>
          <w:sz w:val="24"/>
          <w:szCs w:val="24"/>
          <w:lang w:val="es-ES"/>
        </w:rPr>
        <w:t xml:space="preserve"> de 18.94% en las petroleras. Al interior de las exportaciones no petroleras, las manufactureras presentaron una caída mensual de </w:t>
      </w:r>
      <w:r>
        <w:rPr>
          <w:spacing w:val="4"/>
          <w:sz w:val="24"/>
          <w:szCs w:val="24"/>
          <w:lang w:val="es-ES"/>
        </w:rPr>
        <w:t>(-)</w:t>
      </w:r>
      <w:r w:rsidRPr="00647AD6">
        <w:rPr>
          <w:spacing w:val="4"/>
          <w:sz w:val="24"/>
          <w:szCs w:val="24"/>
          <w:lang w:val="es-ES"/>
        </w:rPr>
        <w:t>23.19</w:t>
      </w:r>
      <w:r>
        <w:rPr>
          <w:spacing w:val="4"/>
          <w:sz w:val="24"/>
          <w:szCs w:val="24"/>
          <w:lang w:val="es-ES"/>
        </w:rPr>
        <w:t xml:space="preserve"> por ciento</w:t>
      </w:r>
      <w:r w:rsidRPr="00647AD6">
        <w:rPr>
          <w:spacing w:val="4"/>
          <w:sz w:val="24"/>
          <w:szCs w:val="24"/>
          <w:lang w:val="es-ES"/>
        </w:rPr>
        <w:t xml:space="preserve">. A su vez, dicha tasa fue reflejo de contracciones de </w:t>
      </w:r>
      <w:r>
        <w:rPr>
          <w:spacing w:val="4"/>
          <w:sz w:val="24"/>
          <w:szCs w:val="24"/>
          <w:lang w:val="es-ES"/>
        </w:rPr>
        <w:t>(-)</w:t>
      </w:r>
      <w:r w:rsidRPr="00647AD6">
        <w:rPr>
          <w:spacing w:val="4"/>
          <w:sz w:val="24"/>
          <w:szCs w:val="24"/>
          <w:lang w:val="es-ES"/>
        </w:rPr>
        <w:t xml:space="preserve">49.51% en las exportaciones automotrices y de </w:t>
      </w:r>
      <w:r>
        <w:rPr>
          <w:spacing w:val="4"/>
          <w:sz w:val="24"/>
          <w:szCs w:val="24"/>
          <w:lang w:val="es-ES"/>
        </w:rPr>
        <w:t>(-)</w:t>
      </w:r>
      <w:r w:rsidRPr="00647AD6">
        <w:rPr>
          <w:spacing w:val="4"/>
          <w:sz w:val="24"/>
          <w:szCs w:val="24"/>
          <w:lang w:val="es-ES"/>
        </w:rPr>
        <w:t>19.22% en las manufactureras no automotrices.</w:t>
      </w:r>
    </w:p>
    <w:p w14:paraId="26D50C4B" w14:textId="77777777" w:rsidR="001F589E" w:rsidRDefault="001F589E" w:rsidP="001F589E">
      <w:pPr>
        <w:pStyle w:val="Textoindependiente211"/>
        <w:numPr>
          <w:ilvl w:val="12"/>
          <w:numId w:val="0"/>
        </w:numPr>
        <w:spacing w:before="360" w:after="300" w:line="280" w:lineRule="exact"/>
        <w:rPr>
          <w:spacing w:val="4"/>
          <w:sz w:val="24"/>
          <w:szCs w:val="24"/>
          <w:lang w:val="es-ES"/>
        </w:rPr>
      </w:pPr>
    </w:p>
    <w:p w14:paraId="748E6B0C" w14:textId="77777777" w:rsidR="0065085B" w:rsidRPr="00272632" w:rsidRDefault="0065085B" w:rsidP="0065085B">
      <w:pPr>
        <w:pStyle w:val="Textoindependiente217"/>
        <w:numPr>
          <w:ilvl w:val="12"/>
          <w:numId w:val="0"/>
        </w:numPr>
        <w:spacing w:after="0" w:line="260" w:lineRule="exact"/>
        <w:ind w:left="284"/>
        <w:jc w:val="center"/>
        <w:rPr>
          <w:b/>
          <w:lang w:val="es-ES"/>
        </w:rPr>
      </w:pPr>
      <w:r w:rsidRPr="00272632">
        <w:rPr>
          <w:b/>
          <w:lang w:val="es-ES"/>
        </w:rPr>
        <w:t xml:space="preserve">Exportaciones </w:t>
      </w:r>
      <w:r>
        <w:rPr>
          <w:b/>
          <w:lang w:val="es-ES"/>
        </w:rPr>
        <w:t>de Mercancías</w:t>
      </w:r>
      <w:r w:rsidRPr="00272632">
        <w:rPr>
          <w:b/>
          <w:lang w:val="es-ES"/>
        </w:rPr>
        <w:t xml:space="preserve"> </w:t>
      </w:r>
    </w:p>
    <w:p w14:paraId="16ADAD4A" w14:textId="77777777" w:rsidR="0065085B" w:rsidRDefault="0065085B" w:rsidP="0065085B">
      <w:pPr>
        <w:pStyle w:val="Textoindependiente217"/>
        <w:numPr>
          <w:ilvl w:val="12"/>
          <w:numId w:val="0"/>
        </w:numPr>
        <w:spacing w:after="0" w:line="260" w:lineRule="exact"/>
        <w:ind w:left="284"/>
        <w:jc w:val="center"/>
        <w:rPr>
          <w:sz w:val="20"/>
          <w:lang w:val="es-ES"/>
        </w:rPr>
      </w:pPr>
      <w:r>
        <w:rPr>
          <w:sz w:val="20"/>
          <w:lang w:val="es-ES"/>
        </w:rPr>
        <w:t>Series desestacionalizadas</w:t>
      </w:r>
      <w:r w:rsidRPr="00272632">
        <w:rPr>
          <w:sz w:val="20"/>
          <w:lang w:val="es-ES"/>
        </w:rPr>
        <w:t xml:space="preserve"> y de tendencia</w:t>
      </w:r>
      <w:r>
        <w:rPr>
          <w:sz w:val="20"/>
          <w:lang w:val="es-ES"/>
        </w:rPr>
        <w:t>-ciclo</w:t>
      </w:r>
    </w:p>
    <w:p w14:paraId="1FDDA229" w14:textId="77777777" w:rsidR="0065085B" w:rsidRPr="00A92A39" w:rsidRDefault="0065085B" w:rsidP="0065085B">
      <w:pPr>
        <w:pStyle w:val="Textoindependiente217"/>
        <w:numPr>
          <w:ilvl w:val="12"/>
          <w:numId w:val="0"/>
        </w:numPr>
        <w:spacing w:after="0" w:line="260" w:lineRule="exact"/>
        <w:ind w:left="284"/>
        <w:jc w:val="center"/>
        <w:rPr>
          <w:sz w:val="20"/>
          <w:lang w:val="es-ES"/>
        </w:rPr>
      </w:pPr>
      <w:r w:rsidRPr="00A92A39">
        <w:rPr>
          <w:sz w:val="18"/>
          <w:lang w:val="es-ES"/>
        </w:rPr>
        <w:t>Millones de dólares</w:t>
      </w:r>
    </w:p>
    <w:tbl>
      <w:tblPr>
        <w:tblStyle w:val="Tablaconcuadrcula"/>
        <w:tblW w:w="9510"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725"/>
        <w:gridCol w:w="4785"/>
      </w:tblGrid>
      <w:tr w:rsidR="0065085B" w:rsidRPr="00260163" w14:paraId="5D304927" w14:textId="77777777" w:rsidTr="00CC34CB">
        <w:tc>
          <w:tcPr>
            <w:tcW w:w="4725" w:type="dxa"/>
          </w:tcPr>
          <w:p w14:paraId="14A2D42A" w14:textId="77777777" w:rsidR="0065085B" w:rsidRPr="00260163" w:rsidRDefault="0065085B" w:rsidP="00CC34CB">
            <w:pPr>
              <w:pStyle w:val="Textoindependiente217"/>
              <w:widowControl w:val="0"/>
              <w:numPr>
                <w:ilvl w:val="12"/>
                <w:numId w:val="0"/>
              </w:numPr>
              <w:spacing w:before="120" w:after="0"/>
              <w:jc w:val="center"/>
            </w:pPr>
            <w:r>
              <w:rPr>
                <w:noProof/>
                <w:lang w:val="es-MX" w:eastAsia="es-MX"/>
              </w:rPr>
              <w:drawing>
                <wp:inline distT="0" distB="0" distL="0" distR="0" wp14:anchorId="25E0FD14" wp14:editId="4359A987">
                  <wp:extent cx="2815694" cy="2097957"/>
                  <wp:effectExtent l="0" t="0" r="3810" b="17145"/>
                  <wp:docPr id="14" name="Gráfico 14">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4785" w:type="dxa"/>
          </w:tcPr>
          <w:p w14:paraId="45B21DDC" w14:textId="77777777" w:rsidR="0065085B" w:rsidRPr="00260163" w:rsidRDefault="0065085B" w:rsidP="00CC34CB">
            <w:pPr>
              <w:pStyle w:val="Textoindependiente217"/>
              <w:widowControl w:val="0"/>
              <w:numPr>
                <w:ilvl w:val="12"/>
                <w:numId w:val="0"/>
              </w:numPr>
              <w:spacing w:before="120" w:after="0"/>
              <w:jc w:val="center"/>
            </w:pPr>
            <w:r>
              <w:rPr>
                <w:noProof/>
                <w:lang w:val="es-MX" w:eastAsia="es-MX"/>
              </w:rPr>
              <w:drawing>
                <wp:inline distT="0" distB="0" distL="0" distR="0" wp14:anchorId="61C981E6" wp14:editId="0A8936F0">
                  <wp:extent cx="2815694" cy="2097957"/>
                  <wp:effectExtent l="0" t="0" r="3810" b="17145"/>
                  <wp:docPr id="15" name="Gráfico 15">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65085B" w:rsidRPr="00260163" w14:paraId="5AB2B9C2" w14:textId="77777777" w:rsidTr="00CC34CB">
        <w:tc>
          <w:tcPr>
            <w:tcW w:w="4725" w:type="dxa"/>
          </w:tcPr>
          <w:p w14:paraId="20733AE8" w14:textId="77777777" w:rsidR="0065085B" w:rsidRPr="00260163" w:rsidRDefault="0065085B" w:rsidP="00CC34CB">
            <w:pPr>
              <w:pStyle w:val="Textoindependiente217"/>
              <w:widowControl w:val="0"/>
              <w:numPr>
                <w:ilvl w:val="12"/>
                <w:numId w:val="0"/>
              </w:numPr>
              <w:spacing w:before="120" w:after="60"/>
              <w:jc w:val="center"/>
            </w:pPr>
            <w:r>
              <w:rPr>
                <w:noProof/>
                <w:lang w:val="es-MX" w:eastAsia="es-MX"/>
              </w:rPr>
              <w:drawing>
                <wp:inline distT="0" distB="0" distL="0" distR="0" wp14:anchorId="4D0D5B9F" wp14:editId="1480B2B7">
                  <wp:extent cx="2814659" cy="2097957"/>
                  <wp:effectExtent l="0" t="0" r="5080" b="17145"/>
                  <wp:docPr id="6" name="Gráfico 6">
                    <a:extLst xmlns:a="http://schemas.openxmlformats.org/drawingml/2006/main">
                      <a:ext uri="{FF2B5EF4-FFF2-40B4-BE49-F238E27FC236}">
                        <a16:creationId xmlns:a16="http://schemas.microsoft.com/office/drawing/2014/main"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4785" w:type="dxa"/>
          </w:tcPr>
          <w:p w14:paraId="7FA792AB" w14:textId="77777777" w:rsidR="0065085B" w:rsidRPr="00260163" w:rsidRDefault="0065085B" w:rsidP="00CC34CB">
            <w:pPr>
              <w:pStyle w:val="Textoindependiente217"/>
              <w:widowControl w:val="0"/>
              <w:numPr>
                <w:ilvl w:val="12"/>
                <w:numId w:val="0"/>
              </w:numPr>
              <w:spacing w:before="120" w:after="60"/>
              <w:jc w:val="center"/>
            </w:pPr>
            <w:r>
              <w:rPr>
                <w:noProof/>
                <w:lang w:val="es-MX" w:eastAsia="es-MX"/>
              </w:rPr>
              <w:drawing>
                <wp:inline distT="0" distB="0" distL="0" distR="0" wp14:anchorId="2854C2B1" wp14:editId="56BDBA38">
                  <wp:extent cx="2815694" cy="2097957"/>
                  <wp:effectExtent l="0" t="0" r="3810" b="17145"/>
                  <wp:docPr id="8" name="Gráfico 8">
                    <a:extLst xmlns:a="http://schemas.openxmlformats.org/drawingml/2006/main">
                      <a:ext uri="{FF2B5EF4-FFF2-40B4-BE49-F238E27FC236}">
                        <a16:creationId xmlns:a16="http://schemas.microsoft.com/office/drawing/2014/main"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65085B" w14:paraId="2A2D45F1" w14:textId="77777777" w:rsidTr="00CC34CB">
        <w:tc>
          <w:tcPr>
            <w:tcW w:w="4725" w:type="dxa"/>
          </w:tcPr>
          <w:p w14:paraId="158D2943" w14:textId="77777777" w:rsidR="0065085B" w:rsidRPr="00260163" w:rsidRDefault="0065085B" w:rsidP="00CC34CB">
            <w:pPr>
              <w:pStyle w:val="Textoindependiente217"/>
              <w:widowControl w:val="0"/>
              <w:numPr>
                <w:ilvl w:val="12"/>
                <w:numId w:val="0"/>
              </w:numPr>
              <w:spacing w:before="120" w:after="0"/>
              <w:jc w:val="center"/>
            </w:pPr>
            <w:r>
              <w:rPr>
                <w:noProof/>
                <w:lang w:val="es-MX" w:eastAsia="es-MX"/>
              </w:rPr>
              <w:drawing>
                <wp:inline distT="0" distB="0" distL="0" distR="0" wp14:anchorId="479DDFD8" wp14:editId="0EA131B8">
                  <wp:extent cx="2815694" cy="2097957"/>
                  <wp:effectExtent l="0" t="0" r="3810" b="17145"/>
                  <wp:docPr id="9" name="Gráfico 9">
                    <a:extLst xmlns:a="http://schemas.openxmlformats.org/drawingml/2006/main">
                      <a:ext uri="{FF2B5EF4-FFF2-40B4-BE49-F238E27FC236}">
                        <a16:creationId xmlns:a16="http://schemas.microsoft.com/office/drawing/2014/main" id="{00000000-0008-0000-03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374A463" w14:textId="77777777" w:rsidR="0065085B" w:rsidRPr="00260163" w:rsidRDefault="0065085B" w:rsidP="00CC34CB">
            <w:pPr>
              <w:pStyle w:val="Textoindependiente217"/>
              <w:widowControl w:val="0"/>
              <w:numPr>
                <w:ilvl w:val="12"/>
                <w:numId w:val="0"/>
              </w:numPr>
              <w:spacing w:after="0"/>
              <w:ind w:left="192"/>
              <w:jc w:val="left"/>
              <w:rPr>
                <w:sz w:val="16"/>
                <w:szCs w:val="16"/>
              </w:rPr>
            </w:pPr>
            <w:r w:rsidRPr="00260163">
              <w:rPr>
                <w:sz w:val="16"/>
                <w:szCs w:val="16"/>
              </w:rPr>
              <w:t xml:space="preserve">*  </w:t>
            </w:r>
            <w:r w:rsidRPr="00260163">
              <w:rPr>
                <w:sz w:val="18"/>
                <w:szCs w:val="16"/>
              </w:rPr>
              <w:t>Cifras oportunas.</w:t>
            </w:r>
            <w:r w:rsidRPr="00260163">
              <w:rPr>
                <w:sz w:val="16"/>
                <w:szCs w:val="16"/>
              </w:rPr>
              <w:t xml:space="preserve"> </w:t>
            </w:r>
          </w:p>
          <w:p w14:paraId="0CD35AE3" w14:textId="77777777" w:rsidR="0065085B" w:rsidRPr="00260163" w:rsidRDefault="0065085B" w:rsidP="00CC34CB">
            <w:pPr>
              <w:pStyle w:val="Textoindependiente217"/>
              <w:widowControl w:val="0"/>
              <w:numPr>
                <w:ilvl w:val="12"/>
                <w:numId w:val="0"/>
              </w:numPr>
              <w:spacing w:after="0"/>
              <w:jc w:val="left"/>
              <w:rPr>
                <w:sz w:val="16"/>
                <w:szCs w:val="16"/>
              </w:rPr>
            </w:pPr>
          </w:p>
        </w:tc>
        <w:tc>
          <w:tcPr>
            <w:tcW w:w="4785" w:type="dxa"/>
          </w:tcPr>
          <w:p w14:paraId="23525FAD" w14:textId="77777777" w:rsidR="0065085B" w:rsidRDefault="0065085B" w:rsidP="00CC34CB">
            <w:pPr>
              <w:pStyle w:val="Textoindependiente217"/>
              <w:widowControl w:val="0"/>
              <w:numPr>
                <w:ilvl w:val="12"/>
                <w:numId w:val="0"/>
              </w:numPr>
              <w:spacing w:before="120" w:after="120"/>
              <w:jc w:val="center"/>
            </w:pPr>
            <w:r>
              <w:rPr>
                <w:noProof/>
                <w:lang w:val="es-MX" w:eastAsia="es-MX"/>
              </w:rPr>
              <w:drawing>
                <wp:inline distT="0" distB="0" distL="0" distR="0" wp14:anchorId="58FD27EC" wp14:editId="02F17EE6">
                  <wp:extent cx="2815694" cy="2097958"/>
                  <wp:effectExtent l="0" t="0" r="3810" b="17145"/>
                  <wp:docPr id="12" name="Gráfico 12">
                    <a:extLst xmlns:a="http://schemas.openxmlformats.org/drawingml/2006/main">
                      <a:ext uri="{FF2B5EF4-FFF2-40B4-BE49-F238E27FC236}">
                        <a16:creationId xmlns:a16="http://schemas.microsoft.com/office/drawing/2014/main" id="{00000000-0008-0000-03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bl>
    <w:p w14:paraId="5B278395" w14:textId="77777777" w:rsidR="000E6765" w:rsidRDefault="000E6765" w:rsidP="003B1D89">
      <w:pPr>
        <w:pStyle w:val="Textoindependiente211"/>
        <w:numPr>
          <w:ilvl w:val="12"/>
          <w:numId w:val="0"/>
        </w:numPr>
        <w:spacing w:before="300" w:after="300" w:line="280" w:lineRule="exact"/>
        <w:rPr>
          <w:spacing w:val="4"/>
          <w:sz w:val="24"/>
          <w:szCs w:val="24"/>
          <w:lang w:val="es-ES"/>
        </w:rPr>
      </w:pPr>
    </w:p>
    <w:p w14:paraId="0925DB7D" w14:textId="2219D763" w:rsidR="00F86508" w:rsidRDefault="00AC2E6B" w:rsidP="003B1D89">
      <w:pPr>
        <w:pStyle w:val="Textoindependiente211"/>
        <w:numPr>
          <w:ilvl w:val="12"/>
          <w:numId w:val="0"/>
        </w:numPr>
        <w:spacing w:before="300" w:after="300" w:line="280" w:lineRule="exact"/>
        <w:rPr>
          <w:spacing w:val="4"/>
          <w:sz w:val="24"/>
          <w:szCs w:val="24"/>
          <w:lang w:val="es-ES"/>
        </w:rPr>
      </w:pPr>
      <w:r w:rsidRPr="00AC2E6B">
        <w:rPr>
          <w:spacing w:val="4"/>
          <w:sz w:val="24"/>
          <w:szCs w:val="24"/>
          <w:lang w:val="es-ES"/>
        </w:rPr>
        <w:t xml:space="preserve">En mayo de 2020, las importaciones totales de mercancías mostraron una disminución mensual desestacionalizada de </w:t>
      </w:r>
      <w:r>
        <w:rPr>
          <w:spacing w:val="4"/>
          <w:sz w:val="24"/>
          <w:szCs w:val="24"/>
          <w:lang w:val="es-ES"/>
        </w:rPr>
        <w:t>(-)</w:t>
      </w:r>
      <w:r w:rsidRPr="00AC2E6B">
        <w:rPr>
          <w:spacing w:val="4"/>
          <w:sz w:val="24"/>
          <w:szCs w:val="24"/>
          <w:lang w:val="es-ES"/>
        </w:rPr>
        <w:t>18.39</w:t>
      </w:r>
      <w:r>
        <w:rPr>
          <w:spacing w:val="4"/>
          <w:sz w:val="24"/>
          <w:szCs w:val="24"/>
          <w:lang w:val="es-ES"/>
        </w:rPr>
        <w:t xml:space="preserve"> por </w:t>
      </w:r>
      <w:r w:rsidR="005606A2">
        <w:rPr>
          <w:spacing w:val="4"/>
          <w:sz w:val="24"/>
          <w:szCs w:val="24"/>
          <w:lang w:val="es-ES"/>
        </w:rPr>
        <w:t>c</w:t>
      </w:r>
      <w:r>
        <w:rPr>
          <w:spacing w:val="4"/>
          <w:sz w:val="24"/>
          <w:szCs w:val="24"/>
          <w:lang w:val="es-ES"/>
        </w:rPr>
        <w:t>iento</w:t>
      </w:r>
      <w:r w:rsidRPr="00AC2E6B">
        <w:rPr>
          <w:spacing w:val="4"/>
          <w:sz w:val="24"/>
          <w:szCs w:val="24"/>
          <w:lang w:val="es-ES"/>
        </w:rPr>
        <w:t xml:space="preserve">. Esta cifra fue resultado de reducciones de </w:t>
      </w:r>
      <w:r>
        <w:rPr>
          <w:spacing w:val="4"/>
          <w:sz w:val="24"/>
          <w:szCs w:val="24"/>
          <w:lang w:val="es-ES"/>
        </w:rPr>
        <w:t>(-)</w:t>
      </w:r>
      <w:r w:rsidRPr="00AC2E6B">
        <w:rPr>
          <w:spacing w:val="4"/>
          <w:sz w:val="24"/>
          <w:szCs w:val="24"/>
          <w:lang w:val="es-ES"/>
        </w:rPr>
        <w:t xml:space="preserve">17.69% en las importaciones no petroleras y de </w:t>
      </w:r>
      <w:r>
        <w:rPr>
          <w:spacing w:val="4"/>
          <w:sz w:val="24"/>
          <w:szCs w:val="24"/>
          <w:lang w:val="es-ES"/>
        </w:rPr>
        <w:t>(-)</w:t>
      </w:r>
      <w:r w:rsidRPr="00AC2E6B">
        <w:rPr>
          <w:spacing w:val="4"/>
          <w:sz w:val="24"/>
          <w:szCs w:val="24"/>
          <w:lang w:val="es-ES"/>
        </w:rPr>
        <w:t xml:space="preserve">26.87% en las petroleras. Por tipo de bien, se observaron caídas mensuales de </w:t>
      </w:r>
      <w:r>
        <w:rPr>
          <w:spacing w:val="4"/>
          <w:sz w:val="24"/>
          <w:szCs w:val="24"/>
          <w:lang w:val="es-ES"/>
        </w:rPr>
        <w:t>(-)</w:t>
      </w:r>
      <w:r w:rsidRPr="00AC2E6B">
        <w:rPr>
          <w:spacing w:val="4"/>
          <w:sz w:val="24"/>
          <w:szCs w:val="24"/>
          <w:lang w:val="es-ES"/>
        </w:rPr>
        <w:t xml:space="preserve">11.70% en las importaciones de bienes de consumo (descenso de </w:t>
      </w:r>
      <w:r>
        <w:rPr>
          <w:spacing w:val="4"/>
          <w:sz w:val="24"/>
          <w:szCs w:val="24"/>
          <w:lang w:val="es-ES"/>
        </w:rPr>
        <w:t>-</w:t>
      </w:r>
      <w:r w:rsidRPr="00AC2E6B">
        <w:rPr>
          <w:spacing w:val="4"/>
          <w:sz w:val="24"/>
          <w:szCs w:val="24"/>
          <w:lang w:val="es-ES"/>
        </w:rPr>
        <w:t xml:space="preserve">5.65% en las importaciones de bienes de consumo no petroleros), de </w:t>
      </w:r>
      <w:r>
        <w:rPr>
          <w:spacing w:val="4"/>
          <w:sz w:val="24"/>
          <w:szCs w:val="24"/>
          <w:lang w:val="es-ES"/>
        </w:rPr>
        <w:t>(-)</w:t>
      </w:r>
      <w:r w:rsidRPr="00AC2E6B">
        <w:rPr>
          <w:spacing w:val="4"/>
          <w:sz w:val="24"/>
          <w:szCs w:val="24"/>
          <w:lang w:val="es-ES"/>
        </w:rPr>
        <w:t xml:space="preserve">20.79% en las de bienes de uso intermedio (retroceso de </w:t>
      </w:r>
      <w:r>
        <w:rPr>
          <w:spacing w:val="4"/>
          <w:sz w:val="24"/>
          <w:szCs w:val="24"/>
          <w:lang w:val="es-ES"/>
        </w:rPr>
        <w:t>-</w:t>
      </w:r>
      <w:r w:rsidRPr="00AC2E6B">
        <w:rPr>
          <w:spacing w:val="4"/>
          <w:sz w:val="24"/>
          <w:szCs w:val="24"/>
          <w:lang w:val="es-ES"/>
        </w:rPr>
        <w:t xml:space="preserve">20.60% en las de bienes de uso intermedio no petroleros) y de </w:t>
      </w:r>
      <w:r>
        <w:rPr>
          <w:spacing w:val="4"/>
          <w:sz w:val="24"/>
          <w:szCs w:val="24"/>
          <w:lang w:val="es-ES"/>
        </w:rPr>
        <w:t>(-)</w:t>
      </w:r>
      <w:r w:rsidRPr="00AC2E6B">
        <w:rPr>
          <w:spacing w:val="4"/>
          <w:sz w:val="24"/>
          <w:szCs w:val="24"/>
          <w:lang w:val="es-ES"/>
        </w:rPr>
        <w:t>6.32% en las de bienes de capital.</w:t>
      </w:r>
    </w:p>
    <w:p w14:paraId="40DB10EE" w14:textId="77777777" w:rsidR="0065085B" w:rsidRPr="008C11AD" w:rsidRDefault="0065085B" w:rsidP="0065085B">
      <w:pPr>
        <w:pStyle w:val="Textoindependiente217"/>
        <w:keepNext/>
        <w:numPr>
          <w:ilvl w:val="12"/>
          <w:numId w:val="0"/>
        </w:numPr>
        <w:spacing w:after="0"/>
        <w:ind w:left="295"/>
        <w:jc w:val="center"/>
        <w:rPr>
          <w:b/>
          <w:lang w:val="es-ES"/>
        </w:rPr>
      </w:pPr>
      <w:r w:rsidRPr="008C11AD">
        <w:rPr>
          <w:b/>
          <w:lang w:val="es-ES"/>
        </w:rPr>
        <w:t xml:space="preserve">Importaciones </w:t>
      </w:r>
      <w:r>
        <w:rPr>
          <w:b/>
          <w:lang w:val="es-ES"/>
        </w:rPr>
        <w:t>de Mercancías</w:t>
      </w:r>
    </w:p>
    <w:p w14:paraId="2F25599F" w14:textId="77777777" w:rsidR="0065085B" w:rsidRDefault="0065085B" w:rsidP="0065085B">
      <w:pPr>
        <w:pStyle w:val="Textoindependiente217"/>
        <w:numPr>
          <w:ilvl w:val="12"/>
          <w:numId w:val="0"/>
        </w:numPr>
        <w:spacing w:after="0" w:line="260" w:lineRule="exact"/>
        <w:ind w:left="284"/>
        <w:jc w:val="center"/>
        <w:rPr>
          <w:sz w:val="20"/>
          <w:lang w:val="es-ES"/>
        </w:rPr>
      </w:pPr>
      <w:r>
        <w:rPr>
          <w:sz w:val="20"/>
          <w:lang w:val="es-ES"/>
        </w:rPr>
        <w:t>Series desestacionalizadas</w:t>
      </w:r>
      <w:r w:rsidRPr="008C11AD">
        <w:rPr>
          <w:sz w:val="20"/>
          <w:lang w:val="es-ES"/>
        </w:rPr>
        <w:t xml:space="preserve"> y de tendencia</w:t>
      </w:r>
      <w:r>
        <w:rPr>
          <w:sz w:val="20"/>
          <w:lang w:val="es-ES"/>
        </w:rPr>
        <w:t>-ciclo</w:t>
      </w:r>
    </w:p>
    <w:p w14:paraId="46EBF676" w14:textId="77777777" w:rsidR="0065085B" w:rsidRPr="008C11AD" w:rsidRDefault="0065085B" w:rsidP="0065085B">
      <w:pPr>
        <w:pStyle w:val="Textoindependiente217"/>
        <w:numPr>
          <w:ilvl w:val="12"/>
          <w:numId w:val="0"/>
        </w:numPr>
        <w:spacing w:after="0" w:line="260" w:lineRule="exact"/>
        <w:ind w:left="284"/>
        <w:jc w:val="center"/>
        <w:rPr>
          <w:sz w:val="20"/>
          <w:lang w:val="es-ES"/>
        </w:rPr>
      </w:pPr>
      <w:r w:rsidRPr="00A92A39">
        <w:rPr>
          <w:sz w:val="18"/>
          <w:lang w:val="es-ES"/>
        </w:rPr>
        <w:t>Millones de dólares</w:t>
      </w:r>
    </w:p>
    <w:tbl>
      <w:tblPr>
        <w:tblStyle w:val="Tablaconcuadrcula"/>
        <w:tblW w:w="9372"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690"/>
        <w:gridCol w:w="4682"/>
      </w:tblGrid>
      <w:tr w:rsidR="0065085B" w:rsidRPr="00CE6AE4" w14:paraId="6174D7C2" w14:textId="77777777" w:rsidTr="00CC34CB">
        <w:tc>
          <w:tcPr>
            <w:tcW w:w="4690" w:type="dxa"/>
          </w:tcPr>
          <w:p w14:paraId="655AF491" w14:textId="77777777" w:rsidR="0065085B" w:rsidRPr="00CE6AE4" w:rsidRDefault="0065085B" w:rsidP="00CC34CB">
            <w:pPr>
              <w:pStyle w:val="Textoindependiente217"/>
              <w:widowControl w:val="0"/>
              <w:numPr>
                <w:ilvl w:val="12"/>
                <w:numId w:val="0"/>
              </w:numPr>
              <w:spacing w:before="120" w:after="0"/>
              <w:jc w:val="center"/>
            </w:pPr>
            <w:r>
              <w:rPr>
                <w:noProof/>
                <w:lang w:val="es-MX" w:eastAsia="es-MX"/>
              </w:rPr>
              <w:drawing>
                <wp:inline distT="0" distB="0" distL="0" distR="0" wp14:anchorId="6EE2CFF2" wp14:editId="0E506A02">
                  <wp:extent cx="2818800" cy="2094287"/>
                  <wp:effectExtent l="0" t="0" r="635" b="1270"/>
                  <wp:docPr id="24" name="Gráfico 24">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4682" w:type="dxa"/>
          </w:tcPr>
          <w:p w14:paraId="6D65477F" w14:textId="77777777" w:rsidR="0065085B" w:rsidRPr="00CE6AE4" w:rsidRDefault="0065085B" w:rsidP="00CC34CB">
            <w:pPr>
              <w:pStyle w:val="Textoindependiente217"/>
              <w:widowControl w:val="0"/>
              <w:numPr>
                <w:ilvl w:val="12"/>
                <w:numId w:val="0"/>
              </w:numPr>
              <w:spacing w:before="120" w:after="0"/>
              <w:jc w:val="center"/>
            </w:pPr>
            <w:r>
              <w:rPr>
                <w:noProof/>
                <w:lang w:val="es-MX" w:eastAsia="es-MX"/>
              </w:rPr>
              <w:drawing>
                <wp:inline distT="0" distB="0" distL="0" distR="0" wp14:anchorId="3DFF8234" wp14:editId="78F4D14C">
                  <wp:extent cx="2818800" cy="2094286"/>
                  <wp:effectExtent l="0" t="0" r="635" b="1270"/>
                  <wp:docPr id="27" name="Gráfico 27">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r w:rsidR="0065085B" w:rsidRPr="00CE6AE4" w14:paraId="6669A40B" w14:textId="77777777" w:rsidTr="00CC34CB">
        <w:tc>
          <w:tcPr>
            <w:tcW w:w="4690" w:type="dxa"/>
          </w:tcPr>
          <w:p w14:paraId="5A861ACC" w14:textId="77777777" w:rsidR="0065085B" w:rsidRPr="00CE6AE4" w:rsidRDefault="0065085B" w:rsidP="00CC34CB">
            <w:pPr>
              <w:pStyle w:val="Textoindependiente217"/>
              <w:widowControl w:val="0"/>
              <w:numPr>
                <w:ilvl w:val="12"/>
                <w:numId w:val="0"/>
              </w:numPr>
              <w:spacing w:before="120" w:after="60"/>
              <w:ind w:left="34"/>
              <w:jc w:val="center"/>
            </w:pPr>
            <w:r>
              <w:rPr>
                <w:noProof/>
                <w:lang w:val="es-MX" w:eastAsia="es-MX"/>
              </w:rPr>
              <w:drawing>
                <wp:inline distT="0" distB="0" distL="0" distR="0" wp14:anchorId="4F5E2BB4" wp14:editId="6ABF669D">
                  <wp:extent cx="2818800" cy="2094286"/>
                  <wp:effectExtent l="0" t="0" r="635" b="1270"/>
                  <wp:docPr id="16" name="Gráfico 16">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c>
          <w:tcPr>
            <w:tcW w:w="4682" w:type="dxa"/>
          </w:tcPr>
          <w:p w14:paraId="65BEDE79" w14:textId="77777777" w:rsidR="0065085B" w:rsidRPr="00CE6AE4" w:rsidRDefault="0065085B" w:rsidP="00CC34CB">
            <w:pPr>
              <w:pStyle w:val="Textoindependiente217"/>
              <w:widowControl w:val="0"/>
              <w:numPr>
                <w:ilvl w:val="12"/>
                <w:numId w:val="0"/>
              </w:numPr>
              <w:spacing w:before="120" w:after="60"/>
              <w:jc w:val="center"/>
            </w:pPr>
            <w:r>
              <w:rPr>
                <w:noProof/>
                <w:lang w:val="es-MX" w:eastAsia="es-MX"/>
              </w:rPr>
              <w:drawing>
                <wp:inline distT="0" distB="0" distL="0" distR="0" wp14:anchorId="4BD08727" wp14:editId="19DDAF26">
                  <wp:extent cx="2818800" cy="2094286"/>
                  <wp:effectExtent l="0" t="0" r="635" b="1270"/>
                  <wp:docPr id="18" name="Gráfico 18">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r w:rsidR="0065085B" w14:paraId="4306972F" w14:textId="77777777" w:rsidTr="00CC34CB">
        <w:tc>
          <w:tcPr>
            <w:tcW w:w="4690" w:type="dxa"/>
          </w:tcPr>
          <w:p w14:paraId="7DC71CE6" w14:textId="77777777" w:rsidR="0065085B" w:rsidRPr="00CE6AE4" w:rsidRDefault="0065085B" w:rsidP="00CC34CB">
            <w:pPr>
              <w:pStyle w:val="Textoindependiente217"/>
              <w:widowControl w:val="0"/>
              <w:numPr>
                <w:ilvl w:val="12"/>
                <w:numId w:val="0"/>
              </w:numPr>
              <w:spacing w:before="120" w:after="0"/>
              <w:jc w:val="center"/>
              <w:rPr>
                <w:sz w:val="18"/>
                <w:szCs w:val="16"/>
              </w:rPr>
            </w:pPr>
            <w:r>
              <w:rPr>
                <w:noProof/>
                <w:lang w:val="es-MX" w:eastAsia="es-MX"/>
              </w:rPr>
              <w:lastRenderedPageBreak/>
              <w:drawing>
                <wp:inline distT="0" distB="0" distL="0" distR="0" wp14:anchorId="6894FF52" wp14:editId="3713E7AC">
                  <wp:extent cx="2818800" cy="2094287"/>
                  <wp:effectExtent l="0" t="0" r="635" b="1270"/>
                  <wp:docPr id="19" name="Gráfico 19">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5AAC9AC4" w14:textId="77777777" w:rsidR="0065085B" w:rsidRPr="00CE6AE4" w:rsidRDefault="0065085B" w:rsidP="00CC34CB">
            <w:pPr>
              <w:pStyle w:val="Textoindependiente217"/>
              <w:widowControl w:val="0"/>
              <w:numPr>
                <w:ilvl w:val="12"/>
                <w:numId w:val="0"/>
              </w:numPr>
              <w:spacing w:after="0"/>
              <w:ind w:left="176"/>
              <w:jc w:val="left"/>
              <w:rPr>
                <w:sz w:val="18"/>
                <w:szCs w:val="16"/>
              </w:rPr>
            </w:pPr>
            <w:r w:rsidRPr="00CE6AE4">
              <w:rPr>
                <w:sz w:val="18"/>
                <w:szCs w:val="16"/>
              </w:rPr>
              <w:t>* Cifras oportunas.</w:t>
            </w:r>
          </w:p>
        </w:tc>
        <w:tc>
          <w:tcPr>
            <w:tcW w:w="4682" w:type="dxa"/>
          </w:tcPr>
          <w:p w14:paraId="2ABA2ABE" w14:textId="77777777" w:rsidR="0065085B" w:rsidRDefault="0065085B" w:rsidP="00CC34CB">
            <w:pPr>
              <w:pStyle w:val="Textoindependiente217"/>
              <w:widowControl w:val="0"/>
              <w:numPr>
                <w:ilvl w:val="12"/>
                <w:numId w:val="0"/>
              </w:numPr>
              <w:spacing w:before="120" w:after="480"/>
              <w:jc w:val="center"/>
            </w:pPr>
            <w:r>
              <w:rPr>
                <w:noProof/>
                <w:lang w:val="es-MX" w:eastAsia="es-MX"/>
              </w:rPr>
              <w:drawing>
                <wp:inline distT="0" distB="0" distL="0" distR="0" wp14:anchorId="11AB8721" wp14:editId="7C6BC810">
                  <wp:extent cx="2818800" cy="2094287"/>
                  <wp:effectExtent l="0" t="0" r="635" b="1270"/>
                  <wp:docPr id="20" name="Gráfico 20">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bl>
    <w:p w14:paraId="6897FDD5" w14:textId="77777777" w:rsidR="005219B3" w:rsidRDefault="0024319B" w:rsidP="002801FD">
      <w:pPr>
        <w:pStyle w:val="rollo"/>
        <w:keepLines w:val="0"/>
        <w:spacing w:before="300" w:after="300" w:line="280" w:lineRule="exact"/>
      </w:pPr>
      <w:r w:rsidRPr="002C06F8">
        <w:rPr>
          <w:rFonts w:cs="Arial"/>
          <w:spacing w:val="3"/>
          <w:szCs w:val="22"/>
          <w:lang w:val="es-ES"/>
        </w:rPr>
        <w:t xml:space="preserve">La información oportuna de comercio exterior que se presenta en este </w:t>
      </w:r>
      <w:r w:rsidR="006047B8">
        <w:rPr>
          <w:rFonts w:cs="Arial"/>
          <w:spacing w:val="3"/>
          <w:szCs w:val="22"/>
          <w:lang w:val="es-ES"/>
        </w:rPr>
        <w:t>documento</w:t>
      </w:r>
      <w:r w:rsidRPr="002C06F8">
        <w:rPr>
          <w:rFonts w:cs="Arial"/>
          <w:spacing w:val="3"/>
          <w:szCs w:val="22"/>
          <w:lang w:val="es-ES"/>
        </w:rPr>
        <w:t xml:space="preserve"> </w:t>
      </w:r>
      <w:r w:rsidR="005219B3" w:rsidRPr="002C06F8">
        <w:rPr>
          <w:rFonts w:cs="Arial"/>
          <w:spacing w:val="3"/>
          <w:szCs w:val="22"/>
          <w:lang w:val="es-ES"/>
        </w:rPr>
        <w:t xml:space="preserve">es </w:t>
      </w:r>
      <w:r w:rsidR="00EC0046">
        <w:rPr>
          <w:rFonts w:cs="Arial"/>
          <w:spacing w:val="3"/>
          <w:szCs w:val="22"/>
          <w:lang w:val="es-ES"/>
        </w:rPr>
        <w:t xml:space="preserve">elaborada por el SAT, SE, </w:t>
      </w:r>
      <w:r w:rsidR="005219B3" w:rsidRPr="002C06F8">
        <w:rPr>
          <w:rFonts w:cs="Arial"/>
          <w:spacing w:val="3"/>
          <w:szCs w:val="22"/>
          <w:lang w:val="es-ES"/>
        </w:rPr>
        <w:t>Banco de México, INEGI</w:t>
      </w:r>
      <w:r w:rsidR="00EC0046">
        <w:rPr>
          <w:rFonts w:cs="Arial"/>
          <w:spacing w:val="3"/>
          <w:szCs w:val="22"/>
          <w:lang w:val="es-ES"/>
        </w:rPr>
        <w:t>. Balanz</w:t>
      </w:r>
      <w:r w:rsidR="008D1581">
        <w:rPr>
          <w:rFonts w:cs="Arial"/>
          <w:spacing w:val="3"/>
          <w:szCs w:val="22"/>
          <w:lang w:val="es-ES"/>
        </w:rPr>
        <w:t>a</w:t>
      </w:r>
      <w:r w:rsidR="00EC0046">
        <w:rPr>
          <w:rFonts w:cs="Arial"/>
          <w:spacing w:val="3"/>
          <w:szCs w:val="22"/>
          <w:lang w:val="es-ES"/>
        </w:rPr>
        <w:t xml:space="preserve"> Comercial de Mercancías de México. </w:t>
      </w:r>
      <w:r w:rsidR="00EC0046" w:rsidRPr="008D1581">
        <w:rPr>
          <w:rFonts w:cs="Arial"/>
          <w:b/>
          <w:spacing w:val="3"/>
          <w:szCs w:val="22"/>
          <w:lang w:val="es-ES"/>
        </w:rPr>
        <w:t>SNIEG. Información de Interés Nacional</w:t>
      </w:r>
      <w:r w:rsidR="00EC0046">
        <w:rPr>
          <w:rFonts w:cs="Arial"/>
          <w:spacing w:val="3"/>
          <w:szCs w:val="22"/>
          <w:lang w:val="es-ES"/>
        </w:rPr>
        <w:t>.</w:t>
      </w:r>
      <w:bookmarkEnd w:id="0"/>
    </w:p>
    <w:sectPr w:rsidR="005219B3" w:rsidSect="00B356CD">
      <w:headerReference w:type="default" r:id="rId38"/>
      <w:footerReference w:type="default" r:id="rId39"/>
      <w:pgSz w:w="12240" w:h="15840" w:code="1"/>
      <w:pgMar w:top="851" w:right="1894" w:bottom="680" w:left="1559" w:header="720" w:footer="720" w:gutter="0"/>
      <w:paperSrc w:firs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F3D55" w14:textId="77777777" w:rsidR="000D7321" w:rsidRDefault="000D7321">
      <w:r>
        <w:separator/>
      </w:r>
    </w:p>
  </w:endnote>
  <w:endnote w:type="continuationSeparator" w:id="0">
    <w:p w14:paraId="3965FFB0" w14:textId="77777777" w:rsidR="000D7321" w:rsidRDefault="000D7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BDD4F" w14:textId="77777777" w:rsidR="00BD4C2F" w:rsidRDefault="00BD4C2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D559A" w14:textId="77777777" w:rsidR="00B024D9" w:rsidRPr="00237302" w:rsidRDefault="00B024D9" w:rsidP="00274BEE">
    <w:pPr>
      <w:pStyle w:val="Piedepgina"/>
      <w:contextualSpacing/>
      <w:jc w:val="center"/>
      <w:rPr>
        <w:rFonts w:ascii="Arial" w:hAnsi="Arial" w:cs="Arial"/>
        <w:color w:val="002060"/>
        <w:sz w:val="18"/>
        <w:szCs w:val="18"/>
      </w:rPr>
    </w:pPr>
    <w:r w:rsidRPr="00237302">
      <w:rPr>
        <w:rFonts w:ascii="Arial" w:hAnsi="Arial" w:cs="Arial"/>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811B1" w14:textId="77777777" w:rsidR="00BD4C2F" w:rsidRDefault="00BD4C2F">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48909" w14:textId="77777777" w:rsidR="003C6884" w:rsidRPr="00F74684" w:rsidRDefault="003C6884">
    <w:pPr>
      <w:pStyle w:val="Piedepgina"/>
      <w:jc w:val="center"/>
      <w:rPr>
        <w:rFonts w:ascii="Arial" w:hAnsi="Arial" w:cs="Arial"/>
        <w:sz w:val="20"/>
      </w:rPr>
    </w:pPr>
    <w:r w:rsidRPr="00F74684">
      <w:rPr>
        <w:rFonts w:ascii="Arial" w:hAnsi="Arial" w:cs="Arial"/>
        <w:b/>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63C04" w14:textId="77777777" w:rsidR="000D7321" w:rsidRDefault="000D7321">
      <w:r>
        <w:separator/>
      </w:r>
    </w:p>
  </w:footnote>
  <w:footnote w:type="continuationSeparator" w:id="0">
    <w:p w14:paraId="153926B0" w14:textId="77777777" w:rsidR="000D7321" w:rsidRDefault="000D7321">
      <w:r>
        <w:continuationSeparator/>
      </w:r>
    </w:p>
  </w:footnote>
  <w:footnote w:id="1">
    <w:p w14:paraId="68604104" w14:textId="77777777" w:rsidR="00B024D9" w:rsidRDefault="00B024D9" w:rsidP="00D27056">
      <w:pPr>
        <w:pStyle w:val="Textonotapie"/>
        <w:ind w:left="142" w:right="-405" w:hanging="142"/>
        <w:jc w:val="both"/>
        <w:rPr>
          <w:rFonts w:ascii="Arial" w:hAnsi="Arial" w:cs="Arial"/>
          <w:sz w:val="16"/>
          <w:szCs w:val="16"/>
        </w:rPr>
      </w:pPr>
      <w:r w:rsidRPr="002F00F8">
        <w:rPr>
          <w:rStyle w:val="Refdenotaalpie"/>
          <w:rFonts w:ascii="Arial" w:hAnsi="Arial" w:cs="Arial"/>
          <w:sz w:val="18"/>
        </w:rPr>
        <w:footnoteRef/>
      </w:r>
      <w:r>
        <w:rPr>
          <w:rFonts w:ascii="Arial" w:hAnsi="Arial" w:cs="Arial"/>
          <w:sz w:val="16"/>
          <w:szCs w:val="16"/>
        </w:rPr>
        <w:t xml:space="preserve">  </w:t>
      </w:r>
      <w:r w:rsidRPr="004D7F7E">
        <w:rPr>
          <w:rFonts w:ascii="Arial" w:hAnsi="Arial" w:cs="Arial"/>
          <w:sz w:val="16"/>
          <w:szCs w:val="16"/>
        </w:rPr>
        <w:t>La suma de los componentes que integran la estadística de la balanza comercial de mercancías de México que se presenta en este reporte puede no coincidir con los totales debido al redondeo de las cifras.</w:t>
      </w:r>
    </w:p>
    <w:p w14:paraId="4FAB1EAE" w14:textId="77777777" w:rsidR="00B024D9" w:rsidRPr="00586ECE" w:rsidRDefault="00B024D9" w:rsidP="00B024D9">
      <w:pPr>
        <w:pStyle w:val="Textonotapie"/>
        <w:ind w:left="142" w:right="-1" w:hanging="142"/>
        <w:jc w:val="both"/>
        <w:rPr>
          <w:rFonts w:ascii="Arial" w:hAnsi="Arial" w:cs="Arial"/>
          <w:sz w:val="14"/>
          <w:szCs w:val="14"/>
          <w:u w:val="single"/>
          <w:lang w:val="es-MX"/>
        </w:rPr>
      </w:pPr>
    </w:p>
  </w:footnote>
  <w:footnote w:id="2">
    <w:p w14:paraId="67B92BB9" w14:textId="77777777" w:rsidR="00932D63" w:rsidRPr="00384AA7" w:rsidRDefault="00932D63" w:rsidP="00932D63">
      <w:pPr>
        <w:pStyle w:val="Textonotapie"/>
        <w:ind w:left="142" w:right="-1" w:hanging="142"/>
        <w:jc w:val="both"/>
        <w:rPr>
          <w:rStyle w:val="Refdenotaalpie"/>
          <w:rFonts w:ascii="Arial" w:hAnsi="Arial" w:cs="Arial"/>
          <w:sz w:val="14"/>
          <w:szCs w:val="14"/>
        </w:rPr>
      </w:pPr>
      <w:r w:rsidRPr="00B910AA">
        <w:rPr>
          <w:rStyle w:val="Refdenotaalpie"/>
          <w:rFonts w:ascii="Arial" w:hAnsi="Arial" w:cs="Arial"/>
          <w:sz w:val="18"/>
        </w:rPr>
        <w:footnoteRef/>
      </w:r>
      <w:r w:rsidRPr="00B910AA">
        <w:rPr>
          <w:rStyle w:val="Refdenotaalpie"/>
          <w:rFonts w:ascii="Arial" w:hAnsi="Arial" w:cs="Arial"/>
          <w:sz w:val="18"/>
        </w:rPr>
        <w:t xml:space="preserve"> </w:t>
      </w:r>
      <w:r w:rsidRPr="00384AA7">
        <w:rPr>
          <w:rStyle w:val="Refdenotaalpie"/>
          <w:rFonts w:ascii="Arial" w:hAnsi="Arial" w:cs="Arial"/>
          <w:sz w:val="14"/>
          <w:szCs w:val="14"/>
          <w:vertAlign w:val="baseline"/>
        </w:rPr>
        <w:t>Información proporcionada por PMI Comercio Internacional, S.A. de C.V., que corresponde a sus cifras operativas y está sujeta a revisiones posteriores.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D56AB" w14:textId="77777777" w:rsidR="00BD4C2F" w:rsidRDefault="00BD4C2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4C616" w14:textId="5B9970E3" w:rsidR="00B024D9" w:rsidRPr="00265B8C" w:rsidRDefault="00B024D9" w:rsidP="00BD4C2F">
    <w:pPr>
      <w:pStyle w:val="Encabezado"/>
      <w:framePr w:w="5499" w:hSpace="141" w:wrap="auto" w:vAnchor="text" w:hAnchor="page" w:x="5597" w:y="35"/>
      <w:ind w:left="567" w:hanging="11"/>
      <w:jc w:val="right"/>
      <w:rPr>
        <w:rFonts w:ascii="Arial" w:hAnsi="Arial" w:cs="Arial"/>
        <w:b/>
        <w:color w:val="002060"/>
      </w:rPr>
    </w:pPr>
    <w:r w:rsidRPr="00265B8C">
      <w:rPr>
        <w:rFonts w:ascii="Arial" w:hAnsi="Arial" w:cs="Arial"/>
        <w:b/>
        <w:color w:val="002060"/>
      </w:rPr>
      <w:t xml:space="preserve">COMUNICADO DE PRENSA NÚM. </w:t>
    </w:r>
    <w:r w:rsidR="00BD4C2F">
      <w:rPr>
        <w:rFonts w:ascii="Arial" w:hAnsi="Arial" w:cs="Arial"/>
        <w:b/>
        <w:color w:val="002060"/>
      </w:rPr>
      <w:t>286</w:t>
    </w:r>
    <w:r w:rsidRPr="00265B8C">
      <w:rPr>
        <w:rFonts w:ascii="Arial" w:hAnsi="Arial" w:cs="Arial"/>
        <w:b/>
        <w:color w:val="002060"/>
      </w:rPr>
      <w:t>/</w:t>
    </w:r>
    <w:r>
      <w:rPr>
        <w:rFonts w:ascii="Arial" w:hAnsi="Arial" w:cs="Arial"/>
        <w:b/>
        <w:color w:val="002060"/>
      </w:rPr>
      <w:t>20</w:t>
    </w:r>
  </w:p>
  <w:p w14:paraId="01F021C6" w14:textId="77777777" w:rsidR="00B024D9" w:rsidRPr="00265B8C" w:rsidRDefault="00B024D9" w:rsidP="00BD4C2F">
    <w:pPr>
      <w:pStyle w:val="Encabezado"/>
      <w:framePr w:w="5499" w:hSpace="141" w:wrap="auto" w:vAnchor="text" w:hAnchor="page" w:x="5597" w:y="35"/>
      <w:ind w:left="567" w:hanging="11"/>
      <w:jc w:val="right"/>
      <w:rPr>
        <w:rFonts w:ascii="Arial" w:hAnsi="Arial" w:cs="Arial"/>
        <w:b/>
        <w:color w:val="002060"/>
        <w:lang w:val="pt-BR"/>
      </w:rPr>
    </w:pPr>
    <w:r>
      <w:rPr>
        <w:rFonts w:ascii="Arial" w:hAnsi="Arial" w:cs="Arial"/>
        <w:b/>
        <w:color w:val="002060"/>
        <w:lang w:val="pt-BR"/>
      </w:rPr>
      <w:t>26 DE JUNIO DE 2020</w:t>
    </w:r>
  </w:p>
  <w:p w14:paraId="744C4C11" w14:textId="77777777" w:rsidR="00B024D9" w:rsidRPr="00265B8C" w:rsidRDefault="00B024D9" w:rsidP="00BD4C2F">
    <w:pPr>
      <w:pStyle w:val="Encabezado"/>
      <w:framePr w:w="5499" w:hSpace="141" w:wrap="auto" w:vAnchor="text" w:hAnchor="page" w:x="5597" w:y="35"/>
      <w:ind w:left="567" w:hanging="11"/>
      <w:jc w:val="right"/>
      <w:rPr>
        <w:rFonts w:ascii="Arial" w:hAnsi="Arial" w:cs="Arial"/>
        <w:b/>
        <w:color w:val="002060"/>
        <w:lang w:val="pt-BR"/>
      </w:rPr>
    </w:pPr>
    <w:r w:rsidRPr="00265B8C">
      <w:rPr>
        <w:rFonts w:ascii="Arial" w:hAnsi="Arial" w:cs="Arial"/>
        <w:b/>
        <w:color w:val="002060"/>
        <w:lang w:val="pt-BR"/>
      </w:rPr>
      <w:t xml:space="preserve">PÁGINA </w:t>
    </w:r>
    <w:r w:rsidRPr="00265B8C">
      <w:rPr>
        <w:rFonts w:ascii="Arial" w:hAnsi="Arial" w:cs="Arial"/>
        <w:b/>
        <w:color w:val="002060"/>
      </w:rPr>
      <w:fldChar w:fldCharType="begin"/>
    </w:r>
    <w:r w:rsidRPr="00265B8C">
      <w:rPr>
        <w:rFonts w:ascii="Arial" w:hAnsi="Arial" w:cs="Arial"/>
        <w:b/>
        <w:color w:val="002060"/>
        <w:lang w:val="pt-BR"/>
      </w:rPr>
      <w:instrText xml:space="preserve">\PAGE </w:instrText>
    </w:r>
    <w:r w:rsidRPr="00265B8C">
      <w:rPr>
        <w:rFonts w:ascii="Arial" w:hAnsi="Arial" w:cs="Arial"/>
        <w:color w:val="002060"/>
      </w:rPr>
      <w:fldChar w:fldCharType="separate"/>
    </w:r>
    <w:r>
      <w:rPr>
        <w:rFonts w:ascii="Arial" w:hAnsi="Arial" w:cs="Arial"/>
        <w:b/>
        <w:noProof/>
        <w:color w:val="002060"/>
        <w:lang w:val="pt-BR"/>
      </w:rPr>
      <w:t>1</w:t>
    </w:r>
    <w:r w:rsidRPr="00265B8C">
      <w:rPr>
        <w:rFonts w:ascii="Arial" w:hAnsi="Arial" w:cs="Arial"/>
        <w:color w:val="002060"/>
      </w:rPr>
      <w:fldChar w:fldCharType="end"/>
    </w:r>
    <w:r w:rsidRPr="00265B8C">
      <w:rPr>
        <w:rFonts w:ascii="Arial" w:hAnsi="Arial" w:cs="Arial"/>
        <w:b/>
        <w:color w:val="002060"/>
        <w:lang w:val="pt-BR"/>
      </w:rPr>
      <w:t>/</w:t>
    </w:r>
    <w:r>
      <w:rPr>
        <w:rFonts w:ascii="Arial" w:hAnsi="Arial" w:cs="Arial"/>
        <w:b/>
        <w:color w:val="002060"/>
        <w:lang w:val="pt-BR"/>
      </w:rPr>
      <w:t>2</w:t>
    </w:r>
  </w:p>
  <w:p w14:paraId="2E0F2FA6" w14:textId="77777777" w:rsidR="00B024D9" w:rsidRDefault="00B024D9" w:rsidP="00274BEE">
    <w:pPr>
      <w:pStyle w:val="Encabezado"/>
      <w:ind w:left="-993"/>
    </w:pPr>
    <w:r>
      <w:rPr>
        <w:noProof/>
      </w:rPr>
      <w:drawing>
        <wp:inline distT="0" distB="0" distL="0" distR="0" wp14:anchorId="23556623" wp14:editId="1E3C2163">
          <wp:extent cx="927615" cy="963545"/>
          <wp:effectExtent l="0" t="0" r="6350"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A5531" w14:textId="77777777" w:rsidR="00BD4C2F" w:rsidRDefault="00BD4C2F">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551FE" w14:textId="2DC68596" w:rsidR="003C6884" w:rsidRDefault="003C6884" w:rsidP="00B024D9">
    <w:pPr>
      <w:pStyle w:val="Encabezado"/>
      <w:tabs>
        <w:tab w:val="clear" w:pos="4419"/>
        <w:tab w:val="clear" w:pos="8838"/>
        <w:tab w:val="left" w:pos="4877"/>
      </w:tabs>
      <w:jc w:val="center"/>
    </w:pPr>
    <w:r>
      <w:rPr>
        <w:noProof/>
        <w:lang w:val="es-MX" w:eastAsia="es-MX"/>
      </w:rPr>
      <w:drawing>
        <wp:inline distT="0" distB="0" distL="0" distR="0" wp14:anchorId="69E4CCC0" wp14:editId="098FD54B">
          <wp:extent cx="900000" cy="882676"/>
          <wp:effectExtent l="0" t="0" r="0" b="0"/>
          <wp:docPr id="3" name="Imagen 3" descr="cid:image002.png@01D4B335.490B1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00000" cy="882676"/>
                  </a:xfrm>
                  <a:prstGeom prst="rect">
                    <a:avLst/>
                  </a:prstGeom>
                  <a:noFill/>
                  <a:ln>
                    <a:noFill/>
                  </a:ln>
                </pic:spPr>
              </pic:pic>
            </a:graphicData>
          </a:graphic>
        </wp:inline>
      </w:drawing>
    </w:r>
  </w:p>
  <w:p w14:paraId="233754CB" w14:textId="77777777" w:rsidR="003C6884" w:rsidRDefault="003C6884" w:rsidP="007D26FE">
    <w:pPr>
      <w:pStyle w:val="Encabezado"/>
      <w:tabs>
        <w:tab w:val="clear" w:pos="4419"/>
        <w:tab w:val="clear" w:pos="8838"/>
        <w:tab w:val="left" w:pos="487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8BA14A8"/>
    <w:lvl w:ilvl="0">
      <w:start w:val="1"/>
      <w:numFmt w:val="decimal"/>
      <w:lvlText w:val="%1."/>
      <w:lvlJc w:val="left"/>
      <w:pPr>
        <w:tabs>
          <w:tab w:val="num" w:pos="360"/>
        </w:tabs>
        <w:ind w:left="360" w:hanging="360"/>
      </w:pPr>
    </w:lvl>
  </w:abstractNum>
  <w:abstractNum w:abstractNumId="1" w15:restartNumberingAfterBreak="0">
    <w:nsid w:val="294C7652"/>
    <w:multiLevelType w:val="hybridMultilevel"/>
    <w:tmpl w:val="F36AB148"/>
    <w:lvl w:ilvl="0" w:tplc="6528213C">
      <w:start w:val="1"/>
      <w:numFmt w:val="lowerLetter"/>
      <w:pStyle w:val="Lista"/>
      <w:lvlText w:val="(%1)"/>
      <w:lvlJc w:val="left"/>
      <w:pPr>
        <w:tabs>
          <w:tab w:val="num" w:pos="1304"/>
        </w:tabs>
        <w:ind w:left="1304" w:hanging="397"/>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 w15:restartNumberingAfterBreak="0">
    <w:nsid w:val="3FDA5303"/>
    <w:multiLevelType w:val="hybridMultilevel"/>
    <w:tmpl w:val="EFC85FA2"/>
    <w:lvl w:ilvl="0" w:tplc="764A5A84">
      <w:start w:val="1"/>
      <w:numFmt w:val="decimal"/>
      <w:pStyle w:val="TtuloCuadro"/>
      <w:lvlText w:val="Cuadro %1"/>
      <w:lvlJc w:val="left"/>
      <w:pPr>
        <w:tabs>
          <w:tab w:val="num" w:pos="1418"/>
        </w:tabs>
        <w:ind w:left="1418" w:hanging="1418"/>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 w15:restartNumberingAfterBreak="0">
    <w:nsid w:val="51FB40AD"/>
    <w:multiLevelType w:val="singleLevel"/>
    <w:tmpl w:val="840EB14A"/>
    <w:lvl w:ilvl="0">
      <w:start w:val="1"/>
      <w:numFmt w:val="bullet"/>
      <w:pStyle w:val="bullet"/>
      <w:lvlText w:val=""/>
      <w:lvlJc w:val="left"/>
      <w:pPr>
        <w:tabs>
          <w:tab w:val="num" w:pos="2880"/>
        </w:tabs>
        <w:ind w:left="2880" w:hanging="360"/>
      </w:pPr>
      <w:rPr>
        <w:rFonts w:ascii="Symbol" w:hAnsi="Symbol" w:hint="default"/>
        <w:lang w:val="es-ES"/>
      </w:rPr>
    </w:lvl>
  </w:abstractNum>
  <w:abstractNum w:abstractNumId="4" w15:restartNumberingAfterBreak="0">
    <w:nsid w:val="64F5673E"/>
    <w:multiLevelType w:val="hybridMultilevel"/>
    <w:tmpl w:val="EED853D8"/>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4"/>
  </w:num>
  <w:num w:numId="12">
    <w:abstractNumId w:val="3"/>
  </w:num>
  <w:num w:numId="13">
    <w:abstractNumId w:val="3"/>
  </w:num>
  <w:num w:numId="14">
    <w:abstractNumId w:val="3"/>
  </w:num>
  <w:num w:numId="15">
    <w:abstractNumId w:val="0"/>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embedSystemFonts/>
  <w:hideGrammaticalErrors/>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pt-BR" w:vendorID="64" w:dllVersion="6"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FFE"/>
    <w:rsid w:val="00000094"/>
    <w:rsid w:val="00000FA7"/>
    <w:rsid w:val="000010AF"/>
    <w:rsid w:val="000013CD"/>
    <w:rsid w:val="000014BB"/>
    <w:rsid w:val="00002050"/>
    <w:rsid w:val="00002074"/>
    <w:rsid w:val="000023FC"/>
    <w:rsid w:val="000027FC"/>
    <w:rsid w:val="00002A24"/>
    <w:rsid w:val="00002A4C"/>
    <w:rsid w:val="0000312C"/>
    <w:rsid w:val="000034C2"/>
    <w:rsid w:val="00003626"/>
    <w:rsid w:val="00003E94"/>
    <w:rsid w:val="00004235"/>
    <w:rsid w:val="000042AC"/>
    <w:rsid w:val="0000434D"/>
    <w:rsid w:val="0000442D"/>
    <w:rsid w:val="0000467B"/>
    <w:rsid w:val="00004763"/>
    <w:rsid w:val="000048BD"/>
    <w:rsid w:val="00004B8A"/>
    <w:rsid w:val="00004E17"/>
    <w:rsid w:val="00004E75"/>
    <w:rsid w:val="00005797"/>
    <w:rsid w:val="0000591C"/>
    <w:rsid w:val="00006364"/>
    <w:rsid w:val="00006401"/>
    <w:rsid w:val="000066AD"/>
    <w:rsid w:val="00006B11"/>
    <w:rsid w:val="00006D6B"/>
    <w:rsid w:val="00007397"/>
    <w:rsid w:val="00007564"/>
    <w:rsid w:val="000079BE"/>
    <w:rsid w:val="00010080"/>
    <w:rsid w:val="00010641"/>
    <w:rsid w:val="00010A33"/>
    <w:rsid w:val="00010AAA"/>
    <w:rsid w:val="00010D57"/>
    <w:rsid w:val="00011263"/>
    <w:rsid w:val="0001134F"/>
    <w:rsid w:val="00011483"/>
    <w:rsid w:val="000119E3"/>
    <w:rsid w:val="00011B73"/>
    <w:rsid w:val="00012F3D"/>
    <w:rsid w:val="000131E1"/>
    <w:rsid w:val="0001330B"/>
    <w:rsid w:val="00013834"/>
    <w:rsid w:val="00013E31"/>
    <w:rsid w:val="00014660"/>
    <w:rsid w:val="000148DD"/>
    <w:rsid w:val="00014C53"/>
    <w:rsid w:val="0001532E"/>
    <w:rsid w:val="00015C82"/>
    <w:rsid w:val="000162D9"/>
    <w:rsid w:val="00016319"/>
    <w:rsid w:val="00016372"/>
    <w:rsid w:val="000163D9"/>
    <w:rsid w:val="000164CA"/>
    <w:rsid w:val="00016518"/>
    <w:rsid w:val="00016868"/>
    <w:rsid w:val="00016B3A"/>
    <w:rsid w:val="00016B6B"/>
    <w:rsid w:val="00016C2D"/>
    <w:rsid w:val="00016CE2"/>
    <w:rsid w:val="00016DEA"/>
    <w:rsid w:val="00016E36"/>
    <w:rsid w:val="000173BF"/>
    <w:rsid w:val="000177CA"/>
    <w:rsid w:val="00017DFC"/>
    <w:rsid w:val="00017EE4"/>
    <w:rsid w:val="000203B3"/>
    <w:rsid w:val="000209BA"/>
    <w:rsid w:val="000211EE"/>
    <w:rsid w:val="0002180D"/>
    <w:rsid w:val="00021DFA"/>
    <w:rsid w:val="00021FB7"/>
    <w:rsid w:val="000222AE"/>
    <w:rsid w:val="0002296B"/>
    <w:rsid w:val="00023253"/>
    <w:rsid w:val="000233FE"/>
    <w:rsid w:val="00023690"/>
    <w:rsid w:val="0002369F"/>
    <w:rsid w:val="0002418D"/>
    <w:rsid w:val="000249C3"/>
    <w:rsid w:val="00024A8F"/>
    <w:rsid w:val="00024FE2"/>
    <w:rsid w:val="000258C4"/>
    <w:rsid w:val="000264A5"/>
    <w:rsid w:val="00026C01"/>
    <w:rsid w:val="000270DF"/>
    <w:rsid w:val="000276D4"/>
    <w:rsid w:val="000302C4"/>
    <w:rsid w:val="00030A94"/>
    <w:rsid w:val="00030DD4"/>
    <w:rsid w:val="00030FDB"/>
    <w:rsid w:val="0003190F"/>
    <w:rsid w:val="00031A28"/>
    <w:rsid w:val="00031AEA"/>
    <w:rsid w:val="00031BFF"/>
    <w:rsid w:val="00031CE2"/>
    <w:rsid w:val="00031D81"/>
    <w:rsid w:val="0003247F"/>
    <w:rsid w:val="0003266D"/>
    <w:rsid w:val="000327A6"/>
    <w:rsid w:val="00032D69"/>
    <w:rsid w:val="00032FDF"/>
    <w:rsid w:val="000330CC"/>
    <w:rsid w:val="00033408"/>
    <w:rsid w:val="00033CA4"/>
    <w:rsid w:val="000343D4"/>
    <w:rsid w:val="000356F8"/>
    <w:rsid w:val="00035861"/>
    <w:rsid w:val="00035A95"/>
    <w:rsid w:val="00035B93"/>
    <w:rsid w:val="00035EF1"/>
    <w:rsid w:val="00036173"/>
    <w:rsid w:val="000362F9"/>
    <w:rsid w:val="00036A5F"/>
    <w:rsid w:val="00036C87"/>
    <w:rsid w:val="00036F07"/>
    <w:rsid w:val="00037347"/>
    <w:rsid w:val="000374D4"/>
    <w:rsid w:val="000378BF"/>
    <w:rsid w:val="00037AA8"/>
    <w:rsid w:val="0004003B"/>
    <w:rsid w:val="0004066A"/>
    <w:rsid w:val="00040B91"/>
    <w:rsid w:val="00041175"/>
    <w:rsid w:val="00041E52"/>
    <w:rsid w:val="0004269B"/>
    <w:rsid w:val="00042A77"/>
    <w:rsid w:val="00042C89"/>
    <w:rsid w:val="00042E96"/>
    <w:rsid w:val="00042EC6"/>
    <w:rsid w:val="00043002"/>
    <w:rsid w:val="0004360E"/>
    <w:rsid w:val="00043776"/>
    <w:rsid w:val="0004424B"/>
    <w:rsid w:val="00044C5A"/>
    <w:rsid w:val="000451C2"/>
    <w:rsid w:val="00045777"/>
    <w:rsid w:val="0004584C"/>
    <w:rsid w:val="00045ACA"/>
    <w:rsid w:val="00045DDF"/>
    <w:rsid w:val="00045F0C"/>
    <w:rsid w:val="000468EA"/>
    <w:rsid w:val="00046D97"/>
    <w:rsid w:val="00047360"/>
    <w:rsid w:val="00047C44"/>
    <w:rsid w:val="000505F7"/>
    <w:rsid w:val="00051396"/>
    <w:rsid w:val="00051828"/>
    <w:rsid w:val="00051882"/>
    <w:rsid w:val="00051D80"/>
    <w:rsid w:val="00053556"/>
    <w:rsid w:val="00053A9E"/>
    <w:rsid w:val="00053D1A"/>
    <w:rsid w:val="0005443C"/>
    <w:rsid w:val="00054840"/>
    <w:rsid w:val="00054AAC"/>
    <w:rsid w:val="000553C3"/>
    <w:rsid w:val="000553C8"/>
    <w:rsid w:val="00055421"/>
    <w:rsid w:val="00055545"/>
    <w:rsid w:val="00055D80"/>
    <w:rsid w:val="00055E58"/>
    <w:rsid w:val="00055FA3"/>
    <w:rsid w:val="00056BD2"/>
    <w:rsid w:val="00056D7B"/>
    <w:rsid w:val="00056F2C"/>
    <w:rsid w:val="00057154"/>
    <w:rsid w:val="00057404"/>
    <w:rsid w:val="000574E1"/>
    <w:rsid w:val="00057528"/>
    <w:rsid w:val="00057AE4"/>
    <w:rsid w:val="0006051F"/>
    <w:rsid w:val="00060792"/>
    <w:rsid w:val="00060793"/>
    <w:rsid w:val="00060831"/>
    <w:rsid w:val="000608A1"/>
    <w:rsid w:val="00061780"/>
    <w:rsid w:val="00061E72"/>
    <w:rsid w:val="00061F74"/>
    <w:rsid w:val="0006207F"/>
    <w:rsid w:val="000621F2"/>
    <w:rsid w:val="0006232C"/>
    <w:rsid w:val="00062B4D"/>
    <w:rsid w:val="00063098"/>
    <w:rsid w:val="00063902"/>
    <w:rsid w:val="0006392C"/>
    <w:rsid w:val="00064814"/>
    <w:rsid w:val="00064960"/>
    <w:rsid w:val="00065649"/>
    <w:rsid w:val="00065A29"/>
    <w:rsid w:val="00065B7F"/>
    <w:rsid w:val="00065DFA"/>
    <w:rsid w:val="00066104"/>
    <w:rsid w:val="000661E0"/>
    <w:rsid w:val="0006644C"/>
    <w:rsid w:val="000669AA"/>
    <w:rsid w:val="00066D8B"/>
    <w:rsid w:val="000679B4"/>
    <w:rsid w:val="00067B9A"/>
    <w:rsid w:val="00067BBF"/>
    <w:rsid w:val="00067E52"/>
    <w:rsid w:val="00067F18"/>
    <w:rsid w:val="0007074C"/>
    <w:rsid w:val="00070897"/>
    <w:rsid w:val="000710C6"/>
    <w:rsid w:val="0007190D"/>
    <w:rsid w:val="0007222E"/>
    <w:rsid w:val="0007241B"/>
    <w:rsid w:val="00072491"/>
    <w:rsid w:val="00072CE0"/>
    <w:rsid w:val="000732B7"/>
    <w:rsid w:val="00073502"/>
    <w:rsid w:val="0007372E"/>
    <w:rsid w:val="000739BD"/>
    <w:rsid w:val="00073B73"/>
    <w:rsid w:val="00073D63"/>
    <w:rsid w:val="00073DA5"/>
    <w:rsid w:val="000748FA"/>
    <w:rsid w:val="0007499D"/>
    <w:rsid w:val="00074F21"/>
    <w:rsid w:val="00075546"/>
    <w:rsid w:val="000759C7"/>
    <w:rsid w:val="00076772"/>
    <w:rsid w:val="000768A7"/>
    <w:rsid w:val="00076EB1"/>
    <w:rsid w:val="00077813"/>
    <w:rsid w:val="00077844"/>
    <w:rsid w:val="00080421"/>
    <w:rsid w:val="0008068B"/>
    <w:rsid w:val="00080720"/>
    <w:rsid w:val="000808BD"/>
    <w:rsid w:val="0008164E"/>
    <w:rsid w:val="0008200B"/>
    <w:rsid w:val="0008208D"/>
    <w:rsid w:val="000827E4"/>
    <w:rsid w:val="00082CE1"/>
    <w:rsid w:val="0008355D"/>
    <w:rsid w:val="0008379E"/>
    <w:rsid w:val="0008380F"/>
    <w:rsid w:val="00083ABD"/>
    <w:rsid w:val="00083AC5"/>
    <w:rsid w:val="00083BBC"/>
    <w:rsid w:val="00083BFC"/>
    <w:rsid w:val="00084470"/>
    <w:rsid w:val="000844EA"/>
    <w:rsid w:val="0008495C"/>
    <w:rsid w:val="0008545D"/>
    <w:rsid w:val="000856B3"/>
    <w:rsid w:val="00085D6C"/>
    <w:rsid w:val="00085D90"/>
    <w:rsid w:val="00085E14"/>
    <w:rsid w:val="00086103"/>
    <w:rsid w:val="000864B9"/>
    <w:rsid w:val="000869EE"/>
    <w:rsid w:val="00087442"/>
    <w:rsid w:val="0008754F"/>
    <w:rsid w:val="00087B1F"/>
    <w:rsid w:val="00087B78"/>
    <w:rsid w:val="00087EC0"/>
    <w:rsid w:val="00087F01"/>
    <w:rsid w:val="00087FA2"/>
    <w:rsid w:val="000903E7"/>
    <w:rsid w:val="00091847"/>
    <w:rsid w:val="00091D22"/>
    <w:rsid w:val="00091EC0"/>
    <w:rsid w:val="000922C4"/>
    <w:rsid w:val="0009238D"/>
    <w:rsid w:val="0009288C"/>
    <w:rsid w:val="000929A1"/>
    <w:rsid w:val="000929AC"/>
    <w:rsid w:val="00092E7E"/>
    <w:rsid w:val="0009319E"/>
    <w:rsid w:val="000933D8"/>
    <w:rsid w:val="00093998"/>
    <w:rsid w:val="00094397"/>
    <w:rsid w:val="00094681"/>
    <w:rsid w:val="00094A66"/>
    <w:rsid w:val="00094E67"/>
    <w:rsid w:val="000952B2"/>
    <w:rsid w:val="000956C8"/>
    <w:rsid w:val="000957DF"/>
    <w:rsid w:val="00095CBC"/>
    <w:rsid w:val="00096953"/>
    <w:rsid w:val="00096A64"/>
    <w:rsid w:val="000970D5"/>
    <w:rsid w:val="0009719B"/>
    <w:rsid w:val="00097656"/>
    <w:rsid w:val="0009796C"/>
    <w:rsid w:val="00097BCD"/>
    <w:rsid w:val="000A0419"/>
    <w:rsid w:val="000A06C1"/>
    <w:rsid w:val="000A0FCF"/>
    <w:rsid w:val="000A163D"/>
    <w:rsid w:val="000A1877"/>
    <w:rsid w:val="000A1918"/>
    <w:rsid w:val="000A19FA"/>
    <w:rsid w:val="000A2304"/>
    <w:rsid w:val="000A2705"/>
    <w:rsid w:val="000A28D7"/>
    <w:rsid w:val="000A2934"/>
    <w:rsid w:val="000A29D3"/>
    <w:rsid w:val="000A2A16"/>
    <w:rsid w:val="000A2E8D"/>
    <w:rsid w:val="000A3626"/>
    <w:rsid w:val="000A3BEF"/>
    <w:rsid w:val="000A3C87"/>
    <w:rsid w:val="000A473B"/>
    <w:rsid w:val="000A47DE"/>
    <w:rsid w:val="000A47F2"/>
    <w:rsid w:val="000A47F5"/>
    <w:rsid w:val="000A487B"/>
    <w:rsid w:val="000A5296"/>
    <w:rsid w:val="000A5C7C"/>
    <w:rsid w:val="000A6259"/>
    <w:rsid w:val="000A65EE"/>
    <w:rsid w:val="000A6BC6"/>
    <w:rsid w:val="000A6BEF"/>
    <w:rsid w:val="000A7080"/>
    <w:rsid w:val="000B00E1"/>
    <w:rsid w:val="000B036C"/>
    <w:rsid w:val="000B0763"/>
    <w:rsid w:val="000B09AA"/>
    <w:rsid w:val="000B0E5A"/>
    <w:rsid w:val="000B1079"/>
    <w:rsid w:val="000B1412"/>
    <w:rsid w:val="000B1519"/>
    <w:rsid w:val="000B15E3"/>
    <w:rsid w:val="000B271F"/>
    <w:rsid w:val="000B298B"/>
    <w:rsid w:val="000B2B3F"/>
    <w:rsid w:val="000B2DB5"/>
    <w:rsid w:val="000B3294"/>
    <w:rsid w:val="000B3E99"/>
    <w:rsid w:val="000B3F13"/>
    <w:rsid w:val="000B4615"/>
    <w:rsid w:val="000B4895"/>
    <w:rsid w:val="000B4C31"/>
    <w:rsid w:val="000B5084"/>
    <w:rsid w:val="000B509F"/>
    <w:rsid w:val="000B51C1"/>
    <w:rsid w:val="000B552B"/>
    <w:rsid w:val="000B62BA"/>
    <w:rsid w:val="000B6504"/>
    <w:rsid w:val="000B6CD2"/>
    <w:rsid w:val="000B6F15"/>
    <w:rsid w:val="000B77B6"/>
    <w:rsid w:val="000B7B1F"/>
    <w:rsid w:val="000B7D02"/>
    <w:rsid w:val="000C0442"/>
    <w:rsid w:val="000C05F2"/>
    <w:rsid w:val="000C0669"/>
    <w:rsid w:val="000C12AD"/>
    <w:rsid w:val="000C2538"/>
    <w:rsid w:val="000C2B92"/>
    <w:rsid w:val="000C2BBC"/>
    <w:rsid w:val="000C2C83"/>
    <w:rsid w:val="000C2CF6"/>
    <w:rsid w:val="000C34AD"/>
    <w:rsid w:val="000C36F0"/>
    <w:rsid w:val="000C3B8D"/>
    <w:rsid w:val="000C3C32"/>
    <w:rsid w:val="000C3E9F"/>
    <w:rsid w:val="000C40D0"/>
    <w:rsid w:val="000C4434"/>
    <w:rsid w:val="000C45BF"/>
    <w:rsid w:val="000C4B79"/>
    <w:rsid w:val="000C5214"/>
    <w:rsid w:val="000C5723"/>
    <w:rsid w:val="000C5737"/>
    <w:rsid w:val="000C5C55"/>
    <w:rsid w:val="000C5C9A"/>
    <w:rsid w:val="000C5E30"/>
    <w:rsid w:val="000C6117"/>
    <w:rsid w:val="000C62B4"/>
    <w:rsid w:val="000C64B0"/>
    <w:rsid w:val="000C6758"/>
    <w:rsid w:val="000C675E"/>
    <w:rsid w:val="000C6DD1"/>
    <w:rsid w:val="000C6E66"/>
    <w:rsid w:val="000C7353"/>
    <w:rsid w:val="000C7544"/>
    <w:rsid w:val="000C7612"/>
    <w:rsid w:val="000C76A1"/>
    <w:rsid w:val="000C79C2"/>
    <w:rsid w:val="000C7D87"/>
    <w:rsid w:val="000C7FE1"/>
    <w:rsid w:val="000D01DD"/>
    <w:rsid w:val="000D046C"/>
    <w:rsid w:val="000D06A2"/>
    <w:rsid w:val="000D0B24"/>
    <w:rsid w:val="000D0C3C"/>
    <w:rsid w:val="000D0D6F"/>
    <w:rsid w:val="000D0DE5"/>
    <w:rsid w:val="000D157C"/>
    <w:rsid w:val="000D2147"/>
    <w:rsid w:val="000D226D"/>
    <w:rsid w:val="000D234C"/>
    <w:rsid w:val="000D2358"/>
    <w:rsid w:val="000D2510"/>
    <w:rsid w:val="000D2982"/>
    <w:rsid w:val="000D2BDB"/>
    <w:rsid w:val="000D2CE2"/>
    <w:rsid w:val="000D2D12"/>
    <w:rsid w:val="000D3369"/>
    <w:rsid w:val="000D3432"/>
    <w:rsid w:val="000D3EE1"/>
    <w:rsid w:val="000D3F24"/>
    <w:rsid w:val="000D4008"/>
    <w:rsid w:val="000D4726"/>
    <w:rsid w:val="000D5012"/>
    <w:rsid w:val="000D502B"/>
    <w:rsid w:val="000D53C8"/>
    <w:rsid w:val="000D54FC"/>
    <w:rsid w:val="000D553D"/>
    <w:rsid w:val="000D5AC1"/>
    <w:rsid w:val="000D5DA0"/>
    <w:rsid w:val="000D5E36"/>
    <w:rsid w:val="000D5F6D"/>
    <w:rsid w:val="000D684F"/>
    <w:rsid w:val="000D698E"/>
    <w:rsid w:val="000D6AD6"/>
    <w:rsid w:val="000D7321"/>
    <w:rsid w:val="000D73EE"/>
    <w:rsid w:val="000D75FB"/>
    <w:rsid w:val="000D796D"/>
    <w:rsid w:val="000D7C1B"/>
    <w:rsid w:val="000E036F"/>
    <w:rsid w:val="000E0A03"/>
    <w:rsid w:val="000E0DFD"/>
    <w:rsid w:val="000E1403"/>
    <w:rsid w:val="000E154F"/>
    <w:rsid w:val="000E17A6"/>
    <w:rsid w:val="000E18A3"/>
    <w:rsid w:val="000E212B"/>
    <w:rsid w:val="000E2310"/>
    <w:rsid w:val="000E2390"/>
    <w:rsid w:val="000E24DE"/>
    <w:rsid w:val="000E2BE9"/>
    <w:rsid w:val="000E2D0D"/>
    <w:rsid w:val="000E30BF"/>
    <w:rsid w:val="000E315E"/>
    <w:rsid w:val="000E350C"/>
    <w:rsid w:val="000E3D1C"/>
    <w:rsid w:val="000E456F"/>
    <w:rsid w:val="000E46ED"/>
    <w:rsid w:val="000E4894"/>
    <w:rsid w:val="000E4C69"/>
    <w:rsid w:val="000E57F0"/>
    <w:rsid w:val="000E64E8"/>
    <w:rsid w:val="000E6765"/>
    <w:rsid w:val="000E6775"/>
    <w:rsid w:val="000E69CA"/>
    <w:rsid w:val="000E69DA"/>
    <w:rsid w:val="000E6F96"/>
    <w:rsid w:val="000E6FFA"/>
    <w:rsid w:val="000E743D"/>
    <w:rsid w:val="000E75E3"/>
    <w:rsid w:val="000E770F"/>
    <w:rsid w:val="000E7779"/>
    <w:rsid w:val="000E7EDB"/>
    <w:rsid w:val="000E7F5E"/>
    <w:rsid w:val="000F03E1"/>
    <w:rsid w:val="000F064C"/>
    <w:rsid w:val="000F08A0"/>
    <w:rsid w:val="000F0957"/>
    <w:rsid w:val="000F0B61"/>
    <w:rsid w:val="000F0C6D"/>
    <w:rsid w:val="000F0DED"/>
    <w:rsid w:val="000F1119"/>
    <w:rsid w:val="000F124C"/>
    <w:rsid w:val="000F15BB"/>
    <w:rsid w:val="000F196C"/>
    <w:rsid w:val="000F1B8F"/>
    <w:rsid w:val="000F1C4A"/>
    <w:rsid w:val="000F2539"/>
    <w:rsid w:val="000F2665"/>
    <w:rsid w:val="000F2CC5"/>
    <w:rsid w:val="000F32BC"/>
    <w:rsid w:val="000F3958"/>
    <w:rsid w:val="000F398C"/>
    <w:rsid w:val="000F3C6B"/>
    <w:rsid w:val="000F3D5B"/>
    <w:rsid w:val="000F4038"/>
    <w:rsid w:val="000F59BA"/>
    <w:rsid w:val="000F5AFB"/>
    <w:rsid w:val="000F5C16"/>
    <w:rsid w:val="000F706B"/>
    <w:rsid w:val="000F71C7"/>
    <w:rsid w:val="000F722C"/>
    <w:rsid w:val="000F7411"/>
    <w:rsid w:val="000F7CDA"/>
    <w:rsid w:val="000F7DC8"/>
    <w:rsid w:val="000F7EDF"/>
    <w:rsid w:val="000F7F63"/>
    <w:rsid w:val="0010016F"/>
    <w:rsid w:val="00100670"/>
    <w:rsid w:val="00100903"/>
    <w:rsid w:val="0010098D"/>
    <w:rsid w:val="00100D10"/>
    <w:rsid w:val="00100DD1"/>
    <w:rsid w:val="00101204"/>
    <w:rsid w:val="001013CB"/>
    <w:rsid w:val="00101445"/>
    <w:rsid w:val="0010172E"/>
    <w:rsid w:val="00101CF2"/>
    <w:rsid w:val="00102025"/>
    <w:rsid w:val="00102090"/>
    <w:rsid w:val="001023AA"/>
    <w:rsid w:val="00103C40"/>
    <w:rsid w:val="00103DB4"/>
    <w:rsid w:val="00104469"/>
    <w:rsid w:val="001045FD"/>
    <w:rsid w:val="001046F8"/>
    <w:rsid w:val="001048F3"/>
    <w:rsid w:val="001049D5"/>
    <w:rsid w:val="00104DED"/>
    <w:rsid w:val="00104E22"/>
    <w:rsid w:val="0010508A"/>
    <w:rsid w:val="00105A1E"/>
    <w:rsid w:val="00105D7A"/>
    <w:rsid w:val="0010610A"/>
    <w:rsid w:val="00106212"/>
    <w:rsid w:val="00106414"/>
    <w:rsid w:val="00106491"/>
    <w:rsid w:val="001064B0"/>
    <w:rsid w:val="001068D6"/>
    <w:rsid w:val="00106D45"/>
    <w:rsid w:val="00106E8E"/>
    <w:rsid w:val="001071C9"/>
    <w:rsid w:val="00107672"/>
    <w:rsid w:val="00107747"/>
    <w:rsid w:val="00107968"/>
    <w:rsid w:val="00107BA0"/>
    <w:rsid w:val="001104D9"/>
    <w:rsid w:val="00110609"/>
    <w:rsid w:val="001107E8"/>
    <w:rsid w:val="00110FF2"/>
    <w:rsid w:val="00111552"/>
    <w:rsid w:val="001119A6"/>
    <w:rsid w:val="00111F97"/>
    <w:rsid w:val="00112145"/>
    <w:rsid w:val="00112220"/>
    <w:rsid w:val="00112257"/>
    <w:rsid w:val="00112BB3"/>
    <w:rsid w:val="00112C01"/>
    <w:rsid w:val="0011301F"/>
    <w:rsid w:val="001132D1"/>
    <w:rsid w:val="0011342C"/>
    <w:rsid w:val="00113B9A"/>
    <w:rsid w:val="00113C9F"/>
    <w:rsid w:val="001141A0"/>
    <w:rsid w:val="0011489E"/>
    <w:rsid w:val="00114ABD"/>
    <w:rsid w:val="00114BC5"/>
    <w:rsid w:val="00114D09"/>
    <w:rsid w:val="00115050"/>
    <w:rsid w:val="001150D7"/>
    <w:rsid w:val="00115494"/>
    <w:rsid w:val="001154D6"/>
    <w:rsid w:val="001154DF"/>
    <w:rsid w:val="001157F6"/>
    <w:rsid w:val="00115ADC"/>
    <w:rsid w:val="00115B2E"/>
    <w:rsid w:val="00115D2B"/>
    <w:rsid w:val="00115E99"/>
    <w:rsid w:val="001167DE"/>
    <w:rsid w:val="00116B41"/>
    <w:rsid w:val="00116F43"/>
    <w:rsid w:val="00117C16"/>
    <w:rsid w:val="001206EC"/>
    <w:rsid w:val="00120CB8"/>
    <w:rsid w:val="00120DE2"/>
    <w:rsid w:val="00121528"/>
    <w:rsid w:val="0012178C"/>
    <w:rsid w:val="001217FE"/>
    <w:rsid w:val="00121F50"/>
    <w:rsid w:val="00122098"/>
    <w:rsid w:val="00122248"/>
    <w:rsid w:val="00122558"/>
    <w:rsid w:val="001226EE"/>
    <w:rsid w:val="001229AE"/>
    <w:rsid w:val="00122CDD"/>
    <w:rsid w:val="001230D0"/>
    <w:rsid w:val="001231F9"/>
    <w:rsid w:val="00123546"/>
    <w:rsid w:val="00123958"/>
    <w:rsid w:val="00123C4E"/>
    <w:rsid w:val="00123D66"/>
    <w:rsid w:val="001242DB"/>
    <w:rsid w:val="001248FB"/>
    <w:rsid w:val="00124CBE"/>
    <w:rsid w:val="00124F74"/>
    <w:rsid w:val="00125033"/>
    <w:rsid w:val="00125130"/>
    <w:rsid w:val="001259F4"/>
    <w:rsid w:val="0012625B"/>
    <w:rsid w:val="001264A7"/>
    <w:rsid w:val="0012766E"/>
    <w:rsid w:val="0012797C"/>
    <w:rsid w:val="0013055B"/>
    <w:rsid w:val="00130610"/>
    <w:rsid w:val="00130EB5"/>
    <w:rsid w:val="00130FBA"/>
    <w:rsid w:val="001310F4"/>
    <w:rsid w:val="001318C3"/>
    <w:rsid w:val="00131C91"/>
    <w:rsid w:val="00131D53"/>
    <w:rsid w:val="00132139"/>
    <w:rsid w:val="00132288"/>
    <w:rsid w:val="00132350"/>
    <w:rsid w:val="0013262C"/>
    <w:rsid w:val="001327FF"/>
    <w:rsid w:val="00132D9B"/>
    <w:rsid w:val="00132F7E"/>
    <w:rsid w:val="00133103"/>
    <w:rsid w:val="0013366D"/>
    <w:rsid w:val="00133692"/>
    <w:rsid w:val="00133AE0"/>
    <w:rsid w:val="001347EF"/>
    <w:rsid w:val="00134AAF"/>
    <w:rsid w:val="00134B7D"/>
    <w:rsid w:val="00134BA6"/>
    <w:rsid w:val="0013607A"/>
    <w:rsid w:val="0013627B"/>
    <w:rsid w:val="001369FF"/>
    <w:rsid w:val="00137042"/>
    <w:rsid w:val="00137580"/>
    <w:rsid w:val="001378AA"/>
    <w:rsid w:val="00137A0A"/>
    <w:rsid w:val="00137DF5"/>
    <w:rsid w:val="00137EBD"/>
    <w:rsid w:val="001407F6"/>
    <w:rsid w:val="00141168"/>
    <w:rsid w:val="00141244"/>
    <w:rsid w:val="00141557"/>
    <w:rsid w:val="001416CA"/>
    <w:rsid w:val="0014180F"/>
    <w:rsid w:val="001421EE"/>
    <w:rsid w:val="00142717"/>
    <w:rsid w:val="00142907"/>
    <w:rsid w:val="00142B3D"/>
    <w:rsid w:val="00142FA7"/>
    <w:rsid w:val="00142FF0"/>
    <w:rsid w:val="00143585"/>
    <w:rsid w:val="00143794"/>
    <w:rsid w:val="001439C6"/>
    <w:rsid w:val="0014439B"/>
    <w:rsid w:val="00145694"/>
    <w:rsid w:val="00145A3E"/>
    <w:rsid w:val="00145B96"/>
    <w:rsid w:val="00145BC0"/>
    <w:rsid w:val="001462D7"/>
    <w:rsid w:val="0014667F"/>
    <w:rsid w:val="00146810"/>
    <w:rsid w:val="00146CA9"/>
    <w:rsid w:val="001471D1"/>
    <w:rsid w:val="00147225"/>
    <w:rsid w:val="001473DF"/>
    <w:rsid w:val="00147506"/>
    <w:rsid w:val="001475A1"/>
    <w:rsid w:val="00147677"/>
    <w:rsid w:val="00147AD6"/>
    <w:rsid w:val="00147B9E"/>
    <w:rsid w:val="0015056E"/>
    <w:rsid w:val="00150912"/>
    <w:rsid w:val="00150BBE"/>
    <w:rsid w:val="00150C8F"/>
    <w:rsid w:val="00151601"/>
    <w:rsid w:val="001518CC"/>
    <w:rsid w:val="00151FA8"/>
    <w:rsid w:val="0015220B"/>
    <w:rsid w:val="00152294"/>
    <w:rsid w:val="00152363"/>
    <w:rsid w:val="00152491"/>
    <w:rsid w:val="00152931"/>
    <w:rsid w:val="001529C8"/>
    <w:rsid w:val="00153014"/>
    <w:rsid w:val="00153311"/>
    <w:rsid w:val="00153379"/>
    <w:rsid w:val="001534CD"/>
    <w:rsid w:val="001538F2"/>
    <w:rsid w:val="00153C54"/>
    <w:rsid w:val="001541BD"/>
    <w:rsid w:val="00154D17"/>
    <w:rsid w:val="00154F76"/>
    <w:rsid w:val="001553B5"/>
    <w:rsid w:val="00155794"/>
    <w:rsid w:val="001559BA"/>
    <w:rsid w:val="00155FCB"/>
    <w:rsid w:val="00156B7A"/>
    <w:rsid w:val="00156CEE"/>
    <w:rsid w:val="00156D55"/>
    <w:rsid w:val="00156F1C"/>
    <w:rsid w:val="0015717B"/>
    <w:rsid w:val="001576A6"/>
    <w:rsid w:val="0015797E"/>
    <w:rsid w:val="00157EFE"/>
    <w:rsid w:val="00157F50"/>
    <w:rsid w:val="001600DF"/>
    <w:rsid w:val="0016063F"/>
    <w:rsid w:val="00160849"/>
    <w:rsid w:val="00161A52"/>
    <w:rsid w:val="00161C5A"/>
    <w:rsid w:val="00161C74"/>
    <w:rsid w:val="00162100"/>
    <w:rsid w:val="00162394"/>
    <w:rsid w:val="001623E9"/>
    <w:rsid w:val="001629F1"/>
    <w:rsid w:val="00162D86"/>
    <w:rsid w:val="00163360"/>
    <w:rsid w:val="0016341D"/>
    <w:rsid w:val="00164459"/>
    <w:rsid w:val="001648AE"/>
    <w:rsid w:val="00165289"/>
    <w:rsid w:val="00165495"/>
    <w:rsid w:val="00165997"/>
    <w:rsid w:val="00165A7C"/>
    <w:rsid w:val="00165C4D"/>
    <w:rsid w:val="00165EF1"/>
    <w:rsid w:val="00166CBA"/>
    <w:rsid w:val="001670C1"/>
    <w:rsid w:val="0016759D"/>
    <w:rsid w:val="00167BA8"/>
    <w:rsid w:val="00167D6D"/>
    <w:rsid w:val="001700C1"/>
    <w:rsid w:val="001706C7"/>
    <w:rsid w:val="00170FE6"/>
    <w:rsid w:val="00171085"/>
    <w:rsid w:val="00171472"/>
    <w:rsid w:val="00171FB5"/>
    <w:rsid w:val="001721AE"/>
    <w:rsid w:val="001721BE"/>
    <w:rsid w:val="00172F82"/>
    <w:rsid w:val="001732A4"/>
    <w:rsid w:val="001732FC"/>
    <w:rsid w:val="00173404"/>
    <w:rsid w:val="001735C2"/>
    <w:rsid w:val="0017378A"/>
    <w:rsid w:val="00173B1B"/>
    <w:rsid w:val="0017435A"/>
    <w:rsid w:val="001743FA"/>
    <w:rsid w:val="00174932"/>
    <w:rsid w:val="00174A1F"/>
    <w:rsid w:val="00174B4C"/>
    <w:rsid w:val="00174BD3"/>
    <w:rsid w:val="00174C2D"/>
    <w:rsid w:val="00175009"/>
    <w:rsid w:val="001750E7"/>
    <w:rsid w:val="0017520D"/>
    <w:rsid w:val="0017564D"/>
    <w:rsid w:val="001759E6"/>
    <w:rsid w:val="00175EDA"/>
    <w:rsid w:val="00176263"/>
    <w:rsid w:val="00176309"/>
    <w:rsid w:val="001768E2"/>
    <w:rsid w:val="001769D5"/>
    <w:rsid w:val="00176A31"/>
    <w:rsid w:val="00176AA4"/>
    <w:rsid w:val="00176B53"/>
    <w:rsid w:val="00176DF9"/>
    <w:rsid w:val="001772E3"/>
    <w:rsid w:val="0017756E"/>
    <w:rsid w:val="00177BAD"/>
    <w:rsid w:val="00177F22"/>
    <w:rsid w:val="00180094"/>
    <w:rsid w:val="00180266"/>
    <w:rsid w:val="001808E9"/>
    <w:rsid w:val="00180AE6"/>
    <w:rsid w:val="00180C2C"/>
    <w:rsid w:val="00180DEE"/>
    <w:rsid w:val="00180E58"/>
    <w:rsid w:val="001813EB"/>
    <w:rsid w:val="00181819"/>
    <w:rsid w:val="00181EAB"/>
    <w:rsid w:val="0018264C"/>
    <w:rsid w:val="00182A8E"/>
    <w:rsid w:val="00182C0F"/>
    <w:rsid w:val="001842EE"/>
    <w:rsid w:val="00184D6F"/>
    <w:rsid w:val="00184DF6"/>
    <w:rsid w:val="00185882"/>
    <w:rsid w:val="00185A23"/>
    <w:rsid w:val="00185F2A"/>
    <w:rsid w:val="001864C9"/>
    <w:rsid w:val="001866A5"/>
    <w:rsid w:val="00186A89"/>
    <w:rsid w:val="00186EC1"/>
    <w:rsid w:val="00186FEF"/>
    <w:rsid w:val="001873A9"/>
    <w:rsid w:val="00187539"/>
    <w:rsid w:val="001879AE"/>
    <w:rsid w:val="00187ED9"/>
    <w:rsid w:val="00190019"/>
    <w:rsid w:val="00190D6F"/>
    <w:rsid w:val="00190EB6"/>
    <w:rsid w:val="0019135C"/>
    <w:rsid w:val="00191397"/>
    <w:rsid w:val="00191402"/>
    <w:rsid w:val="0019160A"/>
    <w:rsid w:val="001917B6"/>
    <w:rsid w:val="00191CFB"/>
    <w:rsid w:val="00192A88"/>
    <w:rsid w:val="00192CD7"/>
    <w:rsid w:val="0019309B"/>
    <w:rsid w:val="00193476"/>
    <w:rsid w:val="001936C8"/>
    <w:rsid w:val="00193C46"/>
    <w:rsid w:val="00193C9D"/>
    <w:rsid w:val="00193F23"/>
    <w:rsid w:val="00193F76"/>
    <w:rsid w:val="00194852"/>
    <w:rsid w:val="00194879"/>
    <w:rsid w:val="00194943"/>
    <w:rsid w:val="00194B1F"/>
    <w:rsid w:val="00194E2D"/>
    <w:rsid w:val="00194FE3"/>
    <w:rsid w:val="00195511"/>
    <w:rsid w:val="00195767"/>
    <w:rsid w:val="00195F73"/>
    <w:rsid w:val="00196A44"/>
    <w:rsid w:val="00196F5C"/>
    <w:rsid w:val="001971BA"/>
    <w:rsid w:val="001973F2"/>
    <w:rsid w:val="00197CA1"/>
    <w:rsid w:val="00197D0B"/>
    <w:rsid w:val="00197E84"/>
    <w:rsid w:val="001A0857"/>
    <w:rsid w:val="001A0CDB"/>
    <w:rsid w:val="001A1699"/>
    <w:rsid w:val="001A19D5"/>
    <w:rsid w:val="001A1D6E"/>
    <w:rsid w:val="001A218C"/>
    <w:rsid w:val="001A2238"/>
    <w:rsid w:val="001A223A"/>
    <w:rsid w:val="001A2370"/>
    <w:rsid w:val="001A2411"/>
    <w:rsid w:val="001A24E8"/>
    <w:rsid w:val="001A2506"/>
    <w:rsid w:val="001A2906"/>
    <w:rsid w:val="001A2EBC"/>
    <w:rsid w:val="001A2FEE"/>
    <w:rsid w:val="001A36A8"/>
    <w:rsid w:val="001A3757"/>
    <w:rsid w:val="001A4376"/>
    <w:rsid w:val="001A5B54"/>
    <w:rsid w:val="001A65D2"/>
    <w:rsid w:val="001A7326"/>
    <w:rsid w:val="001A75D7"/>
    <w:rsid w:val="001A75E2"/>
    <w:rsid w:val="001A763D"/>
    <w:rsid w:val="001A7A69"/>
    <w:rsid w:val="001A7ADB"/>
    <w:rsid w:val="001B0492"/>
    <w:rsid w:val="001B0656"/>
    <w:rsid w:val="001B06DD"/>
    <w:rsid w:val="001B0922"/>
    <w:rsid w:val="001B0A80"/>
    <w:rsid w:val="001B1009"/>
    <w:rsid w:val="001B13C5"/>
    <w:rsid w:val="001B156A"/>
    <w:rsid w:val="001B1B72"/>
    <w:rsid w:val="001B1E67"/>
    <w:rsid w:val="001B1EC2"/>
    <w:rsid w:val="001B1FDC"/>
    <w:rsid w:val="001B2482"/>
    <w:rsid w:val="001B26FB"/>
    <w:rsid w:val="001B2B41"/>
    <w:rsid w:val="001B32DB"/>
    <w:rsid w:val="001B3A08"/>
    <w:rsid w:val="001B3E8B"/>
    <w:rsid w:val="001B4550"/>
    <w:rsid w:val="001B480F"/>
    <w:rsid w:val="001B49E3"/>
    <w:rsid w:val="001B4B1A"/>
    <w:rsid w:val="001B54CA"/>
    <w:rsid w:val="001B5BB1"/>
    <w:rsid w:val="001B638D"/>
    <w:rsid w:val="001B6434"/>
    <w:rsid w:val="001B657D"/>
    <w:rsid w:val="001B660A"/>
    <w:rsid w:val="001B6B05"/>
    <w:rsid w:val="001B6ECA"/>
    <w:rsid w:val="001B7024"/>
    <w:rsid w:val="001B71FE"/>
    <w:rsid w:val="001B7216"/>
    <w:rsid w:val="001B7BE0"/>
    <w:rsid w:val="001B7F9E"/>
    <w:rsid w:val="001C0284"/>
    <w:rsid w:val="001C07A1"/>
    <w:rsid w:val="001C0B00"/>
    <w:rsid w:val="001C0E96"/>
    <w:rsid w:val="001C10A3"/>
    <w:rsid w:val="001C12EF"/>
    <w:rsid w:val="001C1413"/>
    <w:rsid w:val="001C14FC"/>
    <w:rsid w:val="001C15EE"/>
    <w:rsid w:val="001C17A8"/>
    <w:rsid w:val="001C18B0"/>
    <w:rsid w:val="001C1953"/>
    <w:rsid w:val="001C1ED9"/>
    <w:rsid w:val="001C3070"/>
    <w:rsid w:val="001C30DA"/>
    <w:rsid w:val="001C30FD"/>
    <w:rsid w:val="001C3629"/>
    <w:rsid w:val="001C385D"/>
    <w:rsid w:val="001C3CB4"/>
    <w:rsid w:val="001C42DA"/>
    <w:rsid w:val="001C448A"/>
    <w:rsid w:val="001C47A0"/>
    <w:rsid w:val="001C481D"/>
    <w:rsid w:val="001C4D18"/>
    <w:rsid w:val="001C4D8F"/>
    <w:rsid w:val="001C517F"/>
    <w:rsid w:val="001C5467"/>
    <w:rsid w:val="001C57F2"/>
    <w:rsid w:val="001C5A17"/>
    <w:rsid w:val="001C5B72"/>
    <w:rsid w:val="001C5B95"/>
    <w:rsid w:val="001C5E76"/>
    <w:rsid w:val="001C61A3"/>
    <w:rsid w:val="001C68EE"/>
    <w:rsid w:val="001C6A0A"/>
    <w:rsid w:val="001C6D2A"/>
    <w:rsid w:val="001C6D85"/>
    <w:rsid w:val="001C751D"/>
    <w:rsid w:val="001C7AB2"/>
    <w:rsid w:val="001C7DD4"/>
    <w:rsid w:val="001D02D8"/>
    <w:rsid w:val="001D0910"/>
    <w:rsid w:val="001D0E6E"/>
    <w:rsid w:val="001D10AB"/>
    <w:rsid w:val="001D12C6"/>
    <w:rsid w:val="001D1689"/>
    <w:rsid w:val="001D19A2"/>
    <w:rsid w:val="001D1B7B"/>
    <w:rsid w:val="001D1EEE"/>
    <w:rsid w:val="001D2180"/>
    <w:rsid w:val="001D23F0"/>
    <w:rsid w:val="001D28D9"/>
    <w:rsid w:val="001D2CA9"/>
    <w:rsid w:val="001D3067"/>
    <w:rsid w:val="001D3292"/>
    <w:rsid w:val="001D3A39"/>
    <w:rsid w:val="001D3FD3"/>
    <w:rsid w:val="001D3FE1"/>
    <w:rsid w:val="001D4342"/>
    <w:rsid w:val="001D4DD1"/>
    <w:rsid w:val="001D4EB1"/>
    <w:rsid w:val="001D5032"/>
    <w:rsid w:val="001D5102"/>
    <w:rsid w:val="001D5B4A"/>
    <w:rsid w:val="001D5F8E"/>
    <w:rsid w:val="001D6926"/>
    <w:rsid w:val="001D6A4F"/>
    <w:rsid w:val="001D6E4E"/>
    <w:rsid w:val="001D73FF"/>
    <w:rsid w:val="001D74F4"/>
    <w:rsid w:val="001D79DA"/>
    <w:rsid w:val="001D7DA6"/>
    <w:rsid w:val="001E0455"/>
    <w:rsid w:val="001E048D"/>
    <w:rsid w:val="001E09D2"/>
    <w:rsid w:val="001E0D9D"/>
    <w:rsid w:val="001E0DB6"/>
    <w:rsid w:val="001E12AA"/>
    <w:rsid w:val="001E13A8"/>
    <w:rsid w:val="001E154B"/>
    <w:rsid w:val="001E2363"/>
    <w:rsid w:val="001E2879"/>
    <w:rsid w:val="001E2AAF"/>
    <w:rsid w:val="001E2BD4"/>
    <w:rsid w:val="001E3025"/>
    <w:rsid w:val="001E3370"/>
    <w:rsid w:val="001E3D79"/>
    <w:rsid w:val="001E4492"/>
    <w:rsid w:val="001E45B5"/>
    <w:rsid w:val="001E4726"/>
    <w:rsid w:val="001E47D3"/>
    <w:rsid w:val="001E4964"/>
    <w:rsid w:val="001E4BD9"/>
    <w:rsid w:val="001E5349"/>
    <w:rsid w:val="001E5AAD"/>
    <w:rsid w:val="001E5E90"/>
    <w:rsid w:val="001E5F75"/>
    <w:rsid w:val="001E6501"/>
    <w:rsid w:val="001E662C"/>
    <w:rsid w:val="001E6738"/>
    <w:rsid w:val="001E6EAF"/>
    <w:rsid w:val="001E6F21"/>
    <w:rsid w:val="001E70D5"/>
    <w:rsid w:val="001E7B9B"/>
    <w:rsid w:val="001E7C1C"/>
    <w:rsid w:val="001E7EFB"/>
    <w:rsid w:val="001F0244"/>
    <w:rsid w:val="001F0A46"/>
    <w:rsid w:val="001F0E61"/>
    <w:rsid w:val="001F11F4"/>
    <w:rsid w:val="001F219F"/>
    <w:rsid w:val="001F21DC"/>
    <w:rsid w:val="001F23A2"/>
    <w:rsid w:val="001F269D"/>
    <w:rsid w:val="001F280A"/>
    <w:rsid w:val="001F2BC4"/>
    <w:rsid w:val="001F2BFD"/>
    <w:rsid w:val="001F309C"/>
    <w:rsid w:val="001F3263"/>
    <w:rsid w:val="001F378A"/>
    <w:rsid w:val="001F3EA2"/>
    <w:rsid w:val="001F3F4D"/>
    <w:rsid w:val="001F46CC"/>
    <w:rsid w:val="001F4A03"/>
    <w:rsid w:val="001F4A22"/>
    <w:rsid w:val="001F4B54"/>
    <w:rsid w:val="001F4C4E"/>
    <w:rsid w:val="001F4D72"/>
    <w:rsid w:val="001F4EE1"/>
    <w:rsid w:val="001F54DF"/>
    <w:rsid w:val="001F56DA"/>
    <w:rsid w:val="001F589E"/>
    <w:rsid w:val="001F5C1E"/>
    <w:rsid w:val="001F6500"/>
    <w:rsid w:val="001F67E4"/>
    <w:rsid w:val="001F700C"/>
    <w:rsid w:val="001F757A"/>
    <w:rsid w:val="001F7672"/>
    <w:rsid w:val="001F7867"/>
    <w:rsid w:val="001F7A4B"/>
    <w:rsid w:val="001F7CE1"/>
    <w:rsid w:val="001F7FD3"/>
    <w:rsid w:val="00200152"/>
    <w:rsid w:val="00200846"/>
    <w:rsid w:val="00200ADC"/>
    <w:rsid w:val="00200CA9"/>
    <w:rsid w:val="00200F89"/>
    <w:rsid w:val="0020108D"/>
    <w:rsid w:val="002013BA"/>
    <w:rsid w:val="002015F9"/>
    <w:rsid w:val="002017CA"/>
    <w:rsid w:val="00201A90"/>
    <w:rsid w:val="00201AC1"/>
    <w:rsid w:val="00201EFF"/>
    <w:rsid w:val="0020216E"/>
    <w:rsid w:val="0020228A"/>
    <w:rsid w:val="002035E2"/>
    <w:rsid w:val="002039B4"/>
    <w:rsid w:val="00204241"/>
    <w:rsid w:val="00204427"/>
    <w:rsid w:val="00204430"/>
    <w:rsid w:val="0020453B"/>
    <w:rsid w:val="0020471B"/>
    <w:rsid w:val="002048DB"/>
    <w:rsid w:val="002048EE"/>
    <w:rsid w:val="00204B54"/>
    <w:rsid w:val="002058B4"/>
    <w:rsid w:val="00205F8E"/>
    <w:rsid w:val="00205FC1"/>
    <w:rsid w:val="002060A5"/>
    <w:rsid w:val="0020666A"/>
    <w:rsid w:val="00206F96"/>
    <w:rsid w:val="00207149"/>
    <w:rsid w:val="00207364"/>
    <w:rsid w:val="0020760A"/>
    <w:rsid w:val="00207AF8"/>
    <w:rsid w:val="00207D1F"/>
    <w:rsid w:val="00207DEC"/>
    <w:rsid w:val="00210799"/>
    <w:rsid w:val="00210D8B"/>
    <w:rsid w:val="0021108A"/>
    <w:rsid w:val="00211171"/>
    <w:rsid w:val="00211185"/>
    <w:rsid w:val="002112EA"/>
    <w:rsid w:val="002113D3"/>
    <w:rsid w:val="002116F4"/>
    <w:rsid w:val="00212137"/>
    <w:rsid w:val="0021247B"/>
    <w:rsid w:val="00212596"/>
    <w:rsid w:val="002128AE"/>
    <w:rsid w:val="00212F12"/>
    <w:rsid w:val="00212F71"/>
    <w:rsid w:val="002132E8"/>
    <w:rsid w:val="002137F5"/>
    <w:rsid w:val="0021385A"/>
    <w:rsid w:val="00213AD6"/>
    <w:rsid w:val="00213CE9"/>
    <w:rsid w:val="00213D44"/>
    <w:rsid w:val="00214170"/>
    <w:rsid w:val="00214A13"/>
    <w:rsid w:val="002152FC"/>
    <w:rsid w:val="00215581"/>
    <w:rsid w:val="0021571B"/>
    <w:rsid w:val="002158F9"/>
    <w:rsid w:val="00215F94"/>
    <w:rsid w:val="00216220"/>
    <w:rsid w:val="002168F4"/>
    <w:rsid w:val="00216BE4"/>
    <w:rsid w:val="00216C01"/>
    <w:rsid w:val="00216C72"/>
    <w:rsid w:val="00216CC2"/>
    <w:rsid w:val="00217347"/>
    <w:rsid w:val="0021788C"/>
    <w:rsid w:val="00217C7A"/>
    <w:rsid w:val="002200BE"/>
    <w:rsid w:val="0022067B"/>
    <w:rsid w:val="00220852"/>
    <w:rsid w:val="002208E1"/>
    <w:rsid w:val="00221030"/>
    <w:rsid w:val="002213A6"/>
    <w:rsid w:val="002213FD"/>
    <w:rsid w:val="00221512"/>
    <w:rsid w:val="00221524"/>
    <w:rsid w:val="002219C1"/>
    <w:rsid w:val="00221C5F"/>
    <w:rsid w:val="002224EF"/>
    <w:rsid w:val="00222687"/>
    <w:rsid w:val="002228DF"/>
    <w:rsid w:val="00222A0E"/>
    <w:rsid w:val="00222E5A"/>
    <w:rsid w:val="002235AF"/>
    <w:rsid w:val="00223671"/>
    <w:rsid w:val="00223A84"/>
    <w:rsid w:val="00223A8C"/>
    <w:rsid w:val="00223B18"/>
    <w:rsid w:val="00223CE7"/>
    <w:rsid w:val="002245DA"/>
    <w:rsid w:val="002249D1"/>
    <w:rsid w:val="00224FE4"/>
    <w:rsid w:val="0022529A"/>
    <w:rsid w:val="00225489"/>
    <w:rsid w:val="002255A4"/>
    <w:rsid w:val="00225FCB"/>
    <w:rsid w:val="0022695B"/>
    <w:rsid w:val="002305FE"/>
    <w:rsid w:val="002307D4"/>
    <w:rsid w:val="002309DE"/>
    <w:rsid w:val="00230C5A"/>
    <w:rsid w:val="00230FAA"/>
    <w:rsid w:val="00230FE8"/>
    <w:rsid w:val="00231794"/>
    <w:rsid w:val="00231BD0"/>
    <w:rsid w:val="00231C06"/>
    <w:rsid w:val="00231C75"/>
    <w:rsid w:val="00231E63"/>
    <w:rsid w:val="00232199"/>
    <w:rsid w:val="00232606"/>
    <w:rsid w:val="002326A7"/>
    <w:rsid w:val="002327FE"/>
    <w:rsid w:val="002329DD"/>
    <w:rsid w:val="00232CBA"/>
    <w:rsid w:val="00233062"/>
    <w:rsid w:val="002335DC"/>
    <w:rsid w:val="00233649"/>
    <w:rsid w:val="00233B10"/>
    <w:rsid w:val="00233EE4"/>
    <w:rsid w:val="002349E5"/>
    <w:rsid w:val="0023507B"/>
    <w:rsid w:val="002359C6"/>
    <w:rsid w:val="00235C0C"/>
    <w:rsid w:val="00235C88"/>
    <w:rsid w:val="00236071"/>
    <w:rsid w:val="00236B33"/>
    <w:rsid w:val="0023733D"/>
    <w:rsid w:val="002379E5"/>
    <w:rsid w:val="00237BCA"/>
    <w:rsid w:val="00240243"/>
    <w:rsid w:val="00240370"/>
    <w:rsid w:val="002403AD"/>
    <w:rsid w:val="002407EC"/>
    <w:rsid w:val="00240904"/>
    <w:rsid w:val="002415E4"/>
    <w:rsid w:val="00241BCC"/>
    <w:rsid w:val="002420FD"/>
    <w:rsid w:val="0024276B"/>
    <w:rsid w:val="0024287C"/>
    <w:rsid w:val="00242B84"/>
    <w:rsid w:val="0024319B"/>
    <w:rsid w:val="002434BC"/>
    <w:rsid w:val="00243ABB"/>
    <w:rsid w:val="0024465E"/>
    <w:rsid w:val="00244A67"/>
    <w:rsid w:val="00245379"/>
    <w:rsid w:val="002458AB"/>
    <w:rsid w:val="00245E0B"/>
    <w:rsid w:val="00245F62"/>
    <w:rsid w:val="0024600E"/>
    <w:rsid w:val="0024699F"/>
    <w:rsid w:val="002469FC"/>
    <w:rsid w:val="00246A62"/>
    <w:rsid w:val="00246C3E"/>
    <w:rsid w:val="00246E0B"/>
    <w:rsid w:val="00246E1F"/>
    <w:rsid w:val="002471D2"/>
    <w:rsid w:val="002471F4"/>
    <w:rsid w:val="002472D9"/>
    <w:rsid w:val="002475C5"/>
    <w:rsid w:val="00247A31"/>
    <w:rsid w:val="00247F1F"/>
    <w:rsid w:val="0025043E"/>
    <w:rsid w:val="00250697"/>
    <w:rsid w:val="0025086E"/>
    <w:rsid w:val="00251228"/>
    <w:rsid w:val="00251A2A"/>
    <w:rsid w:val="00251AF4"/>
    <w:rsid w:val="00251D8D"/>
    <w:rsid w:val="002524F7"/>
    <w:rsid w:val="002525FC"/>
    <w:rsid w:val="002527AF"/>
    <w:rsid w:val="00252A7F"/>
    <w:rsid w:val="00252DE7"/>
    <w:rsid w:val="00252E66"/>
    <w:rsid w:val="002535CA"/>
    <w:rsid w:val="00254030"/>
    <w:rsid w:val="002540FB"/>
    <w:rsid w:val="0025411C"/>
    <w:rsid w:val="00254210"/>
    <w:rsid w:val="002543B3"/>
    <w:rsid w:val="00254DF6"/>
    <w:rsid w:val="002554BE"/>
    <w:rsid w:val="002554E0"/>
    <w:rsid w:val="00255F13"/>
    <w:rsid w:val="00255FFE"/>
    <w:rsid w:val="00256622"/>
    <w:rsid w:val="002568CE"/>
    <w:rsid w:val="00256A16"/>
    <w:rsid w:val="00256E8D"/>
    <w:rsid w:val="00257031"/>
    <w:rsid w:val="002578DA"/>
    <w:rsid w:val="00260163"/>
    <w:rsid w:val="002603C0"/>
    <w:rsid w:val="00260516"/>
    <w:rsid w:val="00260528"/>
    <w:rsid w:val="002609BE"/>
    <w:rsid w:val="002613E8"/>
    <w:rsid w:val="00261651"/>
    <w:rsid w:val="0026186B"/>
    <w:rsid w:val="00261A40"/>
    <w:rsid w:val="00261F83"/>
    <w:rsid w:val="002621D8"/>
    <w:rsid w:val="00262A99"/>
    <w:rsid w:val="00262EB6"/>
    <w:rsid w:val="00262F0A"/>
    <w:rsid w:val="00263196"/>
    <w:rsid w:val="002636B0"/>
    <w:rsid w:val="00263BAC"/>
    <w:rsid w:val="00263D2E"/>
    <w:rsid w:val="00264235"/>
    <w:rsid w:val="0026423A"/>
    <w:rsid w:val="00264268"/>
    <w:rsid w:val="002645C1"/>
    <w:rsid w:val="002646EF"/>
    <w:rsid w:val="00264E48"/>
    <w:rsid w:val="00264FC9"/>
    <w:rsid w:val="00265389"/>
    <w:rsid w:val="0026556D"/>
    <w:rsid w:val="00265802"/>
    <w:rsid w:val="002662FD"/>
    <w:rsid w:val="00266BA9"/>
    <w:rsid w:val="0026703E"/>
    <w:rsid w:val="00267584"/>
    <w:rsid w:val="00267587"/>
    <w:rsid w:val="0026779A"/>
    <w:rsid w:val="002679CB"/>
    <w:rsid w:val="00267BEF"/>
    <w:rsid w:val="00270383"/>
    <w:rsid w:val="00270487"/>
    <w:rsid w:val="0027060C"/>
    <w:rsid w:val="002708EE"/>
    <w:rsid w:val="00270D02"/>
    <w:rsid w:val="0027195B"/>
    <w:rsid w:val="00271E80"/>
    <w:rsid w:val="00271ECF"/>
    <w:rsid w:val="00272236"/>
    <w:rsid w:val="00272A37"/>
    <w:rsid w:val="00273B48"/>
    <w:rsid w:val="00273CBC"/>
    <w:rsid w:val="00274286"/>
    <w:rsid w:val="0027438C"/>
    <w:rsid w:val="0027456A"/>
    <w:rsid w:val="002745C3"/>
    <w:rsid w:val="002747B7"/>
    <w:rsid w:val="002748AD"/>
    <w:rsid w:val="00274E36"/>
    <w:rsid w:val="00274E9F"/>
    <w:rsid w:val="00275415"/>
    <w:rsid w:val="00275707"/>
    <w:rsid w:val="00275783"/>
    <w:rsid w:val="00275870"/>
    <w:rsid w:val="0027587D"/>
    <w:rsid w:val="00276474"/>
    <w:rsid w:val="00276DB2"/>
    <w:rsid w:val="00276EDB"/>
    <w:rsid w:val="00276FAC"/>
    <w:rsid w:val="0027753E"/>
    <w:rsid w:val="002801FD"/>
    <w:rsid w:val="002803AB"/>
    <w:rsid w:val="002809A8"/>
    <w:rsid w:val="00280CDE"/>
    <w:rsid w:val="00280E8B"/>
    <w:rsid w:val="0028129C"/>
    <w:rsid w:val="002817B2"/>
    <w:rsid w:val="00281BB2"/>
    <w:rsid w:val="00281BDF"/>
    <w:rsid w:val="00281E55"/>
    <w:rsid w:val="00281F0D"/>
    <w:rsid w:val="00282014"/>
    <w:rsid w:val="00282113"/>
    <w:rsid w:val="00282299"/>
    <w:rsid w:val="00282305"/>
    <w:rsid w:val="00282AE5"/>
    <w:rsid w:val="00283394"/>
    <w:rsid w:val="00283932"/>
    <w:rsid w:val="00283959"/>
    <w:rsid w:val="00283CA0"/>
    <w:rsid w:val="00283EEB"/>
    <w:rsid w:val="002840D6"/>
    <w:rsid w:val="002843DE"/>
    <w:rsid w:val="00284562"/>
    <w:rsid w:val="00284B3E"/>
    <w:rsid w:val="00284E41"/>
    <w:rsid w:val="00284E79"/>
    <w:rsid w:val="0028503C"/>
    <w:rsid w:val="002850DD"/>
    <w:rsid w:val="002851A9"/>
    <w:rsid w:val="002853DF"/>
    <w:rsid w:val="00285758"/>
    <w:rsid w:val="0028584D"/>
    <w:rsid w:val="00285ABE"/>
    <w:rsid w:val="00285CDE"/>
    <w:rsid w:val="00286A35"/>
    <w:rsid w:val="0028722C"/>
    <w:rsid w:val="0028763A"/>
    <w:rsid w:val="00287C7F"/>
    <w:rsid w:val="00287CE2"/>
    <w:rsid w:val="00287ED1"/>
    <w:rsid w:val="00290056"/>
    <w:rsid w:val="002902B1"/>
    <w:rsid w:val="002903AF"/>
    <w:rsid w:val="002908A6"/>
    <w:rsid w:val="00290900"/>
    <w:rsid w:val="00290BD6"/>
    <w:rsid w:val="00290C70"/>
    <w:rsid w:val="00290EB6"/>
    <w:rsid w:val="00290F9B"/>
    <w:rsid w:val="00290FDE"/>
    <w:rsid w:val="0029110A"/>
    <w:rsid w:val="00291178"/>
    <w:rsid w:val="002913B3"/>
    <w:rsid w:val="00291AF6"/>
    <w:rsid w:val="00291E51"/>
    <w:rsid w:val="00292062"/>
    <w:rsid w:val="00292CD6"/>
    <w:rsid w:val="00293673"/>
    <w:rsid w:val="002938EF"/>
    <w:rsid w:val="002939E2"/>
    <w:rsid w:val="00293ECB"/>
    <w:rsid w:val="002943FB"/>
    <w:rsid w:val="002946E7"/>
    <w:rsid w:val="00294758"/>
    <w:rsid w:val="00294D41"/>
    <w:rsid w:val="00294F63"/>
    <w:rsid w:val="00294F8F"/>
    <w:rsid w:val="00295267"/>
    <w:rsid w:val="002952D2"/>
    <w:rsid w:val="002959A5"/>
    <w:rsid w:val="00295DFC"/>
    <w:rsid w:val="0029628F"/>
    <w:rsid w:val="002964EE"/>
    <w:rsid w:val="002966FD"/>
    <w:rsid w:val="00297059"/>
    <w:rsid w:val="00297790"/>
    <w:rsid w:val="00297AA6"/>
    <w:rsid w:val="002A125B"/>
    <w:rsid w:val="002A1704"/>
    <w:rsid w:val="002A18ED"/>
    <w:rsid w:val="002A1A7B"/>
    <w:rsid w:val="002A1AE1"/>
    <w:rsid w:val="002A1AFA"/>
    <w:rsid w:val="002A1C18"/>
    <w:rsid w:val="002A1CA9"/>
    <w:rsid w:val="002A27EA"/>
    <w:rsid w:val="002A2D92"/>
    <w:rsid w:val="002A2E6E"/>
    <w:rsid w:val="002A31ED"/>
    <w:rsid w:val="002A33C8"/>
    <w:rsid w:val="002A397F"/>
    <w:rsid w:val="002A3E39"/>
    <w:rsid w:val="002A461D"/>
    <w:rsid w:val="002A479D"/>
    <w:rsid w:val="002A49CB"/>
    <w:rsid w:val="002A4A93"/>
    <w:rsid w:val="002A4BB9"/>
    <w:rsid w:val="002A4FBE"/>
    <w:rsid w:val="002A5140"/>
    <w:rsid w:val="002A5205"/>
    <w:rsid w:val="002A5271"/>
    <w:rsid w:val="002A528F"/>
    <w:rsid w:val="002A52E5"/>
    <w:rsid w:val="002A54D1"/>
    <w:rsid w:val="002A57E2"/>
    <w:rsid w:val="002A5804"/>
    <w:rsid w:val="002A593F"/>
    <w:rsid w:val="002A5E5F"/>
    <w:rsid w:val="002A644A"/>
    <w:rsid w:val="002A65DB"/>
    <w:rsid w:val="002A691F"/>
    <w:rsid w:val="002A6EA0"/>
    <w:rsid w:val="002A7324"/>
    <w:rsid w:val="002A75C4"/>
    <w:rsid w:val="002A76CC"/>
    <w:rsid w:val="002A7874"/>
    <w:rsid w:val="002A7932"/>
    <w:rsid w:val="002A7C96"/>
    <w:rsid w:val="002A7C9F"/>
    <w:rsid w:val="002B0D26"/>
    <w:rsid w:val="002B0E9A"/>
    <w:rsid w:val="002B20F1"/>
    <w:rsid w:val="002B33E1"/>
    <w:rsid w:val="002B3DF7"/>
    <w:rsid w:val="002B3E42"/>
    <w:rsid w:val="002B3E69"/>
    <w:rsid w:val="002B40BD"/>
    <w:rsid w:val="002B4BEE"/>
    <w:rsid w:val="002B4D04"/>
    <w:rsid w:val="002B5292"/>
    <w:rsid w:val="002B52A0"/>
    <w:rsid w:val="002B5352"/>
    <w:rsid w:val="002B53DA"/>
    <w:rsid w:val="002B53E6"/>
    <w:rsid w:val="002B589F"/>
    <w:rsid w:val="002B5EF7"/>
    <w:rsid w:val="002B6BBD"/>
    <w:rsid w:val="002B6F55"/>
    <w:rsid w:val="002B707F"/>
    <w:rsid w:val="002B755B"/>
    <w:rsid w:val="002B7612"/>
    <w:rsid w:val="002B7710"/>
    <w:rsid w:val="002B7B1E"/>
    <w:rsid w:val="002B7C0D"/>
    <w:rsid w:val="002B7D61"/>
    <w:rsid w:val="002B7F1C"/>
    <w:rsid w:val="002B7FB4"/>
    <w:rsid w:val="002B7FC8"/>
    <w:rsid w:val="002C06F8"/>
    <w:rsid w:val="002C0AAF"/>
    <w:rsid w:val="002C0DD2"/>
    <w:rsid w:val="002C0F56"/>
    <w:rsid w:val="002C1194"/>
    <w:rsid w:val="002C149F"/>
    <w:rsid w:val="002C14CC"/>
    <w:rsid w:val="002C15E2"/>
    <w:rsid w:val="002C1A89"/>
    <w:rsid w:val="002C1C3C"/>
    <w:rsid w:val="002C1DD5"/>
    <w:rsid w:val="002C21C2"/>
    <w:rsid w:val="002C2244"/>
    <w:rsid w:val="002C2566"/>
    <w:rsid w:val="002C2CD4"/>
    <w:rsid w:val="002C2FFB"/>
    <w:rsid w:val="002C32DB"/>
    <w:rsid w:val="002C350E"/>
    <w:rsid w:val="002C3AC9"/>
    <w:rsid w:val="002C3CD1"/>
    <w:rsid w:val="002C3F5C"/>
    <w:rsid w:val="002C4409"/>
    <w:rsid w:val="002C48C5"/>
    <w:rsid w:val="002C4B23"/>
    <w:rsid w:val="002C5144"/>
    <w:rsid w:val="002C52BD"/>
    <w:rsid w:val="002C5A22"/>
    <w:rsid w:val="002C668A"/>
    <w:rsid w:val="002C682A"/>
    <w:rsid w:val="002C6C98"/>
    <w:rsid w:val="002C6E44"/>
    <w:rsid w:val="002C76D8"/>
    <w:rsid w:val="002C7857"/>
    <w:rsid w:val="002D062B"/>
    <w:rsid w:val="002D07FD"/>
    <w:rsid w:val="002D0DB0"/>
    <w:rsid w:val="002D113E"/>
    <w:rsid w:val="002D2B82"/>
    <w:rsid w:val="002D2BD7"/>
    <w:rsid w:val="002D3007"/>
    <w:rsid w:val="002D31E4"/>
    <w:rsid w:val="002D3263"/>
    <w:rsid w:val="002D336F"/>
    <w:rsid w:val="002D3DF7"/>
    <w:rsid w:val="002D452C"/>
    <w:rsid w:val="002D4572"/>
    <w:rsid w:val="002D4BA6"/>
    <w:rsid w:val="002D4F6B"/>
    <w:rsid w:val="002D52DA"/>
    <w:rsid w:val="002D544A"/>
    <w:rsid w:val="002D545B"/>
    <w:rsid w:val="002D5697"/>
    <w:rsid w:val="002D594A"/>
    <w:rsid w:val="002D5B91"/>
    <w:rsid w:val="002D5D99"/>
    <w:rsid w:val="002D5E91"/>
    <w:rsid w:val="002D5F3D"/>
    <w:rsid w:val="002D6967"/>
    <w:rsid w:val="002D7123"/>
    <w:rsid w:val="002D74A2"/>
    <w:rsid w:val="002D7502"/>
    <w:rsid w:val="002D7D5B"/>
    <w:rsid w:val="002D7F0C"/>
    <w:rsid w:val="002E0AA8"/>
    <w:rsid w:val="002E1960"/>
    <w:rsid w:val="002E19FE"/>
    <w:rsid w:val="002E25E6"/>
    <w:rsid w:val="002E2645"/>
    <w:rsid w:val="002E276A"/>
    <w:rsid w:val="002E28B8"/>
    <w:rsid w:val="002E2ABD"/>
    <w:rsid w:val="002E2EB9"/>
    <w:rsid w:val="002E3799"/>
    <w:rsid w:val="002E3A04"/>
    <w:rsid w:val="002E3C90"/>
    <w:rsid w:val="002E4044"/>
    <w:rsid w:val="002E40DE"/>
    <w:rsid w:val="002E4575"/>
    <w:rsid w:val="002E4682"/>
    <w:rsid w:val="002E49A4"/>
    <w:rsid w:val="002E4B72"/>
    <w:rsid w:val="002E4B7E"/>
    <w:rsid w:val="002E5934"/>
    <w:rsid w:val="002E5D85"/>
    <w:rsid w:val="002E6055"/>
    <w:rsid w:val="002E630D"/>
    <w:rsid w:val="002E67BA"/>
    <w:rsid w:val="002E6B33"/>
    <w:rsid w:val="002E6FB1"/>
    <w:rsid w:val="002E736D"/>
    <w:rsid w:val="002E7552"/>
    <w:rsid w:val="002E7685"/>
    <w:rsid w:val="002E7D04"/>
    <w:rsid w:val="002E7D0A"/>
    <w:rsid w:val="002F00D1"/>
    <w:rsid w:val="002F00F8"/>
    <w:rsid w:val="002F0167"/>
    <w:rsid w:val="002F02DF"/>
    <w:rsid w:val="002F05B2"/>
    <w:rsid w:val="002F0758"/>
    <w:rsid w:val="002F0DE8"/>
    <w:rsid w:val="002F0F03"/>
    <w:rsid w:val="002F0FCC"/>
    <w:rsid w:val="002F1153"/>
    <w:rsid w:val="002F1A70"/>
    <w:rsid w:val="002F1B43"/>
    <w:rsid w:val="002F1C9A"/>
    <w:rsid w:val="002F20C4"/>
    <w:rsid w:val="002F2150"/>
    <w:rsid w:val="002F22F6"/>
    <w:rsid w:val="002F2530"/>
    <w:rsid w:val="002F2721"/>
    <w:rsid w:val="002F27AC"/>
    <w:rsid w:val="002F27EC"/>
    <w:rsid w:val="002F28F1"/>
    <w:rsid w:val="002F2A0E"/>
    <w:rsid w:val="002F2C6C"/>
    <w:rsid w:val="002F3553"/>
    <w:rsid w:val="002F3807"/>
    <w:rsid w:val="002F3E49"/>
    <w:rsid w:val="002F51BC"/>
    <w:rsid w:val="002F5454"/>
    <w:rsid w:val="002F5486"/>
    <w:rsid w:val="002F5D19"/>
    <w:rsid w:val="002F62C4"/>
    <w:rsid w:val="002F6768"/>
    <w:rsid w:val="002F6B24"/>
    <w:rsid w:val="002F6DCB"/>
    <w:rsid w:val="002F733C"/>
    <w:rsid w:val="002F75BC"/>
    <w:rsid w:val="002F7D6C"/>
    <w:rsid w:val="002F7E9A"/>
    <w:rsid w:val="00300052"/>
    <w:rsid w:val="00300785"/>
    <w:rsid w:val="0030095A"/>
    <w:rsid w:val="003015CE"/>
    <w:rsid w:val="00301688"/>
    <w:rsid w:val="0030231D"/>
    <w:rsid w:val="00302834"/>
    <w:rsid w:val="00302C37"/>
    <w:rsid w:val="00302F5E"/>
    <w:rsid w:val="003036A1"/>
    <w:rsid w:val="00303EB8"/>
    <w:rsid w:val="003041DF"/>
    <w:rsid w:val="003046EF"/>
    <w:rsid w:val="003047D6"/>
    <w:rsid w:val="00304AF0"/>
    <w:rsid w:val="00304FC6"/>
    <w:rsid w:val="003052E3"/>
    <w:rsid w:val="00305390"/>
    <w:rsid w:val="003057E3"/>
    <w:rsid w:val="00305C43"/>
    <w:rsid w:val="00305F28"/>
    <w:rsid w:val="00306059"/>
    <w:rsid w:val="00306A7C"/>
    <w:rsid w:val="00306C78"/>
    <w:rsid w:val="003076B0"/>
    <w:rsid w:val="00307714"/>
    <w:rsid w:val="00307A1D"/>
    <w:rsid w:val="00307D43"/>
    <w:rsid w:val="00307F56"/>
    <w:rsid w:val="00310AAE"/>
    <w:rsid w:val="00310FD1"/>
    <w:rsid w:val="00311111"/>
    <w:rsid w:val="0031132A"/>
    <w:rsid w:val="0031198F"/>
    <w:rsid w:val="00311BB7"/>
    <w:rsid w:val="00311C5B"/>
    <w:rsid w:val="00311E26"/>
    <w:rsid w:val="00312523"/>
    <w:rsid w:val="00313492"/>
    <w:rsid w:val="0031366F"/>
    <w:rsid w:val="00313ED6"/>
    <w:rsid w:val="00314289"/>
    <w:rsid w:val="00314A0B"/>
    <w:rsid w:val="00314C54"/>
    <w:rsid w:val="0031528E"/>
    <w:rsid w:val="00315567"/>
    <w:rsid w:val="00315871"/>
    <w:rsid w:val="003158EF"/>
    <w:rsid w:val="0031599D"/>
    <w:rsid w:val="00315C20"/>
    <w:rsid w:val="003164F8"/>
    <w:rsid w:val="003165AE"/>
    <w:rsid w:val="00316633"/>
    <w:rsid w:val="003168FD"/>
    <w:rsid w:val="00316C47"/>
    <w:rsid w:val="00316CC9"/>
    <w:rsid w:val="00317F28"/>
    <w:rsid w:val="00320018"/>
    <w:rsid w:val="00320605"/>
    <w:rsid w:val="0032088D"/>
    <w:rsid w:val="00320ED3"/>
    <w:rsid w:val="00320EF7"/>
    <w:rsid w:val="003211CF"/>
    <w:rsid w:val="00321791"/>
    <w:rsid w:val="003218D5"/>
    <w:rsid w:val="00321EFF"/>
    <w:rsid w:val="00322076"/>
    <w:rsid w:val="0032292D"/>
    <w:rsid w:val="00322B11"/>
    <w:rsid w:val="00322CB6"/>
    <w:rsid w:val="0032367D"/>
    <w:rsid w:val="003236CC"/>
    <w:rsid w:val="00324167"/>
    <w:rsid w:val="003247CD"/>
    <w:rsid w:val="00324827"/>
    <w:rsid w:val="003252B3"/>
    <w:rsid w:val="00325784"/>
    <w:rsid w:val="0032621E"/>
    <w:rsid w:val="003263C8"/>
    <w:rsid w:val="0032679A"/>
    <w:rsid w:val="00326AFF"/>
    <w:rsid w:val="00326E17"/>
    <w:rsid w:val="00327570"/>
    <w:rsid w:val="00327B66"/>
    <w:rsid w:val="003305E3"/>
    <w:rsid w:val="00330C1A"/>
    <w:rsid w:val="00330C87"/>
    <w:rsid w:val="00330F3E"/>
    <w:rsid w:val="003311C2"/>
    <w:rsid w:val="00331953"/>
    <w:rsid w:val="00333047"/>
    <w:rsid w:val="00333195"/>
    <w:rsid w:val="0033325C"/>
    <w:rsid w:val="0033383F"/>
    <w:rsid w:val="00333F29"/>
    <w:rsid w:val="003341A0"/>
    <w:rsid w:val="003344CE"/>
    <w:rsid w:val="003348CB"/>
    <w:rsid w:val="00334B2D"/>
    <w:rsid w:val="00334C45"/>
    <w:rsid w:val="003351C3"/>
    <w:rsid w:val="00335348"/>
    <w:rsid w:val="0033584A"/>
    <w:rsid w:val="00335875"/>
    <w:rsid w:val="00336218"/>
    <w:rsid w:val="003362C6"/>
    <w:rsid w:val="00336631"/>
    <w:rsid w:val="003368E4"/>
    <w:rsid w:val="00336B05"/>
    <w:rsid w:val="00336C7A"/>
    <w:rsid w:val="00336FCD"/>
    <w:rsid w:val="0033719F"/>
    <w:rsid w:val="003372E6"/>
    <w:rsid w:val="00337650"/>
    <w:rsid w:val="00337906"/>
    <w:rsid w:val="003400A6"/>
    <w:rsid w:val="0034017B"/>
    <w:rsid w:val="00340221"/>
    <w:rsid w:val="003406AC"/>
    <w:rsid w:val="0034121E"/>
    <w:rsid w:val="003412BE"/>
    <w:rsid w:val="00341BFE"/>
    <w:rsid w:val="00342A3E"/>
    <w:rsid w:val="00342B57"/>
    <w:rsid w:val="00343103"/>
    <w:rsid w:val="0034331E"/>
    <w:rsid w:val="0034336C"/>
    <w:rsid w:val="0034343D"/>
    <w:rsid w:val="00343757"/>
    <w:rsid w:val="00343E90"/>
    <w:rsid w:val="00343FDD"/>
    <w:rsid w:val="0034448F"/>
    <w:rsid w:val="0034467D"/>
    <w:rsid w:val="00344B82"/>
    <w:rsid w:val="00344E9A"/>
    <w:rsid w:val="00344FB6"/>
    <w:rsid w:val="00345C59"/>
    <w:rsid w:val="00345F5F"/>
    <w:rsid w:val="00346180"/>
    <w:rsid w:val="00346C15"/>
    <w:rsid w:val="00346C4E"/>
    <w:rsid w:val="00347191"/>
    <w:rsid w:val="003478D5"/>
    <w:rsid w:val="00347EC7"/>
    <w:rsid w:val="003501EC"/>
    <w:rsid w:val="003504BA"/>
    <w:rsid w:val="003507FC"/>
    <w:rsid w:val="00350FDD"/>
    <w:rsid w:val="003513FC"/>
    <w:rsid w:val="00351764"/>
    <w:rsid w:val="00351889"/>
    <w:rsid w:val="00351CFE"/>
    <w:rsid w:val="00351D63"/>
    <w:rsid w:val="00351DFA"/>
    <w:rsid w:val="00352B79"/>
    <w:rsid w:val="00352C80"/>
    <w:rsid w:val="00352C98"/>
    <w:rsid w:val="003530B5"/>
    <w:rsid w:val="0035494B"/>
    <w:rsid w:val="00354AF0"/>
    <w:rsid w:val="00354AF1"/>
    <w:rsid w:val="00354D19"/>
    <w:rsid w:val="00355346"/>
    <w:rsid w:val="0035576D"/>
    <w:rsid w:val="00355C29"/>
    <w:rsid w:val="00355CF2"/>
    <w:rsid w:val="003569B4"/>
    <w:rsid w:val="003572D8"/>
    <w:rsid w:val="00360214"/>
    <w:rsid w:val="003604E2"/>
    <w:rsid w:val="0036098D"/>
    <w:rsid w:val="00360A00"/>
    <w:rsid w:val="00361686"/>
    <w:rsid w:val="003616E9"/>
    <w:rsid w:val="00361C48"/>
    <w:rsid w:val="00361F9B"/>
    <w:rsid w:val="003621D0"/>
    <w:rsid w:val="00362529"/>
    <w:rsid w:val="00362A0B"/>
    <w:rsid w:val="00362B02"/>
    <w:rsid w:val="00362B1F"/>
    <w:rsid w:val="00362F2F"/>
    <w:rsid w:val="00362F72"/>
    <w:rsid w:val="003632B3"/>
    <w:rsid w:val="00363708"/>
    <w:rsid w:val="00363AA6"/>
    <w:rsid w:val="00363C63"/>
    <w:rsid w:val="00364789"/>
    <w:rsid w:val="00364A50"/>
    <w:rsid w:val="00364AC2"/>
    <w:rsid w:val="00364B05"/>
    <w:rsid w:val="00364BCC"/>
    <w:rsid w:val="00364DF5"/>
    <w:rsid w:val="00365052"/>
    <w:rsid w:val="003652E6"/>
    <w:rsid w:val="00365309"/>
    <w:rsid w:val="00365401"/>
    <w:rsid w:val="0036547C"/>
    <w:rsid w:val="003658E5"/>
    <w:rsid w:val="00366453"/>
    <w:rsid w:val="00366F63"/>
    <w:rsid w:val="003679FE"/>
    <w:rsid w:val="0037062E"/>
    <w:rsid w:val="003706EE"/>
    <w:rsid w:val="00370E3D"/>
    <w:rsid w:val="00370F0A"/>
    <w:rsid w:val="00371052"/>
    <w:rsid w:val="0037113B"/>
    <w:rsid w:val="003713A7"/>
    <w:rsid w:val="003717F7"/>
    <w:rsid w:val="00371EFF"/>
    <w:rsid w:val="0037230C"/>
    <w:rsid w:val="00372922"/>
    <w:rsid w:val="00372D1B"/>
    <w:rsid w:val="00373502"/>
    <w:rsid w:val="00373B24"/>
    <w:rsid w:val="003750C6"/>
    <w:rsid w:val="003754CB"/>
    <w:rsid w:val="00375544"/>
    <w:rsid w:val="00375DF9"/>
    <w:rsid w:val="003761BA"/>
    <w:rsid w:val="0037650D"/>
    <w:rsid w:val="00376BD2"/>
    <w:rsid w:val="00377342"/>
    <w:rsid w:val="003773F9"/>
    <w:rsid w:val="0037771A"/>
    <w:rsid w:val="00377F07"/>
    <w:rsid w:val="00380205"/>
    <w:rsid w:val="003802AE"/>
    <w:rsid w:val="00380932"/>
    <w:rsid w:val="00380B6A"/>
    <w:rsid w:val="00380F4D"/>
    <w:rsid w:val="003810CF"/>
    <w:rsid w:val="003813B2"/>
    <w:rsid w:val="00381708"/>
    <w:rsid w:val="00382072"/>
    <w:rsid w:val="0038269A"/>
    <w:rsid w:val="003827DA"/>
    <w:rsid w:val="0038292C"/>
    <w:rsid w:val="00382B48"/>
    <w:rsid w:val="00382EC1"/>
    <w:rsid w:val="00382F9B"/>
    <w:rsid w:val="00383027"/>
    <w:rsid w:val="00383388"/>
    <w:rsid w:val="0038371D"/>
    <w:rsid w:val="0038371F"/>
    <w:rsid w:val="00383AF4"/>
    <w:rsid w:val="00383B52"/>
    <w:rsid w:val="00383F69"/>
    <w:rsid w:val="003842E5"/>
    <w:rsid w:val="00384611"/>
    <w:rsid w:val="003846A0"/>
    <w:rsid w:val="00384744"/>
    <w:rsid w:val="00384AA7"/>
    <w:rsid w:val="00384EF8"/>
    <w:rsid w:val="003855EA"/>
    <w:rsid w:val="00385E8D"/>
    <w:rsid w:val="003879F7"/>
    <w:rsid w:val="003879F9"/>
    <w:rsid w:val="00387A6B"/>
    <w:rsid w:val="00387C30"/>
    <w:rsid w:val="00387D17"/>
    <w:rsid w:val="00390077"/>
    <w:rsid w:val="003903AA"/>
    <w:rsid w:val="003903FD"/>
    <w:rsid w:val="00390B21"/>
    <w:rsid w:val="00390CC3"/>
    <w:rsid w:val="00390F79"/>
    <w:rsid w:val="0039102D"/>
    <w:rsid w:val="0039119E"/>
    <w:rsid w:val="00391AF0"/>
    <w:rsid w:val="00391BB4"/>
    <w:rsid w:val="00391BFB"/>
    <w:rsid w:val="00391F9F"/>
    <w:rsid w:val="0039241A"/>
    <w:rsid w:val="00392659"/>
    <w:rsid w:val="0039324B"/>
    <w:rsid w:val="00393A1A"/>
    <w:rsid w:val="00394103"/>
    <w:rsid w:val="003941F7"/>
    <w:rsid w:val="00394A14"/>
    <w:rsid w:val="00394EB2"/>
    <w:rsid w:val="003950E8"/>
    <w:rsid w:val="00395B6C"/>
    <w:rsid w:val="00396402"/>
    <w:rsid w:val="00396CFA"/>
    <w:rsid w:val="00396FD3"/>
    <w:rsid w:val="00397088"/>
    <w:rsid w:val="003974F8"/>
    <w:rsid w:val="00397653"/>
    <w:rsid w:val="00397661"/>
    <w:rsid w:val="00397711"/>
    <w:rsid w:val="003A0100"/>
    <w:rsid w:val="003A0113"/>
    <w:rsid w:val="003A036F"/>
    <w:rsid w:val="003A0EE1"/>
    <w:rsid w:val="003A1100"/>
    <w:rsid w:val="003A11DB"/>
    <w:rsid w:val="003A1E24"/>
    <w:rsid w:val="003A1F32"/>
    <w:rsid w:val="003A2117"/>
    <w:rsid w:val="003A2162"/>
    <w:rsid w:val="003A2569"/>
    <w:rsid w:val="003A317D"/>
    <w:rsid w:val="003A32FA"/>
    <w:rsid w:val="003A3533"/>
    <w:rsid w:val="003A36A6"/>
    <w:rsid w:val="003A39FD"/>
    <w:rsid w:val="003A3A24"/>
    <w:rsid w:val="003A3C02"/>
    <w:rsid w:val="003A3F67"/>
    <w:rsid w:val="003A44E3"/>
    <w:rsid w:val="003A46BD"/>
    <w:rsid w:val="003A4CE9"/>
    <w:rsid w:val="003A52CF"/>
    <w:rsid w:val="003A52E5"/>
    <w:rsid w:val="003A58C6"/>
    <w:rsid w:val="003A5D80"/>
    <w:rsid w:val="003A5E0D"/>
    <w:rsid w:val="003A5EB0"/>
    <w:rsid w:val="003A6068"/>
    <w:rsid w:val="003A62E7"/>
    <w:rsid w:val="003A7603"/>
    <w:rsid w:val="003A7624"/>
    <w:rsid w:val="003A7B9F"/>
    <w:rsid w:val="003A7CBF"/>
    <w:rsid w:val="003B0243"/>
    <w:rsid w:val="003B03FC"/>
    <w:rsid w:val="003B0D7E"/>
    <w:rsid w:val="003B0F54"/>
    <w:rsid w:val="003B14B5"/>
    <w:rsid w:val="003B1B3A"/>
    <w:rsid w:val="003B1C7A"/>
    <w:rsid w:val="003B1CAC"/>
    <w:rsid w:val="003B1D89"/>
    <w:rsid w:val="003B223E"/>
    <w:rsid w:val="003B257E"/>
    <w:rsid w:val="003B2633"/>
    <w:rsid w:val="003B2A10"/>
    <w:rsid w:val="003B31AE"/>
    <w:rsid w:val="003B35D1"/>
    <w:rsid w:val="003B3778"/>
    <w:rsid w:val="003B37CB"/>
    <w:rsid w:val="003B3C8D"/>
    <w:rsid w:val="003B421B"/>
    <w:rsid w:val="003B4B2A"/>
    <w:rsid w:val="003B4CE5"/>
    <w:rsid w:val="003B508A"/>
    <w:rsid w:val="003B5635"/>
    <w:rsid w:val="003B5755"/>
    <w:rsid w:val="003B5C2D"/>
    <w:rsid w:val="003B5C87"/>
    <w:rsid w:val="003B619F"/>
    <w:rsid w:val="003B6213"/>
    <w:rsid w:val="003B63C0"/>
    <w:rsid w:val="003B6935"/>
    <w:rsid w:val="003B6953"/>
    <w:rsid w:val="003B6B73"/>
    <w:rsid w:val="003B6C6C"/>
    <w:rsid w:val="003B6E7E"/>
    <w:rsid w:val="003B7433"/>
    <w:rsid w:val="003B75CA"/>
    <w:rsid w:val="003B75FE"/>
    <w:rsid w:val="003B763E"/>
    <w:rsid w:val="003C042C"/>
    <w:rsid w:val="003C050C"/>
    <w:rsid w:val="003C096E"/>
    <w:rsid w:val="003C0B7F"/>
    <w:rsid w:val="003C115F"/>
    <w:rsid w:val="003C11EA"/>
    <w:rsid w:val="003C124B"/>
    <w:rsid w:val="003C15BC"/>
    <w:rsid w:val="003C1E29"/>
    <w:rsid w:val="003C1EE0"/>
    <w:rsid w:val="003C203E"/>
    <w:rsid w:val="003C240C"/>
    <w:rsid w:val="003C247A"/>
    <w:rsid w:val="003C260F"/>
    <w:rsid w:val="003C27E0"/>
    <w:rsid w:val="003C298E"/>
    <w:rsid w:val="003C29F5"/>
    <w:rsid w:val="003C2F6E"/>
    <w:rsid w:val="003C3931"/>
    <w:rsid w:val="003C4153"/>
    <w:rsid w:val="003C44C4"/>
    <w:rsid w:val="003C44D6"/>
    <w:rsid w:val="003C4603"/>
    <w:rsid w:val="003C4F26"/>
    <w:rsid w:val="003C50C0"/>
    <w:rsid w:val="003C50E9"/>
    <w:rsid w:val="003C55BD"/>
    <w:rsid w:val="003C5653"/>
    <w:rsid w:val="003C566F"/>
    <w:rsid w:val="003C577B"/>
    <w:rsid w:val="003C622C"/>
    <w:rsid w:val="003C64C6"/>
    <w:rsid w:val="003C66BE"/>
    <w:rsid w:val="003C6884"/>
    <w:rsid w:val="003C6A94"/>
    <w:rsid w:val="003C6CA9"/>
    <w:rsid w:val="003C7948"/>
    <w:rsid w:val="003C7953"/>
    <w:rsid w:val="003D033F"/>
    <w:rsid w:val="003D0CD9"/>
    <w:rsid w:val="003D12C2"/>
    <w:rsid w:val="003D1340"/>
    <w:rsid w:val="003D1773"/>
    <w:rsid w:val="003D1A9B"/>
    <w:rsid w:val="003D1BAD"/>
    <w:rsid w:val="003D201E"/>
    <w:rsid w:val="003D21E9"/>
    <w:rsid w:val="003D23AB"/>
    <w:rsid w:val="003D2524"/>
    <w:rsid w:val="003D27AF"/>
    <w:rsid w:val="003D29A1"/>
    <w:rsid w:val="003D3018"/>
    <w:rsid w:val="003D316D"/>
    <w:rsid w:val="003D37B0"/>
    <w:rsid w:val="003D3837"/>
    <w:rsid w:val="003D4B8F"/>
    <w:rsid w:val="003D4BAE"/>
    <w:rsid w:val="003D4D64"/>
    <w:rsid w:val="003D581F"/>
    <w:rsid w:val="003D5AEF"/>
    <w:rsid w:val="003D5D63"/>
    <w:rsid w:val="003D63B1"/>
    <w:rsid w:val="003D676B"/>
    <w:rsid w:val="003D6A01"/>
    <w:rsid w:val="003D6DA3"/>
    <w:rsid w:val="003D7157"/>
    <w:rsid w:val="003D7319"/>
    <w:rsid w:val="003D73F5"/>
    <w:rsid w:val="003D7418"/>
    <w:rsid w:val="003D74EB"/>
    <w:rsid w:val="003D786A"/>
    <w:rsid w:val="003D79DB"/>
    <w:rsid w:val="003D7B13"/>
    <w:rsid w:val="003D7B33"/>
    <w:rsid w:val="003E03FB"/>
    <w:rsid w:val="003E048C"/>
    <w:rsid w:val="003E0663"/>
    <w:rsid w:val="003E07DE"/>
    <w:rsid w:val="003E0E9A"/>
    <w:rsid w:val="003E1274"/>
    <w:rsid w:val="003E19BF"/>
    <w:rsid w:val="003E1C2F"/>
    <w:rsid w:val="003E1F86"/>
    <w:rsid w:val="003E2160"/>
    <w:rsid w:val="003E2DDC"/>
    <w:rsid w:val="003E4677"/>
    <w:rsid w:val="003E4BC0"/>
    <w:rsid w:val="003E4F14"/>
    <w:rsid w:val="003E50E6"/>
    <w:rsid w:val="003E51C2"/>
    <w:rsid w:val="003E5CEC"/>
    <w:rsid w:val="003E5DC2"/>
    <w:rsid w:val="003E5E03"/>
    <w:rsid w:val="003E6090"/>
    <w:rsid w:val="003E6094"/>
    <w:rsid w:val="003E6237"/>
    <w:rsid w:val="003E64AC"/>
    <w:rsid w:val="003E6FB9"/>
    <w:rsid w:val="003E6FE6"/>
    <w:rsid w:val="003E7294"/>
    <w:rsid w:val="003E7396"/>
    <w:rsid w:val="003E7548"/>
    <w:rsid w:val="003E7A67"/>
    <w:rsid w:val="003E7B14"/>
    <w:rsid w:val="003E7B5B"/>
    <w:rsid w:val="003E7C36"/>
    <w:rsid w:val="003E7C7E"/>
    <w:rsid w:val="003E7D04"/>
    <w:rsid w:val="003E7D51"/>
    <w:rsid w:val="003F055B"/>
    <w:rsid w:val="003F0684"/>
    <w:rsid w:val="003F0984"/>
    <w:rsid w:val="003F1270"/>
    <w:rsid w:val="003F180A"/>
    <w:rsid w:val="003F1D6C"/>
    <w:rsid w:val="003F1D79"/>
    <w:rsid w:val="003F20CC"/>
    <w:rsid w:val="003F2F70"/>
    <w:rsid w:val="003F2FA5"/>
    <w:rsid w:val="003F34B4"/>
    <w:rsid w:val="003F36A8"/>
    <w:rsid w:val="003F3DD7"/>
    <w:rsid w:val="003F44CF"/>
    <w:rsid w:val="003F477A"/>
    <w:rsid w:val="003F4999"/>
    <w:rsid w:val="003F4B5C"/>
    <w:rsid w:val="003F4E10"/>
    <w:rsid w:val="003F4FB0"/>
    <w:rsid w:val="003F5018"/>
    <w:rsid w:val="003F5019"/>
    <w:rsid w:val="003F528B"/>
    <w:rsid w:val="003F58CC"/>
    <w:rsid w:val="003F5F2F"/>
    <w:rsid w:val="003F615E"/>
    <w:rsid w:val="003F665A"/>
    <w:rsid w:val="003F6ACC"/>
    <w:rsid w:val="003F6B21"/>
    <w:rsid w:val="003F72AE"/>
    <w:rsid w:val="003F7355"/>
    <w:rsid w:val="003F7834"/>
    <w:rsid w:val="003F78BC"/>
    <w:rsid w:val="003F796A"/>
    <w:rsid w:val="003F7CF3"/>
    <w:rsid w:val="003F7D4B"/>
    <w:rsid w:val="003F7DCB"/>
    <w:rsid w:val="00400DB0"/>
    <w:rsid w:val="004010C4"/>
    <w:rsid w:val="0040125E"/>
    <w:rsid w:val="004015A7"/>
    <w:rsid w:val="00401759"/>
    <w:rsid w:val="004019DD"/>
    <w:rsid w:val="0040234C"/>
    <w:rsid w:val="00402B0F"/>
    <w:rsid w:val="00402F75"/>
    <w:rsid w:val="00403123"/>
    <w:rsid w:val="004038B1"/>
    <w:rsid w:val="00403C16"/>
    <w:rsid w:val="00403E03"/>
    <w:rsid w:val="0040432E"/>
    <w:rsid w:val="0040440C"/>
    <w:rsid w:val="004048FB"/>
    <w:rsid w:val="00404E34"/>
    <w:rsid w:val="004051BF"/>
    <w:rsid w:val="00405C4A"/>
    <w:rsid w:val="0040658F"/>
    <w:rsid w:val="0040667B"/>
    <w:rsid w:val="00407BBB"/>
    <w:rsid w:val="00407D3F"/>
    <w:rsid w:val="00407DDF"/>
    <w:rsid w:val="004103B5"/>
    <w:rsid w:val="004105D4"/>
    <w:rsid w:val="0041071A"/>
    <w:rsid w:val="004109B6"/>
    <w:rsid w:val="00410F02"/>
    <w:rsid w:val="00410F62"/>
    <w:rsid w:val="00411144"/>
    <w:rsid w:val="0041140F"/>
    <w:rsid w:val="004118DF"/>
    <w:rsid w:val="00411E62"/>
    <w:rsid w:val="0041242A"/>
    <w:rsid w:val="00412618"/>
    <w:rsid w:val="00412D0A"/>
    <w:rsid w:val="00413464"/>
    <w:rsid w:val="00413924"/>
    <w:rsid w:val="00413BEC"/>
    <w:rsid w:val="00414374"/>
    <w:rsid w:val="00414418"/>
    <w:rsid w:val="00414BCE"/>
    <w:rsid w:val="00414BDC"/>
    <w:rsid w:val="00414CC2"/>
    <w:rsid w:val="00414DBC"/>
    <w:rsid w:val="00415748"/>
    <w:rsid w:val="00415E03"/>
    <w:rsid w:val="004162CA"/>
    <w:rsid w:val="00416889"/>
    <w:rsid w:val="00416DD3"/>
    <w:rsid w:val="004172A5"/>
    <w:rsid w:val="004172BD"/>
    <w:rsid w:val="0041790D"/>
    <w:rsid w:val="00417BDD"/>
    <w:rsid w:val="00417D96"/>
    <w:rsid w:val="0042007D"/>
    <w:rsid w:val="004203E4"/>
    <w:rsid w:val="00421468"/>
    <w:rsid w:val="004215EE"/>
    <w:rsid w:val="00421D1F"/>
    <w:rsid w:val="0042258B"/>
    <w:rsid w:val="00422639"/>
    <w:rsid w:val="00422680"/>
    <w:rsid w:val="00422E45"/>
    <w:rsid w:val="0042303D"/>
    <w:rsid w:val="0042320B"/>
    <w:rsid w:val="004236BA"/>
    <w:rsid w:val="0042386D"/>
    <w:rsid w:val="00423B8E"/>
    <w:rsid w:val="00424628"/>
    <w:rsid w:val="0042472A"/>
    <w:rsid w:val="00424E0D"/>
    <w:rsid w:val="004251AC"/>
    <w:rsid w:val="00425444"/>
    <w:rsid w:val="00426254"/>
    <w:rsid w:val="0042680E"/>
    <w:rsid w:val="00426891"/>
    <w:rsid w:val="004268A6"/>
    <w:rsid w:val="00426F46"/>
    <w:rsid w:val="00426F6A"/>
    <w:rsid w:val="00427050"/>
    <w:rsid w:val="00427D3D"/>
    <w:rsid w:val="0043069F"/>
    <w:rsid w:val="00430D98"/>
    <w:rsid w:val="00430F22"/>
    <w:rsid w:val="004311AA"/>
    <w:rsid w:val="0043165C"/>
    <w:rsid w:val="0043189A"/>
    <w:rsid w:val="00431C74"/>
    <w:rsid w:val="00431E3D"/>
    <w:rsid w:val="00431E9C"/>
    <w:rsid w:val="00432496"/>
    <w:rsid w:val="00432581"/>
    <w:rsid w:val="004325A1"/>
    <w:rsid w:val="004327CD"/>
    <w:rsid w:val="004327CE"/>
    <w:rsid w:val="00432D1C"/>
    <w:rsid w:val="00432F4E"/>
    <w:rsid w:val="004331EB"/>
    <w:rsid w:val="00433277"/>
    <w:rsid w:val="004332BA"/>
    <w:rsid w:val="00433A89"/>
    <w:rsid w:val="00433CB1"/>
    <w:rsid w:val="00433CE8"/>
    <w:rsid w:val="00433FBD"/>
    <w:rsid w:val="00434396"/>
    <w:rsid w:val="00434477"/>
    <w:rsid w:val="00434753"/>
    <w:rsid w:val="00434913"/>
    <w:rsid w:val="00434A56"/>
    <w:rsid w:val="00434E6B"/>
    <w:rsid w:val="00434EDB"/>
    <w:rsid w:val="00435461"/>
    <w:rsid w:val="00435466"/>
    <w:rsid w:val="0043553E"/>
    <w:rsid w:val="004356EF"/>
    <w:rsid w:val="004357F4"/>
    <w:rsid w:val="00435BC7"/>
    <w:rsid w:val="00435DB7"/>
    <w:rsid w:val="00436122"/>
    <w:rsid w:val="00436173"/>
    <w:rsid w:val="00436369"/>
    <w:rsid w:val="004363B8"/>
    <w:rsid w:val="0043646D"/>
    <w:rsid w:val="004365B1"/>
    <w:rsid w:val="00436CFB"/>
    <w:rsid w:val="00436ED6"/>
    <w:rsid w:val="004376AF"/>
    <w:rsid w:val="00437854"/>
    <w:rsid w:val="00437902"/>
    <w:rsid w:val="00437D75"/>
    <w:rsid w:val="00437F10"/>
    <w:rsid w:val="00437FCC"/>
    <w:rsid w:val="0044030C"/>
    <w:rsid w:val="0044088E"/>
    <w:rsid w:val="004409CB"/>
    <w:rsid w:val="00440C38"/>
    <w:rsid w:val="00440CF2"/>
    <w:rsid w:val="00440E25"/>
    <w:rsid w:val="00440EA0"/>
    <w:rsid w:val="0044136C"/>
    <w:rsid w:val="00441D73"/>
    <w:rsid w:val="00441E30"/>
    <w:rsid w:val="00441F00"/>
    <w:rsid w:val="004421EC"/>
    <w:rsid w:val="00442829"/>
    <w:rsid w:val="004428D8"/>
    <w:rsid w:val="00442F4A"/>
    <w:rsid w:val="004430A1"/>
    <w:rsid w:val="004430C7"/>
    <w:rsid w:val="0044320F"/>
    <w:rsid w:val="00443655"/>
    <w:rsid w:val="00443E90"/>
    <w:rsid w:val="00444021"/>
    <w:rsid w:val="00444173"/>
    <w:rsid w:val="00444A85"/>
    <w:rsid w:val="00444E40"/>
    <w:rsid w:val="004450BA"/>
    <w:rsid w:val="0044568D"/>
    <w:rsid w:val="004457EB"/>
    <w:rsid w:val="00445D87"/>
    <w:rsid w:val="0044679F"/>
    <w:rsid w:val="004468B0"/>
    <w:rsid w:val="00446DE0"/>
    <w:rsid w:val="00446DEC"/>
    <w:rsid w:val="00446E1A"/>
    <w:rsid w:val="00446E25"/>
    <w:rsid w:val="004471E8"/>
    <w:rsid w:val="0044799D"/>
    <w:rsid w:val="00447A19"/>
    <w:rsid w:val="00447EFA"/>
    <w:rsid w:val="00450108"/>
    <w:rsid w:val="00450248"/>
    <w:rsid w:val="004502CF"/>
    <w:rsid w:val="00450946"/>
    <w:rsid w:val="00450D48"/>
    <w:rsid w:val="00450EE4"/>
    <w:rsid w:val="00451354"/>
    <w:rsid w:val="004514E0"/>
    <w:rsid w:val="00452105"/>
    <w:rsid w:val="004522A9"/>
    <w:rsid w:val="004527AC"/>
    <w:rsid w:val="00452E6D"/>
    <w:rsid w:val="00452FBC"/>
    <w:rsid w:val="00453340"/>
    <w:rsid w:val="0045350F"/>
    <w:rsid w:val="00453622"/>
    <w:rsid w:val="00453CC5"/>
    <w:rsid w:val="00453FD3"/>
    <w:rsid w:val="0045463C"/>
    <w:rsid w:val="00454704"/>
    <w:rsid w:val="00454849"/>
    <w:rsid w:val="00454AD4"/>
    <w:rsid w:val="00454EBB"/>
    <w:rsid w:val="00455466"/>
    <w:rsid w:val="004554B6"/>
    <w:rsid w:val="004563DE"/>
    <w:rsid w:val="0045677D"/>
    <w:rsid w:val="0045684F"/>
    <w:rsid w:val="00456E0E"/>
    <w:rsid w:val="00457108"/>
    <w:rsid w:val="0045742C"/>
    <w:rsid w:val="0045788B"/>
    <w:rsid w:val="00460098"/>
    <w:rsid w:val="00460135"/>
    <w:rsid w:val="004609DA"/>
    <w:rsid w:val="00460E07"/>
    <w:rsid w:val="0046113D"/>
    <w:rsid w:val="004611D6"/>
    <w:rsid w:val="00461BCA"/>
    <w:rsid w:val="00462214"/>
    <w:rsid w:val="004622BD"/>
    <w:rsid w:val="004628ED"/>
    <w:rsid w:val="00462A7F"/>
    <w:rsid w:val="00462B45"/>
    <w:rsid w:val="00462D92"/>
    <w:rsid w:val="0046307A"/>
    <w:rsid w:val="004631EF"/>
    <w:rsid w:val="0046327F"/>
    <w:rsid w:val="00463828"/>
    <w:rsid w:val="00463B71"/>
    <w:rsid w:val="00464384"/>
    <w:rsid w:val="0046468D"/>
    <w:rsid w:val="00464FBB"/>
    <w:rsid w:val="0046519B"/>
    <w:rsid w:val="0046525B"/>
    <w:rsid w:val="00465500"/>
    <w:rsid w:val="004657AE"/>
    <w:rsid w:val="0046583B"/>
    <w:rsid w:val="0046598D"/>
    <w:rsid w:val="004660D6"/>
    <w:rsid w:val="004661E4"/>
    <w:rsid w:val="0046646E"/>
    <w:rsid w:val="004667E5"/>
    <w:rsid w:val="004669D1"/>
    <w:rsid w:val="00466D46"/>
    <w:rsid w:val="004671AA"/>
    <w:rsid w:val="00467218"/>
    <w:rsid w:val="0046725E"/>
    <w:rsid w:val="00467873"/>
    <w:rsid w:val="004706D1"/>
    <w:rsid w:val="00470A99"/>
    <w:rsid w:val="00470EBD"/>
    <w:rsid w:val="00471001"/>
    <w:rsid w:val="0047119C"/>
    <w:rsid w:val="004715F6"/>
    <w:rsid w:val="004718A6"/>
    <w:rsid w:val="00471B0B"/>
    <w:rsid w:val="00471D21"/>
    <w:rsid w:val="00471E97"/>
    <w:rsid w:val="004722BF"/>
    <w:rsid w:val="00472313"/>
    <w:rsid w:val="00472517"/>
    <w:rsid w:val="004726D4"/>
    <w:rsid w:val="004727E2"/>
    <w:rsid w:val="00472E51"/>
    <w:rsid w:val="00472EE0"/>
    <w:rsid w:val="00472F55"/>
    <w:rsid w:val="00472F75"/>
    <w:rsid w:val="004732FE"/>
    <w:rsid w:val="00473705"/>
    <w:rsid w:val="00473773"/>
    <w:rsid w:val="00473774"/>
    <w:rsid w:val="00473A47"/>
    <w:rsid w:val="0047438B"/>
    <w:rsid w:val="00474551"/>
    <w:rsid w:val="00474637"/>
    <w:rsid w:val="00474D7E"/>
    <w:rsid w:val="0047558E"/>
    <w:rsid w:val="00475758"/>
    <w:rsid w:val="00475DEE"/>
    <w:rsid w:val="00475EA8"/>
    <w:rsid w:val="00475F86"/>
    <w:rsid w:val="00476111"/>
    <w:rsid w:val="00476541"/>
    <w:rsid w:val="00476873"/>
    <w:rsid w:val="00477019"/>
    <w:rsid w:val="00477782"/>
    <w:rsid w:val="00477BA3"/>
    <w:rsid w:val="00477D89"/>
    <w:rsid w:val="0048038B"/>
    <w:rsid w:val="004806B5"/>
    <w:rsid w:val="00480EF3"/>
    <w:rsid w:val="00480FDD"/>
    <w:rsid w:val="0048105D"/>
    <w:rsid w:val="00481EBF"/>
    <w:rsid w:val="004822C4"/>
    <w:rsid w:val="004824C4"/>
    <w:rsid w:val="00482859"/>
    <w:rsid w:val="0048285C"/>
    <w:rsid w:val="00482A1F"/>
    <w:rsid w:val="00482AA6"/>
    <w:rsid w:val="00483266"/>
    <w:rsid w:val="0048353D"/>
    <w:rsid w:val="00483870"/>
    <w:rsid w:val="00483C2C"/>
    <w:rsid w:val="00483D41"/>
    <w:rsid w:val="00483FF2"/>
    <w:rsid w:val="00484118"/>
    <w:rsid w:val="0048496A"/>
    <w:rsid w:val="00484D33"/>
    <w:rsid w:val="00484E0C"/>
    <w:rsid w:val="00484F4F"/>
    <w:rsid w:val="00484F91"/>
    <w:rsid w:val="00484FD3"/>
    <w:rsid w:val="0048547D"/>
    <w:rsid w:val="004854DF"/>
    <w:rsid w:val="0048562A"/>
    <w:rsid w:val="004859F2"/>
    <w:rsid w:val="00485E47"/>
    <w:rsid w:val="00485FAC"/>
    <w:rsid w:val="00485FFD"/>
    <w:rsid w:val="004861C7"/>
    <w:rsid w:val="00486EE4"/>
    <w:rsid w:val="00486EF5"/>
    <w:rsid w:val="00486F74"/>
    <w:rsid w:val="00487CA4"/>
    <w:rsid w:val="00487F57"/>
    <w:rsid w:val="004900FD"/>
    <w:rsid w:val="00490566"/>
    <w:rsid w:val="00490D35"/>
    <w:rsid w:val="00490DF7"/>
    <w:rsid w:val="00490FB4"/>
    <w:rsid w:val="004913F7"/>
    <w:rsid w:val="004914DC"/>
    <w:rsid w:val="0049152E"/>
    <w:rsid w:val="0049198F"/>
    <w:rsid w:val="00491A02"/>
    <w:rsid w:val="00491A74"/>
    <w:rsid w:val="00491C32"/>
    <w:rsid w:val="004920D3"/>
    <w:rsid w:val="004922FA"/>
    <w:rsid w:val="00492314"/>
    <w:rsid w:val="00492A91"/>
    <w:rsid w:val="00492F39"/>
    <w:rsid w:val="004930C3"/>
    <w:rsid w:val="004937DA"/>
    <w:rsid w:val="00493DDB"/>
    <w:rsid w:val="00494E06"/>
    <w:rsid w:val="00495121"/>
    <w:rsid w:val="004951A8"/>
    <w:rsid w:val="00495824"/>
    <w:rsid w:val="00495944"/>
    <w:rsid w:val="00495966"/>
    <w:rsid w:val="00495CCF"/>
    <w:rsid w:val="00495CE2"/>
    <w:rsid w:val="00495E4E"/>
    <w:rsid w:val="004968E0"/>
    <w:rsid w:val="0049720A"/>
    <w:rsid w:val="00497750"/>
    <w:rsid w:val="00497BD0"/>
    <w:rsid w:val="00497D0E"/>
    <w:rsid w:val="004A0391"/>
    <w:rsid w:val="004A0598"/>
    <w:rsid w:val="004A1322"/>
    <w:rsid w:val="004A1A52"/>
    <w:rsid w:val="004A1C49"/>
    <w:rsid w:val="004A1CB7"/>
    <w:rsid w:val="004A1D5C"/>
    <w:rsid w:val="004A1FFC"/>
    <w:rsid w:val="004A2284"/>
    <w:rsid w:val="004A22B5"/>
    <w:rsid w:val="004A22F2"/>
    <w:rsid w:val="004A2C91"/>
    <w:rsid w:val="004A3216"/>
    <w:rsid w:val="004A4595"/>
    <w:rsid w:val="004A4947"/>
    <w:rsid w:val="004A5284"/>
    <w:rsid w:val="004A5420"/>
    <w:rsid w:val="004A5734"/>
    <w:rsid w:val="004A6026"/>
    <w:rsid w:val="004A69D2"/>
    <w:rsid w:val="004A6A6B"/>
    <w:rsid w:val="004A6ABD"/>
    <w:rsid w:val="004A70DC"/>
    <w:rsid w:val="004A78D4"/>
    <w:rsid w:val="004A7B37"/>
    <w:rsid w:val="004A7E0A"/>
    <w:rsid w:val="004A7E2F"/>
    <w:rsid w:val="004A7E82"/>
    <w:rsid w:val="004B007B"/>
    <w:rsid w:val="004B0203"/>
    <w:rsid w:val="004B026B"/>
    <w:rsid w:val="004B05F7"/>
    <w:rsid w:val="004B0716"/>
    <w:rsid w:val="004B084F"/>
    <w:rsid w:val="004B093D"/>
    <w:rsid w:val="004B0E9D"/>
    <w:rsid w:val="004B207F"/>
    <w:rsid w:val="004B2971"/>
    <w:rsid w:val="004B2E71"/>
    <w:rsid w:val="004B2EAF"/>
    <w:rsid w:val="004B2FC1"/>
    <w:rsid w:val="004B3323"/>
    <w:rsid w:val="004B3A0F"/>
    <w:rsid w:val="004B4481"/>
    <w:rsid w:val="004B44E2"/>
    <w:rsid w:val="004B47F0"/>
    <w:rsid w:val="004B4C19"/>
    <w:rsid w:val="004B4CE2"/>
    <w:rsid w:val="004B4D0A"/>
    <w:rsid w:val="004B4DC0"/>
    <w:rsid w:val="004B5A91"/>
    <w:rsid w:val="004B60FB"/>
    <w:rsid w:val="004B6166"/>
    <w:rsid w:val="004B651D"/>
    <w:rsid w:val="004B6703"/>
    <w:rsid w:val="004B68CE"/>
    <w:rsid w:val="004B6972"/>
    <w:rsid w:val="004B6D6F"/>
    <w:rsid w:val="004B7334"/>
    <w:rsid w:val="004B7AF1"/>
    <w:rsid w:val="004C0741"/>
    <w:rsid w:val="004C0C3D"/>
    <w:rsid w:val="004C1504"/>
    <w:rsid w:val="004C18D8"/>
    <w:rsid w:val="004C1A94"/>
    <w:rsid w:val="004C1C2A"/>
    <w:rsid w:val="004C1C5F"/>
    <w:rsid w:val="004C25A2"/>
    <w:rsid w:val="004C33B0"/>
    <w:rsid w:val="004C4405"/>
    <w:rsid w:val="004C46CA"/>
    <w:rsid w:val="004C52AA"/>
    <w:rsid w:val="004C54BB"/>
    <w:rsid w:val="004C5AE9"/>
    <w:rsid w:val="004C5CEC"/>
    <w:rsid w:val="004C5FAA"/>
    <w:rsid w:val="004C6B56"/>
    <w:rsid w:val="004C6E34"/>
    <w:rsid w:val="004C7339"/>
    <w:rsid w:val="004C73E1"/>
    <w:rsid w:val="004C7528"/>
    <w:rsid w:val="004C760A"/>
    <w:rsid w:val="004C7A6D"/>
    <w:rsid w:val="004C7A7D"/>
    <w:rsid w:val="004D06EA"/>
    <w:rsid w:val="004D1909"/>
    <w:rsid w:val="004D1C5A"/>
    <w:rsid w:val="004D22C9"/>
    <w:rsid w:val="004D2DD2"/>
    <w:rsid w:val="004D2DF0"/>
    <w:rsid w:val="004D338F"/>
    <w:rsid w:val="004D3E3D"/>
    <w:rsid w:val="004D3F94"/>
    <w:rsid w:val="004D4760"/>
    <w:rsid w:val="004D4BB5"/>
    <w:rsid w:val="004D544C"/>
    <w:rsid w:val="004D56E8"/>
    <w:rsid w:val="004D5CA7"/>
    <w:rsid w:val="004D5EE6"/>
    <w:rsid w:val="004D6AFA"/>
    <w:rsid w:val="004D7411"/>
    <w:rsid w:val="004D7672"/>
    <w:rsid w:val="004D7ABA"/>
    <w:rsid w:val="004D7F7E"/>
    <w:rsid w:val="004E11C4"/>
    <w:rsid w:val="004E2106"/>
    <w:rsid w:val="004E2288"/>
    <w:rsid w:val="004E23CE"/>
    <w:rsid w:val="004E264C"/>
    <w:rsid w:val="004E2B4C"/>
    <w:rsid w:val="004E2B69"/>
    <w:rsid w:val="004E2D97"/>
    <w:rsid w:val="004E30DC"/>
    <w:rsid w:val="004E31DE"/>
    <w:rsid w:val="004E32CC"/>
    <w:rsid w:val="004E3B67"/>
    <w:rsid w:val="004E3C5F"/>
    <w:rsid w:val="004E3CEF"/>
    <w:rsid w:val="004E3FA0"/>
    <w:rsid w:val="004E41CC"/>
    <w:rsid w:val="004E4C75"/>
    <w:rsid w:val="004E4CAC"/>
    <w:rsid w:val="004E4D25"/>
    <w:rsid w:val="004E55F3"/>
    <w:rsid w:val="004E561F"/>
    <w:rsid w:val="004E5B0D"/>
    <w:rsid w:val="004E5C06"/>
    <w:rsid w:val="004E5C6C"/>
    <w:rsid w:val="004E5D30"/>
    <w:rsid w:val="004E698C"/>
    <w:rsid w:val="004E6B44"/>
    <w:rsid w:val="004E6C1F"/>
    <w:rsid w:val="004E6DA4"/>
    <w:rsid w:val="004E6E2A"/>
    <w:rsid w:val="004E747C"/>
    <w:rsid w:val="004E7850"/>
    <w:rsid w:val="004E7C94"/>
    <w:rsid w:val="004E7FED"/>
    <w:rsid w:val="004F1044"/>
    <w:rsid w:val="004F12B3"/>
    <w:rsid w:val="004F17BC"/>
    <w:rsid w:val="004F18F4"/>
    <w:rsid w:val="004F2C55"/>
    <w:rsid w:val="004F2C90"/>
    <w:rsid w:val="004F2CCD"/>
    <w:rsid w:val="004F3499"/>
    <w:rsid w:val="004F3791"/>
    <w:rsid w:val="004F3BE3"/>
    <w:rsid w:val="004F3D3D"/>
    <w:rsid w:val="004F3F59"/>
    <w:rsid w:val="004F47B6"/>
    <w:rsid w:val="004F4EA8"/>
    <w:rsid w:val="004F5028"/>
    <w:rsid w:val="004F5701"/>
    <w:rsid w:val="004F583B"/>
    <w:rsid w:val="004F64F3"/>
    <w:rsid w:val="004F6A9F"/>
    <w:rsid w:val="004F6AA8"/>
    <w:rsid w:val="004F6D8A"/>
    <w:rsid w:val="004F6E23"/>
    <w:rsid w:val="004F7871"/>
    <w:rsid w:val="004F79AB"/>
    <w:rsid w:val="004F7D8A"/>
    <w:rsid w:val="004F7D9A"/>
    <w:rsid w:val="00500026"/>
    <w:rsid w:val="0050006A"/>
    <w:rsid w:val="00500428"/>
    <w:rsid w:val="00500525"/>
    <w:rsid w:val="005006D7"/>
    <w:rsid w:val="005007F6"/>
    <w:rsid w:val="00500F73"/>
    <w:rsid w:val="0050157B"/>
    <w:rsid w:val="00501CA0"/>
    <w:rsid w:val="00501EC7"/>
    <w:rsid w:val="00502761"/>
    <w:rsid w:val="00502941"/>
    <w:rsid w:val="005030E2"/>
    <w:rsid w:val="00503162"/>
    <w:rsid w:val="00503249"/>
    <w:rsid w:val="005035E1"/>
    <w:rsid w:val="00503CA5"/>
    <w:rsid w:val="00503CBC"/>
    <w:rsid w:val="00503D8A"/>
    <w:rsid w:val="005046DF"/>
    <w:rsid w:val="00504D0A"/>
    <w:rsid w:val="00505223"/>
    <w:rsid w:val="00505365"/>
    <w:rsid w:val="005055C4"/>
    <w:rsid w:val="005056BE"/>
    <w:rsid w:val="00505914"/>
    <w:rsid w:val="00505A1F"/>
    <w:rsid w:val="005063B9"/>
    <w:rsid w:val="005063FF"/>
    <w:rsid w:val="0050660F"/>
    <w:rsid w:val="0050673F"/>
    <w:rsid w:val="0050674D"/>
    <w:rsid w:val="00506D89"/>
    <w:rsid w:val="0050748A"/>
    <w:rsid w:val="00507761"/>
    <w:rsid w:val="00507FAA"/>
    <w:rsid w:val="00507FF9"/>
    <w:rsid w:val="0051001C"/>
    <w:rsid w:val="005102A8"/>
    <w:rsid w:val="00511030"/>
    <w:rsid w:val="005111A3"/>
    <w:rsid w:val="005115BF"/>
    <w:rsid w:val="00511742"/>
    <w:rsid w:val="005117FD"/>
    <w:rsid w:val="00511A13"/>
    <w:rsid w:val="00511A95"/>
    <w:rsid w:val="00511C39"/>
    <w:rsid w:val="00511D63"/>
    <w:rsid w:val="00511F29"/>
    <w:rsid w:val="00511F8A"/>
    <w:rsid w:val="0051210C"/>
    <w:rsid w:val="0051215B"/>
    <w:rsid w:val="0051216E"/>
    <w:rsid w:val="0051367D"/>
    <w:rsid w:val="005137A0"/>
    <w:rsid w:val="005137E7"/>
    <w:rsid w:val="00513D59"/>
    <w:rsid w:val="00513DF7"/>
    <w:rsid w:val="005144E0"/>
    <w:rsid w:val="005149D8"/>
    <w:rsid w:val="00514D93"/>
    <w:rsid w:val="00515D23"/>
    <w:rsid w:val="00515F5E"/>
    <w:rsid w:val="00516135"/>
    <w:rsid w:val="00516613"/>
    <w:rsid w:val="005169EC"/>
    <w:rsid w:val="00517049"/>
    <w:rsid w:val="00517446"/>
    <w:rsid w:val="00517924"/>
    <w:rsid w:val="00517AE9"/>
    <w:rsid w:val="00517BE0"/>
    <w:rsid w:val="005210FF"/>
    <w:rsid w:val="0052113D"/>
    <w:rsid w:val="005211B9"/>
    <w:rsid w:val="005212BF"/>
    <w:rsid w:val="005212C4"/>
    <w:rsid w:val="005219B3"/>
    <w:rsid w:val="00521A8C"/>
    <w:rsid w:val="00522134"/>
    <w:rsid w:val="005221E6"/>
    <w:rsid w:val="0052242C"/>
    <w:rsid w:val="00522C9A"/>
    <w:rsid w:val="00522E32"/>
    <w:rsid w:val="005231B4"/>
    <w:rsid w:val="0052321D"/>
    <w:rsid w:val="005233D4"/>
    <w:rsid w:val="0052358F"/>
    <w:rsid w:val="00523913"/>
    <w:rsid w:val="00523914"/>
    <w:rsid w:val="0052395C"/>
    <w:rsid w:val="00523B0D"/>
    <w:rsid w:val="0052454B"/>
    <w:rsid w:val="00524C7F"/>
    <w:rsid w:val="00524CBA"/>
    <w:rsid w:val="00524E2D"/>
    <w:rsid w:val="00525024"/>
    <w:rsid w:val="00525201"/>
    <w:rsid w:val="005259EB"/>
    <w:rsid w:val="00525CD8"/>
    <w:rsid w:val="00525F46"/>
    <w:rsid w:val="0052636C"/>
    <w:rsid w:val="00526431"/>
    <w:rsid w:val="005267DA"/>
    <w:rsid w:val="00526806"/>
    <w:rsid w:val="00526932"/>
    <w:rsid w:val="00526C17"/>
    <w:rsid w:val="00526DD9"/>
    <w:rsid w:val="00526F62"/>
    <w:rsid w:val="005270FD"/>
    <w:rsid w:val="0052741F"/>
    <w:rsid w:val="00527513"/>
    <w:rsid w:val="00527935"/>
    <w:rsid w:val="00530678"/>
    <w:rsid w:val="005308AC"/>
    <w:rsid w:val="00530983"/>
    <w:rsid w:val="00530E0E"/>
    <w:rsid w:val="00531029"/>
    <w:rsid w:val="00531476"/>
    <w:rsid w:val="00531576"/>
    <w:rsid w:val="00531905"/>
    <w:rsid w:val="00531AE7"/>
    <w:rsid w:val="00531BF6"/>
    <w:rsid w:val="00531DC8"/>
    <w:rsid w:val="00531FAD"/>
    <w:rsid w:val="0053210E"/>
    <w:rsid w:val="005327F1"/>
    <w:rsid w:val="0053288B"/>
    <w:rsid w:val="00533407"/>
    <w:rsid w:val="0053371D"/>
    <w:rsid w:val="00533730"/>
    <w:rsid w:val="00533917"/>
    <w:rsid w:val="00533C9B"/>
    <w:rsid w:val="0053443B"/>
    <w:rsid w:val="0053451F"/>
    <w:rsid w:val="00534D44"/>
    <w:rsid w:val="00534DF8"/>
    <w:rsid w:val="005352E3"/>
    <w:rsid w:val="005354CB"/>
    <w:rsid w:val="00535654"/>
    <w:rsid w:val="00535774"/>
    <w:rsid w:val="005357A5"/>
    <w:rsid w:val="00536206"/>
    <w:rsid w:val="005363D6"/>
    <w:rsid w:val="005364DB"/>
    <w:rsid w:val="00536BFC"/>
    <w:rsid w:val="00536E19"/>
    <w:rsid w:val="00537019"/>
    <w:rsid w:val="00537207"/>
    <w:rsid w:val="00537917"/>
    <w:rsid w:val="00537ABE"/>
    <w:rsid w:val="00537CA6"/>
    <w:rsid w:val="00537E57"/>
    <w:rsid w:val="00540131"/>
    <w:rsid w:val="00540156"/>
    <w:rsid w:val="00540D52"/>
    <w:rsid w:val="00540D6D"/>
    <w:rsid w:val="0054102E"/>
    <w:rsid w:val="0054113A"/>
    <w:rsid w:val="00541665"/>
    <w:rsid w:val="00542669"/>
    <w:rsid w:val="005426D1"/>
    <w:rsid w:val="00542F00"/>
    <w:rsid w:val="00543B2F"/>
    <w:rsid w:val="00544082"/>
    <w:rsid w:val="0054422F"/>
    <w:rsid w:val="0054458B"/>
    <w:rsid w:val="00544613"/>
    <w:rsid w:val="00544DDD"/>
    <w:rsid w:val="00545569"/>
    <w:rsid w:val="00545E6B"/>
    <w:rsid w:val="00545FA5"/>
    <w:rsid w:val="005460AD"/>
    <w:rsid w:val="005460B7"/>
    <w:rsid w:val="005464BD"/>
    <w:rsid w:val="00546820"/>
    <w:rsid w:val="005469D3"/>
    <w:rsid w:val="00546A4C"/>
    <w:rsid w:val="00546CE8"/>
    <w:rsid w:val="00546D6C"/>
    <w:rsid w:val="00546D82"/>
    <w:rsid w:val="00546E06"/>
    <w:rsid w:val="00547144"/>
    <w:rsid w:val="005501AE"/>
    <w:rsid w:val="005502BC"/>
    <w:rsid w:val="00550CE3"/>
    <w:rsid w:val="00550E5C"/>
    <w:rsid w:val="005510B7"/>
    <w:rsid w:val="005512F3"/>
    <w:rsid w:val="00551783"/>
    <w:rsid w:val="00551BB6"/>
    <w:rsid w:val="00552861"/>
    <w:rsid w:val="00552884"/>
    <w:rsid w:val="005528DF"/>
    <w:rsid w:val="00553201"/>
    <w:rsid w:val="0055337D"/>
    <w:rsid w:val="00553D29"/>
    <w:rsid w:val="0055400E"/>
    <w:rsid w:val="005549E4"/>
    <w:rsid w:val="00554C30"/>
    <w:rsid w:val="00554E13"/>
    <w:rsid w:val="00554F84"/>
    <w:rsid w:val="005550A5"/>
    <w:rsid w:val="00555961"/>
    <w:rsid w:val="00555AC8"/>
    <w:rsid w:val="00556273"/>
    <w:rsid w:val="005567A3"/>
    <w:rsid w:val="00556CFB"/>
    <w:rsid w:val="00556E55"/>
    <w:rsid w:val="00557595"/>
    <w:rsid w:val="0055795E"/>
    <w:rsid w:val="00557A64"/>
    <w:rsid w:val="00557F94"/>
    <w:rsid w:val="005602BA"/>
    <w:rsid w:val="005606A2"/>
    <w:rsid w:val="00560839"/>
    <w:rsid w:val="00560A8D"/>
    <w:rsid w:val="00560AB0"/>
    <w:rsid w:val="00560B78"/>
    <w:rsid w:val="00560CC1"/>
    <w:rsid w:val="00560FA3"/>
    <w:rsid w:val="00561568"/>
    <w:rsid w:val="005616B8"/>
    <w:rsid w:val="005620E7"/>
    <w:rsid w:val="00562442"/>
    <w:rsid w:val="00562522"/>
    <w:rsid w:val="00562668"/>
    <w:rsid w:val="005627E1"/>
    <w:rsid w:val="0056281B"/>
    <w:rsid w:val="00562A43"/>
    <w:rsid w:val="00562C8E"/>
    <w:rsid w:val="0056306A"/>
    <w:rsid w:val="005630F7"/>
    <w:rsid w:val="00563429"/>
    <w:rsid w:val="00563908"/>
    <w:rsid w:val="005639BF"/>
    <w:rsid w:val="00563F90"/>
    <w:rsid w:val="005640FC"/>
    <w:rsid w:val="00564CEB"/>
    <w:rsid w:val="00564DE6"/>
    <w:rsid w:val="005651AF"/>
    <w:rsid w:val="00565BAC"/>
    <w:rsid w:val="00565BC0"/>
    <w:rsid w:val="00566B7E"/>
    <w:rsid w:val="00566D94"/>
    <w:rsid w:val="00567075"/>
    <w:rsid w:val="00567D1C"/>
    <w:rsid w:val="00570057"/>
    <w:rsid w:val="00570332"/>
    <w:rsid w:val="00570BE8"/>
    <w:rsid w:val="00570EF1"/>
    <w:rsid w:val="00571247"/>
    <w:rsid w:val="005716C3"/>
    <w:rsid w:val="00571D9E"/>
    <w:rsid w:val="00571F1A"/>
    <w:rsid w:val="00572162"/>
    <w:rsid w:val="00572414"/>
    <w:rsid w:val="00572684"/>
    <w:rsid w:val="005726B9"/>
    <w:rsid w:val="005729CA"/>
    <w:rsid w:val="00572BC9"/>
    <w:rsid w:val="0057307E"/>
    <w:rsid w:val="005730B8"/>
    <w:rsid w:val="005732D4"/>
    <w:rsid w:val="005733AA"/>
    <w:rsid w:val="00573522"/>
    <w:rsid w:val="00573722"/>
    <w:rsid w:val="00573FF2"/>
    <w:rsid w:val="00574454"/>
    <w:rsid w:val="0057463D"/>
    <w:rsid w:val="00575278"/>
    <w:rsid w:val="005757FD"/>
    <w:rsid w:val="00575DCA"/>
    <w:rsid w:val="00575F77"/>
    <w:rsid w:val="0057631A"/>
    <w:rsid w:val="00576A02"/>
    <w:rsid w:val="00576B60"/>
    <w:rsid w:val="00577129"/>
    <w:rsid w:val="0057762F"/>
    <w:rsid w:val="00577802"/>
    <w:rsid w:val="00577BE9"/>
    <w:rsid w:val="00577C0D"/>
    <w:rsid w:val="00577DD6"/>
    <w:rsid w:val="00577F09"/>
    <w:rsid w:val="00580075"/>
    <w:rsid w:val="00580557"/>
    <w:rsid w:val="00580709"/>
    <w:rsid w:val="00580798"/>
    <w:rsid w:val="00580A1F"/>
    <w:rsid w:val="00580BBF"/>
    <w:rsid w:val="00580D0A"/>
    <w:rsid w:val="00580E75"/>
    <w:rsid w:val="005811AB"/>
    <w:rsid w:val="00581241"/>
    <w:rsid w:val="005816A3"/>
    <w:rsid w:val="005818F6"/>
    <w:rsid w:val="00581905"/>
    <w:rsid w:val="0058197D"/>
    <w:rsid w:val="00581D9B"/>
    <w:rsid w:val="00582394"/>
    <w:rsid w:val="005825BC"/>
    <w:rsid w:val="00582AC6"/>
    <w:rsid w:val="00582DD6"/>
    <w:rsid w:val="00583452"/>
    <w:rsid w:val="0058349C"/>
    <w:rsid w:val="00583668"/>
    <w:rsid w:val="0058368E"/>
    <w:rsid w:val="00583D1B"/>
    <w:rsid w:val="00583D5C"/>
    <w:rsid w:val="005848CA"/>
    <w:rsid w:val="005848D0"/>
    <w:rsid w:val="005854DE"/>
    <w:rsid w:val="00585962"/>
    <w:rsid w:val="00585D2B"/>
    <w:rsid w:val="00586027"/>
    <w:rsid w:val="00586ECE"/>
    <w:rsid w:val="00586FD7"/>
    <w:rsid w:val="00587032"/>
    <w:rsid w:val="0058755E"/>
    <w:rsid w:val="005875FB"/>
    <w:rsid w:val="00587715"/>
    <w:rsid w:val="00587974"/>
    <w:rsid w:val="00587FD1"/>
    <w:rsid w:val="005904BB"/>
    <w:rsid w:val="00590C31"/>
    <w:rsid w:val="00590C58"/>
    <w:rsid w:val="00590DD0"/>
    <w:rsid w:val="0059189D"/>
    <w:rsid w:val="00591BCC"/>
    <w:rsid w:val="00591E04"/>
    <w:rsid w:val="00591EF7"/>
    <w:rsid w:val="00592310"/>
    <w:rsid w:val="0059259E"/>
    <w:rsid w:val="0059271F"/>
    <w:rsid w:val="005927A9"/>
    <w:rsid w:val="00592809"/>
    <w:rsid w:val="00592B05"/>
    <w:rsid w:val="00592BDE"/>
    <w:rsid w:val="00592C9F"/>
    <w:rsid w:val="00592E5A"/>
    <w:rsid w:val="0059320C"/>
    <w:rsid w:val="00593353"/>
    <w:rsid w:val="00593413"/>
    <w:rsid w:val="0059421C"/>
    <w:rsid w:val="0059456C"/>
    <w:rsid w:val="00594771"/>
    <w:rsid w:val="00594A44"/>
    <w:rsid w:val="00594E62"/>
    <w:rsid w:val="005965AA"/>
    <w:rsid w:val="005966DF"/>
    <w:rsid w:val="00596890"/>
    <w:rsid w:val="00596B8B"/>
    <w:rsid w:val="00596C97"/>
    <w:rsid w:val="00596EBB"/>
    <w:rsid w:val="0059721F"/>
    <w:rsid w:val="005973A4"/>
    <w:rsid w:val="005976D2"/>
    <w:rsid w:val="005979B0"/>
    <w:rsid w:val="00597A7B"/>
    <w:rsid w:val="00597B9D"/>
    <w:rsid w:val="005A0004"/>
    <w:rsid w:val="005A0515"/>
    <w:rsid w:val="005A0C53"/>
    <w:rsid w:val="005A0FFE"/>
    <w:rsid w:val="005A1124"/>
    <w:rsid w:val="005A1422"/>
    <w:rsid w:val="005A1A54"/>
    <w:rsid w:val="005A1D4C"/>
    <w:rsid w:val="005A1EAF"/>
    <w:rsid w:val="005A200C"/>
    <w:rsid w:val="005A2274"/>
    <w:rsid w:val="005A2A85"/>
    <w:rsid w:val="005A2D7E"/>
    <w:rsid w:val="005A2F41"/>
    <w:rsid w:val="005A3062"/>
    <w:rsid w:val="005A32F2"/>
    <w:rsid w:val="005A343F"/>
    <w:rsid w:val="005A3BA5"/>
    <w:rsid w:val="005A4049"/>
    <w:rsid w:val="005A4112"/>
    <w:rsid w:val="005A47B6"/>
    <w:rsid w:val="005A5847"/>
    <w:rsid w:val="005A5FEB"/>
    <w:rsid w:val="005A600A"/>
    <w:rsid w:val="005A61CC"/>
    <w:rsid w:val="005A61D8"/>
    <w:rsid w:val="005A6233"/>
    <w:rsid w:val="005A68C3"/>
    <w:rsid w:val="005A6932"/>
    <w:rsid w:val="005A6D2E"/>
    <w:rsid w:val="005A6F92"/>
    <w:rsid w:val="005A7203"/>
    <w:rsid w:val="005A77EE"/>
    <w:rsid w:val="005A7CA3"/>
    <w:rsid w:val="005B08DD"/>
    <w:rsid w:val="005B0CBB"/>
    <w:rsid w:val="005B0D29"/>
    <w:rsid w:val="005B0F62"/>
    <w:rsid w:val="005B0FE5"/>
    <w:rsid w:val="005B1011"/>
    <w:rsid w:val="005B1ABF"/>
    <w:rsid w:val="005B1AC6"/>
    <w:rsid w:val="005B1E28"/>
    <w:rsid w:val="005B24B3"/>
    <w:rsid w:val="005B24E2"/>
    <w:rsid w:val="005B292E"/>
    <w:rsid w:val="005B2AE6"/>
    <w:rsid w:val="005B2C56"/>
    <w:rsid w:val="005B2D58"/>
    <w:rsid w:val="005B33FE"/>
    <w:rsid w:val="005B379F"/>
    <w:rsid w:val="005B39CB"/>
    <w:rsid w:val="005B3A3B"/>
    <w:rsid w:val="005B3EED"/>
    <w:rsid w:val="005B4324"/>
    <w:rsid w:val="005B4556"/>
    <w:rsid w:val="005B45EF"/>
    <w:rsid w:val="005B46A4"/>
    <w:rsid w:val="005B4A63"/>
    <w:rsid w:val="005B4BE0"/>
    <w:rsid w:val="005B518D"/>
    <w:rsid w:val="005B54A3"/>
    <w:rsid w:val="005B571C"/>
    <w:rsid w:val="005B57B8"/>
    <w:rsid w:val="005B5D74"/>
    <w:rsid w:val="005B655A"/>
    <w:rsid w:val="005B72BF"/>
    <w:rsid w:val="005B7DF9"/>
    <w:rsid w:val="005C05F9"/>
    <w:rsid w:val="005C0733"/>
    <w:rsid w:val="005C0F37"/>
    <w:rsid w:val="005C1742"/>
    <w:rsid w:val="005C19FF"/>
    <w:rsid w:val="005C1C3F"/>
    <w:rsid w:val="005C1DC4"/>
    <w:rsid w:val="005C1E1E"/>
    <w:rsid w:val="005C20CE"/>
    <w:rsid w:val="005C24E9"/>
    <w:rsid w:val="005C2653"/>
    <w:rsid w:val="005C2BC0"/>
    <w:rsid w:val="005C35D9"/>
    <w:rsid w:val="005C3795"/>
    <w:rsid w:val="005C379E"/>
    <w:rsid w:val="005C3A7A"/>
    <w:rsid w:val="005C3E64"/>
    <w:rsid w:val="005C3F95"/>
    <w:rsid w:val="005C4283"/>
    <w:rsid w:val="005C44E9"/>
    <w:rsid w:val="005C4603"/>
    <w:rsid w:val="005C4691"/>
    <w:rsid w:val="005C4759"/>
    <w:rsid w:val="005C4C77"/>
    <w:rsid w:val="005C4CA6"/>
    <w:rsid w:val="005C53AD"/>
    <w:rsid w:val="005C5B84"/>
    <w:rsid w:val="005C5E5A"/>
    <w:rsid w:val="005C6462"/>
    <w:rsid w:val="005C68E5"/>
    <w:rsid w:val="005C6969"/>
    <w:rsid w:val="005C7563"/>
    <w:rsid w:val="005C790D"/>
    <w:rsid w:val="005C7CAD"/>
    <w:rsid w:val="005C7F43"/>
    <w:rsid w:val="005C7F79"/>
    <w:rsid w:val="005D1084"/>
    <w:rsid w:val="005D159C"/>
    <w:rsid w:val="005D18C8"/>
    <w:rsid w:val="005D1944"/>
    <w:rsid w:val="005D1A4F"/>
    <w:rsid w:val="005D1DB5"/>
    <w:rsid w:val="005D1E01"/>
    <w:rsid w:val="005D265B"/>
    <w:rsid w:val="005D2660"/>
    <w:rsid w:val="005D2ECE"/>
    <w:rsid w:val="005D350C"/>
    <w:rsid w:val="005D3569"/>
    <w:rsid w:val="005D3986"/>
    <w:rsid w:val="005D3A88"/>
    <w:rsid w:val="005D3EC3"/>
    <w:rsid w:val="005D4014"/>
    <w:rsid w:val="005D450D"/>
    <w:rsid w:val="005D45DC"/>
    <w:rsid w:val="005D483A"/>
    <w:rsid w:val="005D485B"/>
    <w:rsid w:val="005D4A36"/>
    <w:rsid w:val="005D4D90"/>
    <w:rsid w:val="005D50CE"/>
    <w:rsid w:val="005D55FD"/>
    <w:rsid w:val="005D56BB"/>
    <w:rsid w:val="005D5A82"/>
    <w:rsid w:val="005D5AA7"/>
    <w:rsid w:val="005D5C03"/>
    <w:rsid w:val="005D5CB6"/>
    <w:rsid w:val="005D5F0E"/>
    <w:rsid w:val="005D5F47"/>
    <w:rsid w:val="005D6172"/>
    <w:rsid w:val="005D63FC"/>
    <w:rsid w:val="005D650B"/>
    <w:rsid w:val="005D653E"/>
    <w:rsid w:val="005D6B0A"/>
    <w:rsid w:val="005D6C0F"/>
    <w:rsid w:val="005D6EC3"/>
    <w:rsid w:val="005D6F99"/>
    <w:rsid w:val="005D748A"/>
    <w:rsid w:val="005D74C6"/>
    <w:rsid w:val="005D76A2"/>
    <w:rsid w:val="005D7707"/>
    <w:rsid w:val="005E02FB"/>
    <w:rsid w:val="005E089C"/>
    <w:rsid w:val="005E0A5F"/>
    <w:rsid w:val="005E0BA6"/>
    <w:rsid w:val="005E0BEB"/>
    <w:rsid w:val="005E0D4F"/>
    <w:rsid w:val="005E0DED"/>
    <w:rsid w:val="005E0FA9"/>
    <w:rsid w:val="005E10B1"/>
    <w:rsid w:val="005E191F"/>
    <w:rsid w:val="005E1ADD"/>
    <w:rsid w:val="005E1B65"/>
    <w:rsid w:val="005E1CA7"/>
    <w:rsid w:val="005E1E56"/>
    <w:rsid w:val="005E2113"/>
    <w:rsid w:val="005E2520"/>
    <w:rsid w:val="005E2E24"/>
    <w:rsid w:val="005E3572"/>
    <w:rsid w:val="005E392C"/>
    <w:rsid w:val="005E3F85"/>
    <w:rsid w:val="005E4061"/>
    <w:rsid w:val="005E414B"/>
    <w:rsid w:val="005E4986"/>
    <w:rsid w:val="005E4F92"/>
    <w:rsid w:val="005E53E2"/>
    <w:rsid w:val="005E61BE"/>
    <w:rsid w:val="005E62F9"/>
    <w:rsid w:val="005E6731"/>
    <w:rsid w:val="005E6D65"/>
    <w:rsid w:val="005E71D4"/>
    <w:rsid w:val="005E7301"/>
    <w:rsid w:val="005E7D5C"/>
    <w:rsid w:val="005E7DB0"/>
    <w:rsid w:val="005F0413"/>
    <w:rsid w:val="005F0555"/>
    <w:rsid w:val="005F05D2"/>
    <w:rsid w:val="005F0A3C"/>
    <w:rsid w:val="005F0B8A"/>
    <w:rsid w:val="005F0BCC"/>
    <w:rsid w:val="005F122A"/>
    <w:rsid w:val="005F1D99"/>
    <w:rsid w:val="005F2040"/>
    <w:rsid w:val="005F259A"/>
    <w:rsid w:val="005F25E1"/>
    <w:rsid w:val="005F2680"/>
    <w:rsid w:val="005F272A"/>
    <w:rsid w:val="005F2977"/>
    <w:rsid w:val="005F3116"/>
    <w:rsid w:val="005F366F"/>
    <w:rsid w:val="005F3B11"/>
    <w:rsid w:val="005F43CC"/>
    <w:rsid w:val="005F4A67"/>
    <w:rsid w:val="005F57C5"/>
    <w:rsid w:val="005F57EC"/>
    <w:rsid w:val="005F623C"/>
    <w:rsid w:val="005F6284"/>
    <w:rsid w:val="005F66E9"/>
    <w:rsid w:val="005F6A86"/>
    <w:rsid w:val="005F6AA3"/>
    <w:rsid w:val="005F6F27"/>
    <w:rsid w:val="005F6F29"/>
    <w:rsid w:val="005F6FCC"/>
    <w:rsid w:val="005F744E"/>
    <w:rsid w:val="005F7D9E"/>
    <w:rsid w:val="005F7FC2"/>
    <w:rsid w:val="00600194"/>
    <w:rsid w:val="00600938"/>
    <w:rsid w:val="00600A7F"/>
    <w:rsid w:val="00600CCB"/>
    <w:rsid w:val="00600FA0"/>
    <w:rsid w:val="00601483"/>
    <w:rsid w:val="00601614"/>
    <w:rsid w:val="00601D33"/>
    <w:rsid w:val="00601DF8"/>
    <w:rsid w:val="006025AA"/>
    <w:rsid w:val="00602A3A"/>
    <w:rsid w:val="00602AA0"/>
    <w:rsid w:val="00602B48"/>
    <w:rsid w:val="00602D23"/>
    <w:rsid w:val="0060359F"/>
    <w:rsid w:val="0060368D"/>
    <w:rsid w:val="00603748"/>
    <w:rsid w:val="00603B7A"/>
    <w:rsid w:val="00603BD2"/>
    <w:rsid w:val="00604301"/>
    <w:rsid w:val="00604362"/>
    <w:rsid w:val="006043A4"/>
    <w:rsid w:val="006044BC"/>
    <w:rsid w:val="006045B2"/>
    <w:rsid w:val="006047B8"/>
    <w:rsid w:val="00604A53"/>
    <w:rsid w:val="00604E17"/>
    <w:rsid w:val="00604F15"/>
    <w:rsid w:val="00604FC9"/>
    <w:rsid w:val="00605261"/>
    <w:rsid w:val="006061C2"/>
    <w:rsid w:val="0060660F"/>
    <w:rsid w:val="00606719"/>
    <w:rsid w:val="00607166"/>
    <w:rsid w:val="00607249"/>
    <w:rsid w:val="0060760A"/>
    <w:rsid w:val="0060787B"/>
    <w:rsid w:val="00607F92"/>
    <w:rsid w:val="00610844"/>
    <w:rsid w:val="00610D24"/>
    <w:rsid w:val="0061107B"/>
    <w:rsid w:val="0061126C"/>
    <w:rsid w:val="00611A28"/>
    <w:rsid w:val="0061215B"/>
    <w:rsid w:val="00612281"/>
    <w:rsid w:val="00612755"/>
    <w:rsid w:val="00612962"/>
    <w:rsid w:val="00612F81"/>
    <w:rsid w:val="00613236"/>
    <w:rsid w:val="00613291"/>
    <w:rsid w:val="00613480"/>
    <w:rsid w:val="00613B92"/>
    <w:rsid w:val="00613D5C"/>
    <w:rsid w:val="0061401C"/>
    <w:rsid w:val="006140AD"/>
    <w:rsid w:val="00614B65"/>
    <w:rsid w:val="00615830"/>
    <w:rsid w:val="00615ACD"/>
    <w:rsid w:val="0061605E"/>
    <w:rsid w:val="006160B0"/>
    <w:rsid w:val="0061687A"/>
    <w:rsid w:val="00616A3D"/>
    <w:rsid w:val="00616A6B"/>
    <w:rsid w:val="00617B95"/>
    <w:rsid w:val="00620378"/>
    <w:rsid w:val="006204BE"/>
    <w:rsid w:val="00620EC4"/>
    <w:rsid w:val="00620F2D"/>
    <w:rsid w:val="006212A6"/>
    <w:rsid w:val="0062158C"/>
    <w:rsid w:val="00621711"/>
    <w:rsid w:val="006226BA"/>
    <w:rsid w:val="00622FE9"/>
    <w:rsid w:val="006231B7"/>
    <w:rsid w:val="006234FE"/>
    <w:rsid w:val="006236F5"/>
    <w:rsid w:val="006237C9"/>
    <w:rsid w:val="00623D39"/>
    <w:rsid w:val="00623E21"/>
    <w:rsid w:val="00623EC6"/>
    <w:rsid w:val="00623FEA"/>
    <w:rsid w:val="00624AE9"/>
    <w:rsid w:val="00624B21"/>
    <w:rsid w:val="006263C4"/>
    <w:rsid w:val="00626629"/>
    <w:rsid w:val="006268ED"/>
    <w:rsid w:val="00626961"/>
    <w:rsid w:val="00626B79"/>
    <w:rsid w:val="00626DBC"/>
    <w:rsid w:val="006271F5"/>
    <w:rsid w:val="006273B2"/>
    <w:rsid w:val="00627A4A"/>
    <w:rsid w:val="00627EA2"/>
    <w:rsid w:val="006307A6"/>
    <w:rsid w:val="00630A9A"/>
    <w:rsid w:val="00630ECB"/>
    <w:rsid w:val="00631286"/>
    <w:rsid w:val="006316E2"/>
    <w:rsid w:val="00631FB7"/>
    <w:rsid w:val="0063295A"/>
    <w:rsid w:val="00632AED"/>
    <w:rsid w:val="00633197"/>
    <w:rsid w:val="006332EA"/>
    <w:rsid w:val="0063353C"/>
    <w:rsid w:val="00633755"/>
    <w:rsid w:val="006339C0"/>
    <w:rsid w:val="00633D4B"/>
    <w:rsid w:val="00633ECD"/>
    <w:rsid w:val="00634218"/>
    <w:rsid w:val="00634567"/>
    <w:rsid w:val="0063529F"/>
    <w:rsid w:val="00635640"/>
    <w:rsid w:val="00635A66"/>
    <w:rsid w:val="00636134"/>
    <w:rsid w:val="00636389"/>
    <w:rsid w:val="006363CA"/>
    <w:rsid w:val="006365DF"/>
    <w:rsid w:val="00636603"/>
    <w:rsid w:val="00636799"/>
    <w:rsid w:val="00636B8A"/>
    <w:rsid w:val="00636C24"/>
    <w:rsid w:val="00637695"/>
    <w:rsid w:val="006376D3"/>
    <w:rsid w:val="00637A03"/>
    <w:rsid w:val="00637D90"/>
    <w:rsid w:val="00637FF8"/>
    <w:rsid w:val="006402AA"/>
    <w:rsid w:val="006403BD"/>
    <w:rsid w:val="006405D2"/>
    <w:rsid w:val="00640743"/>
    <w:rsid w:val="0064074A"/>
    <w:rsid w:val="0064095B"/>
    <w:rsid w:val="006410C3"/>
    <w:rsid w:val="0064137B"/>
    <w:rsid w:val="006418AD"/>
    <w:rsid w:val="006419CF"/>
    <w:rsid w:val="00641A54"/>
    <w:rsid w:val="00641CB3"/>
    <w:rsid w:val="00641DA2"/>
    <w:rsid w:val="0064201F"/>
    <w:rsid w:val="0064214A"/>
    <w:rsid w:val="00642191"/>
    <w:rsid w:val="00643D36"/>
    <w:rsid w:val="00643E6D"/>
    <w:rsid w:val="006440BC"/>
    <w:rsid w:val="0064412A"/>
    <w:rsid w:val="0064420C"/>
    <w:rsid w:val="00644DF4"/>
    <w:rsid w:val="00644E3E"/>
    <w:rsid w:val="00645157"/>
    <w:rsid w:val="00645552"/>
    <w:rsid w:val="00645621"/>
    <w:rsid w:val="006458EA"/>
    <w:rsid w:val="00645C29"/>
    <w:rsid w:val="00646229"/>
    <w:rsid w:val="006467F8"/>
    <w:rsid w:val="006475FE"/>
    <w:rsid w:val="006476B3"/>
    <w:rsid w:val="00647707"/>
    <w:rsid w:val="006477ED"/>
    <w:rsid w:val="00647ABE"/>
    <w:rsid w:val="00647AD6"/>
    <w:rsid w:val="00647C2A"/>
    <w:rsid w:val="00650515"/>
    <w:rsid w:val="0065085B"/>
    <w:rsid w:val="00650F85"/>
    <w:rsid w:val="00651131"/>
    <w:rsid w:val="00651A94"/>
    <w:rsid w:val="00651BC8"/>
    <w:rsid w:val="00651F91"/>
    <w:rsid w:val="006523D9"/>
    <w:rsid w:val="0065252D"/>
    <w:rsid w:val="0065275D"/>
    <w:rsid w:val="00652E0F"/>
    <w:rsid w:val="00653837"/>
    <w:rsid w:val="00653F30"/>
    <w:rsid w:val="00653F34"/>
    <w:rsid w:val="00654871"/>
    <w:rsid w:val="00655091"/>
    <w:rsid w:val="0065511E"/>
    <w:rsid w:val="0065541B"/>
    <w:rsid w:val="00655521"/>
    <w:rsid w:val="006558F0"/>
    <w:rsid w:val="00655DBE"/>
    <w:rsid w:val="00655EF9"/>
    <w:rsid w:val="006566F7"/>
    <w:rsid w:val="006567C9"/>
    <w:rsid w:val="00656BB8"/>
    <w:rsid w:val="0065738B"/>
    <w:rsid w:val="006575C9"/>
    <w:rsid w:val="00657747"/>
    <w:rsid w:val="006577AF"/>
    <w:rsid w:val="00657D18"/>
    <w:rsid w:val="006601F8"/>
    <w:rsid w:val="006604E1"/>
    <w:rsid w:val="00660597"/>
    <w:rsid w:val="006605BD"/>
    <w:rsid w:val="006609C7"/>
    <w:rsid w:val="00660C07"/>
    <w:rsid w:val="00660E77"/>
    <w:rsid w:val="00660FF6"/>
    <w:rsid w:val="00661462"/>
    <w:rsid w:val="00661AD2"/>
    <w:rsid w:val="00661D5D"/>
    <w:rsid w:val="00661FB2"/>
    <w:rsid w:val="0066226A"/>
    <w:rsid w:val="00662577"/>
    <w:rsid w:val="006626DE"/>
    <w:rsid w:val="00662A03"/>
    <w:rsid w:val="00662C2A"/>
    <w:rsid w:val="00662D4D"/>
    <w:rsid w:val="00663058"/>
    <w:rsid w:val="00663844"/>
    <w:rsid w:val="006638AE"/>
    <w:rsid w:val="0066392F"/>
    <w:rsid w:val="00663952"/>
    <w:rsid w:val="00663C8B"/>
    <w:rsid w:val="00663CD5"/>
    <w:rsid w:val="00663EF3"/>
    <w:rsid w:val="00664277"/>
    <w:rsid w:val="006643F0"/>
    <w:rsid w:val="00664837"/>
    <w:rsid w:val="00665412"/>
    <w:rsid w:val="0066639B"/>
    <w:rsid w:val="006663D5"/>
    <w:rsid w:val="00666773"/>
    <w:rsid w:val="0066689C"/>
    <w:rsid w:val="00666A74"/>
    <w:rsid w:val="00666AB9"/>
    <w:rsid w:val="00666BE1"/>
    <w:rsid w:val="00666E69"/>
    <w:rsid w:val="006672EB"/>
    <w:rsid w:val="006678D6"/>
    <w:rsid w:val="00667B46"/>
    <w:rsid w:val="00667CE6"/>
    <w:rsid w:val="00667D77"/>
    <w:rsid w:val="00667DF0"/>
    <w:rsid w:val="006700F1"/>
    <w:rsid w:val="00670625"/>
    <w:rsid w:val="0067079B"/>
    <w:rsid w:val="006709E2"/>
    <w:rsid w:val="006716F2"/>
    <w:rsid w:val="00671D0F"/>
    <w:rsid w:val="006720B8"/>
    <w:rsid w:val="0067265F"/>
    <w:rsid w:val="0067330A"/>
    <w:rsid w:val="006735D8"/>
    <w:rsid w:val="006735F9"/>
    <w:rsid w:val="00673CC0"/>
    <w:rsid w:val="00673D16"/>
    <w:rsid w:val="0067413F"/>
    <w:rsid w:val="0067424B"/>
    <w:rsid w:val="00674342"/>
    <w:rsid w:val="00674A0E"/>
    <w:rsid w:val="00674B35"/>
    <w:rsid w:val="00674B48"/>
    <w:rsid w:val="00674D22"/>
    <w:rsid w:val="006756B4"/>
    <w:rsid w:val="0067676A"/>
    <w:rsid w:val="006768C8"/>
    <w:rsid w:val="00676C37"/>
    <w:rsid w:val="00677076"/>
    <w:rsid w:val="00677125"/>
    <w:rsid w:val="0067747B"/>
    <w:rsid w:val="00677769"/>
    <w:rsid w:val="00677E05"/>
    <w:rsid w:val="0068033D"/>
    <w:rsid w:val="00680668"/>
    <w:rsid w:val="00680A92"/>
    <w:rsid w:val="00680E8E"/>
    <w:rsid w:val="00680F0A"/>
    <w:rsid w:val="00680FC6"/>
    <w:rsid w:val="00681324"/>
    <w:rsid w:val="0068148F"/>
    <w:rsid w:val="006816A4"/>
    <w:rsid w:val="006816DD"/>
    <w:rsid w:val="006819B5"/>
    <w:rsid w:val="0068213F"/>
    <w:rsid w:val="00682599"/>
    <w:rsid w:val="00682924"/>
    <w:rsid w:val="00682B18"/>
    <w:rsid w:val="00683A16"/>
    <w:rsid w:val="00683E6D"/>
    <w:rsid w:val="00684606"/>
    <w:rsid w:val="00684930"/>
    <w:rsid w:val="00685531"/>
    <w:rsid w:val="0068578E"/>
    <w:rsid w:val="00685D33"/>
    <w:rsid w:val="006861B4"/>
    <w:rsid w:val="006865E3"/>
    <w:rsid w:val="006869E2"/>
    <w:rsid w:val="00686B41"/>
    <w:rsid w:val="00686C28"/>
    <w:rsid w:val="00686E6E"/>
    <w:rsid w:val="00687A9F"/>
    <w:rsid w:val="00687DF6"/>
    <w:rsid w:val="006902AA"/>
    <w:rsid w:val="0069080A"/>
    <w:rsid w:val="00690957"/>
    <w:rsid w:val="0069140B"/>
    <w:rsid w:val="0069159F"/>
    <w:rsid w:val="006917A0"/>
    <w:rsid w:val="00691838"/>
    <w:rsid w:val="00691D89"/>
    <w:rsid w:val="006921B6"/>
    <w:rsid w:val="00692483"/>
    <w:rsid w:val="0069259A"/>
    <w:rsid w:val="00692E79"/>
    <w:rsid w:val="00693084"/>
    <w:rsid w:val="006936A3"/>
    <w:rsid w:val="00693F3B"/>
    <w:rsid w:val="00694775"/>
    <w:rsid w:val="00694E51"/>
    <w:rsid w:val="00695270"/>
    <w:rsid w:val="00695982"/>
    <w:rsid w:val="00696295"/>
    <w:rsid w:val="00696DE8"/>
    <w:rsid w:val="0069748A"/>
    <w:rsid w:val="006974FE"/>
    <w:rsid w:val="00697D1F"/>
    <w:rsid w:val="006A0473"/>
    <w:rsid w:val="006A06DC"/>
    <w:rsid w:val="006A0B9F"/>
    <w:rsid w:val="006A10C3"/>
    <w:rsid w:val="006A1105"/>
    <w:rsid w:val="006A1B9E"/>
    <w:rsid w:val="006A1CAD"/>
    <w:rsid w:val="006A23B2"/>
    <w:rsid w:val="006A2769"/>
    <w:rsid w:val="006A28D5"/>
    <w:rsid w:val="006A2ABD"/>
    <w:rsid w:val="006A2E0E"/>
    <w:rsid w:val="006A2E50"/>
    <w:rsid w:val="006A381E"/>
    <w:rsid w:val="006A3AC3"/>
    <w:rsid w:val="006A4840"/>
    <w:rsid w:val="006A4AAC"/>
    <w:rsid w:val="006A4B56"/>
    <w:rsid w:val="006A4BCF"/>
    <w:rsid w:val="006A4E26"/>
    <w:rsid w:val="006A5241"/>
    <w:rsid w:val="006A538A"/>
    <w:rsid w:val="006A5738"/>
    <w:rsid w:val="006A5805"/>
    <w:rsid w:val="006A5AF0"/>
    <w:rsid w:val="006A5C9B"/>
    <w:rsid w:val="006A6195"/>
    <w:rsid w:val="006A638D"/>
    <w:rsid w:val="006A6407"/>
    <w:rsid w:val="006A671C"/>
    <w:rsid w:val="006A68DC"/>
    <w:rsid w:val="006A6DEA"/>
    <w:rsid w:val="006A6E66"/>
    <w:rsid w:val="006A6F03"/>
    <w:rsid w:val="006A6F59"/>
    <w:rsid w:val="006A70FF"/>
    <w:rsid w:val="006A75B4"/>
    <w:rsid w:val="006A7780"/>
    <w:rsid w:val="006A7C33"/>
    <w:rsid w:val="006B0534"/>
    <w:rsid w:val="006B06CE"/>
    <w:rsid w:val="006B06EC"/>
    <w:rsid w:val="006B0C21"/>
    <w:rsid w:val="006B0CBB"/>
    <w:rsid w:val="006B10DB"/>
    <w:rsid w:val="006B16D9"/>
    <w:rsid w:val="006B19A6"/>
    <w:rsid w:val="006B251E"/>
    <w:rsid w:val="006B259C"/>
    <w:rsid w:val="006B2C6B"/>
    <w:rsid w:val="006B2CB6"/>
    <w:rsid w:val="006B2FC3"/>
    <w:rsid w:val="006B301B"/>
    <w:rsid w:val="006B31E4"/>
    <w:rsid w:val="006B35F8"/>
    <w:rsid w:val="006B3BE7"/>
    <w:rsid w:val="006B3C26"/>
    <w:rsid w:val="006B4238"/>
    <w:rsid w:val="006B4489"/>
    <w:rsid w:val="006B47CC"/>
    <w:rsid w:val="006B4922"/>
    <w:rsid w:val="006B4C7D"/>
    <w:rsid w:val="006B4C95"/>
    <w:rsid w:val="006B56E7"/>
    <w:rsid w:val="006B574F"/>
    <w:rsid w:val="006B5864"/>
    <w:rsid w:val="006B5A46"/>
    <w:rsid w:val="006B61E3"/>
    <w:rsid w:val="006B63A6"/>
    <w:rsid w:val="006B6F4E"/>
    <w:rsid w:val="006B73F3"/>
    <w:rsid w:val="006B7649"/>
    <w:rsid w:val="006B79C7"/>
    <w:rsid w:val="006B7B6E"/>
    <w:rsid w:val="006B7CC6"/>
    <w:rsid w:val="006B7DBF"/>
    <w:rsid w:val="006C0194"/>
    <w:rsid w:val="006C01E9"/>
    <w:rsid w:val="006C041F"/>
    <w:rsid w:val="006C059F"/>
    <w:rsid w:val="006C0BA7"/>
    <w:rsid w:val="006C19A4"/>
    <w:rsid w:val="006C1A63"/>
    <w:rsid w:val="006C1B24"/>
    <w:rsid w:val="006C1D5D"/>
    <w:rsid w:val="006C219E"/>
    <w:rsid w:val="006C2336"/>
    <w:rsid w:val="006C26F7"/>
    <w:rsid w:val="006C28E1"/>
    <w:rsid w:val="006C2F50"/>
    <w:rsid w:val="006C376B"/>
    <w:rsid w:val="006C396D"/>
    <w:rsid w:val="006C3A58"/>
    <w:rsid w:val="006C3FD7"/>
    <w:rsid w:val="006C4971"/>
    <w:rsid w:val="006C4D49"/>
    <w:rsid w:val="006C4DD9"/>
    <w:rsid w:val="006C4EBB"/>
    <w:rsid w:val="006C561F"/>
    <w:rsid w:val="006C5950"/>
    <w:rsid w:val="006C6648"/>
    <w:rsid w:val="006C68B4"/>
    <w:rsid w:val="006C75F6"/>
    <w:rsid w:val="006D0493"/>
    <w:rsid w:val="006D0570"/>
    <w:rsid w:val="006D079D"/>
    <w:rsid w:val="006D08EF"/>
    <w:rsid w:val="006D0A25"/>
    <w:rsid w:val="006D0C5B"/>
    <w:rsid w:val="006D1036"/>
    <w:rsid w:val="006D11EA"/>
    <w:rsid w:val="006D1296"/>
    <w:rsid w:val="006D14BE"/>
    <w:rsid w:val="006D1605"/>
    <w:rsid w:val="006D19DE"/>
    <w:rsid w:val="006D1A8E"/>
    <w:rsid w:val="006D1D8D"/>
    <w:rsid w:val="006D22E2"/>
    <w:rsid w:val="006D283E"/>
    <w:rsid w:val="006D29AC"/>
    <w:rsid w:val="006D39C6"/>
    <w:rsid w:val="006D3C3B"/>
    <w:rsid w:val="006D3CEA"/>
    <w:rsid w:val="006D3D9A"/>
    <w:rsid w:val="006D4AE7"/>
    <w:rsid w:val="006D4EA2"/>
    <w:rsid w:val="006D5237"/>
    <w:rsid w:val="006D5507"/>
    <w:rsid w:val="006D633B"/>
    <w:rsid w:val="006D6F25"/>
    <w:rsid w:val="006D7278"/>
    <w:rsid w:val="006D73EC"/>
    <w:rsid w:val="006D769D"/>
    <w:rsid w:val="006D7726"/>
    <w:rsid w:val="006D78B5"/>
    <w:rsid w:val="006D7D38"/>
    <w:rsid w:val="006D7DE9"/>
    <w:rsid w:val="006E0450"/>
    <w:rsid w:val="006E0461"/>
    <w:rsid w:val="006E0EA5"/>
    <w:rsid w:val="006E11D7"/>
    <w:rsid w:val="006E126D"/>
    <w:rsid w:val="006E17E0"/>
    <w:rsid w:val="006E1804"/>
    <w:rsid w:val="006E196F"/>
    <w:rsid w:val="006E1ABF"/>
    <w:rsid w:val="006E1C4C"/>
    <w:rsid w:val="006E2805"/>
    <w:rsid w:val="006E2B9C"/>
    <w:rsid w:val="006E36F0"/>
    <w:rsid w:val="006E3EEC"/>
    <w:rsid w:val="006E3FC6"/>
    <w:rsid w:val="006E4511"/>
    <w:rsid w:val="006E48CC"/>
    <w:rsid w:val="006E4CC9"/>
    <w:rsid w:val="006E4DB0"/>
    <w:rsid w:val="006E505D"/>
    <w:rsid w:val="006E5496"/>
    <w:rsid w:val="006E5787"/>
    <w:rsid w:val="006E5C87"/>
    <w:rsid w:val="006E5C8C"/>
    <w:rsid w:val="006E6106"/>
    <w:rsid w:val="006E62D8"/>
    <w:rsid w:val="006E6531"/>
    <w:rsid w:val="006E65B1"/>
    <w:rsid w:val="006E6B0C"/>
    <w:rsid w:val="006E6B5E"/>
    <w:rsid w:val="006E7186"/>
    <w:rsid w:val="006E7B0D"/>
    <w:rsid w:val="006F0407"/>
    <w:rsid w:val="006F04E6"/>
    <w:rsid w:val="006F0642"/>
    <w:rsid w:val="006F064E"/>
    <w:rsid w:val="006F1060"/>
    <w:rsid w:val="006F119C"/>
    <w:rsid w:val="006F12D0"/>
    <w:rsid w:val="006F14FB"/>
    <w:rsid w:val="006F1A86"/>
    <w:rsid w:val="006F1D3E"/>
    <w:rsid w:val="006F22FF"/>
    <w:rsid w:val="006F2FBC"/>
    <w:rsid w:val="006F311D"/>
    <w:rsid w:val="006F353F"/>
    <w:rsid w:val="006F380A"/>
    <w:rsid w:val="006F3DA7"/>
    <w:rsid w:val="006F3E20"/>
    <w:rsid w:val="006F439A"/>
    <w:rsid w:val="006F4E74"/>
    <w:rsid w:val="006F4F35"/>
    <w:rsid w:val="006F537D"/>
    <w:rsid w:val="006F7709"/>
    <w:rsid w:val="006F77DA"/>
    <w:rsid w:val="006F7A69"/>
    <w:rsid w:val="0070050D"/>
    <w:rsid w:val="0070063D"/>
    <w:rsid w:val="00700678"/>
    <w:rsid w:val="0070105F"/>
    <w:rsid w:val="0070147C"/>
    <w:rsid w:val="0070194D"/>
    <w:rsid w:val="00701F43"/>
    <w:rsid w:val="007022B2"/>
    <w:rsid w:val="00702452"/>
    <w:rsid w:val="00702781"/>
    <w:rsid w:val="007030F6"/>
    <w:rsid w:val="0070330F"/>
    <w:rsid w:val="00703719"/>
    <w:rsid w:val="0070386A"/>
    <w:rsid w:val="00703DBF"/>
    <w:rsid w:val="00703DC5"/>
    <w:rsid w:val="007040A9"/>
    <w:rsid w:val="00704185"/>
    <w:rsid w:val="007045BB"/>
    <w:rsid w:val="00704A4A"/>
    <w:rsid w:val="00704B49"/>
    <w:rsid w:val="00704DD9"/>
    <w:rsid w:val="00704FB2"/>
    <w:rsid w:val="00705A50"/>
    <w:rsid w:val="00705A91"/>
    <w:rsid w:val="00705F3D"/>
    <w:rsid w:val="00706079"/>
    <w:rsid w:val="0070611F"/>
    <w:rsid w:val="00707C78"/>
    <w:rsid w:val="00707E9E"/>
    <w:rsid w:val="00710098"/>
    <w:rsid w:val="00710131"/>
    <w:rsid w:val="00710708"/>
    <w:rsid w:val="007114F2"/>
    <w:rsid w:val="007117EF"/>
    <w:rsid w:val="007118D8"/>
    <w:rsid w:val="007120F8"/>
    <w:rsid w:val="00712B18"/>
    <w:rsid w:val="00712BFE"/>
    <w:rsid w:val="00712CFD"/>
    <w:rsid w:val="00712ED3"/>
    <w:rsid w:val="00713AC0"/>
    <w:rsid w:val="00713C19"/>
    <w:rsid w:val="00713CF1"/>
    <w:rsid w:val="00713D72"/>
    <w:rsid w:val="00713FA0"/>
    <w:rsid w:val="007144E0"/>
    <w:rsid w:val="00714649"/>
    <w:rsid w:val="007151D6"/>
    <w:rsid w:val="007156F0"/>
    <w:rsid w:val="00716213"/>
    <w:rsid w:val="007162D9"/>
    <w:rsid w:val="00716693"/>
    <w:rsid w:val="007168B7"/>
    <w:rsid w:val="00716A9F"/>
    <w:rsid w:val="00716EB6"/>
    <w:rsid w:val="00717482"/>
    <w:rsid w:val="00717B58"/>
    <w:rsid w:val="00717B78"/>
    <w:rsid w:val="00717C2B"/>
    <w:rsid w:val="007200E0"/>
    <w:rsid w:val="00720142"/>
    <w:rsid w:val="00720155"/>
    <w:rsid w:val="00720C80"/>
    <w:rsid w:val="00721292"/>
    <w:rsid w:val="007212EB"/>
    <w:rsid w:val="0072137B"/>
    <w:rsid w:val="0072196B"/>
    <w:rsid w:val="00721C63"/>
    <w:rsid w:val="00721D0A"/>
    <w:rsid w:val="00721D5A"/>
    <w:rsid w:val="00722068"/>
    <w:rsid w:val="00722356"/>
    <w:rsid w:val="00722553"/>
    <w:rsid w:val="007226E0"/>
    <w:rsid w:val="00722808"/>
    <w:rsid w:val="00722A5D"/>
    <w:rsid w:val="00722B5F"/>
    <w:rsid w:val="00722CB6"/>
    <w:rsid w:val="007233B9"/>
    <w:rsid w:val="007236CF"/>
    <w:rsid w:val="00723A4A"/>
    <w:rsid w:val="0072431F"/>
    <w:rsid w:val="007247BB"/>
    <w:rsid w:val="00724B5A"/>
    <w:rsid w:val="00725551"/>
    <w:rsid w:val="00725D34"/>
    <w:rsid w:val="00726276"/>
    <w:rsid w:val="007263C8"/>
    <w:rsid w:val="007271CF"/>
    <w:rsid w:val="007271D9"/>
    <w:rsid w:val="007272DF"/>
    <w:rsid w:val="0072740F"/>
    <w:rsid w:val="00727B79"/>
    <w:rsid w:val="00727BAA"/>
    <w:rsid w:val="00727D2D"/>
    <w:rsid w:val="00727D54"/>
    <w:rsid w:val="00727E3B"/>
    <w:rsid w:val="00727FB5"/>
    <w:rsid w:val="007302B9"/>
    <w:rsid w:val="00730342"/>
    <w:rsid w:val="0073085B"/>
    <w:rsid w:val="00730A8A"/>
    <w:rsid w:val="00730B5A"/>
    <w:rsid w:val="00730C79"/>
    <w:rsid w:val="00730D35"/>
    <w:rsid w:val="00730E42"/>
    <w:rsid w:val="00730F7A"/>
    <w:rsid w:val="00731257"/>
    <w:rsid w:val="007314B1"/>
    <w:rsid w:val="0073168E"/>
    <w:rsid w:val="00731C31"/>
    <w:rsid w:val="00731DC8"/>
    <w:rsid w:val="007325A3"/>
    <w:rsid w:val="0073281F"/>
    <w:rsid w:val="00732DC7"/>
    <w:rsid w:val="00732E5A"/>
    <w:rsid w:val="007331AE"/>
    <w:rsid w:val="007332B6"/>
    <w:rsid w:val="00733B15"/>
    <w:rsid w:val="00733F61"/>
    <w:rsid w:val="0073427A"/>
    <w:rsid w:val="007342A4"/>
    <w:rsid w:val="0073448D"/>
    <w:rsid w:val="0073496E"/>
    <w:rsid w:val="007350DD"/>
    <w:rsid w:val="007359C1"/>
    <w:rsid w:val="00735E04"/>
    <w:rsid w:val="00735FE6"/>
    <w:rsid w:val="00736122"/>
    <w:rsid w:val="007368E5"/>
    <w:rsid w:val="00736932"/>
    <w:rsid w:val="00737056"/>
    <w:rsid w:val="00737174"/>
    <w:rsid w:val="007372B2"/>
    <w:rsid w:val="007373DF"/>
    <w:rsid w:val="00737443"/>
    <w:rsid w:val="00737662"/>
    <w:rsid w:val="00737C7A"/>
    <w:rsid w:val="007407D7"/>
    <w:rsid w:val="007408EC"/>
    <w:rsid w:val="00740D46"/>
    <w:rsid w:val="00740DD4"/>
    <w:rsid w:val="007411EE"/>
    <w:rsid w:val="007418D3"/>
    <w:rsid w:val="00741A0B"/>
    <w:rsid w:val="0074206B"/>
    <w:rsid w:val="00742148"/>
    <w:rsid w:val="007421EF"/>
    <w:rsid w:val="0074220A"/>
    <w:rsid w:val="007427DA"/>
    <w:rsid w:val="00742B0C"/>
    <w:rsid w:val="00742D75"/>
    <w:rsid w:val="00742DE4"/>
    <w:rsid w:val="00742EA3"/>
    <w:rsid w:val="00743646"/>
    <w:rsid w:val="007436F9"/>
    <w:rsid w:val="00743B30"/>
    <w:rsid w:val="00743C2B"/>
    <w:rsid w:val="00743CC5"/>
    <w:rsid w:val="00743ED6"/>
    <w:rsid w:val="007441F2"/>
    <w:rsid w:val="00744CB2"/>
    <w:rsid w:val="007451F9"/>
    <w:rsid w:val="007454CD"/>
    <w:rsid w:val="00745814"/>
    <w:rsid w:val="00745B97"/>
    <w:rsid w:val="00745FD2"/>
    <w:rsid w:val="0074668B"/>
    <w:rsid w:val="00746A6E"/>
    <w:rsid w:val="00746B6C"/>
    <w:rsid w:val="00746CE6"/>
    <w:rsid w:val="007476D3"/>
    <w:rsid w:val="00747897"/>
    <w:rsid w:val="00747AE0"/>
    <w:rsid w:val="0075003E"/>
    <w:rsid w:val="0075062A"/>
    <w:rsid w:val="00750A47"/>
    <w:rsid w:val="0075169F"/>
    <w:rsid w:val="00751D48"/>
    <w:rsid w:val="0075253B"/>
    <w:rsid w:val="00752900"/>
    <w:rsid w:val="00752D53"/>
    <w:rsid w:val="00752E63"/>
    <w:rsid w:val="007531AC"/>
    <w:rsid w:val="007536BA"/>
    <w:rsid w:val="007538CE"/>
    <w:rsid w:val="00753B6B"/>
    <w:rsid w:val="00753EB3"/>
    <w:rsid w:val="00754091"/>
    <w:rsid w:val="00754112"/>
    <w:rsid w:val="0075425F"/>
    <w:rsid w:val="00754441"/>
    <w:rsid w:val="00754CE9"/>
    <w:rsid w:val="0075574D"/>
    <w:rsid w:val="00755B14"/>
    <w:rsid w:val="00755BF1"/>
    <w:rsid w:val="00755C77"/>
    <w:rsid w:val="00756182"/>
    <w:rsid w:val="0075665E"/>
    <w:rsid w:val="007569F5"/>
    <w:rsid w:val="00756BE6"/>
    <w:rsid w:val="00756FAC"/>
    <w:rsid w:val="007571C6"/>
    <w:rsid w:val="00757878"/>
    <w:rsid w:val="00757943"/>
    <w:rsid w:val="00757DAD"/>
    <w:rsid w:val="00760281"/>
    <w:rsid w:val="0076067E"/>
    <w:rsid w:val="007612B4"/>
    <w:rsid w:val="00761341"/>
    <w:rsid w:val="0076153C"/>
    <w:rsid w:val="007617AC"/>
    <w:rsid w:val="00761C6E"/>
    <w:rsid w:val="00761ED4"/>
    <w:rsid w:val="0076224B"/>
    <w:rsid w:val="00762575"/>
    <w:rsid w:val="007627B7"/>
    <w:rsid w:val="00762F91"/>
    <w:rsid w:val="00763045"/>
    <w:rsid w:val="007631CF"/>
    <w:rsid w:val="00763515"/>
    <w:rsid w:val="007636B6"/>
    <w:rsid w:val="00763D1F"/>
    <w:rsid w:val="00763F88"/>
    <w:rsid w:val="00764511"/>
    <w:rsid w:val="007647D0"/>
    <w:rsid w:val="0076500E"/>
    <w:rsid w:val="0076547F"/>
    <w:rsid w:val="007661DE"/>
    <w:rsid w:val="0076644F"/>
    <w:rsid w:val="007667DC"/>
    <w:rsid w:val="00766B01"/>
    <w:rsid w:val="0076710A"/>
    <w:rsid w:val="00767950"/>
    <w:rsid w:val="00767B1B"/>
    <w:rsid w:val="00767EA8"/>
    <w:rsid w:val="00767F68"/>
    <w:rsid w:val="00767F87"/>
    <w:rsid w:val="00770A28"/>
    <w:rsid w:val="00770C10"/>
    <w:rsid w:val="00770C25"/>
    <w:rsid w:val="0077131C"/>
    <w:rsid w:val="00771601"/>
    <w:rsid w:val="00771977"/>
    <w:rsid w:val="00771C61"/>
    <w:rsid w:val="00771C76"/>
    <w:rsid w:val="00771E42"/>
    <w:rsid w:val="0077256E"/>
    <w:rsid w:val="00772B4F"/>
    <w:rsid w:val="00772D02"/>
    <w:rsid w:val="007737DB"/>
    <w:rsid w:val="00773A2D"/>
    <w:rsid w:val="00773BA7"/>
    <w:rsid w:val="00773FAE"/>
    <w:rsid w:val="00774239"/>
    <w:rsid w:val="007746F5"/>
    <w:rsid w:val="00774B80"/>
    <w:rsid w:val="007752EE"/>
    <w:rsid w:val="00775AA1"/>
    <w:rsid w:val="00775AC2"/>
    <w:rsid w:val="00775ADA"/>
    <w:rsid w:val="00775BC6"/>
    <w:rsid w:val="00775C1C"/>
    <w:rsid w:val="00776D94"/>
    <w:rsid w:val="00777265"/>
    <w:rsid w:val="007775AC"/>
    <w:rsid w:val="00777B9C"/>
    <w:rsid w:val="00780340"/>
    <w:rsid w:val="00780493"/>
    <w:rsid w:val="00780E2E"/>
    <w:rsid w:val="00780EA0"/>
    <w:rsid w:val="00780F3B"/>
    <w:rsid w:val="00780FAE"/>
    <w:rsid w:val="007812AD"/>
    <w:rsid w:val="007813E9"/>
    <w:rsid w:val="00781CC1"/>
    <w:rsid w:val="007820D4"/>
    <w:rsid w:val="0078218E"/>
    <w:rsid w:val="007821EC"/>
    <w:rsid w:val="0078224D"/>
    <w:rsid w:val="007828A9"/>
    <w:rsid w:val="0078320A"/>
    <w:rsid w:val="00783FD2"/>
    <w:rsid w:val="007840A3"/>
    <w:rsid w:val="0078436C"/>
    <w:rsid w:val="0078440E"/>
    <w:rsid w:val="00784446"/>
    <w:rsid w:val="007844E8"/>
    <w:rsid w:val="007847E9"/>
    <w:rsid w:val="007849D3"/>
    <w:rsid w:val="00784ADD"/>
    <w:rsid w:val="007850E9"/>
    <w:rsid w:val="007856B5"/>
    <w:rsid w:val="00785B60"/>
    <w:rsid w:val="00786379"/>
    <w:rsid w:val="0078699E"/>
    <w:rsid w:val="00786CCA"/>
    <w:rsid w:val="00786D19"/>
    <w:rsid w:val="00787005"/>
    <w:rsid w:val="00787588"/>
    <w:rsid w:val="00787810"/>
    <w:rsid w:val="00787839"/>
    <w:rsid w:val="00787856"/>
    <w:rsid w:val="0078789A"/>
    <w:rsid w:val="00787994"/>
    <w:rsid w:val="0079004F"/>
    <w:rsid w:val="00790745"/>
    <w:rsid w:val="00790858"/>
    <w:rsid w:val="007908A8"/>
    <w:rsid w:val="00791304"/>
    <w:rsid w:val="007925E7"/>
    <w:rsid w:val="00792878"/>
    <w:rsid w:val="007929ED"/>
    <w:rsid w:val="00792AA5"/>
    <w:rsid w:val="0079345C"/>
    <w:rsid w:val="0079358E"/>
    <w:rsid w:val="00793CB2"/>
    <w:rsid w:val="00793D7C"/>
    <w:rsid w:val="00793D8F"/>
    <w:rsid w:val="00793F0F"/>
    <w:rsid w:val="00794394"/>
    <w:rsid w:val="007944F6"/>
    <w:rsid w:val="007946E7"/>
    <w:rsid w:val="0079479B"/>
    <w:rsid w:val="00794A4E"/>
    <w:rsid w:val="00794B36"/>
    <w:rsid w:val="007951FF"/>
    <w:rsid w:val="00795519"/>
    <w:rsid w:val="00795B90"/>
    <w:rsid w:val="00795C57"/>
    <w:rsid w:val="00796399"/>
    <w:rsid w:val="0079647A"/>
    <w:rsid w:val="0079667D"/>
    <w:rsid w:val="007967F1"/>
    <w:rsid w:val="00797200"/>
    <w:rsid w:val="007972C3"/>
    <w:rsid w:val="007974E4"/>
    <w:rsid w:val="007976F9"/>
    <w:rsid w:val="007A0097"/>
    <w:rsid w:val="007A0E71"/>
    <w:rsid w:val="007A1205"/>
    <w:rsid w:val="007A141F"/>
    <w:rsid w:val="007A154B"/>
    <w:rsid w:val="007A1B6D"/>
    <w:rsid w:val="007A269C"/>
    <w:rsid w:val="007A27EE"/>
    <w:rsid w:val="007A2882"/>
    <w:rsid w:val="007A3645"/>
    <w:rsid w:val="007A380B"/>
    <w:rsid w:val="007A38E1"/>
    <w:rsid w:val="007A39C6"/>
    <w:rsid w:val="007A3A6D"/>
    <w:rsid w:val="007A3AC7"/>
    <w:rsid w:val="007A3B77"/>
    <w:rsid w:val="007A3E31"/>
    <w:rsid w:val="007A4333"/>
    <w:rsid w:val="007A4B7B"/>
    <w:rsid w:val="007A4C09"/>
    <w:rsid w:val="007A4E70"/>
    <w:rsid w:val="007A4EEE"/>
    <w:rsid w:val="007A50D9"/>
    <w:rsid w:val="007A5265"/>
    <w:rsid w:val="007A533F"/>
    <w:rsid w:val="007A5833"/>
    <w:rsid w:val="007A5D51"/>
    <w:rsid w:val="007A66E8"/>
    <w:rsid w:val="007A6B59"/>
    <w:rsid w:val="007A6CE6"/>
    <w:rsid w:val="007A6FC7"/>
    <w:rsid w:val="007A7202"/>
    <w:rsid w:val="007A7433"/>
    <w:rsid w:val="007A7A4D"/>
    <w:rsid w:val="007A7AF8"/>
    <w:rsid w:val="007A7E68"/>
    <w:rsid w:val="007A7FA2"/>
    <w:rsid w:val="007B0CB1"/>
    <w:rsid w:val="007B0D8D"/>
    <w:rsid w:val="007B0F3A"/>
    <w:rsid w:val="007B1212"/>
    <w:rsid w:val="007B129D"/>
    <w:rsid w:val="007B164C"/>
    <w:rsid w:val="007B1866"/>
    <w:rsid w:val="007B231C"/>
    <w:rsid w:val="007B250A"/>
    <w:rsid w:val="007B257B"/>
    <w:rsid w:val="007B28B4"/>
    <w:rsid w:val="007B30E3"/>
    <w:rsid w:val="007B33C7"/>
    <w:rsid w:val="007B34FD"/>
    <w:rsid w:val="007B3904"/>
    <w:rsid w:val="007B3F50"/>
    <w:rsid w:val="007B42D5"/>
    <w:rsid w:val="007B4AFC"/>
    <w:rsid w:val="007B4B2F"/>
    <w:rsid w:val="007B5251"/>
    <w:rsid w:val="007B5A86"/>
    <w:rsid w:val="007B5F63"/>
    <w:rsid w:val="007B6322"/>
    <w:rsid w:val="007B66E4"/>
    <w:rsid w:val="007B708D"/>
    <w:rsid w:val="007B7289"/>
    <w:rsid w:val="007C0557"/>
    <w:rsid w:val="007C0B04"/>
    <w:rsid w:val="007C0B12"/>
    <w:rsid w:val="007C0F4F"/>
    <w:rsid w:val="007C0F8D"/>
    <w:rsid w:val="007C1079"/>
    <w:rsid w:val="007C11EB"/>
    <w:rsid w:val="007C12B8"/>
    <w:rsid w:val="007C14E1"/>
    <w:rsid w:val="007C157A"/>
    <w:rsid w:val="007C2409"/>
    <w:rsid w:val="007C25D0"/>
    <w:rsid w:val="007C3200"/>
    <w:rsid w:val="007C33B0"/>
    <w:rsid w:val="007C3D85"/>
    <w:rsid w:val="007C3F37"/>
    <w:rsid w:val="007C4468"/>
    <w:rsid w:val="007C4D84"/>
    <w:rsid w:val="007C5163"/>
    <w:rsid w:val="007C53EB"/>
    <w:rsid w:val="007C55D5"/>
    <w:rsid w:val="007C5BBB"/>
    <w:rsid w:val="007C5CE6"/>
    <w:rsid w:val="007C5D9D"/>
    <w:rsid w:val="007C6A38"/>
    <w:rsid w:val="007C6B3F"/>
    <w:rsid w:val="007C6E39"/>
    <w:rsid w:val="007C6F34"/>
    <w:rsid w:val="007C7266"/>
    <w:rsid w:val="007C72B1"/>
    <w:rsid w:val="007C72D4"/>
    <w:rsid w:val="007C73F9"/>
    <w:rsid w:val="007C7931"/>
    <w:rsid w:val="007C79B9"/>
    <w:rsid w:val="007C7BCC"/>
    <w:rsid w:val="007C7C06"/>
    <w:rsid w:val="007C7C36"/>
    <w:rsid w:val="007D0143"/>
    <w:rsid w:val="007D07E7"/>
    <w:rsid w:val="007D132F"/>
    <w:rsid w:val="007D14F6"/>
    <w:rsid w:val="007D1FF1"/>
    <w:rsid w:val="007D26FE"/>
    <w:rsid w:val="007D284B"/>
    <w:rsid w:val="007D305A"/>
    <w:rsid w:val="007D397D"/>
    <w:rsid w:val="007D3D1E"/>
    <w:rsid w:val="007D4425"/>
    <w:rsid w:val="007D45AB"/>
    <w:rsid w:val="007D49A6"/>
    <w:rsid w:val="007D4B9C"/>
    <w:rsid w:val="007D4C22"/>
    <w:rsid w:val="007D4D40"/>
    <w:rsid w:val="007D5069"/>
    <w:rsid w:val="007D56A6"/>
    <w:rsid w:val="007D5DDA"/>
    <w:rsid w:val="007D63D2"/>
    <w:rsid w:val="007D664F"/>
    <w:rsid w:val="007D6977"/>
    <w:rsid w:val="007D7423"/>
    <w:rsid w:val="007E0384"/>
    <w:rsid w:val="007E0F0A"/>
    <w:rsid w:val="007E0F94"/>
    <w:rsid w:val="007E0FE9"/>
    <w:rsid w:val="007E1316"/>
    <w:rsid w:val="007E1530"/>
    <w:rsid w:val="007E1883"/>
    <w:rsid w:val="007E1E5E"/>
    <w:rsid w:val="007E1F4D"/>
    <w:rsid w:val="007E254E"/>
    <w:rsid w:val="007E2B02"/>
    <w:rsid w:val="007E3150"/>
    <w:rsid w:val="007E3B1A"/>
    <w:rsid w:val="007E3B1C"/>
    <w:rsid w:val="007E3C3D"/>
    <w:rsid w:val="007E4287"/>
    <w:rsid w:val="007E4A85"/>
    <w:rsid w:val="007E5022"/>
    <w:rsid w:val="007E6696"/>
    <w:rsid w:val="007E67E0"/>
    <w:rsid w:val="007E6DF9"/>
    <w:rsid w:val="007E6F44"/>
    <w:rsid w:val="007E7270"/>
    <w:rsid w:val="007E7612"/>
    <w:rsid w:val="007E77CA"/>
    <w:rsid w:val="007E784C"/>
    <w:rsid w:val="007E7A21"/>
    <w:rsid w:val="007E7E44"/>
    <w:rsid w:val="007F0178"/>
    <w:rsid w:val="007F085F"/>
    <w:rsid w:val="007F0CB0"/>
    <w:rsid w:val="007F0D3F"/>
    <w:rsid w:val="007F12FB"/>
    <w:rsid w:val="007F1FF4"/>
    <w:rsid w:val="007F24D4"/>
    <w:rsid w:val="007F2DF6"/>
    <w:rsid w:val="007F2F23"/>
    <w:rsid w:val="007F3296"/>
    <w:rsid w:val="007F35BD"/>
    <w:rsid w:val="007F3891"/>
    <w:rsid w:val="007F4486"/>
    <w:rsid w:val="007F45C1"/>
    <w:rsid w:val="007F47D7"/>
    <w:rsid w:val="007F4AE4"/>
    <w:rsid w:val="007F4C3F"/>
    <w:rsid w:val="007F4D0D"/>
    <w:rsid w:val="007F54B8"/>
    <w:rsid w:val="007F550C"/>
    <w:rsid w:val="007F572F"/>
    <w:rsid w:val="007F60B6"/>
    <w:rsid w:val="007F62DD"/>
    <w:rsid w:val="007F63AF"/>
    <w:rsid w:val="007F648E"/>
    <w:rsid w:val="007F6D0F"/>
    <w:rsid w:val="007F7440"/>
    <w:rsid w:val="007F75DA"/>
    <w:rsid w:val="007F779A"/>
    <w:rsid w:val="007F7BC4"/>
    <w:rsid w:val="007F7FDD"/>
    <w:rsid w:val="008003E3"/>
    <w:rsid w:val="008008AB"/>
    <w:rsid w:val="00800AD6"/>
    <w:rsid w:val="00800D9E"/>
    <w:rsid w:val="00801384"/>
    <w:rsid w:val="00801A75"/>
    <w:rsid w:val="00801E0A"/>
    <w:rsid w:val="008021E1"/>
    <w:rsid w:val="00802357"/>
    <w:rsid w:val="0080268D"/>
    <w:rsid w:val="00802891"/>
    <w:rsid w:val="00802CE3"/>
    <w:rsid w:val="00802E58"/>
    <w:rsid w:val="00803122"/>
    <w:rsid w:val="0080315F"/>
    <w:rsid w:val="0080316D"/>
    <w:rsid w:val="00803269"/>
    <w:rsid w:val="008036EC"/>
    <w:rsid w:val="0080375C"/>
    <w:rsid w:val="0080375D"/>
    <w:rsid w:val="00803AEB"/>
    <w:rsid w:val="00803C9D"/>
    <w:rsid w:val="00803D58"/>
    <w:rsid w:val="00803DFA"/>
    <w:rsid w:val="00803FE1"/>
    <w:rsid w:val="00804A54"/>
    <w:rsid w:val="00805261"/>
    <w:rsid w:val="0080533B"/>
    <w:rsid w:val="00805573"/>
    <w:rsid w:val="00805810"/>
    <w:rsid w:val="0080588C"/>
    <w:rsid w:val="00805C6B"/>
    <w:rsid w:val="00805D2D"/>
    <w:rsid w:val="00805EAB"/>
    <w:rsid w:val="0080664C"/>
    <w:rsid w:val="00806CBC"/>
    <w:rsid w:val="008071B0"/>
    <w:rsid w:val="00807C91"/>
    <w:rsid w:val="00810115"/>
    <w:rsid w:val="008103A5"/>
    <w:rsid w:val="008104A2"/>
    <w:rsid w:val="0081072D"/>
    <w:rsid w:val="00810812"/>
    <w:rsid w:val="00810A3C"/>
    <w:rsid w:val="00810D36"/>
    <w:rsid w:val="00810DE2"/>
    <w:rsid w:val="00810E71"/>
    <w:rsid w:val="00810F0D"/>
    <w:rsid w:val="0081178B"/>
    <w:rsid w:val="00811CC6"/>
    <w:rsid w:val="00812100"/>
    <w:rsid w:val="00812628"/>
    <w:rsid w:val="008126A8"/>
    <w:rsid w:val="008126FA"/>
    <w:rsid w:val="008129A8"/>
    <w:rsid w:val="00812AF2"/>
    <w:rsid w:val="00812C9C"/>
    <w:rsid w:val="00812CB9"/>
    <w:rsid w:val="00812E86"/>
    <w:rsid w:val="00812EB2"/>
    <w:rsid w:val="00812F30"/>
    <w:rsid w:val="008132C8"/>
    <w:rsid w:val="008137E6"/>
    <w:rsid w:val="008137EC"/>
    <w:rsid w:val="0081397F"/>
    <w:rsid w:val="00813A85"/>
    <w:rsid w:val="00813C89"/>
    <w:rsid w:val="008148E8"/>
    <w:rsid w:val="00814EC0"/>
    <w:rsid w:val="00815106"/>
    <w:rsid w:val="008151C7"/>
    <w:rsid w:val="00815403"/>
    <w:rsid w:val="008155EA"/>
    <w:rsid w:val="00815665"/>
    <w:rsid w:val="00815749"/>
    <w:rsid w:val="008158C7"/>
    <w:rsid w:val="008159A3"/>
    <w:rsid w:val="00815B0C"/>
    <w:rsid w:val="00816149"/>
    <w:rsid w:val="0081644F"/>
    <w:rsid w:val="0081736A"/>
    <w:rsid w:val="008179B9"/>
    <w:rsid w:val="00817D3F"/>
    <w:rsid w:val="00817E4F"/>
    <w:rsid w:val="0082017A"/>
    <w:rsid w:val="008208D1"/>
    <w:rsid w:val="00820962"/>
    <w:rsid w:val="008209E7"/>
    <w:rsid w:val="00820B10"/>
    <w:rsid w:val="008211B5"/>
    <w:rsid w:val="008220BA"/>
    <w:rsid w:val="008228EB"/>
    <w:rsid w:val="00822CEA"/>
    <w:rsid w:val="008237C1"/>
    <w:rsid w:val="00823D5B"/>
    <w:rsid w:val="008240E2"/>
    <w:rsid w:val="008245E1"/>
    <w:rsid w:val="0082460E"/>
    <w:rsid w:val="00824DE5"/>
    <w:rsid w:val="008251F7"/>
    <w:rsid w:val="00825356"/>
    <w:rsid w:val="00825A8B"/>
    <w:rsid w:val="00827470"/>
    <w:rsid w:val="00827E86"/>
    <w:rsid w:val="008301AD"/>
    <w:rsid w:val="00830340"/>
    <w:rsid w:val="008303A9"/>
    <w:rsid w:val="008306FD"/>
    <w:rsid w:val="00830E61"/>
    <w:rsid w:val="00830ED4"/>
    <w:rsid w:val="00831602"/>
    <w:rsid w:val="00831AE9"/>
    <w:rsid w:val="00831B76"/>
    <w:rsid w:val="00831ED8"/>
    <w:rsid w:val="00831F8D"/>
    <w:rsid w:val="008322F8"/>
    <w:rsid w:val="008323C1"/>
    <w:rsid w:val="00832F2E"/>
    <w:rsid w:val="00832F9A"/>
    <w:rsid w:val="008330FA"/>
    <w:rsid w:val="008344F7"/>
    <w:rsid w:val="008347DB"/>
    <w:rsid w:val="00834E19"/>
    <w:rsid w:val="008358E1"/>
    <w:rsid w:val="00835C5A"/>
    <w:rsid w:val="00836412"/>
    <w:rsid w:val="00836413"/>
    <w:rsid w:val="008367A4"/>
    <w:rsid w:val="00836897"/>
    <w:rsid w:val="00836EE6"/>
    <w:rsid w:val="00837038"/>
    <w:rsid w:val="00837535"/>
    <w:rsid w:val="00837781"/>
    <w:rsid w:val="0083782F"/>
    <w:rsid w:val="00837931"/>
    <w:rsid w:val="00837EDA"/>
    <w:rsid w:val="008400D0"/>
    <w:rsid w:val="00840ACA"/>
    <w:rsid w:val="00840EC9"/>
    <w:rsid w:val="008410E7"/>
    <w:rsid w:val="0084125F"/>
    <w:rsid w:val="00841506"/>
    <w:rsid w:val="008415A7"/>
    <w:rsid w:val="00841972"/>
    <w:rsid w:val="008421AF"/>
    <w:rsid w:val="00842229"/>
    <w:rsid w:val="0084225C"/>
    <w:rsid w:val="00842FA1"/>
    <w:rsid w:val="00842FD5"/>
    <w:rsid w:val="00843433"/>
    <w:rsid w:val="00843651"/>
    <w:rsid w:val="00843807"/>
    <w:rsid w:val="00843B11"/>
    <w:rsid w:val="00843D5E"/>
    <w:rsid w:val="00843EB4"/>
    <w:rsid w:val="008440F0"/>
    <w:rsid w:val="00844431"/>
    <w:rsid w:val="008447D4"/>
    <w:rsid w:val="00844C6C"/>
    <w:rsid w:val="0084549A"/>
    <w:rsid w:val="008463C9"/>
    <w:rsid w:val="00846B51"/>
    <w:rsid w:val="00846DC5"/>
    <w:rsid w:val="00846F11"/>
    <w:rsid w:val="008475FE"/>
    <w:rsid w:val="008476C6"/>
    <w:rsid w:val="0084773C"/>
    <w:rsid w:val="008478E8"/>
    <w:rsid w:val="00847D84"/>
    <w:rsid w:val="0085013E"/>
    <w:rsid w:val="00850604"/>
    <w:rsid w:val="008508CE"/>
    <w:rsid w:val="008518E0"/>
    <w:rsid w:val="00851C9D"/>
    <w:rsid w:val="008520A1"/>
    <w:rsid w:val="00852321"/>
    <w:rsid w:val="0085248A"/>
    <w:rsid w:val="00852729"/>
    <w:rsid w:val="00852852"/>
    <w:rsid w:val="00852AA5"/>
    <w:rsid w:val="00852ABE"/>
    <w:rsid w:val="00853242"/>
    <w:rsid w:val="008535FE"/>
    <w:rsid w:val="00853923"/>
    <w:rsid w:val="00853A1C"/>
    <w:rsid w:val="00853BBA"/>
    <w:rsid w:val="00853EDF"/>
    <w:rsid w:val="00853F9B"/>
    <w:rsid w:val="00854081"/>
    <w:rsid w:val="0085418E"/>
    <w:rsid w:val="008544C0"/>
    <w:rsid w:val="00855504"/>
    <w:rsid w:val="00855517"/>
    <w:rsid w:val="008555CE"/>
    <w:rsid w:val="00855622"/>
    <w:rsid w:val="00855B44"/>
    <w:rsid w:val="0085621E"/>
    <w:rsid w:val="00856423"/>
    <w:rsid w:val="00856659"/>
    <w:rsid w:val="00856A2C"/>
    <w:rsid w:val="008572CE"/>
    <w:rsid w:val="00857703"/>
    <w:rsid w:val="0085777F"/>
    <w:rsid w:val="00857A4A"/>
    <w:rsid w:val="00860311"/>
    <w:rsid w:val="00860EE0"/>
    <w:rsid w:val="008610B0"/>
    <w:rsid w:val="0086131C"/>
    <w:rsid w:val="00861583"/>
    <w:rsid w:val="0086194B"/>
    <w:rsid w:val="00861AC2"/>
    <w:rsid w:val="0086217B"/>
    <w:rsid w:val="008628F1"/>
    <w:rsid w:val="00862AB2"/>
    <w:rsid w:val="00863050"/>
    <w:rsid w:val="0086369B"/>
    <w:rsid w:val="00863C01"/>
    <w:rsid w:val="00863D45"/>
    <w:rsid w:val="00863DB3"/>
    <w:rsid w:val="00864253"/>
    <w:rsid w:val="00864815"/>
    <w:rsid w:val="008660B8"/>
    <w:rsid w:val="0086611F"/>
    <w:rsid w:val="008664B8"/>
    <w:rsid w:val="00866994"/>
    <w:rsid w:val="008671AA"/>
    <w:rsid w:val="008671DD"/>
    <w:rsid w:val="00867F5A"/>
    <w:rsid w:val="008700CD"/>
    <w:rsid w:val="008701CF"/>
    <w:rsid w:val="00870889"/>
    <w:rsid w:val="008709A0"/>
    <w:rsid w:val="00870A4D"/>
    <w:rsid w:val="00870C10"/>
    <w:rsid w:val="008712E1"/>
    <w:rsid w:val="008713AF"/>
    <w:rsid w:val="00871B6C"/>
    <w:rsid w:val="0087218A"/>
    <w:rsid w:val="00872817"/>
    <w:rsid w:val="00872E12"/>
    <w:rsid w:val="008739AE"/>
    <w:rsid w:val="008739BA"/>
    <w:rsid w:val="00873AB0"/>
    <w:rsid w:val="00873B37"/>
    <w:rsid w:val="00873DE5"/>
    <w:rsid w:val="00873E0B"/>
    <w:rsid w:val="00873E69"/>
    <w:rsid w:val="00873F94"/>
    <w:rsid w:val="00873F9D"/>
    <w:rsid w:val="0087492C"/>
    <w:rsid w:val="0087526D"/>
    <w:rsid w:val="00875719"/>
    <w:rsid w:val="0087573D"/>
    <w:rsid w:val="008757C2"/>
    <w:rsid w:val="008759D4"/>
    <w:rsid w:val="00876080"/>
    <w:rsid w:val="0087655B"/>
    <w:rsid w:val="00876AD4"/>
    <w:rsid w:val="00876B33"/>
    <w:rsid w:val="00876DA7"/>
    <w:rsid w:val="00877193"/>
    <w:rsid w:val="00877235"/>
    <w:rsid w:val="00877460"/>
    <w:rsid w:val="008775E6"/>
    <w:rsid w:val="00877C03"/>
    <w:rsid w:val="008801BB"/>
    <w:rsid w:val="00880859"/>
    <w:rsid w:val="00880F60"/>
    <w:rsid w:val="00882293"/>
    <w:rsid w:val="0088232F"/>
    <w:rsid w:val="008824E3"/>
    <w:rsid w:val="00882A9E"/>
    <w:rsid w:val="00882C73"/>
    <w:rsid w:val="00883147"/>
    <w:rsid w:val="008837B7"/>
    <w:rsid w:val="00883A89"/>
    <w:rsid w:val="00883BC1"/>
    <w:rsid w:val="00883E07"/>
    <w:rsid w:val="008847D3"/>
    <w:rsid w:val="00884D6B"/>
    <w:rsid w:val="00884EAD"/>
    <w:rsid w:val="00885328"/>
    <w:rsid w:val="008855CA"/>
    <w:rsid w:val="00885668"/>
    <w:rsid w:val="00885688"/>
    <w:rsid w:val="008858CD"/>
    <w:rsid w:val="00886587"/>
    <w:rsid w:val="008872E7"/>
    <w:rsid w:val="00887B27"/>
    <w:rsid w:val="00887CA4"/>
    <w:rsid w:val="00887E1F"/>
    <w:rsid w:val="00887FB2"/>
    <w:rsid w:val="008905D8"/>
    <w:rsid w:val="008906F3"/>
    <w:rsid w:val="00890917"/>
    <w:rsid w:val="008909FF"/>
    <w:rsid w:val="00890A1B"/>
    <w:rsid w:val="008910A9"/>
    <w:rsid w:val="0089121B"/>
    <w:rsid w:val="00891489"/>
    <w:rsid w:val="00891570"/>
    <w:rsid w:val="0089174C"/>
    <w:rsid w:val="00891C76"/>
    <w:rsid w:val="00891CA0"/>
    <w:rsid w:val="00892806"/>
    <w:rsid w:val="00892BC9"/>
    <w:rsid w:val="00892FC8"/>
    <w:rsid w:val="00892FFD"/>
    <w:rsid w:val="00893681"/>
    <w:rsid w:val="008936AF"/>
    <w:rsid w:val="00893E3B"/>
    <w:rsid w:val="00893F1E"/>
    <w:rsid w:val="008941E7"/>
    <w:rsid w:val="008941F8"/>
    <w:rsid w:val="008942BD"/>
    <w:rsid w:val="008943BE"/>
    <w:rsid w:val="00894578"/>
    <w:rsid w:val="008947A3"/>
    <w:rsid w:val="00894C1D"/>
    <w:rsid w:val="008950AC"/>
    <w:rsid w:val="00895242"/>
    <w:rsid w:val="008954AB"/>
    <w:rsid w:val="0089575A"/>
    <w:rsid w:val="00895A2B"/>
    <w:rsid w:val="00895B94"/>
    <w:rsid w:val="00895C2C"/>
    <w:rsid w:val="00895E22"/>
    <w:rsid w:val="008963C9"/>
    <w:rsid w:val="0089658F"/>
    <w:rsid w:val="008966AB"/>
    <w:rsid w:val="008966B6"/>
    <w:rsid w:val="00896A80"/>
    <w:rsid w:val="00896C58"/>
    <w:rsid w:val="00896C76"/>
    <w:rsid w:val="00896E69"/>
    <w:rsid w:val="00897484"/>
    <w:rsid w:val="00897BB7"/>
    <w:rsid w:val="008A0014"/>
    <w:rsid w:val="008A0495"/>
    <w:rsid w:val="008A0A81"/>
    <w:rsid w:val="008A10C7"/>
    <w:rsid w:val="008A1623"/>
    <w:rsid w:val="008A1719"/>
    <w:rsid w:val="008A1B77"/>
    <w:rsid w:val="008A1D15"/>
    <w:rsid w:val="008A1DBC"/>
    <w:rsid w:val="008A1F77"/>
    <w:rsid w:val="008A21AB"/>
    <w:rsid w:val="008A25DA"/>
    <w:rsid w:val="008A26E6"/>
    <w:rsid w:val="008A2CAD"/>
    <w:rsid w:val="008A2D9F"/>
    <w:rsid w:val="008A2F21"/>
    <w:rsid w:val="008A3098"/>
    <w:rsid w:val="008A3B8F"/>
    <w:rsid w:val="008A3BFB"/>
    <w:rsid w:val="008A3CF2"/>
    <w:rsid w:val="008A4176"/>
    <w:rsid w:val="008A4768"/>
    <w:rsid w:val="008A49FE"/>
    <w:rsid w:val="008A501A"/>
    <w:rsid w:val="008A54EE"/>
    <w:rsid w:val="008A556E"/>
    <w:rsid w:val="008A5576"/>
    <w:rsid w:val="008A5B4E"/>
    <w:rsid w:val="008A5B8E"/>
    <w:rsid w:val="008A5E08"/>
    <w:rsid w:val="008A5FD2"/>
    <w:rsid w:val="008A5FE5"/>
    <w:rsid w:val="008A6335"/>
    <w:rsid w:val="008A658A"/>
    <w:rsid w:val="008A678D"/>
    <w:rsid w:val="008A68E1"/>
    <w:rsid w:val="008A6AAE"/>
    <w:rsid w:val="008A7CA1"/>
    <w:rsid w:val="008A7CD6"/>
    <w:rsid w:val="008A7E15"/>
    <w:rsid w:val="008A7FB3"/>
    <w:rsid w:val="008B00FB"/>
    <w:rsid w:val="008B0450"/>
    <w:rsid w:val="008B058A"/>
    <w:rsid w:val="008B0779"/>
    <w:rsid w:val="008B0E11"/>
    <w:rsid w:val="008B0FB1"/>
    <w:rsid w:val="008B282A"/>
    <w:rsid w:val="008B2900"/>
    <w:rsid w:val="008B2C9E"/>
    <w:rsid w:val="008B3039"/>
    <w:rsid w:val="008B31D8"/>
    <w:rsid w:val="008B3B96"/>
    <w:rsid w:val="008B44C3"/>
    <w:rsid w:val="008B4587"/>
    <w:rsid w:val="008B4850"/>
    <w:rsid w:val="008B4A16"/>
    <w:rsid w:val="008B4DE3"/>
    <w:rsid w:val="008B5426"/>
    <w:rsid w:val="008B5817"/>
    <w:rsid w:val="008B5C5B"/>
    <w:rsid w:val="008B5CBD"/>
    <w:rsid w:val="008B5E6E"/>
    <w:rsid w:val="008B6060"/>
    <w:rsid w:val="008B60F6"/>
    <w:rsid w:val="008B6449"/>
    <w:rsid w:val="008B6654"/>
    <w:rsid w:val="008B6950"/>
    <w:rsid w:val="008B7124"/>
    <w:rsid w:val="008B7181"/>
    <w:rsid w:val="008B76F0"/>
    <w:rsid w:val="008B781A"/>
    <w:rsid w:val="008B7831"/>
    <w:rsid w:val="008B7C3A"/>
    <w:rsid w:val="008B7C67"/>
    <w:rsid w:val="008C0184"/>
    <w:rsid w:val="008C0331"/>
    <w:rsid w:val="008C0534"/>
    <w:rsid w:val="008C154F"/>
    <w:rsid w:val="008C1DE4"/>
    <w:rsid w:val="008C20D2"/>
    <w:rsid w:val="008C2181"/>
    <w:rsid w:val="008C22BC"/>
    <w:rsid w:val="008C26D0"/>
    <w:rsid w:val="008C2842"/>
    <w:rsid w:val="008C3161"/>
    <w:rsid w:val="008C3239"/>
    <w:rsid w:val="008C34FC"/>
    <w:rsid w:val="008C3C13"/>
    <w:rsid w:val="008C3D4A"/>
    <w:rsid w:val="008C40A8"/>
    <w:rsid w:val="008C45C2"/>
    <w:rsid w:val="008C4811"/>
    <w:rsid w:val="008C4B58"/>
    <w:rsid w:val="008C4D2D"/>
    <w:rsid w:val="008C4F91"/>
    <w:rsid w:val="008C5483"/>
    <w:rsid w:val="008C57D5"/>
    <w:rsid w:val="008C57E0"/>
    <w:rsid w:val="008C5AB9"/>
    <w:rsid w:val="008C5E8F"/>
    <w:rsid w:val="008C65C2"/>
    <w:rsid w:val="008C6CAE"/>
    <w:rsid w:val="008C6F35"/>
    <w:rsid w:val="008C76E0"/>
    <w:rsid w:val="008C76EF"/>
    <w:rsid w:val="008C7A2F"/>
    <w:rsid w:val="008C7A8C"/>
    <w:rsid w:val="008D09D5"/>
    <w:rsid w:val="008D0AB5"/>
    <w:rsid w:val="008D0D98"/>
    <w:rsid w:val="008D11A8"/>
    <w:rsid w:val="008D1581"/>
    <w:rsid w:val="008D185A"/>
    <w:rsid w:val="008D23C0"/>
    <w:rsid w:val="008D2626"/>
    <w:rsid w:val="008D2977"/>
    <w:rsid w:val="008D29D5"/>
    <w:rsid w:val="008D2EB5"/>
    <w:rsid w:val="008D32B5"/>
    <w:rsid w:val="008D3778"/>
    <w:rsid w:val="008D386E"/>
    <w:rsid w:val="008D3A69"/>
    <w:rsid w:val="008D3AA7"/>
    <w:rsid w:val="008D408E"/>
    <w:rsid w:val="008D4DDE"/>
    <w:rsid w:val="008D4ED8"/>
    <w:rsid w:val="008D50F7"/>
    <w:rsid w:val="008D53AA"/>
    <w:rsid w:val="008D569B"/>
    <w:rsid w:val="008D5FF7"/>
    <w:rsid w:val="008D6198"/>
    <w:rsid w:val="008D6289"/>
    <w:rsid w:val="008D6C27"/>
    <w:rsid w:val="008D6C78"/>
    <w:rsid w:val="008D6DBB"/>
    <w:rsid w:val="008D76ED"/>
    <w:rsid w:val="008E0059"/>
    <w:rsid w:val="008E0D7C"/>
    <w:rsid w:val="008E0EE1"/>
    <w:rsid w:val="008E170C"/>
    <w:rsid w:val="008E17C0"/>
    <w:rsid w:val="008E1988"/>
    <w:rsid w:val="008E1BA5"/>
    <w:rsid w:val="008E1BA9"/>
    <w:rsid w:val="008E2134"/>
    <w:rsid w:val="008E2AF7"/>
    <w:rsid w:val="008E2D1F"/>
    <w:rsid w:val="008E2F94"/>
    <w:rsid w:val="008E2FDB"/>
    <w:rsid w:val="008E338F"/>
    <w:rsid w:val="008E345A"/>
    <w:rsid w:val="008E3E2C"/>
    <w:rsid w:val="008E3E95"/>
    <w:rsid w:val="008E411E"/>
    <w:rsid w:val="008E50D9"/>
    <w:rsid w:val="008E519E"/>
    <w:rsid w:val="008E57FF"/>
    <w:rsid w:val="008E5D9E"/>
    <w:rsid w:val="008E5EEC"/>
    <w:rsid w:val="008E64D0"/>
    <w:rsid w:val="008E676A"/>
    <w:rsid w:val="008E6995"/>
    <w:rsid w:val="008E6C17"/>
    <w:rsid w:val="008E7A00"/>
    <w:rsid w:val="008E7D5B"/>
    <w:rsid w:val="008E7EB7"/>
    <w:rsid w:val="008F0306"/>
    <w:rsid w:val="008F04E8"/>
    <w:rsid w:val="008F09B5"/>
    <w:rsid w:val="008F0A5B"/>
    <w:rsid w:val="008F0B8A"/>
    <w:rsid w:val="008F1C24"/>
    <w:rsid w:val="008F1D1B"/>
    <w:rsid w:val="008F1FDB"/>
    <w:rsid w:val="008F24AD"/>
    <w:rsid w:val="008F29B0"/>
    <w:rsid w:val="008F29BC"/>
    <w:rsid w:val="008F308E"/>
    <w:rsid w:val="008F32DF"/>
    <w:rsid w:val="008F33C2"/>
    <w:rsid w:val="008F353C"/>
    <w:rsid w:val="008F39ED"/>
    <w:rsid w:val="008F3A7F"/>
    <w:rsid w:val="008F3BF0"/>
    <w:rsid w:val="008F4C30"/>
    <w:rsid w:val="008F4D64"/>
    <w:rsid w:val="008F4DFE"/>
    <w:rsid w:val="008F52D9"/>
    <w:rsid w:val="008F59A0"/>
    <w:rsid w:val="008F5B14"/>
    <w:rsid w:val="008F5CE7"/>
    <w:rsid w:val="008F5D5B"/>
    <w:rsid w:val="008F658E"/>
    <w:rsid w:val="008F6629"/>
    <w:rsid w:val="008F6669"/>
    <w:rsid w:val="008F68BC"/>
    <w:rsid w:val="008F6ACA"/>
    <w:rsid w:val="008F6E64"/>
    <w:rsid w:val="008F6F3B"/>
    <w:rsid w:val="008F7650"/>
    <w:rsid w:val="008F79C3"/>
    <w:rsid w:val="009001E5"/>
    <w:rsid w:val="009002CB"/>
    <w:rsid w:val="00900310"/>
    <w:rsid w:val="009003FB"/>
    <w:rsid w:val="00900840"/>
    <w:rsid w:val="00900A21"/>
    <w:rsid w:val="00900C2A"/>
    <w:rsid w:val="00900FDA"/>
    <w:rsid w:val="0090108C"/>
    <w:rsid w:val="0090115E"/>
    <w:rsid w:val="00901234"/>
    <w:rsid w:val="00901636"/>
    <w:rsid w:val="0090198C"/>
    <w:rsid w:val="00901CD4"/>
    <w:rsid w:val="00902279"/>
    <w:rsid w:val="00902B26"/>
    <w:rsid w:val="00903372"/>
    <w:rsid w:val="00903588"/>
    <w:rsid w:val="009035C2"/>
    <w:rsid w:val="009039BA"/>
    <w:rsid w:val="0090444A"/>
    <w:rsid w:val="00905329"/>
    <w:rsid w:val="009056A3"/>
    <w:rsid w:val="0090583A"/>
    <w:rsid w:val="00905E97"/>
    <w:rsid w:val="00906A3D"/>
    <w:rsid w:val="00906B29"/>
    <w:rsid w:val="00906B42"/>
    <w:rsid w:val="00906D68"/>
    <w:rsid w:val="00906E8F"/>
    <w:rsid w:val="0090732E"/>
    <w:rsid w:val="00907449"/>
    <w:rsid w:val="00907601"/>
    <w:rsid w:val="00907684"/>
    <w:rsid w:val="00907748"/>
    <w:rsid w:val="0090775D"/>
    <w:rsid w:val="00907918"/>
    <w:rsid w:val="00907AA5"/>
    <w:rsid w:val="00907FEE"/>
    <w:rsid w:val="009102A2"/>
    <w:rsid w:val="00910405"/>
    <w:rsid w:val="00910692"/>
    <w:rsid w:val="00910D0C"/>
    <w:rsid w:val="0091127A"/>
    <w:rsid w:val="009114CA"/>
    <w:rsid w:val="0091163E"/>
    <w:rsid w:val="0091198A"/>
    <w:rsid w:val="009122A7"/>
    <w:rsid w:val="00912608"/>
    <w:rsid w:val="00912C4A"/>
    <w:rsid w:val="00912FC9"/>
    <w:rsid w:val="00913CF9"/>
    <w:rsid w:val="00913D18"/>
    <w:rsid w:val="00913DE8"/>
    <w:rsid w:val="009141E5"/>
    <w:rsid w:val="00915153"/>
    <w:rsid w:val="00915355"/>
    <w:rsid w:val="009154B8"/>
    <w:rsid w:val="009155FF"/>
    <w:rsid w:val="009156CB"/>
    <w:rsid w:val="0091628F"/>
    <w:rsid w:val="00916374"/>
    <w:rsid w:val="00916E90"/>
    <w:rsid w:val="00916FBD"/>
    <w:rsid w:val="00917772"/>
    <w:rsid w:val="00917964"/>
    <w:rsid w:val="00920090"/>
    <w:rsid w:val="009208AD"/>
    <w:rsid w:val="0092092A"/>
    <w:rsid w:val="009210EA"/>
    <w:rsid w:val="0092111A"/>
    <w:rsid w:val="00921327"/>
    <w:rsid w:val="0092136A"/>
    <w:rsid w:val="009216BB"/>
    <w:rsid w:val="0092192C"/>
    <w:rsid w:val="00921E98"/>
    <w:rsid w:val="0092234C"/>
    <w:rsid w:val="00922573"/>
    <w:rsid w:val="00922922"/>
    <w:rsid w:val="00922FAC"/>
    <w:rsid w:val="0092326C"/>
    <w:rsid w:val="0092347F"/>
    <w:rsid w:val="009235B2"/>
    <w:rsid w:val="0092383B"/>
    <w:rsid w:val="0092385F"/>
    <w:rsid w:val="00923939"/>
    <w:rsid w:val="00923B24"/>
    <w:rsid w:val="00923C75"/>
    <w:rsid w:val="009241A0"/>
    <w:rsid w:val="00924668"/>
    <w:rsid w:val="0092468A"/>
    <w:rsid w:val="00924979"/>
    <w:rsid w:val="00924D23"/>
    <w:rsid w:val="00924FD7"/>
    <w:rsid w:val="0092551C"/>
    <w:rsid w:val="0092586E"/>
    <w:rsid w:val="009259E2"/>
    <w:rsid w:val="00925FBA"/>
    <w:rsid w:val="00926210"/>
    <w:rsid w:val="0092636B"/>
    <w:rsid w:val="00926AF7"/>
    <w:rsid w:val="00926BAF"/>
    <w:rsid w:val="00926BFF"/>
    <w:rsid w:val="0092742D"/>
    <w:rsid w:val="009275DD"/>
    <w:rsid w:val="00927ACC"/>
    <w:rsid w:val="00927C94"/>
    <w:rsid w:val="00927CBE"/>
    <w:rsid w:val="00927D52"/>
    <w:rsid w:val="0093073F"/>
    <w:rsid w:val="009308EB"/>
    <w:rsid w:val="009312C2"/>
    <w:rsid w:val="00931386"/>
    <w:rsid w:val="00931527"/>
    <w:rsid w:val="0093154A"/>
    <w:rsid w:val="00931989"/>
    <w:rsid w:val="00931A5C"/>
    <w:rsid w:val="00932393"/>
    <w:rsid w:val="00932D63"/>
    <w:rsid w:val="00932EB9"/>
    <w:rsid w:val="009336A4"/>
    <w:rsid w:val="00934058"/>
    <w:rsid w:val="009341AB"/>
    <w:rsid w:val="009341B8"/>
    <w:rsid w:val="0093469C"/>
    <w:rsid w:val="009347E9"/>
    <w:rsid w:val="00934C3B"/>
    <w:rsid w:val="00934F0C"/>
    <w:rsid w:val="00934F92"/>
    <w:rsid w:val="00935039"/>
    <w:rsid w:val="009351FD"/>
    <w:rsid w:val="00935638"/>
    <w:rsid w:val="00935771"/>
    <w:rsid w:val="009359B6"/>
    <w:rsid w:val="00935FC1"/>
    <w:rsid w:val="00936402"/>
    <w:rsid w:val="00936477"/>
    <w:rsid w:val="00936692"/>
    <w:rsid w:val="00936DE2"/>
    <w:rsid w:val="00937444"/>
    <w:rsid w:val="009376CF"/>
    <w:rsid w:val="00937B97"/>
    <w:rsid w:val="00937BA1"/>
    <w:rsid w:val="00937D24"/>
    <w:rsid w:val="0094079D"/>
    <w:rsid w:val="009407B3"/>
    <w:rsid w:val="00940D79"/>
    <w:rsid w:val="009416E3"/>
    <w:rsid w:val="0094187A"/>
    <w:rsid w:val="00941A7C"/>
    <w:rsid w:val="0094210A"/>
    <w:rsid w:val="009422A5"/>
    <w:rsid w:val="00944024"/>
    <w:rsid w:val="009442D1"/>
    <w:rsid w:val="00944A09"/>
    <w:rsid w:val="00944E30"/>
    <w:rsid w:val="009457D3"/>
    <w:rsid w:val="00945C54"/>
    <w:rsid w:val="009460EA"/>
    <w:rsid w:val="0094660F"/>
    <w:rsid w:val="0094672A"/>
    <w:rsid w:val="00946A54"/>
    <w:rsid w:val="009470B8"/>
    <w:rsid w:val="0094768A"/>
    <w:rsid w:val="00947923"/>
    <w:rsid w:val="00950418"/>
    <w:rsid w:val="009507D4"/>
    <w:rsid w:val="00950A7B"/>
    <w:rsid w:val="0095134E"/>
    <w:rsid w:val="0095157A"/>
    <w:rsid w:val="00951647"/>
    <w:rsid w:val="00951B06"/>
    <w:rsid w:val="00951D27"/>
    <w:rsid w:val="0095218B"/>
    <w:rsid w:val="00952DF8"/>
    <w:rsid w:val="00953233"/>
    <w:rsid w:val="00953243"/>
    <w:rsid w:val="00953402"/>
    <w:rsid w:val="0095393F"/>
    <w:rsid w:val="00953DCC"/>
    <w:rsid w:val="00954006"/>
    <w:rsid w:val="00954203"/>
    <w:rsid w:val="009542A6"/>
    <w:rsid w:val="00954A3C"/>
    <w:rsid w:val="00954C19"/>
    <w:rsid w:val="00954CCC"/>
    <w:rsid w:val="00954FD7"/>
    <w:rsid w:val="00955068"/>
    <w:rsid w:val="009558E1"/>
    <w:rsid w:val="009561EE"/>
    <w:rsid w:val="00956441"/>
    <w:rsid w:val="00956616"/>
    <w:rsid w:val="00956784"/>
    <w:rsid w:val="00956F47"/>
    <w:rsid w:val="009605AC"/>
    <w:rsid w:val="00960B29"/>
    <w:rsid w:val="00961296"/>
    <w:rsid w:val="0096146B"/>
    <w:rsid w:val="009618A7"/>
    <w:rsid w:val="00961DF9"/>
    <w:rsid w:val="009621FC"/>
    <w:rsid w:val="00962724"/>
    <w:rsid w:val="009628F5"/>
    <w:rsid w:val="00962E49"/>
    <w:rsid w:val="00962FA4"/>
    <w:rsid w:val="00962FFE"/>
    <w:rsid w:val="0096371F"/>
    <w:rsid w:val="00964038"/>
    <w:rsid w:val="009645A4"/>
    <w:rsid w:val="009646D4"/>
    <w:rsid w:val="009647E7"/>
    <w:rsid w:val="00964858"/>
    <w:rsid w:val="009653FB"/>
    <w:rsid w:val="0096579C"/>
    <w:rsid w:val="00965A07"/>
    <w:rsid w:val="00965C5C"/>
    <w:rsid w:val="009662DB"/>
    <w:rsid w:val="009663A0"/>
    <w:rsid w:val="00966612"/>
    <w:rsid w:val="00966DCF"/>
    <w:rsid w:val="0096714C"/>
    <w:rsid w:val="009672D8"/>
    <w:rsid w:val="009676AD"/>
    <w:rsid w:val="00967755"/>
    <w:rsid w:val="00967C0D"/>
    <w:rsid w:val="00967E1E"/>
    <w:rsid w:val="00970316"/>
    <w:rsid w:val="009703C2"/>
    <w:rsid w:val="00970E5F"/>
    <w:rsid w:val="009713E1"/>
    <w:rsid w:val="00971E87"/>
    <w:rsid w:val="0097200F"/>
    <w:rsid w:val="00972116"/>
    <w:rsid w:val="00972651"/>
    <w:rsid w:val="0097371E"/>
    <w:rsid w:val="009737FE"/>
    <w:rsid w:val="00973B65"/>
    <w:rsid w:val="00973F8E"/>
    <w:rsid w:val="0097434F"/>
    <w:rsid w:val="009745DD"/>
    <w:rsid w:val="009747C6"/>
    <w:rsid w:val="00974B5B"/>
    <w:rsid w:val="00975947"/>
    <w:rsid w:val="009763E9"/>
    <w:rsid w:val="0097655D"/>
    <w:rsid w:val="00976595"/>
    <w:rsid w:val="0097667A"/>
    <w:rsid w:val="00976694"/>
    <w:rsid w:val="009766BD"/>
    <w:rsid w:val="0097680C"/>
    <w:rsid w:val="0097686B"/>
    <w:rsid w:val="009769E5"/>
    <w:rsid w:val="0097716D"/>
    <w:rsid w:val="00977846"/>
    <w:rsid w:val="00977B64"/>
    <w:rsid w:val="00980078"/>
    <w:rsid w:val="00980308"/>
    <w:rsid w:val="009803EE"/>
    <w:rsid w:val="0098051F"/>
    <w:rsid w:val="00980B78"/>
    <w:rsid w:val="00980CE0"/>
    <w:rsid w:val="00980D8F"/>
    <w:rsid w:val="00980F0F"/>
    <w:rsid w:val="00980FB0"/>
    <w:rsid w:val="00981AD0"/>
    <w:rsid w:val="00981DA8"/>
    <w:rsid w:val="00981E86"/>
    <w:rsid w:val="00982186"/>
    <w:rsid w:val="00982A6A"/>
    <w:rsid w:val="00982B60"/>
    <w:rsid w:val="00982CD1"/>
    <w:rsid w:val="00982E88"/>
    <w:rsid w:val="00983277"/>
    <w:rsid w:val="00983A54"/>
    <w:rsid w:val="00983C22"/>
    <w:rsid w:val="00984023"/>
    <w:rsid w:val="0098437E"/>
    <w:rsid w:val="009845BC"/>
    <w:rsid w:val="00984657"/>
    <w:rsid w:val="00984BF1"/>
    <w:rsid w:val="00985218"/>
    <w:rsid w:val="0098534D"/>
    <w:rsid w:val="00985862"/>
    <w:rsid w:val="00985C48"/>
    <w:rsid w:val="009862D0"/>
    <w:rsid w:val="0098717F"/>
    <w:rsid w:val="009873AD"/>
    <w:rsid w:val="00987491"/>
    <w:rsid w:val="009876A1"/>
    <w:rsid w:val="0099001F"/>
    <w:rsid w:val="0099009F"/>
    <w:rsid w:val="00990412"/>
    <w:rsid w:val="00990660"/>
    <w:rsid w:val="00990D5A"/>
    <w:rsid w:val="009917E4"/>
    <w:rsid w:val="00991A71"/>
    <w:rsid w:val="009929C7"/>
    <w:rsid w:val="00993002"/>
    <w:rsid w:val="009932CB"/>
    <w:rsid w:val="009932D7"/>
    <w:rsid w:val="009933DC"/>
    <w:rsid w:val="00993823"/>
    <w:rsid w:val="00993850"/>
    <w:rsid w:val="00993C74"/>
    <w:rsid w:val="00993C75"/>
    <w:rsid w:val="00993DA0"/>
    <w:rsid w:val="009943A1"/>
    <w:rsid w:val="00995099"/>
    <w:rsid w:val="00995110"/>
    <w:rsid w:val="00995178"/>
    <w:rsid w:val="00995591"/>
    <w:rsid w:val="009955DE"/>
    <w:rsid w:val="00995D74"/>
    <w:rsid w:val="00995E94"/>
    <w:rsid w:val="00995EDE"/>
    <w:rsid w:val="00996277"/>
    <w:rsid w:val="0099708C"/>
    <w:rsid w:val="0099748D"/>
    <w:rsid w:val="00997522"/>
    <w:rsid w:val="0099790B"/>
    <w:rsid w:val="00997CC6"/>
    <w:rsid w:val="00997E44"/>
    <w:rsid w:val="009A03D4"/>
    <w:rsid w:val="009A0D72"/>
    <w:rsid w:val="009A0E99"/>
    <w:rsid w:val="009A0F0D"/>
    <w:rsid w:val="009A10D6"/>
    <w:rsid w:val="009A1E56"/>
    <w:rsid w:val="009A283C"/>
    <w:rsid w:val="009A2A47"/>
    <w:rsid w:val="009A30AD"/>
    <w:rsid w:val="009A30B5"/>
    <w:rsid w:val="009A32F1"/>
    <w:rsid w:val="009A3A60"/>
    <w:rsid w:val="009A3C98"/>
    <w:rsid w:val="009A3CA6"/>
    <w:rsid w:val="009A4038"/>
    <w:rsid w:val="009A41EB"/>
    <w:rsid w:val="009A4AA0"/>
    <w:rsid w:val="009A4B47"/>
    <w:rsid w:val="009A4C0C"/>
    <w:rsid w:val="009A4CFA"/>
    <w:rsid w:val="009A4FA7"/>
    <w:rsid w:val="009A504E"/>
    <w:rsid w:val="009A5818"/>
    <w:rsid w:val="009A5AD7"/>
    <w:rsid w:val="009A600A"/>
    <w:rsid w:val="009A601E"/>
    <w:rsid w:val="009A6205"/>
    <w:rsid w:val="009A6295"/>
    <w:rsid w:val="009A6AC2"/>
    <w:rsid w:val="009A6C5D"/>
    <w:rsid w:val="009A718D"/>
    <w:rsid w:val="009A76EB"/>
    <w:rsid w:val="009A7B7D"/>
    <w:rsid w:val="009B0331"/>
    <w:rsid w:val="009B09E7"/>
    <w:rsid w:val="009B0E50"/>
    <w:rsid w:val="009B2711"/>
    <w:rsid w:val="009B27A4"/>
    <w:rsid w:val="009B2EC1"/>
    <w:rsid w:val="009B3236"/>
    <w:rsid w:val="009B3309"/>
    <w:rsid w:val="009B33E9"/>
    <w:rsid w:val="009B4051"/>
    <w:rsid w:val="009B442F"/>
    <w:rsid w:val="009B46EA"/>
    <w:rsid w:val="009B4C02"/>
    <w:rsid w:val="009B5074"/>
    <w:rsid w:val="009B644C"/>
    <w:rsid w:val="009B6728"/>
    <w:rsid w:val="009B6AE3"/>
    <w:rsid w:val="009B6EEB"/>
    <w:rsid w:val="009B7356"/>
    <w:rsid w:val="009B7C86"/>
    <w:rsid w:val="009C0554"/>
    <w:rsid w:val="009C067D"/>
    <w:rsid w:val="009C096D"/>
    <w:rsid w:val="009C0A43"/>
    <w:rsid w:val="009C11B8"/>
    <w:rsid w:val="009C1274"/>
    <w:rsid w:val="009C12A0"/>
    <w:rsid w:val="009C15DC"/>
    <w:rsid w:val="009C207A"/>
    <w:rsid w:val="009C21B5"/>
    <w:rsid w:val="009C265B"/>
    <w:rsid w:val="009C2748"/>
    <w:rsid w:val="009C28CE"/>
    <w:rsid w:val="009C2E2C"/>
    <w:rsid w:val="009C35C6"/>
    <w:rsid w:val="009C3BF5"/>
    <w:rsid w:val="009C3D6F"/>
    <w:rsid w:val="009C3DAF"/>
    <w:rsid w:val="009C4742"/>
    <w:rsid w:val="009C4D66"/>
    <w:rsid w:val="009C4F55"/>
    <w:rsid w:val="009C5286"/>
    <w:rsid w:val="009C5377"/>
    <w:rsid w:val="009C538F"/>
    <w:rsid w:val="009C573C"/>
    <w:rsid w:val="009C5ADA"/>
    <w:rsid w:val="009C5ED0"/>
    <w:rsid w:val="009C6827"/>
    <w:rsid w:val="009C69A7"/>
    <w:rsid w:val="009C6B34"/>
    <w:rsid w:val="009C6E72"/>
    <w:rsid w:val="009C7031"/>
    <w:rsid w:val="009C710A"/>
    <w:rsid w:val="009C7596"/>
    <w:rsid w:val="009C7A61"/>
    <w:rsid w:val="009C7CEE"/>
    <w:rsid w:val="009D088C"/>
    <w:rsid w:val="009D0AF5"/>
    <w:rsid w:val="009D0C86"/>
    <w:rsid w:val="009D1764"/>
    <w:rsid w:val="009D2335"/>
    <w:rsid w:val="009D2501"/>
    <w:rsid w:val="009D2943"/>
    <w:rsid w:val="009D35A8"/>
    <w:rsid w:val="009D38EC"/>
    <w:rsid w:val="009D3C2A"/>
    <w:rsid w:val="009D3ECE"/>
    <w:rsid w:val="009D4510"/>
    <w:rsid w:val="009D4C28"/>
    <w:rsid w:val="009D4F8F"/>
    <w:rsid w:val="009D50B0"/>
    <w:rsid w:val="009D6467"/>
    <w:rsid w:val="009D673D"/>
    <w:rsid w:val="009D6A4A"/>
    <w:rsid w:val="009D6C70"/>
    <w:rsid w:val="009D70D4"/>
    <w:rsid w:val="009D76BE"/>
    <w:rsid w:val="009D7AD2"/>
    <w:rsid w:val="009E09B5"/>
    <w:rsid w:val="009E09E5"/>
    <w:rsid w:val="009E0B9A"/>
    <w:rsid w:val="009E0D20"/>
    <w:rsid w:val="009E0F45"/>
    <w:rsid w:val="009E1209"/>
    <w:rsid w:val="009E1646"/>
    <w:rsid w:val="009E16C8"/>
    <w:rsid w:val="009E195C"/>
    <w:rsid w:val="009E1E08"/>
    <w:rsid w:val="009E20B4"/>
    <w:rsid w:val="009E2368"/>
    <w:rsid w:val="009E262B"/>
    <w:rsid w:val="009E27C4"/>
    <w:rsid w:val="009E2965"/>
    <w:rsid w:val="009E33F6"/>
    <w:rsid w:val="009E395B"/>
    <w:rsid w:val="009E3B04"/>
    <w:rsid w:val="009E3C75"/>
    <w:rsid w:val="009E3DAE"/>
    <w:rsid w:val="009E4923"/>
    <w:rsid w:val="009E4E30"/>
    <w:rsid w:val="009E4FAD"/>
    <w:rsid w:val="009E5875"/>
    <w:rsid w:val="009E5A96"/>
    <w:rsid w:val="009E5F59"/>
    <w:rsid w:val="009E649D"/>
    <w:rsid w:val="009E64B6"/>
    <w:rsid w:val="009E64BD"/>
    <w:rsid w:val="009E6D7E"/>
    <w:rsid w:val="009E6D8D"/>
    <w:rsid w:val="009E7030"/>
    <w:rsid w:val="009E70BE"/>
    <w:rsid w:val="009E7106"/>
    <w:rsid w:val="009E7346"/>
    <w:rsid w:val="009E761B"/>
    <w:rsid w:val="009E7710"/>
    <w:rsid w:val="009E7969"/>
    <w:rsid w:val="009F0246"/>
    <w:rsid w:val="009F025B"/>
    <w:rsid w:val="009F038D"/>
    <w:rsid w:val="009F0AF5"/>
    <w:rsid w:val="009F0CD0"/>
    <w:rsid w:val="009F175C"/>
    <w:rsid w:val="009F1866"/>
    <w:rsid w:val="009F2243"/>
    <w:rsid w:val="009F27F8"/>
    <w:rsid w:val="009F2859"/>
    <w:rsid w:val="009F2A86"/>
    <w:rsid w:val="009F3DE7"/>
    <w:rsid w:val="009F4335"/>
    <w:rsid w:val="009F44AA"/>
    <w:rsid w:val="009F4949"/>
    <w:rsid w:val="009F4A50"/>
    <w:rsid w:val="009F4CDA"/>
    <w:rsid w:val="009F4F81"/>
    <w:rsid w:val="009F5338"/>
    <w:rsid w:val="009F587D"/>
    <w:rsid w:val="009F5923"/>
    <w:rsid w:val="009F5A52"/>
    <w:rsid w:val="009F5EE1"/>
    <w:rsid w:val="009F656B"/>
    <w:rsid w:val="009F690F"/>
    <w:rsid w:val="009F692A"/>
    <w:rsid w:val="009F6BB5"/>
    <w:rsid w:val="009F6C44"/>
    <w:rsid w:val="00A000AD"/>
    <w:rsid w:val="00A00620"/>
    <w:rsid w:val="00A00636"/>
    <w:rsid w:val="00A0157A"/>
    <w:rsid w:val="00A017B0"/>
    <w:rsid w:val="00A01A31"/>
    <w:rsid w:val="00A02438"/>
    <w:rsid w:val="00A02D34"/>
    <w:rsid w:val="00A03513"/>
    <w:rsid w:val="00A037D1"/>
    <w:rsid w:val="00A03B2E"/>
    <w:rsid w:val="00A0408A"/>
    <w:rsid w:val="00A040A8"/>
    <w:rsid w:val="00A04917"/>
    <w:rsid w:val="00A04B73"/>
    <w:rsid w:val="00A04E9A"/>
    <w:rsid w:val="00A05598"/>
    <w:rsid w:val="00A05CDB"/>
    <w:rsid w:val="00A0647F"/>
    <w:rsid w:val="00A07088"/>
    <w:rsid w:val="00A075BE"/>
    <w:rsid w:val="00A07ADA"/>
    <w:rsid w:val="00A07DFA"/>
    <w:rsid w:val="00A10078"/>
    <w:rsid w:val="00A10717"/>
    <w:rsid w:val="00A10B4F"/>
    <w:rsid w:val="00A11A11"/>
    <w:rsid w:val="00A11B46"/>
    <w:rsid w:val="00A1206D"/>
    <w:rsid w:val="00A12371"/>
    <w:rsid w:val="00A1276F"/>
    <w:rsid w:val="00A12957"/>
    <w:rsid w:val="00A129E8"/>
    <w:rsid w:val="00A131F8"/>
    <w:rsid w:val="00A13315"/>
    <w:rsid w:val="00A134EB"/>
    <w:rsid w:val="00A1367A"/>
    <w:rsid w:val="00A1431B"/>
    <w:rsid w:val="00A14625"/>
    <w:rsid w:val="00A14E6C"/>
    <w:rsid w:val="00A15245"/>
    <w:rsid w:val="00A15647"/>
    <w:rsid w:val="00A15CB7"/>
    <w:rsid w:val="00A1620C"/>
    <w:rsid w:val="00A162D9"/>
    <w:rsid w:val="00A16B82"/>
    <w:rsid w:val="00A16BEC"/>
    <w:rsid w:val="00A170AB"/>
    <w:rsid w:val="00A175CA"/>
    <w:rsid w:val="00A178BA"/>
    <w:rsid w:val="00A17B62"/>
    <w:rsid w:val="00A17C89"/>
    <w:rsid w:val="00A17EDB"/>
    <w:rsid w:val="00A200A8"/>
    <w:rsid w:val="00A20628"/>
    <w:rsid w:val="00A20EBC"/>
    <w:rsid w:val="00A212E9"/>
    <w:rsid w:val="00A21605"/>
    <w:rsid w:val="00A21B4B"/>
    <w:rsid w:val="00A21D10"/>
    <w:rsid w:val="00A22449"/>
    <w:rsid w:val="00A228E9"/>
    <w:rsid w:val="00A230B8"/>
    <w:rsid w:val="00A23208"/>
    <w:rsid w:val="00A233DC"/>
    <w:rsid w:val="00A235C0"/>
    <w:rsid w:val="00A23780"/>
    <w:rsid w:val="00A23847"/>
    <w:rsid w:val="00A2386D"/>
    <w:rsid w:val="00A23B61"/>
    <w:rsid w:val="00A24148"/>
    <w:rsid w:val="00A247D0"/>
    <w:rsid w:val="00A25233"/>
    <w:rsid w:val="00A25832"/>
    <w:rsid w:val="00A25A25"/>
    <w:rsid w:val="00A26655"/>
    <w:rsid w:val="00A266F5"/>
    <w:rsid w:val="00A26730"/>
    <w:rsid w:val="00A26A76"/>
    <w:rsid w:val="00A26B02"/>
    <w:rsid w:val="00A26C82"/>
    <w:rsid w:val="00A26E10"/>
    <w:rsid w:val="00A26F1F"/>
    <w:rsid w:val="00A2728D"/>
    <w:rsid w:val="00A2777B"/>
    <w:rsid w:val="00A27981"/>
    <w:rsid w:val="00A27A07"/>
    <w:rsid w:val="00A27E9C"/>
    <w:rsid w:val="00A27F82"/>
    <w:rsid w:val="00A27FD1"/>
    <w:rsid w:val="00A27FE4"/>
    <w:rsid w:val="00A300CB"/>
    <w:rsid w:val="00A304BB"/>
    <w:rsid w:val="00A30515"/>
    <w:rsid w:val="00A3081C"/>
    <w:rsid w:val="00A3091B"/>
    <w:rsid w:val="00A30D70"/>
    <w:rsid w:val="00A30D79"/>
    <w:rsid w:val="00A30D92"/>
    <w:rsid w:val="00A30EFB"/>
    <w:rsid w:val="00A30F68"/>
    <w:rsid w:val="00A31670"/>
    <w:rsid w:val="00A31B74"/>
    <w:rsid w:val="00A31E31"/>
    <w:rsid w:val="00A322F6"/>
    <w:rsid w:val="00A3242A"/>
    <w:rsid w:val="00A32453"/>
    <w:rsid w:val="00A3255F"/>
    <w:rsid w:val="00A328E0"/>
    <w:rsid w:val="00A32A2C"/>
    <w:rsid w:val="00A32B93"/>
    <w:rsid w:val="00A330EA"/>
    <w:rsid w:val="00A336BA"/>
    <w:rsid w:val="00A33B8E"/>
    <w:rsid w:val="00A33BB3"/>
    <w:rsid w:val="00A34605"/>
    <w:rsid w:val="00A3486A"/>
    <w:rsid w:val="00A34D54"/>
    <w:rsid w:val="00A35476"/>
    <w:rsid w:val="00A355DA"/>
    <w:rsid w:val="00A35E52"/>
    <w:rsid w:val="00A360ED"/>
    <w:rsid w:val="00A36D0E"/>
    <w:rsid w:val="00A3744F"/>
    <w:rsid w:val="00A37871"/>
    <w:rsid w:val="00A378F6"/>
    <w:rsid w:val="00A41176"/>
    <w:rsid w:val="00A41283"/>
    <w:rsid w:val="00A419DF"/>
    <w:rsid w:val="00A41AF1"/>
    <w:rsid w:val="00A42029"/>
    <w:rsid w:val="00A42122"/>
    <w:rsid w:val="00A422B5"/>
    <w:rsid w:val="00A428F9"/>
    <w:rsid w:val="00A42E41"/>
    <w:rsid w:val="00A43283"/>
    <w:rsid w:val="00A43F44"/>
    <w:rsid w:val="00A43FD8"/>
    <w:rsid w:val="00A4458E"/>
    <w:rsid w:val="00A4466C"/>
    <w:rsid w:val="00A4494D"/>
    <w:rsid w:val="00A450EE"/>
    <w:rsid w:val="00A4539F"/>
    <w:rsid w:val="00A45412"/>
    <w:rsid w:val="00A456A6"/>
    <w:rsid w:val="00A45CC7"/>
    <w:rsid w:val="00A45D61"/>
    <w:rsid w:val="00A46100"/>
    <w:rsid w:val="00A468A2"/>
    <w:rsid w:val="00A46B36"/>
    <w:rsid w:val="00A46CBC"/>
    <w:rsid w:val="00A47022"/>
    <w:rsid w:val="00A471CE"/>
    <w:rsid w:val="00A4793C"/>
    <w:rsid w:val="00A47A19"/>
    <w:rsid w:val="00A47CDA"/>
    <w:rsid w:val="00A50563"/>
    <w:rsid w:val="00A50682"/>
    <w:rsid w:val="00A511DF"/>
    <w:rsid w:val="00A515AD"/>
    <w:rsid w:val="00A51670"/>
    <w:rsid w:val="00A51DF9"/>
    <w:rsid w:val="00A51E83"/>
    <w:rsid w:val="00A51EF3"/>
    <w:rsid w:val="00A51F9C"/>
    <w:rsid w:val="00A52086"/>
    <w:rsid w:val="00A524E1"/>
    <w:rsid w:val="00A527AD"/>
    <w:rsid w:val="00A52F1E"/>
    <w:rsid w:val="00A52F47"/>
    <w:rsid w:val="00A5301A"/>
    <w:rsid w:val="00A5353C"/>
    <w:rsid w:val="00A539BC"/>
    <w:rsid w:val="00A53B5F"/>
    <w:rsid w:val="00A53C5E"/>
    <w:rsid w:val="00A53CFC"/>
    <w:rsid w:val="00A53DDB"/>
    <w:rsid w:val="00A54414"/>
    <w:rsid w:val="00A54495"/>
    <w:rsid w:val="00A54E19"/>
    <w:rsid w:val="00A5517B"/>
    <w:rsid w:val="00A55229"/>
    <w:rsid w:val="00A55511"/>
    <w:rsid w:val="00A55724"/>
    <w:rsid w:val="00A55D11"/>
    <w:rsid w:val="00A56559"/>
    <w:rsid w:val="00A5675D"/>
    <w:rsid w:val="00A56C8A"/>
    <w:rsid w:val="00A56C9C"/>
    <w:rsid w:val="00A57490"/>
    <w:rsid w:val="00A57E52"/>
    <w:rsid w:val="00A57F00"/>
    <w:rsid w:val="00A604F6"/>
    <w:rsid w:val="00A60552"/>
    <w:rsid w:val="00A60744"/>
    <w:rsid w:val="00A60CDC"/>
    <w:rsid w:val="00A61072"/>
    <w:rsid w:val="00A61166"/>
    <w:rsid w:val="00A6141A"/>
    <w:rsid w:val="00A61553"/>
    <w:rsid w:val="00A616F5"/>
    <w:rsid w:val="00A62182"/>
    <w:rsid w:val="00A6230F"/>
    <w:rsid w:val="00A6273A"/>
    <w:rsid w:val="00A62742"/>
    <w:rsid w:val="00A629B6"/>
    <w:rsid w:val="00A62D9B"/>
    <w:rsid w:val="00A63062"/>
    <w:rsid w:val="00A630D0"/>
    <w:rsid w:val="00A636D6"/>
    <w:rsid w:val="00A63982"/>
    <w:rsid w:val="00A63AD5"/>
    <w:rsid w:val="00A63E56"/>
    <w:rsid w:val="00A6482B"/>
    <w:rsid w:val="00A64A24"/>
    <w:rsid w:val="00A64B7E"/>
    <w:rsid w:val="00A65544"/>
    <w:rsid w:val="00A65A92"/>
    <w:rsid w:val="00A665FD"/>
    <w:rsid w:val="00A66A13"/>
    <w:rsid w:val="00A66A4C"/>
    <w:rsid w:val="00A66BBF"/>
    <w:rsid w:val="00A6744A"/>
    <w:rsid w:val="00A674E2"/>
    <w:rsid w:val="00A67750"/>
    <w:rsid w:val="00A67BC5"/>
    <w:rsid w:val="00A67C55"/>
    <w:rsid w:val="00A67D25"/>
    <w:rsid w:val="00A7001E"/>
    <w:rsid w:val="00A70209"/>
    <w:rsid w:val="00A70573"/>
    <w:rsid w:val="00A70798"/>
    <w:rsid w:val="00A71004"/>
    <w:rsid w:val="00A71B1B"/>
    <w:rsid w:val="00A7275B"/>
    <w:rsid w:val="00A7284D"/>
    <w:rsid w:val="00A72DB6"/>
    <w:rsid w:val="00A72EAF"/>
    <w:rsid w:val="00A7306F"/>
    <w:rsid w:val="00A7319C"/>
    <w:rsid w:val="00A73238"/>
    <w:rsid w:val="00A7370C"/>
    <w:rsid w:val="00A7419C"/>
    <w:rsid w:val="00A74B01"/>
    <w:rsid w:val="00A74BE3"/>
    <w:rsid w:val="00A7505B"/>
    <w:rsid w:val="00A75698"/>
    <w:rsid w:val="00A75727"/>
    <w:rsid w:val="00A757A3"/>
    <w:rsid w:val="00A75DDC"/>
    <w:rsid w:val="00A75F17"/>
    <w:rsid w:val="00A7640C"/>
    <w:rsid w:val="00A76C6D"/>
    <w:rsid w:val="00A76DE3"/>
    <w:rsid w:val="00A76EA7"/>
    <w:rsid w:val="00A77212"/>
    <w:rsid w:val="00A773E8"/>
    <w:rsid w:val="00A7740C"/>
    <w:rsid w:val="00A775A0"/>
    <w:rsid w:val="00A7778F"/>
    <w:rsid w:val="00A77AB5"/>
    <w:rsid w:val="00A77DB8"/>
    <w:rsid w:val="00A80046"/>
    <w:rsid w:val="00A80338"/>
    <w:rsid w:val="00A803D0"/>
    <w:rsid w:val="00A80F73"/>
    <w:rsid w:val="00A80FBE"/>
    <w:rsid w:val="00A8177A"/>
    <w:rsid w:val="00A81CEA"/>
    <w:rsid w:val="00A81F01"/>
    <w:rsid w:val="00A82679"/>
    <w:rsid w:val="00A829F7"/>
    <w:rsid w:val="00A82C27"/>
    <w:rsid w:val="00A82FB1"/>
    <w:rsid w:val="00A830F9"/>
    <w:rsid w:val="00A8328E"/>
    <w:rsid w:val="00A83483"/>
    <w:rsid w:val="00A836F0"/>
    <w:rsid w:val="00A83DDB"/>
    <w:rsid w:val="00A8457C"/>
    <w:rsid w:val="00A84D66"/>
    <w:rsid w:val="00A85291"/>
    <w:rsid w:val="00A854EB"/>
    <w:rsid w:val="00A855EE"/>
    <w:rsid w:val="00A865AD"/>
    <w:rsid w:val="00A86975"/>
    <w:rsid w:val="00A86B90"/>
    <w:rsid w:val="00A87137"/>
    <w:rsid w:val="00A878B1"/>
    <w:rsid w:val="00A87A2C"/>
    <w:rsid w:val="00A87C50"/>
    <w:rsid w:val="00A900BF"/>
    <w:rsid w:val="00A90183"/>
    <w:rsid w:val="00A9027E"/>
    <w:rsid w:val="00A9038B"/>
    <w:rsid w:val="00A9075D"/>
    <w:rsid w:val="00A90775"/>
    <w:rsid w:val="00A90F39"/>
    <w:rsid w:val="00A91745"/>
    <w:rsid w:val="00A9174F"/>
    <w:rsid w:val="00A919A8"/>
    <w:rsid w:val="00A91E0C"/>
    <w:rsid w:val="00A923A4"/>
    <w:rsid w:val="00A92A39"/>
    <w:rsid w:val="00A932C4"/>
    <w:rsid w:val="00A93425"/>
    <w:rsid w:val="00A9391D"/>
    <w:rsid w:val="00A93B94"/>
    <w:rsid w:val="00A93E81"/>
    <w:rsid w:val="00A93EB8"/>
    <w:rsid w:val="00A94015"/>
    <w:rsid w:val="00A94133"/>
    <w:rsid w:val="00A941E6"/>
    <w:rsid w:val="00A94264"/>
    <w:rsid w:val="00A947D0"/>
    <w:rsid w:val="00A94D63"/>
    <w:rsid w:val="00A9561F"/>
    <w:rsid w:val="00A95E57"/>
    <w:rsid w:val="00A96113"/>
    <w:rsid w:val="00A96135"/>
    <w:rsid w:val="00A9613D"/>
    <w:rsid w:val="00A96244"/>
    <w:rsid w:val="00A96576"/>
    <w:rsid w:val="00A96836"/>
    <w:rsid w:val="00A96D67"/>
    <w:rsid w:val="00A96F49"/>
    <w:rsid w:val="00A97298"/>
    <w:rsid w:val="00A977EE"/>
    <w:rsid w:val="00A979BA"/>
    <w:rsid w:val="00A979E1"/>
    <w:rsid w:val="00A97B24"/>
    <w:rsid w:val="00A97DB7"/>
    <w:rsid w:val="00AA089D"/>
    <w:rsid w:val="00AA094B"/>
    <w:rsid w:val="00AA09CC"/>
    <w:rsid w:val="00AA09E9"/>
    <w:rsid w:val="00AA0F8B"/>
    <w:rsid w:val="00AA1125"/>
    <w:rsid w:val="00AA1A9E"/>
    <w:rsid w:val="00AA2608"/>
    <w:rsid w:val="00AA2925"/>
    <w:rsid w:val="00AA2A0B"/>
    <w:rsid w:val="00AA2F88"/>
    <w:rsid w:val="00AA31DD"/>
    <w:rsid w:val="00AA3C06"/>
    <w:rsid w:val="00AA3D15"/>
    <w:rsid w:val="00AA3FCF"/>
    <w:rsid w:val="00AA41A0"/>
    <w:rsid w:val="00AA434B"/>
    <w:rsid w:val="00AA43A0"/>
    <w:rsid w:val="00AA4715"/>
    <w:rsid w:val="00AA5040"/>
    <w:rsid w:val="00AA6071"/>
    <w:rsid w:val="00AA6231"/>
    <w:rsid w:val="00AA64AA"/>
    <w:rsid w:val="00AA6A72"/>
    <w:rsid w:val="00AA6D85"/>
    <w:rsid w:val="00AA741B"/>
    <w:rsid w:val="00AA74A6"/>
    <w:rsid w:val="00AA74CE"/>
    <w:rsid w:val="00AA7669"/>
    <w:rsid w:val="00AB0006"/>
    <w:rsid w:val="00AB02CB"/>
    <w:rsid w:val="00AB0EA1"/>
    <w:rsid w:val="00AB10F2"/>
    <w:rsid w:val="00AB17DA"/>
    <w:rsid w:val="00AB1A38"/>
    <w:rsid w:val="00AB1C15"/>
    <w:rsid w:val="00AB1E40"/>
    <w:rsid w:val="00AB1F00"/>
    <w:rsid w:val="00AB20F2"/>
    <w:rsid w:val="00AB2181"/>
    <w:rsid w:val="00AB264B"/>
    <w:rsid w:val="00AB2C84"/>
    <w:rsid w:val="00AB2CA5"/>
    <w:rsid w:val="00AB2D48"/>
    <w:rsid w:val="00AB2E38"/>
    <w:rsid w:val="00AB2E69"/>
    <w:rsid w:val="00AB3008"/>
    <w:rsid w:val="00AB3012"/>
    <w:rsid w:val="00AB3028"/>
    <w:rsid w:val="00AB39EF"/>
    <w:rsid w:val="00AB3A10"/>
    <w:rsid w:val="00AB3B08"/>
    <w:rsid w:val="00AB48D6"/>
    <w:rsid w:val="00AB535E"/>
    <w:rsid w:val="00AB5434"/>
    <w:rsid w:val="00AB5B20"/>
    <w:rsid w:val="00AB5EF0"/>
    <w:rsid w:val="00AB613C"/>
    <w:rsid w:val="00AB6BA6"/>
    <w:rsid w:val="00AB6C5F"/>
    <w:rsid w:val="00AB7303"/>
    <w:rsid w:val="00AB7D61"/>
    <w:rsid w:val="00AC0720"/>
    <w:rsid w:val="00AC0726"/>
    <w:rsid w:val="00AC07BD"/>
    <w:rsid w:val="00AC0C98"/>
    <w:rsid w:val="00AC10BC"/>
    <w:rsid w:val="00AC10E7"/>
    <w:rsid w:val="00AC192B"/>
    <w:rsid w:val="00AC1CA1"/>
    <w:rsid w:val="00AC22C4"/>
    <w:rsid w:val="00AC24A1"/>
    <w:rsid w:val="00AC26F3"/>
    <w:rsid w:val="00AC2752"/>
    <w:rsid w:val="00AC296C"/>
    <w:rsid w:val="00AC2E6B"/>
    <w:rsid w:val="00AC32C7"/>
    <w:rsid w:val="00AC37C8"/>
    <w:rsid w:val="00AC39B2"/>
    <w:rsid w:val="00AC3E7E"/>
    <w:rsid w:val="00AC40ED"/>
    <w:rsid w:val="00AC49B0"/>
    <w:rsid w:val="00AC4B1B"/>
    <w:rsid w:val="00AC5156"/>
    <w:rsid w:val="00AC53CA"/>
    <w:rsid w:val="00AC53F4"/>
    <w:rsid w:val="00AC564A"/>
    <w:rsid w:val="00AC5818"/>
    <w:rsid w:val="00AC5AA8"/>
    <w:rsid w:val="00AC5C69"/>
    <w:rsid w:val="00AC66A3"/>
    <w:rsid w:val="00AC6A4D"/>
    <w:rsid w:val="00AC6B5F"/>
    <w:rsid w:val="00AC6DD7"/>
    <w:rsid w:val="00AC73DF"/>
    <w:rsid w:val="00AC7999"/>
    <w:rsid w:val="00AC7D17"/>
    <w:rsid w:val="00AD01BF"/>
    <w:rsid w:val="00AD02D2"/>
    <w:rsid w:val="00AD060F"/>
    <w:rsid w:val="00AD088D"/>
    <w:rsid w:val="00AD08E6"/>
    <w:rsid w:val="00AD0AC9"/>
    <w:rsid w:val="00AD0D67"/>
    <w:rsid w:val="00AD0EDF"/>
    <w:rsid w:val="00AD15B8"/>
    <w:rsid w:val="00AD250B"/>
    <w:rsid w:val="00AD2741"/>
    <w:rsid w:val="00AD2BCD"/>
    <w:rsid w:val="00AD315E"/>
    <w:rsid w:val="00AD32AC"/>
    <w:rsid w:val="00AD32E3"/>
    <w:rsid w:val="00AD3AA3"/>
    <w:rsid w:val="00AD3BBD"/>
    <w:rsid w:val="00AD3D10"/>
    <w:rsid w:val="00AD3F92"/>
    <w:rsid w:val="00AD3FCE"/>
    <w:rsid w:val="00AD40AC"/>
    <w:rsid w:val="00AD4323"/>
    <w:rsid w:val="00AD4484"/>
    <w:rsid w:val="00AD4E06"/>
    <w:rsid w:val="00AD4E3A"/>
    <w:rsid w:val="00AD4EE6"/>
    <w:rsid w:val="00AD5178"/>
    <w:rsid w:val="00AD51B1"/>
    <w:rsid w:val="00AD522F"/>
    <w:rsid w:val="00AD541E"/>
    <w:rsid w:val="00AD551B"/>
    <w:rsid w:val="00AD5725"/>
    <w:rsid w:val="00AD6F0D"/>
    <w:rsid w:val="00AD6F8C"/>
    <w:rsid w:val="00AD73F9"/>
    <w:rsid w:val="00AD7840"/>
    <w:rsid w:val="00AD7D64"/>
    <w:rsid w:val="00AE02E2"/>
    <w:rsid w:val="00AE0FC9"/>
    <w:rsid w:val="00AE1153"/>
    <w:rsid w:val="00AE11B2"/>
    <w:rsid w:val="00AE174C"/>
    <w:rsid w:val="00AE1E66"/>
    <w:rsid w:val="00AE2161"/>
    <w:rsid w:val="00AE244B"/>
    <w:rsid w:val="00AE2629"/>
    <w:rsid w:val="00AE2B5E"/>
    <w:rsid w:val="00AE2C70"/>
    <w:rsid w:val="00AE2FDB"/>
    <w:rsid w:val="00AE3533"/>
    <w:rsid w:val="00AE3CBB"/>
    <w:rsid w:val="00AE3FE1"/>
    <w:rsid w:val="00AE41E2"/>
    <w:rsid w:val="00AE4246"/>
    <w:rsid w:val="00AE42B9"/>
    <w:rsid w:val="00AE435E"/>
    <w:rsid w:val="00AE4411"/>
    <w:rsid w:val="00AE5268"/>
    <w:rsid w:val="00AE53F3"/>
    <w:rsid w:val="00AE5AF0"/>
    <w:rsid w:val="00AE5B06"/>
    <w:rsid w:val="00AE5F32"/>
    <w:rsid w:val="00AE62F5"/>
    <w:rsid w:val="00AE6B0E"/>
    <w:rsid w:val="00AE70CD"/>
    <w:rsid w:val="00AE7DCB"/>
    <w:rsid w:val="00AE7F4C"/>
    <w:rsid w:val="00AF00CC"/>
    <w:rsid w:val="00AF017E"/>
    <w:rsid w:val="00AF0A0C"/>
    <w:rsid w:val="00AF0D21"/>
    <w:rsid w:val="00AF1503"/>
    <w:rsid w:val="00AF1E57"/>
    <w:rsid w:val="00AF1ED9"/>
    <w:rsid w:val="00AF2104"/>
    <w:rsid w:val="00AF217B"/>
    <w:rsid w:val="00AF2297"/>
    <w:rsid w:val="00AF272C"/>
    <w:rsid w:val="00AF2823"/>
    <w:rsid w:val="00AF2CB0"/>
    <w:rsid w:val="00AF2E51"/>
    <w:rsid w:val="00AF40A6"/>
    <w:rsid w:val="00AF47AB"/>
    <w:rsid w:val="00AF4A54"/>
    <w:rsid w:val="00AF4A6D"/>
    <w:rsid w:val="00AF4B74"/>
    <w:rsid w:val="00AF51B6"/>
    <w:rsid w:val="00AF538D"/>
    <w:rsid w:val="00AF5555"/>
    <w:rsid w:val="00AF5969"/>
    <w:rsid w:val="00AF5B4B"/>
    <w:rsid w:val="00AF610C"/>
    <w:rsid w:val="00AF62D5"/>
    <w:rsid w:val="00AF646F"/>
    <w:rsid w:val="00AF65C7"/>
    <w:rsid w:val="00AF67A3"/>
    <w:rsid w:val="00AF6F3E"/>
    <w:rsid w:val="00AF750C"/>
    <w:rsid w:val="00AF7E61"/>
    <w:rsid w:val="00B00304"/>
    <w:rsid w:val="00B00463"/>
    <w:rsid w:val="00B005DF"/>
    <w:rsid w:val="00B0099D"/>
    <w:rsid w:val="00B00CDB"/>
    <w:rsid w:val="00B00D9E"/>
    <w:rsid w:val="00B00E0C"/>
    <w:rsid w:val="00B00E88"/>
    <w:rsid w:val="00B00F54"/>
    <w:rsid w:val="00B0109F"/>
    <w:rsid w:val="00B0146C"/>
    <w:rsid w:val="00B0177A"/>
    <w:rsid w:val="00B0190D"/>
    <w:rsid w:val="00B01B72"/>
    <w:rsid w:val="00B01FCD"/>
    <w:rsid w:val="00B024B3"/>
    <w:rsid w:val="00B024D9"/>
    <w:rsid w:val="00B02EBE"/>
    <w:rsid w:val="00B0393B"/>
    <w:rsid w:val="00B03C2F"/>
    <w:rsid w:val="00B03C4C"/>
    <w:rsid w:val="00B0407A"/>
    <w:rsid w:val="00B044F5"/>
    <w:rsid w:val="00B04501"/>
    <w:rsid w:val="00B045B8"/>
    <w:rsid w:val="00B048E6"/>
    <w:rsid w:val="00B04933"/>
    <w:rsid w:val="00B05162"/>
    <w:rsid w:val="00B051F9"/>
    <w:rsid w:val="00B0558E"/>
    <w:rsid w:val="00B059BF"/>
    <w:rsid w:val="00B05C6C"/>
    <w:rsid w:val="00B06BB8"/>
    <w:rsid w:val="00B06C15"/>
    <w:rsid w:val="00B06F6B"/>
    <w:rsid w:val="00B0774B"/>
    <w:rsid w:val="00B102A1"/>
    <w:rsid w:val="00B1095F"/>
    <w:rsid w:val="00B109C9"/>
    <w:rsid w:val="00B10C00"/>
    <w:rsid w:val="00B114BB"/>
    <w:rsid w:val="00B11C4C"/>
    <w:rsid w:val="00B1226A"/>
    <w:rsid w:val="00B12CD6"/>
    <w:rsid w:val="00B12DDA"/>
    <w:rsid w:val="00B12F39"/>
    <w:rsid w:val="00B1329E"/>
    <w:rsid w:val="00B134EC"/>
    <w:rsid w:val="00B135FB"/>
    <w:rsid w:val="00B13EAF"/>
    <w:rsid w:val="00B14989"/>
    <w:rsid w:val="00B14EDE"/>
    <w:rsid w:val="00B15161"/>
    <w:rsid w:val="00B15414"/>
    <w:rsid w:val="00B156E0"/>
    <w:rsid w:val="00B1595E"/>
    <w:rsid w:val="00B16881"/>
    <w:rsid w:val="00B1693C"/>
    <w:rsid w:val="00B16AAD"/>
    <w:rsid w:val="00B16C5C"/>
    <w:rsid w:val="00B16F9A"/>
    <w:rsid w:val="00B17570"/>
    <w:rsid w:val="00B17583"/>
    <w:rsid w:val="00B17585"/>
    <w:rsid w:val="00B17AFF"/>
    <w:rsid w:val="00B17B72"/>
    <w:rsid w:val="00B17C26"/>
    <w:rsid w:val="00B20F2F"/>
    <w:rsid w:val="00B21794"/>
    <w:rsid w:val="00B21C19"/>
    <w:rsid w:val="00B224B8"/>
    <w:rsid w:val="00B22DD8"/>
    <w:rsid w:val="00B22DF9"/>
    <w:rsid w:val="00B2354F"/>
    <w:rsid w:val="00B23617"/>
    <w:rsid w:val="00B24639"/>
    <w:rsid w:val="00B25844"/>
    <w:rsid w:val="00B25AD6"/>
    <w:rsid w:val="00B25EE6"/>
    <w:rsid w:val="00B26030"/>
    <w:rsid w:val="00B261DA"/>
    <w:rsid w:val="00B2632A"/>
    <w:rsid w:val="00B2652A"/>
    <w:rsid w:val="00B265A0"/>
    <w:rsid w:val="00B26B5D"/>
    <w:rsid w:val="00B26BB4"/>
    <w:rsid w:val="00B26C2A"/>
    <w:rsid w:val="00B26DFD"/>
    <w:rsid w:val="00B26EFC"/>
    <w:rsid w:val="00B26FFF"/>
    <w:rsid w:val="00B27531"/>
    <w:rsid w:val="00B27F51"/>
    <w:rsid w:val="00B300E2"/>
    <w:rsid w:val="00B303D2"/>
    <w:rsid w:val="00B30BDD"/>
    <w:rsid w:val="00B314C6"/>
    <w:rsid w:val="00B318C9"/>
    <w:rsid w:val="00B31B08"/>
    <w:rsid w:val="00B31E4C"/>
    <w:rsid w:val="00B32642"/>
    <w:rsid w:val="00B32DC6"/>
    <w:rsid w:val="00B32F2A"/>
    <w:rsid w:val="00B33320"/>
    <w:rsid w:val="00B3335D"/>
    <w:rsid w:val="00B337BB"/>
    <w:rsid w:val="00B33ABC"/>
    <w:rsid w:val="00B33C56"/>
    <w:rsid w:val="00B33FA2"/>
    <w:rsid w:val="00B356CD"/>
    <w:rsid w:val="00B35F49"/>
    <w:rsid w:val="00B36186"/>
    <w:rsid w:val="00B3674E"/>
    <w:rsid w:val="00B36A83"/>
    <w:rsid w:val="00B37711"/>
    <w:rsid w:val="00B377F9"/>
    <w:rsid w:val="00B3783B"/>
    <w:rsid w:val="00B37890"/>
    <w:rsid w:val="00B37980"/>
    <w:rsid w:val="00B37991"/>
    <w:rsid w:val="00B37C9D"/>
    <w:rsid w:val="00B37F43"/>
    <w:rsid w:val="00B40022"/>
    <w:rsid w:val="00B40D2E"/>
    <w:rsid w:val="00B417AA"/>
    <w:rsid w:val="00B41A0B"/>
    <w:rsid w:val="00B425A9"/>
    <w:rsid w:val="00B426AA"/>
    <w:rsid w:val="00B42980"/>
    <w:rsid w:val="00B42A8C"/>
    <w:rsid w:val="00B42CA3"/>
    <w:rsid w:val="00B42D98"/>
    <w:rsid w:val="00B43259"/>
    <w:rsid w:val="00B437B6"/>
    <w:rsid w:val="00B43894"/>
    <w:rsid w:val="00B44390"/>
    <w:rsid w:val="00B44924"/>
    <w:rsid w:val="00B4563A"/>
    <w:rsid w:val="00B45998"/>
    <w:rsid w:val="00B45C92"/>
    <w:rsid w:val="00B46097"/>
    <w:rsid w:val="00B46313"/>
    <w:rsid w:val="00B4640B"/>
    <w:rsid w:val="00B46968"/>
    <w:rsid w:val="00B46D6F"/>
    <w:rsid w:val="00B46FE6"/>
    <w:rsid w:val="00B4744C"/>
    <w:rsid w:val="00B477B0"/>
    <w:rsid w:val="00B47D27"/>
    <w:rsid w:val="00B508B0"/>
    <w:rsid w:val="00B50918"/>
    <w:rsid w:val="00B51F08"/>
    <w:rsid w:val="00B524D7"/>
    <w:rsid w:val="00B52831"/>
    <w:rsid w:val="00B52ACC"/>
    <w:rsid w:val="00B52C07"/>
    <w:rsid w:val="00B5338A"/>
    <w:rsid w:val="00B533D4"/>
    <w:rsid w:val="00B53BF6"/>
    <w:rsid w:val="00B53D76"/>
    <w:rsid w:val="00B5489C"/>
    <w:rsid w:val="00B54A0D"/>
    <w:rsid w:val="00B550F3"/>
    <w:rsid w:val="00B55518"/>
    <w:rsid w:val="00B55907"/>
    <w:rsid w:val="00B55E0F"/>
    <w:rsid w:val="00B563EA"/>
    <w:rsid w:val="00B56F0B"/>
    <w:rsid w:val="00B56FB8"/>
    <w:rsid w:val="00B5716A"/>
    <w:rsid w:val="00B573A7"/>
    <w:rsid w:val="00B57756"/>
    <w:rsid w:val="00B6016C"/>
    <w:rsid w:val="00B60572"/>
    <w:rsid w:val="00B60755"/>
    <w:rsid w:val="00B608DC"/>
    <w:rsid w:val="00B60E07"/>
    <w:rsid w:val="00B60E1E"/>
    <w:rsid w:val="00B61006"/>
    <w:rsid w:val="00B610BA"/>
    <w:rsid w:val="00B61411"/>
    <w:rsid w:val="00B61776"/>
    <w:rsid w:val="00B61D63"/>
    <w:rsid w:val="00B622D2"/>
    <w:rsid w:val="00B62800"/>
    <w:rsid w:val="00B628B1"/>
    <w:rsid w:val="00B62B1B"/>
    <w:rsid w:val="00B62CDC"/>
    <w:rsid w:val="00B63121"/>
    <w:rsid w:val="00B63333"/>
    <w:rsid w:val="00B63518"/>
    <w:rsid w:val="00B63803"/>
    <w:rsid w:val="00B63D57"/>
    <w:rsid w:val="00B6468E"/>
    <w:rsid w:val="00B6484E"/>
    <w:rsid w:val="00B64A07"/>
    <w:rsid w:val="00B65036"/>
    <w:rsid w:val="00B6509B"/>
    <w:rsid w:val="00B650BF"/>
    <w:rsid w:val="00B65BE2"/>
    <w:rsid w:val="00B65D35"/>
    <w:rsid w:val="00B6615B"/>
    <w:rsid w:val="00B66CD5"/>
    <w:rsid w:val="00B66F0F"/>
    <w:rsid w:val="00B6788B"/>
    <w:rsid w:val="00B678D4"/>
    <w:rsid w:val="00B70488"/>
    <w:rsid w:val="00B70828"/>
    <w:rsid w:val="00B708D3"/>
    <w:rsid w:val="00B70A66"/>
    <w:rsid w:val="00B70C56"/>
    <w:rsid w:val="00B70F0A"/>
    <w:rsid w:val="00B7193E"/>
    <w:rsid w:val="00B71E45"/>
    <w:rsid w:val="00B71E7A"/>
    <w:rsid w:val="00B72571"/>
    <w:rsid w:val="00B72787"/>
    <w:rsid w:val="00B729CE"/>
    <w:rsid w:val="00B72EF5"/>
    <w:rsid w:val="00B731C4"/>
    <w:rsid w:val="00B7371C"/>
    <w:rsid w:val="00B73B29"/>
    <w:rsid w:val="00B73BB7"/>
    <w:rsid w:val="00B7404D"/>
    <w:rsid w:val="00B741CA"/>
    <w:rsid w:val="00B74A0E"/>
    <w:rsid w:val="00B757E6"/>
    <w:rsid w:val="00B759AA"/>
    <w:rsid w:val="00B759EA"/>
    <w:rsid w:val="00B75CC3"/>
    <w:rsid w:val="00B75FBF"/>
    <w:rsid w:val="00B761EF"/>
    <w:rsid w:val="00B765F7"/>
    <w:rsid w:val="00B76DCB"/>
    <w:rsid w:val="00B77467"/>
    <w:rsid w:val="00B77C0E"/>
    <w:rsid w:val="00B77C19"/>
    <w:rsid w:val="00B801AD"/>
    <w:rsid w:val="00B80410"/>
    <w:rsid w:val="00B8047F"/>
    <w:rsid w:val="00B8054C"/>
    <w:rsid w:val="00B80552"/>
    <w:rsid w:val="00B806AD"/>
    <w:rsid w:val="00B80AD9"/>
    <w:rsid w:val="00B80DA3"/>
    <w:rsid w:val="00B80F52"/>
    <w:rsid w:val="00B813E1"/>
    <w:rsid w:val="00B81A87"/>
    <w:rsid w:val="00B81C16"/>
    <w:rsid w:val="00B82204"/>
    <w:rsid w:val="00B82402"/>
    <w:rsid w:val="00B82790"/>
    <w:rsid w:val="00B82CA6"/>
    <w:rsid w:val="00B82CC8"/>
    <w:rsid w:val="00B830C3"/>
    <w:rsid w:val="00B8374D"/>
    <w:rsid w:val="00B8376B"/>
    <w:rsid w:val="00B83CBF"/>
    <w:rsid w:val="00B84038"/>
    <w:rsid w:val="00B840D4"/>
    <w:rsid w:val="00B8464D"/>
    <w:rsid w:val="00B84652"/>
    <w:rsid w:val="00B84881"/>
    <w:rsid w:val="00B84B1E"/>
    <w:rsid w:val="00B84C11"/>
    <w:rsid w:val="00B84D88"/>
    <w:rsid w:val="00B85139"/>
    <w:rsid w:val="00B8550B"/>
    <w:rsid w:val="00B855AF"/>
    <w:rsid w:val="00B856B8"/>
    <w:rsid w:val="00B8591E"/>
    <w:rsid w:val="00B85B16"/>
    <w:rsid w:val="00B86057"/>
    <w:rsid w:val="00B864D0"/>
    <w:rsid w:val="00B86943"/>
    <w:rsid w:val="00B86ACB"/>
    <w:rsid w:val="00B86B04"/>
    <w:rsid w:val="00B876B1"/>
    <w:rsid w:val="00B87CF9"/>
    <w:rsid w:val="00B87FEF"/>
    <w:rsid w:val="00B90A62"/>
    <w:rsid w:val="00B90DD3"/>
    <w:rsid w:val="00B90E5E"/>
    <w:rsid w:val="00B90F6B"/>
    <w:rsid w:val="00B910AA"/>
    <w:rsid w:val="00B911DE"/>
    <w:rsid w:val="00B91348"/>
    <w:rsid w:val="00B91426"/>
    <w:rsid w:val="00B91612"/>
    <w:rsid w:val="00B91887"/>
    <w:rsid w:val="00B92374"/>
    <w:rsid w:val="00B927FE"/>
    <w:rsid w:val="00B929B7"/>
    <w:rsid w:val="00B92CC6"/>
    <w:rsid w:val="00B92F76"/>
    <w:rsid w:val="00B930CB"/>
    <w:rsid w:val="00B9325E"/>
    <w:rsid w:val="00B93484"/>
    <w:rsid w:val="00B9402D"/>
    <w:rsid w:val="00B9457E"/>
    <w:rsid w:val="00B948DE"/>
    <w:rsid w:val="00B94C0D"/>
    <w:rsid w:val="00B94EE7"/>
    <w:rsid w:val="00B94F6A"/>
    <w:rsid w:val="00B9528F"/>
    <w:rsid w:val="00B953DB"/>
    <w:rsid w:val="00B95820"/>
    <w:rsid w:val="00B95873"/>
    <w:rsid w:val="00B95A77"/>
    <w:rsid w:val="00B95B99"/>
    <w:rsid w:val="00B95D08"/>
    <w:rsid w:val="00B95FD8"/>
    <w:rsid w:val="00B9602B"/>
    <w:rsid w:val="00B963D8"/>
    <w:rsid w:val="00B9668C"/>
    <w:rsid w:val="00B9685B"/>
    <w:rsid w:val="00B96F9B"/>
    <w:rsid w:val="00B970BE"/>
    <w:rsid w:val="00B971CF"/>
    <w:rsid w:val="00B97638"/>
    <w:rsid w:val="00B97765"/>
    <w:rsid w:val="00B97DF0"/>
    <w:rsid w:val="00BA02E4"/>
    <w:rsid w:val="00BA0730"/>
    <w:rsid w:val="00BA09BF"/>
    <w:rsid w:val="00BA15B8"/>
    <w:rsid w:val="00BA1F2E"/>
    <w:rsid w:val="00BA2F62"/>
    <w:rsid w:val="00BA3CF3"/>
    <w:rsid w:val="00BA3F48"/>
    <w:rsid w:val="00BA430C"/>
    <w:rsid w:val="00BA4CEC"/>
    <w:rsid w:val="00BA4ECF"/>
    <w:rsid w:val="00BA5104"/>
    <w:rsid w:val="00BA542F"/>
    <w:rsid w:val="00BA55EB"/>
    <w:rsid w:val="00BA5673"/>
    <w:rsid w:val="00BA570B"/>
    <w:rsid w:val="00BA57B6"/>
    <w:rsid w:val="00BA5ADC"/>
    <w:rsid w:val="00BA66E1"/>
    <w:rsid w:val="00BA6C20"/>
    <w:rsid w:val="00BA6F51"/>
    <w:rsid w:val="00BA768E"/>
    <w:rsid w:val="00BB0530"/>
    <w:rsid w:val="00BB0B20"/>
    <w:rsid w:val="00BB0CAE"/>
    <w:rsid w:val="00BB0E2D"/>
    <w:rsid w:val="00BB1312"/>
    <w:rsid w:val="00BB163D"/>
    <w:rsid w:val="00BB18DC"/>
    <w:rsid w:val="00BB1AE1"/>
    <w:rsid w:val="00BB1B16"/>
    <w:rsid w:val="00BB1BE0"/>
    <w:rsid w:val="00BB2359"/>
    <w:rsid w:val="00BB3048"/>
    <w:rsid w:val="00BB3151"/>
    <w:rsid w:val="00BB3F51"/>
    <w:rsid w:val="00BB3FAA"/>
    <w:rsid w:val="00BB409E"/>
    <w:rsid w:val="00BB431E"/>
    <w:rsid w:val="00BB4350"/>
    <w:rsid w:val="00BB439D"/>
    <w:rsid w:val="00BB4B50"/>
    <w:rsid w:val="00BB4E47"/>
    <w:rsid w:val="00BB504D"/>
    <w:rsid w:val="00BB5062"/>
    <w:rsid w:val="00BB51FD"/>
    <w:rsid w:val="00BB55AF"/>
    <w:rsid w:val="00BB6299"/>
    <w:rsid w:val="00BB62C7"/>
    <w:rsid w:val="00BB691C"/>
    <w:rsid w:val="00BB6DB0"/>
    <w:rsid w:val="00BB71B2"/>
    <w:rsid w:val="00BB7DF7"/>
    <w:rsid w:val="00BB7F4C"/>
    <w:rsid w:val="00BB7F97"/>
    <w:rsid w:val="00BC014D"/>
    <w:rsid w:val="00BC098B"/>
    <w:rsid w:val="00BC0FD8"/>
    <w:rsid w:val="00BC1022"/>
    <w:rsid w:val="00BC1668"/>
    <w:rsid w:val="00BC1C5C"/>
    <w:rsid w:val="00BC210F"/>
    <w:rsid w:val="00BC22F3"/>
    <w:rsid w:val="00BC24D7"/>
    <w:rsid w:val="00BC286B"/>
    <w:rsid w:val="00BC305E"/>
    <w:rsid w:val="00BC348C"/>
    <w:rsid w:val="00BC34F6"/>
    <w:rsid w:val="00BC3E91"/>
    <w:rsid w:val="00BC3EE5"/>
    <w:rsid w:val="00BC4222"/>
    <w:rsid w:val="00BC4746"/>
    <w:rsid w:val="00BC4B5D"/>
    <w:rsid w:val="00BC4B88"/>
    <w:rsid w:val="00BC5351"/>
    <w:rsid w:val="00BC599C"/>
    <w:rsid w:val="00BC5EAF"/>
    <w:rsid w:val="00BC5EDC"/>
    <w:rsid w:val="00BC63AC"/>
    <w:rsid w:val="00BC68DE"/>
    <w:rsid w:val="00BC70DA"/>
    <w:rsid w:val="00BC7260"/>
    <w:rsid w:val="00BC7628"/>
    <w:rsid w:val="00BD036C"/>
    <w:rsid w:val="00BD056F"/>
    <w:rsid w:val="00BD0D0D"/>
    <w:rsid w:val="00BD17F2"/>
    <w:rsid w:val="00BD183F"/>
    <w:rsid w:val="00BD1AD3"/>
    <w:rsid w:val="00BD1C8B"/>
    <w:rsid w:val="00BD2057"/>
    <w:rsid w:val="00BD2072"/>
    <w:rsid w:val="00BD20EC"/>
    <w:rsid w:val="00BD211C"/>
    <w:rsid w:val="00BD2EC3"/>
    <w:rsid w:val="00BD34CD"/>
    <w:rsid w:val="00BD35B1"/>
    <w:rsid w:val="00BD3A82"/>
    <w:rsid w:val="00BD3D8E"/>
    <w:rsid w:val="00BD3EA7"/>
    <w:rsid w:val="00BD3FC6"/>
    <w:rsid w:val="00BD4374"/>
    <w:rsid w:val="00BD44E1"/>
    <w:rsid w:val="00BD4A6A"/>
    <w:rsid w:val="00BD4C2F"/>
    <w:rsid w:val="00BD5031"/>
    <w:rsid w:val="00BD51B7"/>
    <w:rsid w:val="00BD5355"/>
    <w:rsid w:val="00BD53FE"/>
    <w:rsid w:val="00BD57D9"/>
    <w:rsid w:val="00BD5A1B"/>
    <w:rsid w:val="00BD5F39"/>
    <w:rsid w:val="00BD60CB"/>
    <w:rsid w:val="00BD61BF"/>
    <w:rsid w:val="00BD6F4A"/>
    <w:rsid w:val="00BD78FF"/>
    <w:rsid w:val="00BD7A28"/>
    <w:rsid w:val="00BD7A38"/>
    <w:rsid w:val="00BD7DFB"/>
    <w:rsid w:val="00BD7E9A"/>
    <w:rsid w:val="00BE0274"/>
    <w:rsid w:val="00BE04C8"/>
    <w:rsid w:val="00BE0981"/>
    <w:rsid w:val="00BE0A13"/>
    <w:rsid w:val="00BE0D41"/>
    <w:rsid w:val="00BE0F9A"/>
    <w:rsid w:val="00BE1386"/>
    <w:rsid w:val="00BE1534"/>
    <w:rsid w:val="00BE1B36"/>
    <w:rsid w:val="00BE1DEB"/>
    <w:rsid w:val="00BE1FEB"/>
    <w:rsid w:val="00BE22DD"/>
    <w:rsid w:val="00BE250A"/>
    <w:rsid w:val="00BE26AA"/>
    <w:rsid w:val="00BE27A7"/>
    <w:rsid w:val="00BE2AA9"/>
    <w:rsid w:val="00BE2D93"/>
    <w:rsid w:val="00BE2EB3"/>
    <w:rsid w:val="00BE302D"/>
    <w:rsid w:val="00BE39D7"/>
    <w:rsid w:val="00BE3C9A"/>
    <w:rsid w:val="00BE3EB3"/>
    <w:rsid w:val="00BE4238"/>
    <w:rsid w:val="00BE4443"/>
    <w:rsid w:val="00BE4F1A"/>
    <w:rsid w:val="00BE5088"/>
    <w:rsid w:val="00BE517F"/>
    <w:rsid w:val="00BE51A3"/>
    <w:rsid w:val="00BE5FD7"/>
    <w:rsid w:val="00BE65E2"/>
    <w:rsid w:val="00BE67D2"/>
    <w:rsid w:val="00BE68DE"/>
    <w:rsid w:val="00BE6A08"/>
    <w:rsid w:val="00BE6D14"/>
    <w:rsid w:val="00BE6EEE"/>
    <w:rsid w:val="00BE6F8C"/>
    <w:rsid w:val="00BE769F"/>
    <w:rsid w:val="00BE7BA9"/>
    <w:rsid w:val="00BF0212"/>
    <w:rsid w:val="00BF0E6E"/>
    <w:rsid w:val="00BF13E1"/>
    <w:rsid w:val="00BF1B3D"/>
    <w:rsid w:val="00BF1C12"/>
    <w:rsid w:val="00BF22F9"/>
    <w:rsid w:val="00BF24CC"/>
    <w:rsid w:val="00BF2E0B"/>
    <w:rsid w:val="00BF3021"/>
    <w:rsid w:val="00BF3152"/>
    <w:rsid w:val="00BF367D"/>
    <w:rsid w:val="00BF3731"/>
    <w:rsid w:val="00BF3793"/>
    <w:rsid w:val="00BF3968"/>
    <w:rsid w:val="00BF409C"/>
    <w:rsid w:val="00BF439F"/>
    <w:rsid w:val="00BF450C"/>
    <w:rsid w:val="00BF49D4"/>
    <w:rsid w:val="00BF4B88"/>
    <w:rsid w:val="00BF4C2B"/>
    <w:rsid w:val="00BF4F45"/>
    <w:rsid w:val="00BF50E2"/>
    <w:rsid w:val="00BF5191"/>
    <w:rsid w:val="00BF5427"/>
    <w:rsid w:val="00BF5826"/>
    <w:rsid w:val="00BF5EC9"/>
    <w:rsid w:val="00BF618F"/>
    <w:rsid w:val="00BF61C6"/>
    <w:rsid w:val="00BF64C1"/>
    <w:rsid w:val="00BF697E"/>
    <w:rsid w:val="00BF769F"/>
    <w:rsid w:val="00BF77FD"/>
    <w:rsid w:val="00BF7F51"/>
    <w:rsid w:val="00C004A2"/>
    <w:rsid w:val="00C00B91"/>
    <w:rsid w:val="00C00EEC"/>
    <w:rsid w:val="00C017A0"/>
    <w:rsid w:val="00C01884"/>
    <w:rsid w:val="00C01D2F"/>
    <w:rsid w:val="00C020A4"/>
    <w:rsid w:val="00C0226E"/>
    <w:rsid w:val="00C024DB"/>
    <w:rsid w:val="00C026E5"/>
    <w:rsid w:val="00C0281B"/>
    <w:rsid w:val="00C028B5"/>
    <w:rsid w:val="00C02965"/>
    <w:rsid w:val="00C02A6E"/>
    <w:rsid w:val="00C02B96"/>
    <w:rsid w:val="00C02D9D"/>
    <w:rsid w:val="00C02DAC"/>
    <w:rsid w:val="00C02DFD"/>
    <w:rsid w:val="00C02F74"/>
    <w:rsid w:val="00C03098"/>
    <w:rsid w:val="00C030A8"/>
    <w:rsid w:val="00C0345F"/>
    <w:rsid w:val="00C03C7A"/>
    <w:rsid w:val="00C04541"/>
    <w:rsid w:val="00C0464A"/>
    <w:rsid w:val="00C04748"/>
    <w:rsid w:val="00C049D1"/>
    <w:rsid w:val="00C04B7E"/>
    <w:rsid w:val="00C04BD4"/>
    <w:rsid w:val="00C04CFA"/>
    <w:rsid w:val="00C055C9"/>
    <w:rsid w:val="00C05ED2"/>
    <w:rsid w:val="00C06021"/>
    <w:rsid w:val="00C063CF"/>
    <w:rsid w:val="00C070A3"/>
    <w:rsid w:val="00C07524"/>
    <w:rsid w:val="00C07553"/>
    <w:rsid w:val="00C07577"/>
    <w:rsid w:val="00C07B5D"/>
    <w:rsid w:val="00C10342"/>
    <w:rsid w:val="00C11988"/>
    <w:rsid w:val="00C119AF"/>
    <w:rsid w:val="00C121F2"/>
    <w:rsid w:val="00C12A72"/>
    <w:rsid w:val="00C12BAB"/>
    <w:rsid w:val="00C12F2B"/>
    <w:rsid w:val="00C1324A"/>
    <w:rsid w:val="00C13573"/>
    <w:rsid w:val="00C13902"/>
    <w:rsid w:val="00C13B89"/>
    <w:rsid w:val="00C13C43"/>
    <w:rsid w:val="00C14420"/>
    <w:rsid w:val="00C14D86"/>
    <w:rsid w:val="00C14F86"/>
    <w:rsid w:val="00C15518"/>
    <w:rsid w:val="00C1557A"/>
    <w:rsid w:val="00C155B9"/>
    <w:rsid w:val="00C15CA5"/>
    <w:rsid w:val="00C15CEA"/>
    <w:rsid w:val="00C15DF3"/>
    <w:rsid w:val="00C161FD"/>
    <w:rsid w:val="00C166A5"/>
    <w:rsid w:val="00C166DF"/>
    <w:rsid w:val="00C16819"/>
    <w:rsid w:val="00C16893"/>
    <w:rsid w:val="00C16B92"/>
    <w:rsid w:val="00C16EB7"/>
    <w:rsid w:val="00C17535"/>
    <w:rsid w:val="00C178FF"/>
    <w:rsid w:val="00C2049A"/>
    <w:rsid w:val="00C204A1"/>
    <w:rsid w:val="00C205CE"/>
    <w:rsid w:val="00C20A18"/>
    <w:rsid w:val="00C20BE1"/>
    <w:rsid w:val="00C20BEC"/>
    <w:rsid w:val="00C20DDC"/>
    <w:rsid w:val="00C20E28"/>
    <w:rsid w:val="00C219F6"/>
    <w:rsid w:val="00C223C6"/>
    <w:rsid w:val="00C2278E"/>
    <w:rsid w:val="00C2320F"/>
    <w:rsid w:val="00C2336A"/>
    <w:rsid w:val="00C23632"/>
    <w:rsid w:val="00C23C56"/>
    <w:rsid w:val="00C23EC1"/>
    <w:rsid w:val="00C23F62"/>
    <w:rsid w:val="00C2400E"/>
    <w:rsid w:val="00C245C7"/>
    <w:rsid w:val="00C24C06"/>
    <w:rsid w:val="00C25198"/>
    <w:rsid w:val="00C25C58"/>
    <w:rsid w:val="00C25D4A"/>
    <w:rsid w:val="00C26343"/>
    <w:rsid w:val="00C26567"/>
    <w:rsid w:val="00C2688A"/>
    <w:rsid w:val="00C26994"/>
    <w:rsid w:val="00C26A11"/>
    <w:rsid w:val="00C26BBE"/>
    <w:rsid w:val="00C26CED"/>
    <w:rsid w:val="00C272AB"/>
    <w:rsid w:val="00C2772F"/>
    <w:rsid w:val="00C27960"/>
    <w:rsid w:val="00C279C6"/>
    <w:rsid w:val="00C3105E"/>
    <w:rsid w:val="00C31C91"/>
    <w:rsid w:val="00C320BE"/>
    <w:rsid w:val="00C325BF"/>
    <w:rsid w:val="00C32E92"/>
    <w:rsid w:val="00C32ECD"/>
    <w:rsid w:val="00C334AF"/>
    <w:rsid w:val="00C338B9"/>
    <w:rsid w:val="00C341BC"/>
    <w:rsid w:val="00C34B6A"/>
    <w:rsid w:val="00C35499"/>
    <w:rsid w:val="00C35911"/>
    <w:rsid w:val="00C35B96"/>
    <w:rsid w:val="00C35DF0"/>
    <w:rsid w:val="00C35DF6"/>
    <w:rsid w:val="00C35F1F"/>
    <w:rsid w:val="00C3601C"/>
    <w:rsid w:val="00C3623C"/>
    <w:rsid w:val="00C3634A"/>
    <w:rsid w:val="00C366C5"/>
    <w:rsid w:val="00C3690E"/>
    <w:rsid w:val="00C36D22"/>
    <w:rsid w:val="00C37B7E"/>
    <w:rsid w:val="00C37B94"/>
    <w:rsid w:val="00C37C15"/>
    <w:rsid w:val="00C37EC3"/>
    <w:rsid w:val="00C37F11"/>
    <w:rsid w:val="00C40F12"/>
    <w:rsid w:val="00C40F1B"/>
    <w:rsid w:val="00C412B9"/>
    <w:rsid w:val="00C41637"/>
    <w:rsid w:val="00C4186C"/>
    <w:rsid w:val="00C41AFD"/>
    <w:rsid w:val="00C42270"/>
    <w:rsid w:val="00C42B2A"/>
    <w:rsid w:val="00C42E26"/>
    <w:rsid w:val="00C43445"/>
    <w:rsid w:val="00C438B8"/>
    <w:rsid w:val="00C43C2D"/>
    <w:rsid w:val="00C43D03"/>
    <w:rsid w:val="00C443CD"/>
    <w:rsid w:val="00C447A7"/>
    <w:rsid w:val="00C44875"/>
    <w:rsid w:val="00C44F04"/>
    <w:rsid w:val="00C44F0A"/>
    <w:rsid w:val="00C456D7"/>
    <w:rsid w:val="00C4691D"/>
    <w:rsid w:val="00C470DE"/>
    <w:rsid w:val="00C4737F"/>
    <w:rsid w:val="00C478F4"/>
    <w:rsid w:val="00C47AE0"/>
    <w:rsid w:val="00C47BD0"/>
    <w:rsid w:val="00C47DBF"/>
    <w:rsid w:val="00C50174"/>
    <w:rsid w:val="00C50483"/>
    <w:rsid w:val="00C5062B"/>
    <w:rsid w:val="00C50689"/>
    <w:rsid w:val="00C507AC"/>
    <w:rsid w:val="00C50D4F"/>
    <w:rsid w:val="00C5112D"/>
    <w:rsid w:val="00C511BE"/>
    <w:rsid w:val="00C51ECD"/>
    <w:rsid w:val="00C52612"/>
    <w:rsid w:val="00C52628"/>
    <w:rsid w:val="00C52C7C"/>
    <w:rsid w:val="00C52FFC"/>
    <w:rsid w:val="00C534D4"/>
    <w:rsid w:val="00C541E6"/>
    <w:rsid w:val="00C552A5"/>
    <w:rsid w:val="00C557F1"/>
    <w:rsid w:val="00C55D9C"/>
    <w:rsid w:val="00C562ED"/>
    <w:rsid w:val="00C568FD"/>
    <w:rsid w:val="00C56964"/>
    <w:rsid w:val="00C573C4"/>
    <w:rsid w:val="00C574AC"/>
    <w:rsid w:val="00C574BD"/>
    <w:rsid w:val="00C575EC"/>
    <w:rsid w:val="00C60514"/>
    <w:rsid w:val="00C6077E"/>
    <w:rsid w:val="00C60839"/>
    <w:rsid w:val="00C60A62"/>
    <w:rsid w:val="00C60B90"/>
    <w:rsid w:val="00C60D97"/>
    <w:rsid w:val="00C60ED1"/>
    <w:rsid w:val="00C611F6"/>
    <w:rsid w:val="00C61391"/>
    <w:rsid w:val="00C614E0"/>
    <w:rsid w:val="00C61E54"/>
    <w:rsid w:val="00C630B8"/>
    <w:rsid w:val="00C63BF0"/>
    <w:rsid w:val="00C64015"/>
    <w:rsid w:val="00C645FC"/>
    <w:rsid w:val="00C6475E"/>
    <w:rsid w:val="00C649AE"/>
    <w:rsid w:val="00C64E2F"/>
    <w:rsid w:val="00C65060"/>
    <w:rsid w:val="00C65587"/>
    <w:rsid w:val="00C65E3D"/>
    <w:rsid w:val="00C65E4C"/>
    <w:rsid w:val="00C6645D"/>
    <w:rsid w:val="00C66759"/>
    <w:rsid w:val="00C66849"/>
    <w:rsid w:val="00C66B01"/>
    <w:rsid w:val="00C6716D"/>
    <w:rsid w:val="00C673FF"/>
    <w:rsid w:val="00C67811"/>
    <w:rsid w:val="00C6797B"/>
    <w:rsid w:val="00C67AFD"/>
    <w:rsid w:val="00C67EFD"/>
    <w:rsid w:val="00C67FF2"/>
    <w:rsid w:val="00C7009D"/>
    <w:rsid w:val="00C70482"/>
    <w:rsid w:val="00C706FE"/>
    <w:rsid w:val="00C70789"/>
    <w:rsid w:val="00C7097A"/>
    <w:rsid w:val="00C70D23"/>
    <w:rsid w:val="00C70F17"/>
    <w:rsid w:val="00C717E2"/>
    <w:rsid w:val="00C7198E"/>
    <w:rsid w:val="00C71A7F"/>
    <w:rsid w:val="00C71C54"/>
    <w:rsid w:val="00C7201C"/>
    <w:rsid w:val="00C721FC"/>
    <w:rsid w:val="00C72874"/>
    <w:rsid w:val="00C72ACF"/>
    <w:rsid w:val="00C72B49"/>
    <w:rsid w:val="00C7386B"/>
    <w:rsid w:val="00C73DC8"/>
    <w:rsid w:val="00C73F73"/>
    <w:rsid w:val="00C740B4"/>
    <w:rsid w:val="00C7411A"/>
    <w:rsid w:val="00C74389"/>
    <w:rsid w:val="00C74545"/>
    <w:rsid w:val="00C7461D"/>
    <w:rsid w:val="00C75060"/>
    <w:rsid w:val="00C75797"/>
    <w:rsid w:val="00C76394"/>
    <w:rsid w:val="00C76460"/>
    <w:rsid w:val="00C76609"/>
    <w:rsid w:val="00C77772"/>
    <w:rsid w:val="00C77ABE"/>
    <w:rsid w:val="00C77ACA"/>
    <w:rsid w:val="00C80544"/>
    <w:rsid w:val="00C80699"/>
    <w:rsid w:val="00C809AB"/>
    <w:rsid w:val="00C80AE0"/>
    <w:rsid w:val="00C815F9"/>
    <w:rsid w:val="00C819E4"/>
    <w:rsid w:val="00C81A17"/>
    <w:rsid w:val="00C81C78"/>
    <w:rsid w:val="00C81C87"/>
    <w:rsid w:val="00C81EA7"/>
    <w:rsid w:val="00C81EDA"/>
    <w:rsid w:val="00C822A8"/>
    <w:rsid w:val="00C82361"/>
    <w:rsid w:val="00C8260D"/>
    <w:rsid w:val="00C829AD"/>
    <w:rsid w:val="00C82C40"/>
    <w:rsid w:val="00C83624"/>
    <w:rsid w:val="00C83D2F"/>
    <w:rsid w:val="00C841A6"/>
    <w:rsid w:val="00C849D8"/>
    <w:rsid w:val="00C84ABA"/>
    <w:rsid w:val="00C84B9B"/>
    <w:rsid w:val="00C84CF4"/>
    <w:rsid w:val="00C850E2"/>
    <w:rsid w:val="00C85182"/>
    <w:rsid w:val="00C853A5"/>
    <w:rsid w:val="00C853D5"/>
    <w:rsid w:val="00C85577"/>
    <w:rsid w:val="00C85675"/>
    <w:rsid w:val="00C85950"/>
    <w:rsid w:val="00C85A39"/>
    <w:rsid w:val="00C85ADC"/>
    <w:rsid w:val="00C85ED8"/>
    <w:rsid w:val="00C85F3E"/>
    <w:rsid w:val="00C8665E"/>
    <w:rsid w:val="00C869F9"/>
    <w:rsid w:val="00C8734E"/>
    <w:rsid w:val="00C87573"/>
    <w:rsid w:val="00C87ED0"/>
    <w:rsid w:val="00C909F3"/>
    <w:rsid w:val="00C916D9"/>
    <w:rsid w:val="00C91A3A"/>
    <w:rsid w:val="00C91B76"/>
    <w:rsid w:val="00C91D38"/>
    <w:rsid w:val="00C92021"/>
    <w:rsid w:val="00C922E0"/>
    <w:rsid w:val="00C927F9"/>
    <w:rsid w:val="00C9292E"/>
    <w:rsid w:val="00C92DCB"/>
    <w:rsid w:val="00C93A15"/>
    <w:rsid w:val="00C93BCD"/>
    <w:rsid w:val="00C94415"/>
    <w:rsid w:val="00C9450E"/>
    <w:rsid w:val="00C9457D"/>
    <w:rsid w:val="00C9458A"/>
    <w:rsid w:val="00C9461A"/>
    <w:rsid w:val="00C94722"/>
    <w:rsid w:val="00C948FF"/>
    <w:rsid w:val="00C94EF8"/>
    <w:rsid w:val="00C9537F"/>
    <w:rsid w:val="00C95BD1"/>
    <w:rsid w:val="00C960AE"/>
    <w:rsid w:val="00C964F6"/>
    <w:rsid w:val="00C96667"/>
    <w:rsid w:val="00C96767"/>
    <w:rsid w:val="00C96CB4"/>
    <w:rsid w:val="00C96DAC"/>
    <w:rsid w:val="00C96E1F"/>
    <w:rsid w:val="00C9700B"/>
    <w:rsid w:val="00C97213"/>
    <w:rsid w:val="00C9790B"/>
    <w:rsid w:val="00C97FAB"/>
    <w:rsid w:val="00CA0168"/>
    <w:rsid w:val="00CA0521"/>
    <w:rsid w:val="00CA0571"/>
    <w:rsid w:val="00CA06B7"/>
    <w:rsid w:val="00CA0DC3"/>
    <w:rsid w:val="00CA1001"/>
    <w:rsid w:val="00CA1C38"/>
    <w:rsid w:val="00CA20D5"/>
    <w:rsid w:val="00CA2131"/>
    <w:rsid w:val="00CA2161"/>
    <w:rsid w:val="00CA2227"/>
    <w:rsid w:val="00CA26A2"/>
    <w:rsid w:val="00CA2DD4"/>
    <w:rsid w:val="00CA2EB0"/>
    <w:rsid w:val="00CA3902"/>
    <w:rsid w:val="00CA4261"/>
    <w:rsid w:val="00CA4548"/>
    <w:rsid w:val="00CA4C28"/>
    <w:rsid w:val="00CA51CE"/>
    <w:rsid w:val="00CA5566"/>
    <w:rsid w:val="00CA5DA3"/>
    <w:rsid w:val="00CA62C3"/>
    <w:rsid w:val="00CA64E0"/>
    <w:rsid w:val="00CA66C7"/>
    <w:rsid w:val="00CA6D13"/>
    <w:rsid w:val="00CA7213"/>
    <w:rsid w:val="00CA74A6"/>
    <w:rsid w:val="00CA75E3"/>
    <w:rsid w:val="00CA75F8"/>
    <w:rsid w:val="00CA7615"/>
    <w:rsid w:val="00CA7D17"/>
    <w:rsid w:val="00CB05FD"/>
    <w:rsid w:val="00CB097E"/>
    <w:rsid w:val="00CB0A3F"/>
    <w:rsid w:val="00CB0A88"/>
    <w:rsid w:val="00CB0D44"/>
    <w:rsid w:val="00CB0F41"/>
    <w:rsid w:val="00CB104E"/>
    <w:rsid w:val="00CB1798"/>
    <w:rsid w:val="00CB1862"/>
    <w:rsid w:val="00CB21CF"/>
    <w:rsid w:val="00CB2518"/>
    <w:rsid w:val="00CB344A"/>
    <w:rsid w:val="00CB394C"/>
    <w:rsid w:val="00CB3B57"/>
    <w:rsid w:val="00CB4CC2"/>
    <w:rsid w:val="00CB4F60"/>
    <w:rsid w:val="00CB5103"/>
    <w:rsid w:val="00CB5E75"/>
    <w:rsid w:val="00CB6084"/>
    <w:rsid w:val="00CB6309"/>
    <w:rsid w:val="00CB6A6C"/>
    <w:rsid w:val="00CB7570"/>
    <w:rsid w:val="00CB7B04"/>
    <w:rsid w:val="00CB7DF9"/>
    <w:rsid w:val="00CC0865"/>
    <w:rsid w:val="00CC0B03"/>
    <w:rsid w:val="00CC0C46"/>
    <w:rsid w:val="00CC0CFB"/>
    <w:rsid w:val="00CC13D1"/>
    <w:rsid w:val="00CC193D"/>
    <w:rsid w:val="00CC1CBA"/>
    <w:rsid w:val="00CC1E59"/>
    <w:rsid w:val="00CC2347"/>
    <w:rsid w:val="00CC29E8"/>
    <w:rsid w:val="00CC2C2A"/>
    <w:rsid w:val="00CC2D40"/>
    <w:rsid w:val="00CC30E9"/>
    <w:rsid w:val="00CC3418"/>
    <w:rsid w:val="00CC35ED"/>
    <w:rsid w:val="00CC380A"/>
    <w:rsid w:val="00CC3A18"/>
    <w:rsid w:val="00CC3AD7"/>
    <w:rsid w:val="00CC3FA1"/>
    <w:rsid w:val="00CC40F4"/>
    <w:rsid w:val="00CC43A9"/>
    <w:rsid w:val="00CC441B"/>
    <w:rsid w:val="00CC44B4"/>
    <w:rsid w:val="00CC4660"/>
    <w:rsid w:val="00CC4BC6"/>
    <w:rsid w:val="00CC4D0F"/>
    <w:rsid w:val="00CC5044"/>
    <w:rsid w:val="00CC5364"/>
    <w:rsid w:val="00CC56B7"/>
    <w:rsid w:val="00CC6136"/>
    <w:rsid w:val="00CC6183"/>
    <w:rsid w:val="00CC6364"/>
    <w:rsid w:val="00CC6AF1"/>
    <w:rsid w:val="00CC6E47"/>
    <w:rsid w:val="00CC7325"/>
    <w:rsid w:val="00CC7BCD"/>
    <w:rsid w:val="00CC7E03"/>
    <w:rsid w:val="00CC7FAD"/>
    <w:rsid w:val="00CD002F"/>
    <w:rsid w:val="00CD064F"/>
    <w:rsid w:val="00CD0C6E"/>
    <w:rsid w:val="00CD11A2"/>
    <w:rsid w:val="00CD1496"/>
    <w:rsid w:val="00CD1654"/>
    <w:rsid w:val="00CD1D34"/>
    <w:rsid w:val="00CD2018"/>
    <w:rsid w:val="00CD26DA"/>
    <w:rsid w:val="00CD28D2"/>
    <w:rsid w:val="00CD2AAC"/>
    <w:rsid w:val="00CD3B6A"/>
    <w:rsid w:val="00CD3B97"/>
    <w:rsid w:val="00CD468F"/>
    <w:rsid w:val="00CD4ABB"/>
    <w:rsid w:val="00CD4B64"/>
    <w:rsid w:val="00CD4B7F"/>
    <w:rsid w:val="00CD4EF5"/>
    <w:rsid w:val="00CD5128"/>
    <w:rsid w:val="00CD5A8B"/>
    <w:rsid w:val="00CD5E5E"/>
    <w:rsid w:val="00CD5EE3"/>
    <w:rsid w:val="00CD655B"/>
    <w:rsid w:val="00CD6890"/>
    <w:rsid w:val="00CD6A5A"/>
    <w:rsid w:val="00CD6C43"/>
    <w:rsid w:val="00CD6C9D"/>
    <w:rsid w:val="00CD6D8B"/>
    <w:rsid w:val="00CD7096"/>
    <w:rsid w:val="00CD7163"/>
    <w:rsid w:val="00CD73A4"/>
    <w:rsid w:val="00CD7881"/>
    <w:rsid w:val="00CD7A03"/>
    <w:rsid w:val="00CD7CA2"/>
    <w:rsid w:val="00CD7EB4"/>
    <w:rsid w:val="00CE0C45"/>
    <w:rsid w:val="00CE1096"/>
    <w:rsid w:val="00CE1487"/>
    <w:rsid w:val="00CE1639"/>
    <w:rsid w:val="00CE244C"/>
    <w:rsid w:val="00CE2466"/>
    <w:rsid w:val="00CE2732"/>
    <w:rsid w:val="00CE2A0F"/>
    <w:rsid w:val="00CE2A42"/>
    <w:rsid w:val="00CE2E97"/>
    <w:rsid w:val="00CE2F99"/>
    <w:rsid w:val="00CE3433"/>
    <w:rsid w:val="00CE39BC"/>
    <w:rsid w:val="00CE3AB8"/>
    <w:rsid w:val="00CE3ACE"/>
    <w:rsid w:val="00CE3BE7"/>
    <w:rsid w:val="00CE43C8"/>
    <w:rsid w:val="00CE4741"/>
    <w:rsid w:val="00CE598C"/>
    <w:rsid w:val="00CE5A2C"/>
    <w:rsid w:val="00CE5EE8"/>
    <w:rsid w:val="00CE6133"/>
    <w:rsid w:val="00CE66EF"/>
    <w:rsid w:val="00CE6AE4"/>
    <w:rsid w:val="00CE6D26"/>
    <w:rsid w:val="00CE6F65"/>
    <w:rsid w:val="00CF048D"/>
    <w:rsid w:val="00CF0568"/>
    <w:rsid w:val="00CF0B17"/>
    <w:rsid w:val="00CF0DDE"/>
    <w:rsid w:val="00CF1210"/>
    <w:rsid w:val="00CF1468"/>
    <w:rsid w:val="00CF1578"/>
    <w:rsid w:val="00CF1991"/>
    <w:rsid w:val="00CF2034"/>
    <w:rsid w:val="00CF23A9"/>
    <w:rsid w:val="00CF2456"/>
    <w:rsid w:val="00CF27F5"/>
    <w:rsid w:val="00CF2824"/>
    <w:rsid w:val="00CF29DB"/>
    <w:rsid w:val="00CF2FC8"/>
    <w:rsid w:val="00CF3211"/>
    <w:rsid w:val="00CF322C"/>
    <w:rsid w:val="00CF3368"/>
    <w:rsid w:val="00CF3596"/>
    <w:rsid w:val="00CF3744"/>
    <w:rsid w:val="00CF3CBA"/>
    <w:rsid w:val="00CF416C"/>
    <w:rsid w:val="00CF46D9"/>
    <w:rsid w:val="00CF4F06"/>
    <w:rsid w:val="00CF53ED"/>
    <w:rsid w:val="00CF56E7"/>
    <w:rsid w:val="00CF580C"/>
    <w:rsid w:val="00CF59B5"/>
    <w:rsid w:val="00CF5C91"/>
    <w:rsid w:val="00CF5E69"/>
    <w:rsid w:val="00CF5F91"/>
    <w:rsid w:val="00CF63E1"/>
    <w:rsid w:val="00CF69B9"/>
    <w:rsid w:val="00CF6AB8"/>
    <w:rsid w:val="00CF6AC6"/>
    <w:rsid w:val="00CF7004"/>
    <w:rsid w:val="00CF701D"/>
    <w:rsid w:val="00CF711A"/>
    <w:rsid w:val="00CF738F"/>
    <w:rsid w:val="00CF7397"/>
    <w:rsid w:val="00CF76C6"/>
    <w:rsid w:val="00CF7EEF"/>
    <w:rsid w:val="00D0093C"/>
    <w:rsid w:val="00D00A6A"/>
    <w:rsid w:val="00D010D7"/>
    <w:rsid w:val="00D0125F"/>
    <w:rsid w:val="00D01296"/>
    <w:rsid w:val="00D016F3"/>
    <w:rsid w:val="00D018FC"/>
    <w:rsid w:val="00D019ED"/>
    <w:rsid w:val="00D01C48"/>
    <w:rsid w:val="00D01EBE"/>
    <w:rsid w:val="00D02188"/>
    <w:rsid w:val="00D0263F"/>
    <w:rsid w:val="00D02745"/>
    <w:rsid w:val="00D028F3"/>
    <w:rsid w:val="00D03231"/>
    <w:rsid w:val="00D03242"/>
    <w:rsid w:val="00D03301"/>
    <w:rsid w:val="00D0339D"/>
    <w:rsid w:val="00D037DB"/>
    <w:rsid w:val="00D03B15"/>
    <w:rsid w:val="00D03DC9"/>
    <w:rsid w:val="00D0406C"/>
    <w:rsid w:val="00D042AF"/>
    <w:rsid w:val="00D04512"/>
    <w:rsid w:val="00D046E1"/>
    <w:rsid w:val="00D04CE0"/>
    <w:rsid w:val="00D04D30"/>
    <w:rsid w:val="00D052B4"/>
    <w:rsid w:val="00D0556C"/>
    <w:rsid w:val="00D05D6F"/>
    <w:rsid w:val="00D05D75"/>
    <w:rsid w:val="00D05E9E"/>
    <w:rsid w:val="00D05F94"/>
    <w:rsid w:val="00D0604C"/>
    <w:rsid w:val="00D06549"/>
    <w:rsid w:val="00D068C6"/>
    <w:rsid w:val="00D06A61"/>
    <w:rsid w:val="00D06F61"/>
    <w:rsid w:val="00D072CE"/>
    <w:rsid w:val="00D076B2"/>
    <w:rsid w:val="00D0795B"/>
    <w:rsid w:val="00D07B94"/>
    <w:rsid w:val="00D07CCC"/>
    <w:rsid w:val="00D07D2C"/>
    <w:rsid w:val="00D10130"/>
    <w:rsid w:val="00D1077F"/>
    <w:rsid w:val="00D10AE2"/>
    <w:rsid w:val="00D10B2C"/>
    <w:rsid w:val="00D10C27"/>
    <w:rsid w:val="00D11891"/>
    <w:rsid w:val="00D12465"/>
    <w:rsid w:val="00D12B04"/>
    <w:rsid w:val="00D12C2A"/>
    <w:rsid w:val="00D12CE7"/>
    <w:rsid w:val="00D12ED4"/>
    <w:rsid w:val="00D13051"/>
    <w:rsid w:val="00D13B86"/>
    <w:rsid w:val="00D14383"/>
    <w:rsid w:val="00D1462A"/>
    <w:rsid w:val="00D1480D"/>
    <w:rsid w:val="00D14EF3"/>
    <w:rsid w:val="00D150FB"/>
    <w:rsid w:val="00D152EF"/>
    <w:rsid w:val="00D15349"/>
    <w:rsid w:val="00D1577D"/>
    <w:rsid w:val="00D15BFD"/>
    <w:rsid w:val="00D16765"/>
    <w:rsid w:val="00D16DAF"/>
    <w:rsid w:val="00D172E5"/>
    <w:rsid w:val="00D17479"/>
    <w:rsid w:val="00D175D6"/>
    <w:rsid w:val="00D17A15"/>
    <w:rsid w:val="00D200D4"/>
    <w:rsid w:val="00D2012A"/>
    <w:rsid w:val="00D20640"/>
    <w:rsid w:val="00D20E05"/>
    <w:rsid w:val="00D21014"/>
    <w:rsid w:val="00D2109F"/>
    <w:rsid w:val="00D21206"/>
    <w:rsid w:val="00D212E6"/>
    <w:rsid w:val="00D21735"/>
    <w:rsid w:val="00D21AB9"/>
    <w:rsid w:val="00D21EEA"/>
    <w:rsid w:val="00D21F4F"/>
    <w:rsid w:val="00D224B0"/>
    <w:rsid w:val="00D234E4"/>
    <w:rsid w:val="00D23C80"/>
    <w:rsid w:val="00D24482"/>
    <w:rsid w:val="00D247D1"/>
    <w:rsid w:val="00D24AEA"/>
    <w:rsid w:val="00D24D5D"/>
    <w:rsid w:val="00D253AE"/>
    <w:rsid w:val="00D262B4"/>
    <w:rsid w:val="00D262C1"/>
    <w:rsid w:val="00D27056"/>
    <w:rsid w:val="00D2759B"/>
    <w:rsid w:val="00D27756"/>
    <w:rsid w:val="00D27942"/>
    <w:rsid w:val="00D279DC"/>
    <w:rsid w:val="00D27C1A"/>
    <w:rsid w:val="00D27F64"/>
    <w:rsid w:val="00D27FA6"/>
    <w:rsid w:val="00D3031A"/>
    <w:rsid w:val="00D304B7"/>
    <w:rsid w:val="00D30528"/>
    <w:rsid w:val="00D305B8"/>
    <w:rsid w:val="00D306E4"/>
    <w:rsid w:val="00D30CB2"/>
    <w:rsid w:val="00D30D79"/>
    <w:rsid w:val="00D3101E"/>
    <w:rsid w:val="00D310B0"/>
    <w:rsid w:val="00D31210"/>
    <w:rsid w:val="00D31447"/>
    <w:rsid w:val="00D318E1"/>
    <w:rsid w:val="00D319B1"/>
    <w:rsid w:val="00D31A2C"/>
    <w:rsid w:val="00D31DF5"/>
    <w:rsid w:val="00D31FBC"/>
    <w:rsid w:val="00D32949"/>
    <w:rsid w:val="00D329AF"/>
    <w:rsid w:val="00D32A9D"/>
    <w:rsid w:val="00D32BC2"/>
    <w:rsid w:val="00D32C73"/>
    <w:rsid w:val="00D33585"/>
    <w:rsid w:val="00D33590"/>
    <w:rsid w:val="00D33CBE"/>
    <w:rsid w:val="00D34183"/>
    <w:rsid w:val="00D342A0"/>
    <w:rsid w:val="00D35077"/>
    <w:rsid w:val="00D35EB4"/>
    <w:rsid w:val="00D35EC2"/>
    <w:rsid w:val="00D3621F"/>
    <w:rsid w:val="00D36395"/>
    <w:rsid w:val="00D3683E"/>
    <w:rsid w:val="00D369D4"/>
    <w:rsid w:val="00D37403"/>
    <w:rsid w:val="00D37531"/>
    <w:rsid w:val="00D37C1E"/>
    <w:rsid w:val="00D37D2C"/>
    <w:rsid w:val="00D37DF2"/>
    <w:rsid w:val="00D401CE"/>
    <w:rsid w:val="00D407BC"/>
    <w:rsid w:val="00D407C8"/>
    <w:rsid w:val="00D40ADA"/>
    <w:rsid w:val="00D40E83"/>
    <w:rsid w:val="00D40FC0"/>
    <w:rsid w:val="00D40FC9"/>
    <w:rsid w:val="00D41639"/>
    <w:rsid w:val="00D4178C"/>
    <w:rsid w:val="00D41867"/>
    <w:rsid w:val="00D41998"/>
    <w:rsid w:val="00D419BE"/>
    <w:rsid w:val="00D419D1"/>
    <w:rsid w:val="00D41E14"/>
    <w:rsid w:val="00D41E69"/>
    <w:rsid w:val="00D41E7B"/>
    <w:rsid w:val="00D41F81"/>
    <w:rsid w:val="00D4202D"/>
    <w:rsid w:val="00D42050"/>
    <w:rsid w:val="00D42826"/>
    <w:rsid w:val="00D42936"/>
    <w:rsid w:val="00D42C8D"/>
    <w:rsid w:val="00D42CF8"/>
    <w:rsid w:val="00D43BBD"/>
    <w:rsid w:val="00D43CC1"/>
    <w:rsid w:val="00D43FB2"/>
    <w:rsid w:val="00D4400C"/>
    <w:rsid w:val="00D44509"/>
    <w:rsid w:val="00D44665"/>
    <w:rsid w:val="00D4469D"/>
    <w:rsid w:val="00D451F3"/>
    <w:rsid w:val="00D45889"/>
    <w:rsid w:val="00D4588A"/>
    <w:rsid w:val="00D45953"/>
    <w:rsid w:val="00D46EA2"/>
    <w:rsid w:val="00D46F53"/>
    <w:rsid w:val="00D476EA"/>
    <w:rsid w:val="00D47A14"/>
    <w:rsid w:val="00D47B36"/>
    <w:rsid w:val="00D47CF8"/>
    <w:rsid w:val="00D5084E"/>
    <w:rsid w:val="00D51038"/>
    <w:rsid w:val="00D51147"/>
    <w:rsid w:val="00D512FA"/>
    <w:rsid w:val="00D51423"/>
    <w:rsid w:val="00D5288F"/>
    <w:rsid w:val="00D52CD9"/>
    <w:rsid w:val="00D53A77"/>
    <w:rsid w:val="00D54292"/>
    <w:rsid w:val="00D5498E"/>
    <w:rsid w:val="00D54D4A"/>
    <w:rsid w:val="00D5506D"/>
    <w:rsid w:val="00D5541C"/>
    <w:rsid w:val="00D5592E"/>
    <w:rsid w:val="00D55A94"/>
    <w:rsid w:val="00D56527"/>
    <w:rsid w:val="00D56762"/>
    <w:rsid w:val="00D56844"/>
    <w:rsid w:val="00D56A16"/>
    <w:rsid w:val="00D571EC"/>
    <w:rsid w:val="00D57C28"/>
    <w:rsid w:val="00D60253"/>
    <w:rsid w:val="00D605E2"/>
    <w:rsid w:val="00D61455"/>
    <w:rsid w:val="00D6196B"/>
    <w:rsid w:val="00D619A5"/>
    <w:rsid w:val="00D61A1D"/>
    <w:rsid w:val="00D61CE5"/>
    <w:rsid w:val="00D61E3F"/>
    <w:rsid w:val="00D62145"/>
    <w:rsid w:val="00D62151"/>
    <w:rsid w:val="00D62954"/>
    <w:rsid w:val="00D62A8C"/>
    <w:rsid w:val="00D63886"/>
    <w:rsid w:val="00D63A46"/>
    <w:rsid w:val="00D63C4B"/>
    <w:rsid w:val="00D63D6B"/>
    <w:rsid w:val="00D63E64"/>
    <w:rsid w:val="00D6435C"/>
    <w:rsid w:val="00D64A33"/>
    <w:rsid w:val="00D6501F"/>
    <w:rsid w:val="00D652ED"/>
    <w:rsid w:val="00D656CC"/>
    <w:rsid w:val="00D65A20"/>
    <w:rsid w:val="00D65DB3"/>
    <w:rsid w:val="00D65F10"/>
    <w:rsid w:val="00D65FBE"/>
    <w:rsid w:val="00D66139"/>
    <w:rsid w:val="00D668D9"/>
    <w:rsid w:val="00D66CF1"/>
    <w:rsid w:val="00D66EEB"/>
    <w:rsid w:val="00D670A3"/>
    <w:rsid w:val="00D6759A"/>
    <w:rsid w:val="00D678D0"/>
    <w:rsid w:val="00D67B43"/>
    <w:rsid w:val="00D67F3C"/>
    <w:rsid w:val="00D707C2"/>
    <w:rsid w:val="00D70FE8"/>
    <w:rsid w:val="00D71071"/>
    <w:rsid w:val="00D7107D"/>
    <w:rsid w:val="00D712EB"/>
    <w:rsid w:val="00D715CB"/>
    <w:rsid w:val="00D719F4"/>
    <w:rsid w:val="00D71B8F"/>
    <w:rsid w:val="00D71BD3"/>
    <w:rsid w:val="00D7261D"/>
    <w:rsid w:val="00D7269E"/>
    <w:rsid w:val="00D73252"/>
    <w:rsid w:val="00D7339C"/>
    <w:rsid w:val="00D73614"/>
    <w:rsid w:val="00D73AC5"/>
    <w:rsid w:val="00D73B93"/>
    <w:rsid w:val="00D73D43"/>
    <w:rsid w:val="00D74751"/>
    <w:rsid w:val="00D74863"/>
    <w:rsid w:val="00D74B59"/>
    <w:rsid w:val="00D74CA5"/>
    <w:rsid w:val="00D752F7"/>
    <w:rsid w:val="00D75D6E"/>
    <w:rsid w:val="00D75E40"/>
    <w:rsid w:val="00D75F76"/>
    <w:rsid w:val="00D76436"/>
    <w:rsid w:val="00D7679B"/>
    <w:rsid w:val="00D768A8"/>
    <w:rsid w:val="00D76D49"/>
    <w:rsid w:val="00D770B1"/>
    <w:rsid w:val="00D7741F"/>
    <w:rsid w:val="00D7770C"/>
    <w:rsid w:val="00D7784E"/>
    <w:rsid w:val="00D77CC6"/>
    <w:rsid w:val="00D77FF9"/>
    <w:rsid w:val="00D801E3"/>
    <w:rsid w:val="00D8099D"/>
    <w:rsid w:val="00D80D33"/>
    <w:rsid w:val="00D80FC9"/>
    <w:rsid w:val="00D811E5"/>
    <w:rsid w:val="00D813F4"/>
    <w:rsid w:val="00D8195A"/>
    <w:rsid w:val="00D81B89"/>
    <w:rsid w:val="00D82456"/>
    <w:rsid w:val="00D826AD"/>
    <w:rsid w:val="00D82B01"/>
    <w:rsid w:val="00D832B4"/>
    <w:rsid w:val="00D83CA1"/>
    <w:rsid w:val="00D8426D"/>
    <w:rsid w:val="00D8435C"/>
    <w:rsid w:val="00D843DA"/>
    <w:rsid w:val="00D84753"/>
    <w:rsid w:val="00D85313"/>
    <w:rsid w:val="00D854E3"/>
    <w:rsid w:val="00D85612"/>
    <w:rsid w:val="00D85714"/>
    <w:rsid w:val="00D85912"/>
    <w:rsid w:val="00D85C80"/>
    <w:rsid w:val="00D860A2"/>
    <w:rsid w:val="00D86231"/>
    <w:rsid w:val="00D86648"/>
    <w:rsid w:val="00D8672D"/>
    <w:rsid w:val="00D86B68"/>
    <w:rsid w:val="00D8749A"/>
    <w:rsid w:val="00D874DE"/>
    <w:rsid w:val="00D875CD"/>
    <w:rsid w:val="00D87C5F"/>
    <w:rsid w:val="00D87F6A"/>
    <w:rsid w:val="00D90094"/>
    <w:rsid w:val="00D9044A"/>
    <w:rsid w:val="00D90F32"/>
    <w:rsid w:val="00D91250"/>
    <w:rsid w:val="00D91972"/>
    <w:rsid w:val="00D91C69"/>
    <w:rsid w:val="00D91DFE"/>
    <w:rsid w:val="00D920D3"/>
    <w:rsid w:val="00D923DF"/>
    <w:rsid w:val="00D924FE"/>
    <w:rsid w:val="00D92580"/>
    <w:rsid w:val="00D92CCD"/>
    <w:rsid w:val="00D92E5F"/>
    <w:rsid w:val="00D933D4"/>
    <w:rsid w:val="00D9348A"/>
    <w:rsid w:val="00D93A66"/>
    <w:rsid w:val="00D93ECC"/>
    <w:rsid w:val="00D93F5D"/>
    <w:rsid w:val="00D9402B"/>
    <w:rsid w:val="00D94039"/>
    <w:rsid w:val="00D94B34"/>
    <w:rsid w:val="00D94E83"/>
    <w:rsid w:val="00D94ED7"/>
    <w:rsid w:val="00D953A5"/>
    <w:rsid w:val="00D95607"/>
    <w:rsid w:val="00D95863"/>
    <w:rsid w:val="00D958E2"/>
    <w:rsid w:val="00D95981"/>
    <w:rsid w:val="00D95A0E"/>
    <w:rsid w:val="00D95F43"/>
    <w:rsid w:val="00D9663C"/>
    <w:rsid w:val="00D96B61"/>
    <w:rsid w:val="00D9723D"/>
    <w:rsid w:val="00D97421"/>
    <w:rsid w:val="00DA0D5B"/>
    <w:rsid w:val="00DA0F60"/>
    <w:rsid w:val="00DA1085"/>
    <w:rsid w:val="00DA1719"/>
    <w:rsid w:val="00DA1935"/>
    <w:rsid w:val="00DA1BE9"/>
    <w:rsid w:val="00DA1D1C"/>
    <w:rsid w:val="00DA23B7"/>
    <w:rsid w:val="00DA2763"/>
    <w:rsid w:val="00DA296D"/>
    <w:rsid w:val="00DA2B7B"/>
    <w:rsid w:val="00DA2D2B"/>
    <w:rsid w:val="00DA2D89"/>
    <w:rsid w:val="00DA2EAB"/>
    <w:rsid w:val="00DA2F2A"/>
    <w:rsid w:val="00DA301F"/>
    <w:rsid w:val="00DA36D9"/>
    <w:rsid w:val="00DA3829"/>
    <w:rsid w:val="00DA38F9"/>
    <w:rsid w:val="00DA399F"/>
    <w:rsid w:val="00DA4049"/>
    <w:rsid w:val="00DA4218"/>
    <w:rsid w:val="00DA4717"/>
    <w:rsid w:val="00DA4893"/>
    <w:rsid w:val="00DA4DD8"/>
    <w:rsid w:val="00DA524B"/>
    <w:rsid w:val="00DA6174"/>
    <w:rsid w:val="00DA66CE"/>
    <w:rsid w:val="00DA679F"/>
    <w:rsid w:val="00DA73F4"/>
    <w:rsid w:val="00DA76FC"/>
    <w:rsid w:val="00DA7C72"/>
    <w:rsid w:val="00DA7F88"/>
    <w:rsid w:val="00DB061C"/>
    <w:rsid w:val="00DB0A33"/>
    <w:rsid w:val="00DB0D12"/>
    <w:rsid w:val="00DB11FF"/>
    <w:rsid w:val="00DB1C07"/>
    <w:rsid w:val="00DB1F5C"/>
    <w:rsid w:val="00DB2005"/>
    <w:rsid w:val="00DB222F"/>
    <w:rsid w:val="00DB2280"/>
    <w:rsid w:val="00DB26A0"/>
    <w:rsid w:val="00DB2D93"/>
    <w:rsid w:val="00DB2EDC"/>
    <w:rsid w:val="00DB3C3D"/>
    <w:rsid w:val="00DB3D06"/>
    <w:rsid w:val="00DB3F93"/>
    <w:rsid w:val="00DB5417"/>
    <w:rsid w:val="00DB5AF5"/>
    <w:rsid w:val="00DB5C5C"/>
    <w:rsid w:val="00DB6707"/>
    <w:rsid w:val="00DB687D"/>
    <w:rsid w:val="00DB7850"/>
    <w:rsid w:val="00DB7E2A"/>
    <w:rsid w:val="00DC0059"/>
    <w:rsid w:val="00DC0110"/>
    <w:rsid w:val="00DC01E6"/>
    <w:rsid w:val="00DC0595"/>
    <w:rsid w:val="00DC0A05"/>
    <w:rsid w:val="00DC1087"/>
    <w:rsid w:val="00DC1490"/>
    <w:rsid w:val="00DC14FD"/>
    <w:rsid w:val="00DC18D3"/>
    <w:rsid w:val="00DC191A"/>
    <w:rsid w:val="00DC1D9B"/>
    <w:rsid w:val="00DC2169"/>
    <w:rsid w:val="00DC277A"/>
    <w:rsid w:val="00DC2A74"/>
    <w:rsid w:val="00DC2AFB"/>
    <w:rsid w:val="00DC2C41"/>
    <w:rsid w:val="00DC2DD4"/>
    <w:rsid w:val="00DC2EDD"/>
    <w:rsid w:val="00DC349F"/>
    <w:rsid w:val="00DC3529"/>
    <w:rsid w:val="00DC3838"/>
    <w:rsid w:val="00DC398B"/>
    <w:rsid w:val="00DC4206"/>
    <w:rsid w:val="00DC45AC"/>
    <w:rsid w:val="00DC4600"/>
    <w:rsid w:val="00DC46FA"/>
    <w:rsid w:val="00DC4AB2"/>
    <w:rsid w:val="00DC4C5D"/>
    <w:rsid w:val="00DC4D15"/>
    <w:rsid w:val="00DC4ECF"/>
    <w:rsid w:val="00DC54AD"/>
    <w:rsid w:val="00DC582F"/>
    <w:rsid w:val="00DC59BC"/>
    <w:rsid w:val="00DC5D8D"/>
    <w:rsid w:val="00DC5F10"/>
    <w:rsid w:val="00DC6116"/>
    <w:rsid w:val="00DC6143"/>
    <w:rsid w:val="00DC6156"/>
    <w:rsid w:val="00DC6707"/>
    <w:rsid w:val="00DC784E"/>
    <w:rsid w:val="00DC7914"/>
    <w:rsid w:val="00DC79D2"/>
    <w:rsid w:val="00DC7AD7"/>
    <w:rsid w:val="00DC7E99"/>
    <w:rsid w:val="00DD01E6"/>
    <w:rsid w:val="00DD023D"/>
    <w:rsid w:val="00DD0675"/>
    <w:rsid w:val="00DD08E5"/>
    <w:rsid w:val="00DD09BA"/>
    <w:rsid w:val="00DD0B72"/>
    <w:rsid w:val="00DD105A"/>
    <w:rsid w:val="00DD14AA"/>
    <w:rsid w:val="00DD17A5"/>
    <w:rsid w:val="00DD1848"/>
    <w:rsid w:val="00DD197F"/>
    <w:rsid w:val="00DD1986"/>
    <w:rsid w:val="00DD23E3"/>
    <w:rsid w:val="00DD291C"/>
    <w:rsid w:val="00DD2B1C"/>
    <w:rsid w:val="00DD2C18"/>
    <w:rsid w:val="00DD2E94"/>
    <w:rsid w:val="00DD2FC9"/>
    <w:rsid w:val="00DD313E"/>
    <w:rsid w:val="00DD3434"/>
    <w:rsid w:val="00DD3757"/>
    <w:rsid w:val="00DD3BB6"/>
    <w:rsid w:val="00DD3C18"/>
    <w:rsid w:val="00DD41E9"/>
    <w:rsid w:val="00DD4698"/>
    <w:rsid w:val="00DD4B58"/>
    <w:rsid w:val="00DD4B7A"/>
    <w:rsid w:val="00DD52A9"/>
    <w:rsid w:val="00DD5DA1"/>
    <w:rsid w:val="00DD5E22"/>
    <w:rsid w:val="00DD612A"/>
    <w:rsid w:val="00DD6155"/>
    <w:rsid w:val="00DD61A0"/>
    <w:rsid w:val="00DD6419"/>
    <w:rsid w:val="00DD6460"/>
    <w:rsid w:val="00DD6B77"/>
    <w:rsid w:val="00DD7378"/>
    <w:rsid w:val="00DD77E3"/>
    <w:rsid w:val="00DD7D8B"/>
    <w:rsid w:val="00DE009F"/>
    <w:rsid w:val="00DE04BF"/>
    <w:rsid w:val="00DE0677"/>
    <w:rsid w:val="00DE09D0"/>
    <w:rsid w:val="00DE1095"/>
    <w:rsid w:val="00DE1659"/>
    <w:rsid w:val="00DE1A34"/>
    <w:rsid w:val="00DE1A86"/>
    <w:rsid w:val="00DE1BA7"/>
    <w:rsid w:val="00DE1D50"/>
    <w:rsid w:val="00DE20FC"/>
    <w:rsid w:val="00DE2D99"/>
    <w:rsid w:val="00DE3292"/>
    <w:rsid w:val="00DE404C"/>
    <w:rsid w:val="00DE4C56"/>
    <w:rsid w:val="00DE4E78"/>
    <w:rsid w:val="00DE500E"/>
    <w:rsid w:val="00DE5383"/>
    <w:rsid w:val="00DE57DC"/>
    <w:rsid w:val="00DE5D54"/>
    <w:rsid w:val="00DE61C7"/>
    <w:rsid w:val="00DE638D"/>
    <w:rsid w:val="00DE65CC"/>
    <w:rsid w:val="00DE6BE4"/>
    <w:rsid w:val="00DE7191"/>
    <w:rsid w:val="00DE7226"/>
    <w:rsid w:val="00DE7B70"/>
    <w:rsid w:val="00DE7E1E"/>
    <w:rsid w:val="00DE7ECB"/>
    <w:rsid w:val="00DF006F"/>
    <w:rsid w:val="00DF051A"/>
    <w:rsid w:val="00DF0ED0"/>
    <w:rsid w:val="00DF1805"/>
    <w:rsid w:val="00DF22F0"/>
    <w:rsid w:val="00DF30F8"/>
    <w:rsid w:val="00DF312B"/>
    <w:rsid w:val="00DF31CC"/>
    <w:rsid w:val="00DF3A14"/>
    <w:rsid w:val="00DF3C02"/>
    <w:rsid w:val="00DF3E9A"/>
    <w:rsid w:val="00DF40D0"/>
    <w:rsid w:val="00DF44F9"/>
    <w:rsid w:val="00DF4755"/>
    <w:rsid w:val="00DF48D0"/>
    <w:rsid w:val="00DF544E"/>
    <w:rsid w:val="00DF551D"/>
    <w:rsid w:val="00DF5641"/>
    <w:rsid w:val="00DF5B8E"/>
    <w:rsid w:val="00DF5F3E"/>
    <w:rsid w:val="00DF6116"/>
    <w:rsid w:val="00DF641D"/>
    <w:rsid w:val="00DF6AE4"/>
    <w:rsid w:val="00DF6CEE"/>
    <w:rsid w:val="00DF708A"/>
    <w:rsid w:val="00DF70B0"/>
    <w:rsid w:val="00DF77F4"/>
    <w:rsid w:val="00DF794C"/>
    <w:rsid w:val="00E0008C"/>
    <w:rsid w:val="00E004AA"/>
    <w:rsid w:val="00E006FC"/>
    <w:rsid w:val="00E008B9"/>
    <w:rsid w:val="00E0091E"/>
    <w:rsid w:val="00E00BD1"/>
    <w:rsid w:val="00E00C2F"/>
    <w:rsid w:val="00E00D5F"/>
    <w:rsid w:val="00E00D97"/>
    <w:rsid w:val="00E01185"/>
    <w:rsid w:val="00E01556"/>
    <w:rsid w:val="00E01585"/>
    <w:rsid w:val="00E01749"/>
    <w:rsid w:val="00E017BE"/>
    <w:rsid w:val="00E027F6"/>
    <w:rsid w:val="00E02C99"/>
    <w:rsid w:val="00E03290"/>
    <w:rsid w:val="00E03734"/>
    <w:rsid w:val="00E03A6D"/>
    <w:rsid w:val="00E03A98"/>
    <w:rsid w:val="00E03B65"/>
    <w:rsid w:val="00E03D89"/>
    <w:rsid w:val="00E04CC5"/>
    <w:rsid w:val="00E04E94"/>
    <w:rsid w:val="00E04F59"/>
    <w:rsid w:val="00E05126"/>
    <w:rsid w:val="00E05CC8"/>
    <w:rsid w:val="00E05E2A"/>
    <w:rsid w:val="00E06365"/>
    <w:rsid w:val="00E06F56"/>
    <w:rsid w:val="00E0771A"/>
    <w:rsid w:val="00E07735"/>
    <w:rsid w:val="00E0782B"/>
    <w:rsid w:val="00E07DB6"/>
    <w:rsid w:val="00E101A9"/>
    <w:rsid w:val="00E1100D"/>
    <w:rsid w:val="00E112C6"/>
    <w:rsid w:val="00E116FE"/>
    <w:rsid w:val="00E11803"/>
    <w:rsid w:val="00E11F2B"/>
    <w:rsid w:val="00E12033"/>
    <w:rsid w:val="00E120D5"/>
    <w:rsid w:val="00E12101"/>
    <w:rsid w:val="00E129A7"/>
    <w:rsid w:val="00E12E8F"/>
    <w:rsid w:val="00E12EF6"/>
    <w:rsid w:val="00E131A7"/>
    <w:rsid w:val="00E13805"/>
    <w:rsid w:val="00E13FBD"/>
    <w:rsid w:val="00E144B4"/>
    <w:rsid w:val="00E14AFE"/>
    <w:rsid w:val="00E14DBB"/>
    <w:rsid w:val="00E1507B"/>
    <w:rsid w:val="00E15129"/>
    <w:rsid w:val="00E152A0"/>
    <w:rsid w:val="00E152AD"/>
    <w:rsid w:val="00E1584D"/>
    <w:rsid w:val="00E15964"/>
    <w:rsid w:val="00E15B9E"/>
    <w:rsid w:val="00E15CE6"/>
    <w:rsid w:val="00E1609C"/>
    <w:rsid w:val="00E1656B"/>
    <w:rsid w:val="00E166C1"/>
    <w:rsid w:val="00E17B3E"/>
    <w:rsid w:val="00E17C61"/>
    <w:rsid w:val="00E17D56"/>
    <w:rsid w:val="00E20372"/>
    <w:rsid w:val="00E203DE"/>
    <w:rsid w:val="00E20466"/>
    <w:rsid w:val="00E205D6"/>
    <w:rsid w:val="00E20690"/>
    <w:rsid w:val="00E20B5C"/>
    <w:rsid w:val="00E212D8"/>
    <w:rsid w:val="00E21BC9"/>
    <w:rsid w:val="00E220C8"/>
    <w:rsid w:val="00E22E1E"/>
    <w:rsid w:val="00E2319B"/>
    <w:rsid w:val="00E2337B"/>
    <w:rsid w:val="00E23591"/>
    <w:rsid w:val="00E239E4"/>
    <w:rsid w:val="00E23F53"/>
    <w:rsid w:val="00E2437D"/>
    <w:rsid w:val="00E24A70"/>
    <w:rsid w:val="00E25DE9"/>
    <w:rsid w:val="00E25E7B"/>
    <w:rsid w:val="00E25F40"/>
    <w:rsid w:val="00E26485"/>
    <w:rsid w:val="00E265ED"/>
    <w:rsid w:val="00E26A54"/>
    <w:rsid w:val="00E26A85"/>
    <w:rsid w:val="00E26DE7"/>
    <w:rsid w:val="00E27004"/>
    <w:rsid w:val="00E2748A"/>
    <w:rsid w:val="00E2785D"/>
    <w:rsid w:val="00E27A50"/>
    <w:rsid w:val="00E30006"/>
    <w:rsid w:val="00E303E8"/>
    <w:rsid w:val="00E30832"/>
    <w:rsid w:val="00E3120E"/>
    <w:rsid w:val="00E3142F"/>
    <w:rsid w:val="00E31862"/>
    <w:rsid w:val="00E31B28"/>
    <w:rsid w:val="00E320BD"/>
    <w:rsid w:val="00E32341"/>
    <w:rsid w:val="00E3240B"/>
    <w:rsid w:val="00E32809"/>
    <w:rsid w:val="00E32B7D"/>
    <w:rsid w:val="00E32DEE"/>
    <w:rsid w:val="00E33108"/>
    <w:rsid w:val="00E33360"/>
    <w:rsid w:val="00E338C9"/>
    <w:rsid w:val="00E33B78"/>
    <w:rsid w:val="00E344BB"/>
    <w:rsid w:val="00E3487E"/>
    <w:rsid w:val="00E348E3"/>
    <w:rsid w:val="00E34EEE"/>
    <w:rsid w:val="00E34F6A"/>
    <w:rsid w:val="00E354EE"/>
    <w:rsid w:val="00E35518"/>
    <w:rsid w:val="00E35A1F"/>
    <w:rsid w:val="00E35E51"/>
    <w:rsid w:val="00E36D02"/>
    <w:rsid w:val="00E36D93"/>
    <w:rsid w:val="00E3767E"/>
    <w:rsid w:val="00E376E9"/>
    <w:rsid w:val="00E3778C"/>
    <w:rsid w:val="00E37E67"/>
    <w:rsid w:val="00E404C0"/>
    <w:rsid w:val="00E4088D"/>
    <w:rsid w:val="00E40EB3"/>
    <w:rsid w:val="00E41B4B"/>
    <w:rsid w:val="00E41F94"/>
    <w:rsid w:val="00E42004"/>
    <w:rsid w:val="00E427B3"/>
    <w:rsid w:val="00E42B95"/>
    <w:rsid w:val="00E42C06"/>
    <w:rsid w:val="00E42D90"/>
    <w:rsid w:val="00E42E60"/>
    <w:rsid w:val="00E4369E"/>
    <w:rsid w:val="00E436E3"/>
    <w:rsid w:val="00E43B69"/>
    <w:rsid w:val="00E44908"/>
    <w:rsid w:val="00E45389"/>
    <w:rsid w:val="00E455C7"/>
    <w:rsid w:val="00E456C0"/>
    <w:rsid w:val="00E46278"/>
    <w:rsid w:val="00E467F4"/>
    <w:rsid w:val="00E469A5"/>
    <w:rsid w:val="00E46B51"/>
    <w:rsid w:val="00E46B60"/>
    <w:rsid w:val="00E46DD7"/>
    <w:rsid w:val="00E47770"/>
    <w:rsid w:val="00E47C91"/>
    <w:rsid w:val="00E47D93"/>
    <w:rsid w:val="00E47D9D"/>
    <w:rsid w:val="00E47FDB"/>
    <w:rsid w:val="00E5029D"/>
    <w:rsid w:val="00E50638"/>
    <w:rsid w:val="00E5064D"/>
    <w:rsid w:val="00E50864"/>
    <w:rsid w:val="00E508F7"/>
    <w:rsid w:val="00E50CBE"/>
    <w:rsid w:val="00E517AC"/>
    <w:rsid w:val="00E5187D"/>
    <w:rsid w:val="00E51D1C"/>
    <w:rsid w:val="00E525B2"/>
    <w:rsid w:val="00E52950"/>
    <w:rsid w:val="00E52DAE"/>
    <w:rsid w:val="00E52FA3"/>
    <w:rsid w:val="00E53195"/>
    <w:rsid w:val="00E53441"/>
    <w:rsid w:val="00E53466"/>
    <w:rsid w:val="00E53D4C"/>
    <w:rsid w:val="00E54467"/>
    <w:rsid w:val="00E5476C"/>
    <w:rsid w:val="00E54812"/>
    <w:rsid w:val="00E54D73"/>
    <w:rsid w:val="00E54E78"/>
    <w:rsid w:val="00E55923"/>
    <w:rsid w:val="00E55A25"/>
    <w:rsid w:val="00E55BC4"/>
    <w:rsid w:val="00E55DB2"/>
    <w:rsid w:val="00E55DCD"/>
    <w:rsid w:val="00E562C7"/>
    <w:rsid w:val="00E563DD"/>
    <w:rsid w:val="00E56922"/>
    <w:rsid w:val="00E56FB3"/>
    <w:rsid w:val="00E573F9"/>
    <w:rsid w:val="00E5749E"/>
    <w:rsid w:val="00E57D68"/>
    <w:rsid w:val="00E57FCB"/>
    <w:rsid w:val="00E60331"/>
    <w:rsid w:val="00E60A6D"/>
    <w:rsid w:val="00E60DCD"/>
    <w:rsid w:val="00E60F18"/>
    <w:rsid w:val="00E60F25"/>
    <w:rsid w:val="00E610FB"/>
    <w:rsid w:val="00E61344"/>
    <w:rsid w:val="00E61598"/>
    <w:rsid w:val="00E61DA4"/>
    <w:rsid w:val="00E61FFA"/>
    <w:rsid w:val="00E623D9"/>
    <w:rsid w:val="00E62943"/>
    <w:rsid w:val="00E63997"/>
    <w:rsid w:val="00E63BC7"/>
    <w:rsid w:val="00E63D05"/>
    <w:rsid w:val="00E63D7E"/>
    <w:rsid w:val="00E64024"/>
    <w:rsid w:val="00E6455D"/>
    <w:rsid w:val="00E647B1"/>
    <w:rsid w:val="00E65000"/>
    <w:rsid w:val="00E6552C"/>
    <w:rsid w:val="00E655C7"/>
    <w:rsid w:val="00E65FDE"/>
    <w:rsid w:val="00E662EE"/>
    <w:rsid w:val="00E7028D"/>
    <w:rsid w:val="00E702FB"/>
    <w:rsid w:val="00E70582"/>
    <w:rsid w:val="00E708D2"/>
    <w:rsid w:val="00E70B36"/>
    <w:rsid w:val="00E70B5D"/>
    <w:rsid w:val="00E70C8B"/>
    <w:rsid w:val="00E70DC3"/>
    <w:rsid w:val="00E712A8"/>
    <w:rsid w:val="00E7178D"/>
    <w:rsid w:val="00E71CC9"/>
    <w:rsid w:val="00E71F45"/>
    <w:rsid w:val="00E71FFA"/>
    <w:rsid w:val="00E720B7"/>
    <w:rsid w:val="00E7264D"/>
    <w:rsid w:val="00E7299E"/>
    <w:rsid w:val="00E72B25"/>
    <w:rsid w:val="00E7334F"/>
    <w:rsid w:val="00E73C19"/>
    <w:rsid w:val="00E74426"/>
    <w:rsid w:val="00E747D2"/>
    <w:rsid w:val="00E747EE"/>
    <w:rsid w:val="00E747FB"/>
    <w:rsid w:val="00E75438"/>
    <w:rsid w:val="00E7552A"/>
    <w:rsid w:val="00E764A2"/>
    <w:rsid w:val="00E765CE"/>
    <w:rsid w:val="00E76853"/>
    <w:rsid w:val="00E76B1E"/>
    <w:rsid w:val="00E76DA6"/>
    <w:rsid w:val="00E76F8C"/>
    <w:rsid w:val="00E773E9"/>
    <w:rsid w:val="00E7758F"/>
    <w:rsid w:val="00E777E6"/>
    <w:rsid w:val="00E77916"/>
    <w:rsid w:val="00E77A41"/>
    <w:rsid w:val="00E77AD4"/>
    <w:rsid w:val="00E77C99"/>
    <w:rsid w:val="00E77E96"/>
    <w:rsid w:val="00E80187"/>
    <w:rsid w:val="00E80792"/>
    <w:rsid w:val="00E80BA1"/>
    <w:rsid w:val="00E80EC1"/>
    <w:rsid w:val="00E81139"/>
    <w:rsid w:val="00E8138C"/>
    <w:rsid w:val="00E8148D"/>
    <w:rsid w:val="00E81A67"/>
    <w:rsid w:val="00E81D62"/>
    <w:rsid w:val="00E81E39"/>
    <w:rsid w:val="00E825D8"/>
    <w:rsid w:val="00E826ED"/>
    <w:rsid w:val="00E82770"/>
    <w:rsid w:val="00E82A93"/>
    <w:rsid w:val="00E82C11"/>
    <w:rsid w:val="00E82C5A"/>
    <w:rsid w:val="00E83937"/>
    <w:rsid w:val="00E83A32"/>
    <w:rsid w:val="00E84172"/>
    <w:rsid w:val="00E84C9E"/>
    <w:rsid w:val="00E855F6"/>
    <w:rsid w:val="00E85A1F"/>
    <w:rsid w:val="00E85CB1"/>
    <w:rsid w:val="00E8627F"/>
    <w:rsid w:val="00E862DA"/>
    <w:rsid w:val="00E86793"/>
    <w:rsid w:val="00E86BE5"/>
    <w:rsid w:val="00E8714A"/>
    <w:rsid w:val="00E875F0"/>
    <w:rsid w:val="00E878B6"/>
    <w:rsid w:val="00E87B82"/>
    <w:rsid w:val="00E90082"/>
    <w:rsid w:val="00E90189"/>
    <w:rsid w:val="00E914BF"/>
    <w:rsid w:val="00E93043"/>
    <w:rsid w:val="00E930A0"/>
    <w:rsid w:val="00E93590"/>
    <w:rsid w:val="00E93B39"/>
    <w:rsid w:val="00E93B78"/>
    <w:rsid w:val="00E943CA"/>
    <w:rsid w:val="00E945D7"/>
    <w:rsid w:val="00E95186"/>
    <w:rsid w:val="00E95234"/>
    <w:rsid w:val="00E95A5E"/>
    <w:rsid w:val="00E95B30"/>
    <w:rsid w:val="00E95B81"/>
    <w:rsid w:val="00E95FF7"/>
    <w:rsid w:val="00E96011"/>
    <w:rsid w:val="00E96299"/>
    <w:rsid w:val="00E96869"/>
    <w:rsid w:val="00E97A6C"/>
    <w:rsid w:val="00E97BB3"/>
    <w:rsid w:val="00E97DDB"/>
    <w:rsid w:val="00E97F34"/>
    <w:rsid w:val="00E97FC3"/>
    <w:rsid w:val="00EA0360"/>
    <w:rsid w:val="00EA098A"/>
    <w:rsid w:val="00EA0E4A"/>
    <w:rsid w:val="00EA0E9B"/>
    <w:rsid w:val="00EA110A"/>
    <w:rsid w:val="00EA1177"/>
    <w:rsid w:val="00EA1252"/>
    <w:rsid w:val="00EA15A4"/>
    <w:rsid w:val="00EA15DA"/>
    <w:rsid w:val="00EA164F"/>
    <w:rsid w:val="00EA1A7B"/>
    <w:rsid w:val="00EA1BF7"/>
    <w:rsid w:val="00EA1C08"/>
    <w:rsid w:val="00EA2149"/>
    <w:rsid w:val="00EA300C"/>
    <w:rsid w:val="00EA35C1"/>
    <w:rsid w:val="00EA37C3"/>
    <w:rsid w:val="00EA3BB1"/>
    <w:rsid w:val="00EA3C1E"/>
    <w:rsid w:val="00EA3DB0"/>
    <w:rsid w:val="00EA3F1C"/>
    <w:rsid w:val="00EA448F"/>
    <w:rsid w:val="00EA45F2"/>
    <w:rsid w:val="00EA4C37"/>
    <w:rsid w:val="00EA51D7"/>
    <w:rsid w:val="00EA5231"/>
    <w:rsid w:val="00EA5D58"/>
    <w:rsid w:val="00EA5E11"/>
    <w:rsid w:val="00EA626C"/>
    <w:rsid w:val="00EA6A38"/>
    <w:rsid w:val="00EA6D0D"/>
    <w:rsid w:val="00EA6DBF"/>
    <w:rsid w:val="00EA6DFE"/>
    <w:rsid w:val="00EA6E15"/>
    <w:rsid w:val="00EA7421"/>
    <w:rsid w:val="00EA799D"/>
    <w:rsid w:val="00EA7AD8"/>
    <w:rsid w:val="00EA7EB7"/>
    <w:rsid w:val="00EB0335"/>
    <w:rsid w:val="00EB04FD"/>
    <w:rsid w:val="00EB0808"/>
    <w:rsid w:val="00EB088B"/>
    <w:rsid w:val="00EB0BC3"/>
    <w:rsid w:val="00EB101D"/>
    <w:rsid w:val="00EB10FA"/>
    <w:rsid w:val="00EB188A"/>
    <w:rsid w:val="00EB1CC1"/>
    <w:rsid w:val="00EB1CF8"/>
    <w:rsid w:val="00EB1FFE"/>
    <w:rsid w:val="00EB2A42"/>
    <w:rsid w:val="00EB2DC1"/>
    <w:rsid w:val="00EB2FEE"/>
    <w:rsid w:val="00EB3185"/>
    <w:rsid w:val="00EB3219"/>
    <w:rsid w:val="00EB3D8C"/>
    <w:rsid w:val="00EB3EE5"/>
    <w:rsid w:val="00EB4037"/>
    <w:rsid w:val="00EB42D8"/>
    <w:rsid w:val="00EB43BB"/>
    <w:rsid w:val="00EB445E"/>
    <w:rsid w:val="00EB4793"/>
    <w:rsid w:val="00EB484A"/>
    <w:rsid w:val="00EB4932"/>
    <w:rsid w:val="00EB4B32"/>
    <w:rsid w:val="00EB4B84"/>
    <w:rsid w:val="00EB4D11"/>
    <w:rsid w:val="00EB522E"/>
    <w:rsid w:val="00EB5567"/>
    <w:rsid w:val="00EB58F4"/>
    <w:rsid w:val="00EB5EB0"/>
    <w:rsid w:val="00EB634F"/>
    <w:rsid w:val="00EB6401"/>
    <w:rsid w:val="00EB6613"/>
    <w:rsid w:val="00EB6AC3"/>
    <w:rsid w:val="00EB6C68"/>
    <w:rsid w:val="00EB6E18"/>
    <w:rsid w:val="00EB74EE"/>
    <w:rsid w:val="00EB7910"/>
    <w:rsid w:val="00EB7D79"/>
    <w:rsid w:val="00EB7F03"/>
    <w:rsid w:val="00EC0046"/>
    <w:rsid w:val="00EC00D3"/>
    <w:rsid w:val="00EC0B71"/>
    <w:rsid w:val="00EC1191"/>
    <w:rsid w:val="00EC19DD"/>
    <w:rsid w:val="00EC19F0"/>
    <w:rsid w:val="00EC1D41"/>
    <w:rsid w:val="00EC239C"/>
    <w:rsid w:val="00EC26AB"/>
    <w:rsid w:val="00EC3715"/>
    <w:rsid w:val="00EC372B"/>
    <w:rsid w:val="00EC39F1"/>
    <w:rsid w:val="00EC4038"/>
    <w:rsid w:val="00EC4539"/>
    <w:rsid w:val="00EC47D1"/>
    <w:rsid w:val="00EC49E1"/>
    <w:rsid w:val="00EC5300"/>
    <w:rsid w:val="00EC5301"/>
    <w:rsid w:val="00EC53C3"/>
    <w:rsid w:val="00EC5602"/>
    <w:rsid w:val="00EC5A60"/>
    <w:rsid w:val="00EC5F52"/>
    <w:rsid w:val="00EC5F83"/>
    <w:rsid w:val="00EC61DA"/>
    <w:rsid w:val="00EC6717"/>
    <w:rsid w:val="00EC6CE3"/>
    <w:rsid w:val="00EC6F9D"/>
    <w:rsid w:val="00EC6F9F"/>
    <w:rsid w:val="00ED03A6"/>
    <w:rsid w:val="00ED0672"/>
    <w:rsid w:val="00ED078B"/>
    <w:rsid w:val="00ED0BAD"/>
    <w:rsid w:val="00ED0D54"/>
    <w:rsid w:val="00ED0EF8"/>
    <w:rsid w:val="00ED103B"/>
    <w:rsid w:val="00ED1C89"/>
    <w:rsid w:val="00ED204C"/>
    <w:rsid w:val="00ED25A3"/>
    <w:rsid w:val="00ED27AD"/>
    <w:rsid w:val="00ED2C7E"/>
    <w:rsid w:val="00ED3B3C"/>
    <w:rsid w:val="00ED3BB4"/>
    <w:rsid w:val="00ED4B83"/>
    <w:rsid w:val="00ED4E74"/>
    <w:rsid w:val="00ED5656"/>
    <w:rsid w:val="00ED59F3"/>
    <w:rsid w:val="00ED5B92"/>
    <w:rsid w:val="00ED5E20"/>
    <w:rsid w:val="00ED64A2"/>
    <w:rsid w:val="00ED682D"/>
    <w:rsid w:val="00ED6839"/>
    <w:rsid w:val="00ED7267"/>
    <w:rsid w:val="00ED7336"/>
    <w:rsid w:val="00ED749A"/>
    <w:rsid w:val="00ED7887"/>
    <w:rsid w:val="00ED795C"/>
    <w:rsid w:val="00EE0256"/>
    <w:rsid w:val="00EE04AA"/>
    <w:rsid w:val="00EE0750"/>
    <w:rsid w:val="00EE08BC"/>
    <w:rsid w:val="00EE0E26"/>
    <w:rsid w:val="00EE0F8E"/>
    <w:rsid w:val="00EE1110"/>
    <w:rsid w:val="00EE1139"/>
    <w:rsid w:val="00EE157F"/>
    <w:rsid w:val="00EE1612"/>
    <w:rsid w:val="00EE192A"/>
    <w:rsid w:val="00EE2028"/>
    <w:rsid w:val="00EE2497"/>
    <w:rsid w:val="00EE2712"/>
    <w:rsid w:val="00EE27D8"/>
    <w:rsid w:val="00EE27FB"/>
    <w:rsid w:val="00EE2815"/>
    <w:rsid w:val="00EE2889"/>
    <w:rsid w:val="00EE29DD"/>
    <w:rsid w:val="00EE3085"/>
    <w:rsid w:val="00EE35D9"/>
    <w:rsid w:val="00EE37C9"/>
    <w:rsid w:val="00EE385D"/>
    <w:rsid w:val="00EE3A48"/>
    <w:rsid w:val="00EE3A56"/>
    <w:rsid w:val="00EE3AAF"/>
    <w:rsid w:val="00EE3B14"/>
    <w:rsid w:val="00EE4057"/>
    <w:rsid w:val="00EE40AE"/>
    <w:rsid w:val="00EE4207"/>
    <w:rsid w:val="00EE44EB"/>
    <w:rsid w:val="00EE4749"/>
    <w:rsid w:val="00EE478B"/>
    <w:rsid w:val="00EE4C5F"/>
    <w:rsid w:val="00EE4FCB"/>
    <w:rsid w:val="00EE5344"/>
    <w:rsid w:val="00EE5778"/>
    <w:rsid w:val="00EE5914"/>
    <w:rsid w:val="00EE603E"/>
    <w:rsid w:val="00EE627A"/>
    <w:rsid w:val="00EE63AD"/>
    <w:rsid w:val="00EE6C20"/>
    <w:rsid w:val="00EE7473"/>
    <w:rsid w:val="00EE750F"/>
    <w:rsid w:val="00EE7824"/>
    <w:rsid w:val="00EE7B90"/>
    <w:rsid w:val="00EE7D98"/>
    <w:rsid w:val="00EE7F82"/>
    <w:rsid w:val="00EE7FE7"/>
    <w:rsid w:val="00EF0068"/>
    <w:rsid w:val="00EF0414"/>
    <w:rsid w:val="00EF06D4"/>
    <w:rsid w:val="00EF09C2"/>
    <w:rsid w:val="00EF0E77"/>
    <w:rsid w:val="00EF0F91"/>
    <w:rsid w:val="00EF14A3"/>
    <w:rsid w:val="00EF14B7"/>
    <w:rsid w:val="00EF158A"/>
    <w:rsid w:val="00EF19AB"/>
    <w:rsid w:val="00EF1A10"/>
    <w:rsid w:val="00EF1DBC"/>
    <w:rsid w:val="00EF23F8"/>
    <w:rsid w:val="00EF2577"/>
    <w:rsid w:val="00EF2AE9"/>
    <w:rsid w:val="00EF2B7B"/>
    <w:rsid w:val="00EF34B2"/>
    <w:rsid w:val="00EF35A0"/>
    <w:rsid w:val="00EF3946"/>
    <w:rsid w:val="00EF424C"/>
    <w:rsid w:val="00EF4254"/>
    <w:rsid w:val="00EF42B0"/>
    <w:rsid w:val="00EF473E"/>
    <w:rsid w:val="00EF4CFE"/>
    <w:rsid w:val="00EF4EAD"/>
    <w:rsid w:val="00EF4F5A"/>
    <w:rsid w:val="00EF5511"/>
    <w:rsid w:val="00EF59ED"/>
    <w:rsid w:val="00EF5E3B"/>
    <w:rsid w:val="00EF62E1"/>
    <w:rsid w:val="00EF633A"/>
    <w:rsid w:val="00EF6461"/>
    <w:rsid w:val="00EF694E"/>
    <w:rsid w:val="00EF6A48"/>
    <w:rsid w:val="00EF6C23"/>
    <w:rsid w:val="00EF7916"/>
    <w:rsid w:val="00EF7FAB"/>
    <w:rsid w:val="00F00880"/>
    <w:rsid w:val="00F00A0B"/>
    <w:rsid w:val="00F011E8"/>
    <w:rsid w:val="00F01258"/>
    <w:rsid w:val="00F014B6"/>
    <w:rsid w:val="00F015F7"/>
    <w:rsid w:val="00F01E73"/>
    <w:rsid w:val="00F020BB"/>
    <w:rsid w:val="00F0218C"/>
    <w:rsid w:val="00F02284"/>
    <w:rsid w:val="00F02365"/>
    <w:rsid w:val="00F02A57"/>
    <w:rsid w:val="00F02B25"/>
    <w:rsid w:val="00F02BDD"/>
    <w:rsid w:val="00F02EDF"/>
    <w:rsid w:val="00F03AEE"/>
    <w:rsid w:val="00F03B63"/>
    <w:rsid w:val="00F03FDB"/>
    <w:rsid w:val="00F048A2"/>
    <w:rsid w:val="00F049DD"/>
    <w:rsid w:val="00F04CC2"/>
    <w:rsid w:val="00F04D9F"/>
    <w:rsid w:val="00F05415"/>
    <w:rsid w:val="00F054D7"/>
    <w:rsid w:val="00F05CF4"/>
    <w:rsid w:val="00F05D8D"/>
    <w:rsid w:val="00F07C5C"/>
    <w:rsid w:val="00F07E7B"/>
    <w:rsid w:val="00F1078C"/>
    <w:rsid w:val="00F1133D"/>
    <w:rsid w:val="00F1171B"/>
    <w:rsid w:val="00F118FD"/>
    <w:rsid w:val="00F11DD9"/>
    <w:rsid w:val="00F11DDC"/>
    <w:rsid w:val="00F11E8F"/>
    <w:rsid w:val="00F1208F"/>
    <w:rsid w:val="00F12434"/>
    <w:rsid w:val="00F1298E"/>
    <w:rsid w:val="00F12AD0"/>
    <w:rsid w:val="00F12E43"/>
    <w:rsid w:val="00F12FBA"/>
    <w:rsid w:val="00F13282"/>
    <w:rsid w:val="00F1369E"/>
    <w:rsid w:val="00F136E5"/>
    <w:rsid w:val="00F142FE"/>
    <w:rsid w:val="00F14398"/>
    <w:rsid w:val="00F14507"/>
    <w:rsid w:val="00F1473C"/>
    <w:rsid w:val="00F14787"/>
    <w:rsid w:val="00F1481C"/>
    <w:rsid w:val="00F14AEB"/>
    <w:rsid w:val="00F150BC"/>
    <w:rsid w:val="00F1518A"/>
    <w:rsid w:val="00F15220"/>
    <w:rsid w:val="00F167C8"/>
    <w:rsid w:val="00F169E5"/>
    <w:rsid w:val="00F16A16"/>
    <w:rsid w:val="00F16C6E"/>
    <w:rsid w:val="00F16C78"/>
    <w:rsid w:val="00F16E8D"/>
    <w:rsid w:val="00F16F19"/>
    <w:rsid w:val="00F17080"/>
    <w:rsid w:val="00F170A4"/>
    <w:rsid w:val="00F176E1"/>
    <w:rsid w:val="00F17AAB"/>
    <w:rsid w:val="00F204D5"/>
    <w:rsid w:val="00F2084A"/>
    <w:rsid w:val="00F20889"/>
    <w:rsid w:val="00F20BDE"/>
    <w:rsid w:val="00F2103C"/>
    <w:rsid w:val="00F217E4"/>
    <w:rsid w:val="00F2200E"/>
    <w:rsid w:val="00F22047"/>
    <w:rsid w:val="00F2218A"/>
    <w:rsid w:val="00F22968"/>
    <w:rsid w:val="00F22B0A"/>
    <w:rsid w:val="00F22CBA"/>
    <w:rsid w:val="00F23476"/>
    <w:rsid w:val="00F2410C"/>
    <w:rsid w:val="00F243C0"/>
    <w:rsid w:val="00F24576"/>
    <w:rsid w:val="00F24617"/>
    <w:rsid w:val="00F249FC"/>
    <w:rsid w:val="00F24F3D"/>
    <w:rsid w:val="00F24F41"/>
    <w:rsid w:val="00F2516E"/>
    <w:rsid w:val="00F2546F"/>
    <w:rsid w:val="00F2562C"/>
    <w:rsid w:val="00F26705"/>
    <w:rsid w:val="00F26A24"/>
    <w:rsid w:val="00F26C05"/>
    <w:rsid w:val="00F272F0"/>
    <w:rsid w:val="00F27731"/>
    <w:rsid w:val="00F27C78"/>
    <w:rsid w:val="00F27FAD"/>
    <w:rsid w:val="00F301BB"/>
    <w:rsid w:val="00F306C6"/>
    <w:rsid w:val="00F30A74"/>
    <w:rsid w:val="00F30D53"/>
    <w:rsid w:val="00F31015"/>
    <w:rsid w:val="00F311DD"/>
    <w:rsid w:val="00F316A6"/>
    <w:rsid w:val="00F318BF"/>
    <w:rsid w:val="00F3246F"/>
    <w:rsid w:val="00F32479"/>
    <w:rsid w:val="00F32D3C"/>
    <w:rsid w:val="00F3311B"/>
    <w:rsid w:val="00F3371E"/>
    <w:rsid w:val="00F33847"/>
    <w:rsid w:val="00F340BB"/>
    <w:rsid w:val="00F35164"/>
    <w:rsid w:val="00F3551F"/>
    <w:rsid w:val="00F35A78"/>
    <w:rsid w:val="00F35F00"/>
    <w:rsid w:val="00F35FB2"/>
    <w:rsid w:val="00F3712C"/>
    <w:rsid w:val="00F37261"/>
    <w:rsid w:val="00F37BC9"/>
    <w:rsid w:val="00F37D83"/>
    <w:rsid w:val="00F400D5"/>
    <w:rsid w:val="00F403ED"/>
    <w:rsid w:val="00F41309"/>
    <w:rsid w:val="00F4180E"/>
    <w:rsid w:val="00F4243A"/>
    <w:rsid w:val="00F4278C"/>
    <w:rsid w:val="00F43125"/>
    <w:rsid w:val="00F43223"/>
    <w:rsid w:val="00F433A7"/>
    <w:rsid w:val="00F436F2"/>
    <w:rsid w:val="00F43C42"/>
    <w:rsid w:val="00F43E8A"/>
    <w:rsid w:val="00F43EB3"/>
    <w:rsid w:val="00F440BF"/>
    <w:rsid w:val="00F44104"/>
    <w:rsid w:val="00F4471C"/>
    <w:rsid w:val="00F452FC"/>
    <w:rsid w:val="00F454F8"/>
    <w:rsid w:val="00F455B8"/>
    <w:rsid w:val="00F455E6"/>
    <w:rsid w:val="00F45713"/>
    <w:rsid w:val="00F45748"/>
    <w:rsid w:val="00F465D6"/>
    <w:rsid w:val="00F4661A"/>
    <w:rsid w:val="00F4680C"/>
    <w:rsid w:val="00F46CF9"/>
    <w:rsid w:val="00F46D7D"/>
    <w:rsid w:val="00F4746F"/>
    <w:rsid w:val="00F47889"/>
    <w:rsid w:val="00F47A74"/>
    <w:rsid w:val="00F47E22"/>
    <w:rsid w:val="00F506DE"/>
    <w:rsid w:val="00F5077D"/>
    <w:rsid w:val="00F50953"/>
    <w:rsid w:val="00F50EE8"/>
    <w:rsid w:val="00F515FF"/>
    <w:rsid w:val="00F518A2"/>
    <w:rsid w:val="00F52702"/>
    <w:rsid w:val="00F5281C"/>
    <w:rsid w:val="00F52BD9"/>
    <w:rsid w:val="00F52CA2"/>
    <w:rsid w:val="00F530D8"/>
    <w:rsid w:val="00F5368B"/>
    <w:rsid w:val="00F53947"/>
    <w:rsid w:val="00F53E27"/>
    <w:rsid w:val="00F540F0"/>
    <w:rsid w:val="00F541BC"/>
    <w:rsid w:val="00F54275"/>
    <w:rsid w:val="00F546AF"/>
    <w:rsid w:val="00F55151"/>
    <w:rsid w:val="00F551DA"/>
    <w:rsid w:val="00F55259"/>
    <w:rsid w:val="00F559F1"/>
    <w:rsid w:val="00F56124"/>
    <w:rsid w:val="00F565CB"/>
    <w:rsid w:val="00F56650"/>
    <w:rsid w:val="00F56A91"/>
    <w:rsid w:val="00F56DD3"/>
    <w:rsid w:val="00F56EC2"/>
    <w:rsid w:val="00F57674"/>
    <w:rsid w:val="00F57932"/>
    <w:rsid w:val="00F57E33"/>
    <w:rsid w:val="00F61072"/>
    <w:rsid w:val="00F61518"/>
    <w:rsid w:val="00F6170F"/>
    <w:rsid w:val="00F61C8E"/>
    <w:rsid w:val="00F623D9"/>
    <w:rsid w:val="00F624CD"/>
    <w:rsid w:val="00F6292B"/>
    <w:rsid w:val="00F62D0F"/>
    <w:rsid w:val="00F6313E"/>
    <w:rsid w:val="00F6354E"/>
    <w:rsid w:val="00F635F9"/>
    <w:rsid w:val="00F636F4"/>
    <w:rsid w:val="00F64637"/>
    <w:rsid w:val="00F64D2A"/>
    <w:rsid w:val="00F65364"/>
    <w:rsid w:val="00F65684"/>
    <w:rsid w:val="00F65DFC"/>
    <w:rsid w:val="00F661EB"/>
    <w:rsid w:val="00F6637E"/>
    <w:rsid w:val="00F66538"/>
    <w:rsid w:val="00F669E7"/>
    <w:rsid w:val="00F66A7D"/>
    <w:rsid w:val="00F67117"/>
    <w:rsid w:val="00F676BB"/>
    <w:rsid w:val="00F6776A"/>
    <w:rsid w:val="00F67BDE"/>
    <w:rsid w:val="00F67F62"/>
    <w:rsid w:val="00F70151"/>
    <w:rsid w:val="00F703A7"/>
    <w:rsid w:val="00F70630"/>
    <w:rsid w:val="00F706AB"/>
    <w:rsid w:val="00F709A3"/>
    <w:rsid w:val="00F710F6"/>
    <w:rsid w:val="00F7130D"/>
    <w:rsid w:val="00F718CE"/>
    <w:rsid w:val="00F71A49"/>
    <w:rsid w:val="00F71AF4"/>
    <w:rsid w:val="00F71C5A"/>
    <w:rsid w:val="00F72138"/>
    <w:rsid w:val="00F7216B"/>
    <w:rsid w:val="00F7256C"/>
    <w:rsid w:val="00F7262B"/>
    <w:rsid w:val="00F72770"/>
    <w:rsid w:val="00F72D8F"/>
    <w:rsid w:val="00F7313B"/>
    <w:rsid w:val="00F734A8"/>
    <w:rsid w:val="00F73580"/>
    <w:rsid w:val="00F739B7"/>
    <w:rsid w:val="00F73AF2"/>
    <w:rsid w:val="00F73E6B"/>
    <w:rsid w:val="00F74195"/>
    <w:rsid w:val="00F74684"/>
    <w:rsid w:val="00F74877"/>
    <w:rsid w:val="00F7510B"/>
    <w:rsid w:val="00F7630E"/>
    <w:rsid w:val="00F76A25"/>
    <w:rsid w:val="00F770F2"/>
    <w:rsid w:val="00F777BE"/>
    <w:rsid w:val="00F77D36"/>
    <w:rsid w:val="00F80004"/>
    <w:rsid w:val="00F8019F"/>
    <w:rsid w:val="00F801D3"/>
    <w:rsid w:val="00F80C5A"/>
    <w:rsid w:val="00F80C93"/>
    <w:rsid w:val="00F80ED3"/>
    <w:rsid w:val="00F811BC"/>
    <w:rsid w:val="00F814E2"/>
    <w:rsid w:val="00F8198C"/>
    <w:rsid w:val="00F81C41"/>
    <w:rsid w:val="00F821B8"/>
    <w:rsid w:val="00F82994"/>
    <w:rsid w:val="00F82CFA"/>
    <w:rsid w:val="00F82EEB"/>
    <w:rsid w:val="00F8378A"/>
    <w:rsid w:val="00F83AEC"/>
    <w:rsid w:val="00F84016"/>
    <w:rsid w:val="00F847E6"/>
    <w:rsid w:val="00F84852"/>
    <w:rsid w:val="00F84A48"/>
    <w:rsid w:val="00F84C88"/>
    <w:rsid w:val="00F85290"/>
    <w:rsid w:val="00F855DB"/>
    <w:rsid w:val="00F861C4"/>
    <w:rsid w:val="00F86508"/>
    <w:rsid w:val="00F8687D"/>
    <w:rsid w:val="00F86A22"/>
    <w:rsid w:val="00F86D76"/>
    <w:rsid w:val="00F87119"/>
    <w:rsid w:val="00F87F5E"/>
    <w:rsid w:val="00F906FC"/>
    <w:rsid w:val="00F90723"/>
    <w:rsid w:val="00F90A34"/>
    <w:rsid w:val="00F90C0E"/>
    <w:rsid w:val="00F90DC1"/>
    <w:rsid w:val="00F90DC2"/>
    <w:rsid w:val="00F91058"/>
    <w:rsid w:val="00F911B5"/>
    <w:rsid w:val="00F91205"/>
    <w:rsid w:val="00F914B7"/>
    <w:rsid w:val="00F917EB"/>
    <w:rsid w:val="00F91EB8"/>
    <w:rsid w:val="00F91F8B"/>
    <w:rsid w:val="00F922FC"/>
    <w:rsid w:val="00F92A8E"/>
    <w:rsid w:val="00F92F55"/>
    <w:rsid w:val="00F933FA"/>
    <w:rsid w:val="00F93CF1"/>
    <w:rsid w:val="00F9428F"/>
    <w:rsid w:val="00F943C3"/>
    <w:rsid w:val="00F949F4"/>
    <w:rsid w:val="00F94F86"/>
    <w:rsid w:val="00F95523"/>
    <w:rsid w:val="00F955BF"/>
    <w:rsid w:val="00F956F5"/>
    <w:rsid w:val="00F957E7"/>
    <w:rsid w:val="00F95B84"/>
    <w:rsid w:val="00F95CA5"/>
    <w:rsid w:val="00F95E22"/>
    <w:rsid w:val="00F960D6"/>
    <w:rsid w:val="00F96614"/>
    <w:rsid w:val="00F96F71"/>
    <w:rsid w:val="00F973B8"/>
    <w:rsid w:val="00F97624"/>
    <w:rsid w:val="00F9764E"/>
    <w:rsid w:val="00F978AB"/>
    <w:rsid w:val="00F97908"/>
    <w:rsid w:val="00F979C7"/>
    <w:rsid w:val="00FA00D3"/>
    <w:rsid w:val="00FA00DD"/>
    <w:rsid w:val="00FA0420"/>
    <w:rsid w:val="00FA0586"/>
    <w:rsid w:val="00FA066E"/>
    <w:rsid w:val="00FA06E7"/>
    <w:rsid w:val="00FA1426"/>
    <w:rsid w:val="00FA147E"/>
    <w:rsid w:val="00FA1603"/>
    <w:rsid w:val="00FA193A"/>
    <w:rsid w:val="00FA198B"/>
    <w:rsid w:val="00FA224D"/>
    <w:rsid w:val="00FA267C"/>
    <w:rsid w:val="00FA2B7A"/>
    <w:rsid w:val="00FA2C0A"/>
    <w:rsid w:val="00FA2D60"/>
    <w:rsid w:val="00FA368F"/>
    <w:rsid w:val="00FA3A65"/>
    <w:rsid w:val="00FA4294"/>
    <w:rsid w:val="00FA4370"/>
    <w:rsid w:val="00FA4BA2"/>
    <w:rsid w:val="00FA539C"/>
    <w:rsid w:val="00FA554C"/>
    <w:rsid w:val="00FA5643"/>
    <w:rsid w:val="00FA577E"/>
    <w:rsid w:val="00FA5C9E"/>
    <w:rsid w:val="00FA5EA0"/>
    <w:rsid w:val="00FA5F1D"/>
    <w:rsid w:val="00FA60A1"/>
    <w:rsid w:val="00FA644F"/>
    <w:rsid w:val="00FA6B6D"/>
    <w:rsid w:val="00FA6C3F"/>
    <w:rsid w:val="00FA6FD8"/>
    <w:rsid w:val="00FA707B"/>
    <w:rsid w:val="00FA70C7"/>
    <w:rsid w:val="00FA79D5"/>
    <w:rsid w:val="00FB006B"/>
    <w:rsid w:val="00FB02B7"/>
    <w:rsid w:val="00FB0350"/>
    <w:rsid w:val="00FB06CE"/>
    <w:rsid w:val="00FB0AEC"/>
    <w:rsid w:val="00FB0B03"/>
    <w:rsid w:val="00FB15F6"/>
    <w:rsid w:val="00FB1C59"/>
    <w:rsid w:val="00FB25B1"/>
    <w:rsid w:val="00FB2747"/>
    <w:rsid w:val="00FB28FD"/>
    <w:rsid w:val="00FB392B"/>
    <w:rsid w:val="00FB395D"/>
    <w:rsid w:val="00FB4D45"/>
    <w:rsid w:val="00FB4ED5"/>
    <w:rsid w:val="00FB590D"/>
    <w:rsid w:val="00FB5940"/>
    <w:rsid w:val="00FB5B10"/>
    <w:rsid w:val="00FB5D4F"/>
    <w:rsid w:val="00FB5FEF"/>
    <w:rsid w:val="00FB63E8"/>
    <w:rsid w:val="00FB6A2F"/>
    <w:rsid w:val="00FC0099"/>
    <w:rsid w:val="00FC0358"/>
    <w:rsid w:val="00FC03F5"/>
    <w:rsid w:val="00FC05AA"/>
    <w:rsid w:val="00FC082F"/>
    <w:rsid w:val="00FC0BAC"/>
    <w:rsid w:val="00FC0C90"/>
    <w:rsid w:val="00FC1E04"/>
    <w:rsid w:val="00FC1FE4"/>
    <w:rsid w:val="00FC2119"/>
    <w:rsid w:val="00FC2754"/>
    <w:rsid w:val="00FC293B"/>
    <w:rsid w:val="00FC2964"/>
    <w:rsid w:val="00FC3007"/>
    <w:rsid w:val="00FC342D"/>
    <w:rsid w:val="00FC364E"/>
    <w:rsid w:val="00FC371D"/>
    <w:rsid w:val="00FC3A56"/>
    <w:rsid w:val="00FC4212"/>
    <w:rsid w:val="00FC47AE"/>
    <w:rsid w:val="00FC4BD7"/>
    <w:rsid w:val="00FC4E37"/>
    <w:rsid w:val="00FC4FA1"/>
    <w:rsid w:val="00FC5963"/>
    <w:rsid w:val="00FC60FB"/>
    <w:rsid w:val="00FC6A06"/>
    <w:rsid w:val="00FC6A56"/>
    <w:rsid w:val="00FC6AA3"/>
    <w:rsid w:val="00FC6C16"/>
    <w:rsid w:val="00FC6F6F"/>
    <w:rsid w:val="00FC7008"/>
    <w:rsid w:val="00FC7498"/>
    <w:rsid w:val="00FC75D5"/>
    <w:rsid w:val="00FC7639"/>
    <w:rsid w:val="00FC76CE"/>
    <w:rsid w:val="00FC78E6"/>
    <w:rsid w:val="00FC79BD"/>
    <w:rsid w:val="00FC7E0B"/>
    <w:rsid w:val="00FD0019"/>
    <w:rsid w:val="00FD0229"/>
    <w:rsid w:val="00FD083F"/>
    <w:rsid w:val="00FD0E95"/>
    <w:rsid w:val="00FD11A8"/>
    <w:rsid w:val="00FD1525"/>
    <w:rsid w:val="00FD15BC"/>
    <w:rsid w:val="00FD176B"/>
    <w:rsid w:val="00FD19AC"/>
    <w:rsid w:val="00FD1AFE"/>
    <w:rsid w:val="00FD1DE4"/>
    <w:rsid w:val="00FD26FE"/>
    <w:rsid w:val="00FD2C8A"/>
    <w:rsid w:val="00FD2F78"/>
    <w:rsid w:val="00FD37F7"/>
    <w:rsid w:val="00FD3AFB"/>
    <w:rsid w:val="00FD40EC"/>
    <w:rsid w:val="00FD41AF"/>
    <w:rsid w:val="00FD46F7"/>
    <w:rsid w:val="00FD496A"/>
    <w:rsid w:val="00FD589C"/>
    <w:rsid w:val="00FD5939"/>
    <w:rsid w:val="00FD5A41"/>
    <w:rsid w:val="00FD634A"/>
    <w:rsid w:val="00FD66B6"/>
    <w:rsid w:val="00FD6FA2"/>
    <w:rsid w:val="00FD78DE"/>
    <w:rsid w:val="00FD79D2"/>
    <w:rsid w:val="00FD7D1A"/>
    <w:rsid w:val="00FE038B"/>
    <w:rsid w:val="00FE03AA"/>
    <w:rsid w:val="00FE04CC"/>
    <w:rsid w:val="00FE0721"/>
    <w:rsid w:val="00FE08DC"/>
    <w:rsid w:val="00FE1666"/>
    <w:rsid w:val="00FE1EEF"/>
    <w:rsid w:val="00FE1F11"/>
    <w:rsid w:val="00FE2962"/>
    <w:rsid w:val="00FE2C04"/>
    <w:rsid w:val="00FE2EFA"/>
    <w:rsid w:val="00FE30F9"/>
    <w:rsid w:val="00FE3BE7"/>
    <w:rsid w:val="00FE4901"/>
    <w:rsid w:val="00FE4BF4"/>
    <w:rsid w:val="00FE5860"/>
    <w:rsid w:val="00FE590A"/>
    <w:rsid w:val="00FE66FE"/>
    <w:rsid w:val="00FE68F3"/>
    <w:rsid w:val="00FE6BA5"/>
    <w:rsid w:val="00FE6C88"/>
    <w:rsid w:val="00FE6FE6"/>
    <w:rsid w:val="00FE7866"/>
    <w:rsid w:val="00FE7932"/>
    <w:rsid w:val="00FE7CE9"/>
    <w:rsid w:val="00FE7F41"/>
    <w:rsid w:val="00FF05F0"/>
    <w:rsid w:val="00FF0652"/>
    <w:rsid w:val="00FF0891"/>
    <w:rsid w:val="00FF0A96"/>
    <w:rsid w:val="00FF0C39"/>
    <w:rsid w:val="00FF0C76"/>
    <w:rsid w:val="00FF11C7"/>
    <w:rsid w:val="00FF167A"/>
    <w:rsid w:val="00FF176B"/>
    <w:rsid w:val="00FF18B3"/>
    <w:rsid w:val="00FF25AB"/>
    <w:rsid w:val="00FF322E"/>
    <w:rsid w:val="00FF327B"/>
    <w:rsid w:val="00FF3758"/>
    <w:rsid w:val="00FF3AA5"/>
    <w:rsid w:val="00FF40F8"/>
    <w:rsid w:val="00FF4211"/>
    <w:rsid w:val="00FF45F7"/>
    <w:rsid w:val="00FF4977"/>
    <w:rsid w:val="00FF4A11"/>
    <w:rsid w:val="00FF5361"/>
    <w:rsid w:val="00FF5786"/>
    <w:rsid w:val="00FF57F6"/>
    <w:rsid w:val="00FF5F67"/>
    <w:rsid w:val="00FF604D"/>
    <w:rsid w:val="00FF6343"/>
    <w:rsid w:val="00FF66CD"/>
    <w:rsid w:val="00FF6A03"/>
    <w:rsid w:val="00FF6BAC"/>
    <w:rsid w:val="00FF6E34"/>
    <w:rsid w:val="00FF776A"/>
    <w:rsid w:val="00FF7808"/>
    <w:rsid w:val="00FF7B77"/>
    <w:rsid w:val="00FF7C9D"/>
    <w:rsid w:val="00FF7E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81A673"/>
  <w15:docId w15:val="{E7016A30-C6B3-4C7B-93B6-90FCF8BE6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025B"/>
    <w:rPr>
      <w:sz w:val="24"/>
      <w:szCs w:val="24"/>
      <w:lang w:val="es-ES" w:eastAsia="es-ES"/>
    </w:rPr>
  </w:style>
  <w:style w:type="paragraph" w:styleId="Ttulo1">
    <w:name w:val="heading 1"/>
    <w:basedOn w:val="Normal"/>
    <w:next w:val="Normal"/>
    <w:qFormat/>
    <w:rsid w:val="009F025B"/>
    <w:pPr>
      <w:keepNext/>
      <w:spacing w:before="240"/>
      <w:outlineLvl w:val="0"/>
    </w:pPr>
    <w:rPr>
      <w:rFonts w:ascii="Arial" w:hAnsi="Arial"/>
      <w:b/>
      <w:color w:val="000000"/>
      <w:szCs w:val="20"/>
      <w:lang w:val="es-ES_tradnl"/>
    </w:rPr>
  </w:style>
  <w:style w:type="paragraph" w:styleId="Ttulo2">
    <w:name w:val="heading 2"/>
    <w:basedOn w:val="Normal"/>
    <w:next w:val="Normal"/>
    <w:qFormat/>
    <w:rsid w:val="009F025B"/>
    <w:pPr>
      <w:keepNext/>
      <w:spacing w:before="240"/>
      <w:outlineLvl w:val="1"/>
    </w:pPr>
    <w:rPr>
      <w:rFonts w:ascii="Arial" w:hAnsi="Arial"/>
      <w:color w:val="00000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ullet">
    <w:name w:val="bullet"/>
    <w:basedOn w:val="Normal"/>
    <w:rsid w:val="009F025B"/>
    <w:pPr>
      <w:numPr>
        <w:numId w:val="1"/>
      </w:numPr>
      <w:spacing w:before="180"/>
      <w:ind w:right="1072"/>
      <w:jc w:val="both"/>
    </w:pPr>
    <w:rPr>
      <w:rFonts w:ascii="Arial" w:hAnsi="Arial"/>
      <w:b/>
      <w:color w:val="000080"/>
      <w:sz w:val="22"/>
      <w:szCs w:val="20"/>
      <w:lang w:val="es-ES_tradnl"/>
    </w:rPr>
  </w:style>
  <w:style w:type="paragraph" w:customStyle="1" w:styleId="Textoindependiente21">
    <w:name w:val="Texto independiente 21"/>
    <w:basedOn w:val="Normal"/>
    <w:rsid w:val="009F025B"/>
    <w:pPr>
      <w:spacing w:after="960"/>
      <w:ind w:firstLine="567"/>
      <w:jc w:val="both"/>
    </w:pPr>
    <w:rPr>
      <w:rFonts w:ascii="Arial" w:hAnsi="Arial"/>
      <w:sz w:val="22"/>
      <w:szCs w:val="20"/>
      <w:lang w:val="es-ES_tradnl"/>
    </w:rPr>
  </w:style>
  <w:style w:type="paragraph" w:customStyle="1" w:styleId="Sangra2detindependiente1">
    <w:name w:val="Sangría 2 de t. independiente1"/>
    <w:basedOn w:val="Normal"/>
    <w:rsid w:val="009F025B"/>
    <w:pPr>
      <w:spacing w:after="720"/>
      <w:ind w:firstLine="544"/>
      <w:jc w:val="both"/>
    </w:pPr>
    <w:rPr>
      <w:rFonts w:ascii="Arial" w:hAnsi="Arial"/>
      <w:sz w:val="22"/>
      <w:szCs w:val="20"/>
      <w:lang w:val="es-ES_tradnl"/>
    </w:rPr>
  </w:style>
  <w:style w:type="paragraph" w:customStyle="1" w:styleId="titulo2">
    <w:name w:val="titulo2"/>
    <w:basedOn w:val="Normal"/>
    <w:rsid w:val="009F025B"/>
    <w:pPr>
      <w:widowControl w:val="0"/>
      <w:spacing w:before="480" w:after="120"/>
      <w:jc w:val="both"/>
    </w:pPr>
    <w:rPr>
      <w:rFonts w:ascii="Arial" w:hAnsi="Arial"/>
      <w:b/>
      <w:i/>
      <w:color w:val="0000FF"/>
      <w:szCs w:val="20"/>
      <w:u w:val="single"/>
      <w:lang w:val="es-ES_tradnl"/>
    </w:rPr>
  </w:style>
  <w:style w:type="paragraph" w:customStyle="1" w:styleId="renglones">
    <w:name w:val="renglones"/>
    <w:basedOn w:val="titulo2"/>
    <w:rsid w:val="009F025B"/>
    <w:pPr>
      <w:spacing w:after="0"/>
    </w:pPr>
    <w:rPr>
      <w:color w:val="auto"/>
    </w:rPr>
  </w:style>
  <w:style w:type="paragraph" w:customStyle="1" w:styleId="rollo">
    <w:name w:val="rollo"/>
    <w:basedOn w:val="Normal"/>
    <w:rsid w:val="009F025B"/>
    <w:pPr>
      <w:keepLines/>
      <w:widowControl w:val="0"/>
      <w:spacing w:before="240"/>
      <w:jc w:val="both"/>
    </w:pPr>
    <w:rPr>
      <w:rFonts w:ascii="Arial" w:hAnsi="Arial"/>
      <w:szCs w:val="20"/>
      <w:lang w:val="es-ES_tradnl"/>
    </w:rPr>
  </w:style>
  <w:style w:type="paragraph" w:customStyle="1" w:styleId="titulos">
    <w:name w:val="titulos"/>
    <w:basedOn w:val="Sangra2detindependiente1"/>
    <w:rsid w:val="009F025B"/>
    <w:pPr>
      <w:widowControl w:val="0"/>
      <w:spacing w:before="360" w:after="0"/>
      <w:ind w:firstLine="0"/>
    </w:pPr>
    <w:rPr>
      <w:b/>
      <w:i/>
      <w:sz w:val="24"/>
      <w:u w:val="single"/>
    </w:rPr>
  </w:style>
  <w:style w:type="paragraph" w:styleId="Encabezado">
    <w:name w:val="header"/>
    <w:basedOn w:val="Normal"/>
    <w:link w:val="EncabezadoCar"/>
    <w:rsid w:val="009F025B"/>
    <w:pPr>
      <w:tabs>
        <w:tab w:val="center" w:pos="4419"/>
        <w:tab w:val="right" w:pos="8838"/>
      </w:tabs>
    </w:pPr>
  </w:style>
  <w:style w:type="paragraph" w:styleId="Piedepgina">
    <w:name w:val="footer"/>
    <w:basedOn w:val="Normal"/>
    <w:link w:val="PiedepginaCar"/>
    <w:uiPriority w:val="99"/>
    <w:rsid w:val="009F025B"/>
    <w:pPr>
      <w:tabs>
        <w:tab w:val="center" w:pos="4419"/>
        <w:tab w:val="right" w:pos="8838"/>
      </w:tabs>
    </w:pPr>
  </w:style>
  <w:style w:type="character" w:styleId="Nmerodepgina">
    <w:name w:val="page number"/>
    <w:basedOn w:val="Fuentedeprrafopredeter"/>
    <w:rsid w:val="009F025B"/>
  </w:style>
  <w:style w:type="paragraph" w:styleId="Sangradetextonormal">
    <w:name w:val="Body Text Indent"/>
    <w:basedOn w:val="Normal"/>
    <w:rsid w:val="009F025B"/>
    <w:pPr>
      <w:numPr>
        <w:ilvl w:val="12"/>
      </w:numPr>
      <w:spacing w:after="360"/>
      <w:ind w:right="-91" w:firstLine="567"/>
      <w:jc w:val="both"/>
    </w:pPr>
    <w:rPr>
      <w:rFonts w:ascii="Arial" w:hAnsi="Arial"/>
      <w:sz w:val="22"/>
      <w:szCs w:val="20"/>
    </w:rPr>
  </w:style>
  <w:style w:type="paragraph" w:styleId="Sangra2detindependiente">
    <w:name w:val="Body Text Indent 2"/>
    <w:basedOn w:val="Normal"/>
    <w:rsid w:val="009F025B"/>
    <w:pPr>
      <w:spacing w:after="240"/>
      <w:ind w:firstLine="567"/>
      <w:jc w:val="both"/>
    </w:pPr>
    <w:rPr>
      <w:rFonts w:ascii="Arial" w:hAnsi="Arial"/>
      <w:sz w:val="20"/>
      <w:szCs w:val="20"/>
    </w:rPr>
  </w:style>
  <w:style w:type="paragraph" w:styleId="Textoindependiente2">
    <w:name w:val="Body Text 2"/>
    <w:basedOn w:val="Normal"/>
    <w:rsid w:val="009F025B"/>
    <w:pPr>
      <w:keepNext/>
      <w:spacing w:after="240"/>
      <w:jc w:val="both"/>
    </w:pPr>
    <w:rPr>
      <w:sz w:val="20"/>
      <w:szCs w:val="20"/>
    </w:rPr>
  </w:style>
  <w:style w:type="paragraph" w:styleId="Textodebloque">
    <w:name w:val="Block Text"/>
    <w:basedOn w:val="Normal"/>
    <w:rsid w:val="009F025B"/>
    <w:pPr>
      <w:numPr>
        <w:ilvl w:val="12"/>
      </w:numPr>
      <w:spacing w:before="360"/>
      <w:ind w:left="567" w:right="902"/>
      <w:jc w:val="both"/>
    </w:pPr>
    <w:rPr>
      <w:rFonts w:ascii="Arial" w:hAnsi="Arial"/>
      <w:b/>
      <w:sz w:val="20"/>
    </w:rPr>
  </w:style>
  <w:style w:type="paragraph" w:styleId="Textonotapie">
    <w:name w:val="footnote text"/>
    <w:basedOn w:val="Normal"/>
    <w:link w:val="TextonotapieCar"/>
    <w:rsid w:val="009F025B"/>
    <w:rPr>
      <w:sz w:val="20"/>
      <w:szCs w:val="20"/>
    </w:rPr>
  </w:style>
  <w:style w:type="character" w:styleId="Refdenotaalpie">
    <w:name w:val="footnote reference"/>
    <w:basedOn w:val="Fuentedeprrafopredeter"/>
    <w:rsid w:val="009F025B"/>
    <w:rPr>
      <w:vertAlign w:val="superscript"/>
    </w:rPr>
  </w:style>
  <w:style w:type="paragraph" w:styleId="Textodeglobo">
    <w:name w:val="Balloon Text"/>
    <w:basedOn w:val="Normal"/>
    <w:semiHidden/>
    <w:rsid w:val="00C02D9D"/>
    <w:rPr>
      <w:rFonts w:ascii="Tahoma" w:hAnsi="Tahoma" w:cs="Tahoma"/>
      <w:sz w:val="16"/>
      <w:szCs w:val="16"/>
    </w:rPr>
  </w:style>
  <w:style w:type="character" w:customStyle="1" w:styleId="EncabezadoCar">
    <w:name w:val="Encabezado Car"/>
    <w:basedOn w:val="Fuentedeprrafopredeter"/>
    <w:link w:val="Encabezado"/>
    <w:rsid w:val="00220852"/>
    <w:rPr>
      <w:sz w:val="24"/>
      <w:szCs w:val="24"/>
    </w:rPr>
  </w:style>
  <w:style w:type="table" w:styleId="Tablaconcuadrcula">
    <w:name w:val="Table Grid"/>
    <w:basedOn w:val="Tablanormal"/>
    <w:rsid w:val="00433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Normal"/>
    <w:rsid w:val="007E6F44"/>
    <w:pPr>
      <w:keepLines/>
      <w:widowControl w:val="0"/>
      <w:spacing w:before="240"/>
      <w:jc w:val="both"/>
    </w:pPr>
    <w:rPr>
      <w:rFonts w:ascii="Univers" w:hAnsi="Univers"/>
      <w:color w:val="0000FF"/>
      <w:szCs w:val="20"/>
      <w:lang w:val="es-ES_tradnl"/>
    </w:rPr>
  </w:style>
  <w:style w:type="paragraph" w:customStyle="1" w:styleId="p01">
    <w:name w:val="p01"/>
    <w:basedOn w:val="Normal"/>
    <w:next w:val="p0"/>
    <w:rsid w:val="007E6F44"/>
    <w:pPr>
      <w:keepLines/>
      <w:widowControl w:val="0"/>
      <w:spacing w:before="240"/>
      <w:jc w:val="both"/>
    </w:pPr>
    <w:rPr>
      <w:rFonts w:ascii="Univers" w:hAnsi="Univers"/>
      <w:color w:val="0000FF"/>
      <w:szCs w:val="20"/>
      <w:lang w:val="es-ES_tradnl"/>
    </w:rPr>
  </w:style>
  <w:style w:type="paragraph" w:customStyle="1" w:styleId="Textoindependiente22">
    <w:name w:val="Texto independiente 22"/>
    <w:basedOn w:val="Normal"/>
    <w:rsid w:val="00F87119"/>
    <w:pPr>
      <w:spacing w:after="960"/>
      <w:ind w:firstLine="567"/>
      <w:jc w:val="both"/>
    </w:pPr>
    <w:rPr>
      <w:rFonts w:ascii="Arial" w:hAnsi="Arial"/>
      <w:sz w:val="22"/>
      <w:szCs w:val="20"/>
      <w:lang w:val="es-ES_tradnl"/>
    </w:rPr>
  </w:style>
  <w:style w:type="paragraph" w:customStyle="1" w:styleId="Sangra2detindependiente2">
    <w:name w:val="Sangría 2 de t. independiente2"/>
    <w:basedOn w:val="Normal"/>
    <w:rsid w:val="00AA09CC"/>
    <w:pPr>
      <w:spacing w:after="720"/>
      <w:ind w:firstLine="544"/>
      <w:jc w:val="both"/>
    </w:pPr>
    <w:rPr>
      <w:rFonts w:ascii="Arial" w:hAnsi="Arial"/>
      <w:sz w:val="22"/>
      <w:szCs w:val="20"/>
      <w:lang w:val="es-ES_tradnl"/>
    </w:rPr>
  </w:style>
  <w:style w:type="paragraph" w:customStyle="1" w:styleId="Textoindependiente23">
    <w:name w:val="Texto independiente 23"/>
    <w:basedOn w:val="Normal"/>
    <w:rsid w:val="0068578E"/>
    <w:pPr>
      <w:spacing w:after="960"/>
      <w:ind w:firstLine="567"/>
      <w:jc w:val="both"/>
    </w:pPr>
    <w:rPr>
      <w:rFonts w:ascii="Arial" w:hAnsi="Arial"/>
      <w:sz w:val="22"/>
      <w:szCs w:val="20"/>
      <w:lang w:val="es-ES_tradnl"/>
    </w:rPr>
  </w:style>
  <w:style w:type="paragraph" w:customStyle="1" w:styleId="Textoindependiente24">
    <w:name w:val="Texto independiente 24"/>
    <w:basedOn w:val="Normal"/>
    <w:rsid w:val="005063B9"/>
    <w:pPr>
      <w:spacing w:after="960"/>
      <w:ind w:firstLine="567"/>
      <w:jc w:val="both"/>
    </w:pPr>
    <w:rPr>
      <w:rFonts w:ascii="Arial" w:hAnsi="Arial"/>
      <w:sz w:val="22"/>
      <w:szCs w:val="20"/>
      <w:lang w:val="es-ES_tradnl"/>
    </w:rPr>
  </w:style>
  <w:style w:type="paragraph" w:customStyle="1" w:styleId="Sangra2detindependiente3">
    <w:name w:val="Sangría 2 de t. independiente3"/>
    <w:basedOn w:val="Normal"/>
    <w:rsid w:val="005063B9"/>
    <w:pPr>
      <w:spacing w:after="720"/>
      <w:ind w:firstLine="544"/>
      <w:jc w:val="both"/>
    </w:pPr>
    <w:rPr>
      <w:rFonts w:ascii="Arial" w:hAnsi="Arial"/>
      <w:sz w:val="22"/>
      <w:szCs w:val="20"/>
      <w:lang w:val="es-ES_tradnl"/>
    </w:rPr>
  </w:style>
  <w:style w:type="paragraph" w:customStyle="1" w:styleId="Textoindependiente25">
    <w:name w:val="Texto independiente 25"/>
    <w:basedOn w:val="Normal"/>
    <w:rsid w:val="00CF29DB"/>
    <w:pPr>
      <w:spacing w:after="960"/>
      <w:ind w:firstLine="567"/>
      <w:jc w:val="both"/>
    </w:pPr>
    <w:rPr>
      <w:rFonts w:ascii="Arial" w:hAnsi="Arial"/>
      <w:sz w:val="22"/>
      <w:szCs w:val="20"/>
      <w:lang w:val="es-ES_tradnl"/>
    </w:rPr>
  </w:style>
  <w:style w:type="paragraph" w:customStyle="1" w:styleId="Sangra2detindependiente4">
    <w:name w:val="Sangría 2 de t. independiente4"/>
    <w:basedOn w:val="Normal"/>
    <w:rsid w:val="00CF29DB"/>
    <w:pPr>
      <w:spacing w:after="720"/>
      <w:ind w:firstLine="544"/>
      <w:jc w:val="both"/>
    </w:pPr>
    <w:rPr>
      <w:rFonts w:ascii="Arial" w:hAnsi="Arial"/>
      <w:sz w:val="22"/>
      <w:szCs w:val="20"/>
      <w:lang w:val="es-ES_tradnl"/>
    </w:rPr>
  </w:style>
  <w:style w:type="paragraph" w:customStyle="1" w:styleId="Textoindependiente26">
    <w:name w:val="Texto independiente 26"/>
    <w:basedOn w:val="Normal"/>
    <w:rsid w:val="00737443"/>
    <w:pPr>
      <w:spacing w:after="960"/>
      <w:ind w:firstLine="567"/>
      <w:jc w:val="both"/>
    </w:pPr>
    <w:rPr>
      <w:rFonts w:ascii="Arial" w:hAnsi="Arial"/>
      <w:sz w:val="22"/>
      <w:szCs w:val="20"/>
      <w:lang w:val="es-ES_tradnl"/>
    </w:rPr>
  </w:style>
  <w:style w:type="character" w:customStyle="1" w:styleId="PiedepginaCar">
    <w:name w:val="Pie de página Car"/>
    <w:basedOn w:val="Fuentedeprrafopredeter"/>
    <w:link w:val="Piedepgina"/>
    <w:uiPriority w:val="99"/>
    <w:rsid w:val="00583D5C"/>
    <w:rPr>
      <w:sz w:val="24"/>
      <w:szCs w:val="24"/>
      <w:lang w:val="es-ES" w:eastAsia="es-ES"/>
    </w:rPr>
  </w:style>
  <w:style w:type="paragraph" w:customStyle="1" w:styleId="Textoindependiente27">
    <w:name w:val="Texto independiente 27"/>
    <w:basedOn w:val="Normal"/>
    <w:rsid w:val="00666A74"/>
    <w:pPr>
      <w:spacing w:after="960"/>
      <w:ind w:firstLine="567"/>
      <w:jc w:val="both"/>
    </w:pPr>
    <w:rPr>
      <w:rFonts w:ascii="Arial" w:hAnsi="Arial"/>
      <w:sz w:val="22"/>
      <w:szCs w:val="20"/>
      <w:lang w:val="es-ES_tradnl"/>
    </w:rPr>
  </w:style>
  <w:style w:type="paragraph" w:customStyle="1" w:styleId="Sangra2detindependiente5">
    <w:name w:val="Sangría 2 de t. independiente5"/>
    <w:basedOn w:val="Normal"/>
    <w:rsid w:val="00712BFE"/>
    <w:pPr>
      <w:spacing w:after="720"/>
      <w:ind w:firstLine="544"/>
      <w:jc w:val="both"/>
    </w:pPr>
    <w:rPr>
      <w:rFonts w:ascii="Arial" w:hAnsi="Arial"/>
      <w:sz w:val="22"/>
      <w:szCs w:val="20"/>
      <w:lang w:val="es-ES_tradnl"/>
    </w:rPr>
  </w:style>
  <w:style w:type="paragraph" w:customStyle="1" w:styleId="Textoindependiente28">
    <w:name w:val="Texto independiente 28"/>
    <w:basedOn w:val="Normal"/>
    <w:rsid w:val="00C81EDA"/>
    <w:pPr>
      <w:spacing w:after="960"/>
      <w:ind w:firstLine="567"/>
      <w:jc w:val="both"/>
    </w:pPr>
    <w:rPr>
      <w:rFonts w:ascii="Arial" w:hAnsi="Arial"/>
      <w:sz w:val="22"/>
      <w:szCs w:val="20"/>
      <w:lang w:val="es-ES_tradnl"/>
    </w:rPr>
  </w:style>
  <w:style w:type="paragraph" w:customStyle="1" w:styleId="Textoindependiente29">
    <w:name w:val="Texto independiente 29"/>
    <w:basedOn w:val="Normal"/>
    <w:rsid w:val="00DF6AE4"/>
    <w:pPr>
      <w:spacing w:after="960"/>
      <w:ind w:firstLine="567"/>
      <w:jc w:val="both"/>
    </w:pPr>
    <w:rPr>
      <w:rFonts w:ascii="Arial" w:hAnsi="Arial"/>
      <w:sz w:val="22"/>
      <w:szCs w:val="20"/>
      <w:lang w:val="es-ES_tradnl"/>
    </w:rPr>
  </w:style>
  <w:style w:type="paragraph" w:customStyle="1" w:styleId="Sangra2detindependiente6">
    <w:name w:val="Sangría 2 de t. independiente6"/>
    <w:basedOn w:val="Normal"/>
    <w:rsid w:val="00C9537F"/>
    <w:pPr>
      <w:spacing w:after="720"/>
      <w:ind w:firstLine="544"/>
      <w:jc w:val="both"/>
    </w:pPr>
    <w:rPr>
      <w:rFonts w:ascii="Arial" w:hAnsi="Arial"/>
      <w:sz w:val="22"/>
      <w:szCs w:val="20"/>
      <w:lang w:val="es-ES_tradnl"/>
    </w:rPr>
  </w:style>
  <w:style w:type="paragraph" w:customStyle="1" w:styleId="Textoindependiente210">
    <w:name w:val="Texto independiente 210"/>
    <w:basedOn w:val="Normal"/>
    <w:rsid w:val="00173404"/>
    <w:pPr>
      <w:spacing w:after="960"/>
      <w:ind w:firstLine="567"/>
      <w:jc w:val="both"/>
    </w:pPr>
    <w:rPr>
      <w:rFonts w:ascii="Arial" w:hAnsi="Arial"/>
      <w:sz w:val="22"/>
      <w:szCs w:val="20"/>
      <w:lang w:val="es-ES_tradnl"/>
    </w:rPr>
  </w:style>
  <w:style w:type="paragraph" w:customStyle="1" w:styleId="Textoindependiente211">
    <w:name w:val="Texto independiente 211"/>
    <w:basedOn w:val="Normal"/>
    <w:rsid w:val="00891C76"/>
    <w:pPr>
      <w:spacing w:after="960"/>
      <w:ind w:firstLine="567"/>
      <w:jc w:val="both"/>
    </w:pPr>
    <w:rPr>
      <w:rFonts w:ascii="Arial" w:hAnsi="Arial"/>
      <w:sz w:val="22"/>
      <w:szCs w:val="20"/>
      <w:lang w:val="es-ES_tradnl"/>
    </w:rPr>
  </w:style>
  <w:style w:type="paragraph" w:customStyle="1" w:styleId="Textoindependiente212">
    <w:name w:val="Texto independiente 212"/>
    <w:basedOn w:val="Normal"/>
    <w:rsid w:val="005F2680"/>
    <w:pPr>
      <w:spacing w:after="960"/>
      <w:ind w:firstLine="567"/>
      <w:jc w:val="both"/>
    </w:pPr>
    <w:rPr>
      <w:rFonts w:ascii="Arial" w:hAnsi="Arial"/>
      <w:sz w:val="22"/>
      <w:szCs w:val="20"/>
      <w:lang w:val="es-ES_tradnl"/>
    </w:rPr>
  </w:style>
  <w:style w:type="paragraph" w:customStyle="1" w:styleId="Textoindependiente213">
    <w:name w:val="Texto independiente 213"/>
    <w:basedOn w:val="Normal"/>
    <w:rsid w:val="005904BB"/>
    <w:pPr>
      <w:spacing w:after="960"/>
      <w:ind w:firstLine="567"/>
      <w:jc w:val="both"/>
    </w:pPr>
    <w:rPr>
      <w:rFonts w:ascii="Arial" w:hAnsi="Arial"/>
      <w:sz w:val="22"/>
      <w:szCs w:val="20"/>
      <w:lang w:val="es-ES_tradnl"/>
    </w:rPr>
  </w:style>
  <w:style w:type="paragraph" w:customStyle="1" w:styleId="Sangra2detindependiente7">
    <w:name w:val="Sangría 2 de t. independiente7"/>
    <w:basedOn w:val="Normal"/>
    <w:rsid w:val="0075169F"/>
    <w:pPr>
      <w:spacing w:after="720"/>
      <w:ind w:firstLine="544"/>
      <w:jc w:val="both"/>
    </w:pPr>
    <w:rPr>
      <w:rFonts w:ascii="Arial" w:hAnsi="Arial"/>
      <w:sz w:val="22"/>
      <w:szCs w:val="20"/>
      <w:lang w:val="es-ES_tradnl"/>
    </w:rPr>
  </w:style>
  <w:style w:type="paragraph" w:customStyle="1" w:styleId="Textoindependiente214">
    <w:name w:val="Texto independiente 214"/>
    <w:basedOn w:val="Normal"/>
    <w:rsid w:val="00BB1AE1"/>
    <w:pPr>
      <w:spacing w:after="960"/>
      <w:ind w:firstLine="567"/>
      <w:jc w:val="both"/>
    </w:pPr>
    <w:rPr>
      <w:rFonts w:ascii="Arial" w:hAnsi="Arial"/>
      <w:sz w:val="22"/>
      <w:szCs w:val="20"/>
      <w:lang w:val="es-ES_tradnl"/>
    </w:rPr>
  </w:style>
  <w:style w:type="paragraph" w:customStyle="1" w:styleId="Textoindependiente215">
    <w:name w:val="Texto independiente 215"/>
    <w:basedOn w:val="Normal"/>
    <w:rsid w:val="00743646"/>
    <w:pPr>
      <w:spacing w:after="960"/>
      <w:ind w:firstLine="567"/>
      <w:jc w:val="both"/>
    </w:pPr>
    <w:rPr>
      <w:rFonts w:ascii="Arial" w:hAnsi="Arial"/>
      <w:sz w:val="22"/>
      <w:szCs w:val="20"/>
      <w:lang w:val="es-ES_tradnl"/>
    </w:rPr>
  </w:style>
  <w:style w:type="paragraph" w:customStyle="1" w:styleId="Textoindependiente217">
    <w:name w:val="Texto independiente 217"/>
    <w:basedOn w:val="Normal"/>
    <w:rsid w:val="002305FE"/>
    <w:pPr>
      <w:spacing w:after="960"/>
      <w:ind w:firstLine="567"/>
      <w:jc w:val="both"/>
    </w:pPr>
    <w:rPr>
      <w:rFonts w:ascii="Arial" w:hAnsi="Arial"/>
      <w:sz w:val="22"/>
      <w:szCs w:val="20"/>
      <w:lang w:val="es-ES_tradnl"/>
    </w:rPr>
  </w:style>
  <w:style w:type="paragraph" w:styleId="Textoindependiente">
    <w:name w:val="Body Text"/>
    <w:basedOn w:val="Normal"/>
    <w:link w:val="TextoindependienteCar"/>
    <w:rsid w:val="00581D9B"/>
    <w:pPr>
      <w:spacing w:after="120"/>
    </w:pPr>
  </w:style>
  <w:style w:type="character" w:customStyle="1" w:styleId="TextoindependienteCar">
    <w:name w:val="Texto independiente Car"/>
    <w:basedOn w:val="Fuentedeprrafopredeter"/>
    <w:link w:val="Textoindependiente"/>
    <w:rsid w:val="00581D9B"/>
    <w:rPr>
      <w:sz w:val="24"/>
      <w:szCs w:val="24"/>
      <w:lang w:val="es-ES" w:eastAsia="es-ES"/>
    </w:rPr>
  </w:style>
  <w:style w:type="paragraph" w:customStyle="1" w:styleId="Lista">
    <w:name w:val="Lista ()"/>
    <w:basedOn w:val="Normal"/>
    <w:qFormat/>
    <w:rsid w:val="00287ED1"/>
    <w:pPr>
      <w:numPr>
        <w:numId w:val="2"/>
      </w:numPr>
      <w:spacing w:after="120"/>
      <w:jc w:val="both"/>
    </w:pPr>
    <w:rPr>
      <w:rFonts w:ascii="Calibri" w:hAnsi="Calibri"/>
      <w:lang w:val="nl-BE" w:eastAsia="es-MX"/>
    </w:rPr>
  </w:style>
  <w:style w:type="paragraph" w:customStyle="1" w:styleId="Default">
    <w:name w:val="Default"/>
    <w:rsid w:val="00287ED1"/>
    <w:pPr>
      <w:autoSpaceDE w:val="0"/>
      <w:autoSpaceDN w:val="0"/>
      <w:adjustRightInd w:val="0"/>
    </w:pPr>
    <w:rPr>
      <w:rFonts w:ascii="Arial" w:hAnsi="Arial" w:cs="Arial"/>
      <w:color w:val="000000"/>
      <w:sz w:val="24"/>
      <w:szCs w:val="24"/>
    </w:rPr>
  </w:style>
  <w:style w:type="paragraph" w:customStyle="1" w:styleId="Cuadro">
    <w:name w:val="Cuadro"/>
    <w:basedOn w:val="Normal"/>
    <w:next w:val="Normal"/>
    <w:qFormat/>
    <w:rsid w:val="00814EC0"/>
    <w:pPr>
      <w:spacing w:after="120"/>
      <w:ind w:left="1418"/>
      <w:jc w:val="both"/>
    </w:pPr>
    <w:rPr>
      <w:rFonts w:ascii="Calibri" w:hAnsi="Calibri"/>
      <w:lang w:val="es-MX" w:eastAsia="es-MX"/>
    </w:rPr>
  </w:style>
  <w:style w:type="paragraph" w:customStyle="1" w:styleId="TtuloCuadro">
    <w:name w:val="Título Cuadro"/>
    <w:basedOn w:val="Normal"/>
    <w:next w:val="Normal"/>
    <w:qFormat/>
    <w:rsid w:val="001F4B54"/>
    <w:pPr>
      <w:numPr>
        <w:numId w:val="3"/>
      </w:numPr>
      <w:spacing w:after="120"/>
      <w:jc w:val="both"/>
    </w:pPr>
    <w:rPr>
      <w:rFonts w:ascii="Calibri" w:hAnsi="Calibri"/>
      <w:b/>
      <w:color w:val="000080"/>
      <w:sz w:val="20"/>
      <w:szCs w:val="20"/>
      <w:lang w:val="es-MX" w:eastAsia="es-MX"/>
    </w:rPr>
  </w:style>
  <w:style w:type="paragraph" w:styleId="NormalWeb">
    <w:name w:val="Normal (Web)"/>
    <w:basedOn w:val="Normal"/>
    <w:uiPriority w:val="99"/>
    <w:unhideWhenUsed/>
    <w:rsid w:val="00ED59F3"/>
    <w:pPr>
      <w:spacing w:before="100" w:beforeAutospacing="1" w:after="100" w:afterAutospacing="1"/>
    </w:pPr>
    <w:rPr>
      <w:rFonts w:eastAsiaTheme="minorEastAsia"/>
      <w:lang w:val="es-MX" w:eastAsia="es-MX"/>
    </w:rPr>
  </w:style>
  <w:style w:type="paragraph" w:customStyle="1" w:styleId="Grfica">
    <w:name w:val="Gráfica"/>
    <w:basedOn w:val="Normal"/>
    <w:next w:val="Normal"/>
    <w:qFormat/>
    <w:rsid w:val="00264E48"/>
    <w:pPr>
      <w:spacing w:after="120"/>
      <w:jc w:val="both"/>
    </w:pPr>
    <w:rPr>
      <w:rFonts w:ascii="Calibri" w:hAnsi="Calibri"/>
      <w:lang w:val="es-MX" w:eastAsia="es-MX"/>
    </w:rPr>
  </w:style>
  <w:style w:type="paragraph" w:customStyle="1" w:styleId="n0">
    <w:name w:val="n0"/>
    <w:basedOn w:val="Normal"/>
    <w:rsid w:val="00615830"/>
    <w:pPr>
      <w:keepLines/>
      <w:spacing w:before="240"/>
      <w:ind w:left="709" w:right="-351" w:hanging="709"/>
      <w:jc w:val="both"/>
    </w:pPr>
    <w:rPr>
      <w:rFonts w:ascii="Arial" w:hAnsi="Arial" w:cs="Arial"/>
      <w:color w:val="800080"/>
      <w:lang w:val="es-ES_tradnl"/>
    </w:rPr>
  </w:style>
  <w:style w:type="paragraph" w:customStyle="1" w:styleId="n01">
    <w:name w:val="n01"/>
    <w:basedOn w:val="Normal"/>
    <w:rsid w:val="00615830"/>
    <w:pPr>
      <w:keepLines/>
      <w:spacing w:before="240"/>
      <w:ind w:left="720" w:hanging="720"/>
      <w:jc w:val="both"/>
    </w:pPr>
    <w:rPr>
      <w:rFonts w:ascii="Univers (W1)" w:hAnsi="Univers (W1)" w:cs="Arial"/>
      <w:color w:val="800080"/>
      <w:lang w:val="es-ES_tradnl"/>
    </w:rPr>
  </w:style>
  <w:style w:type="character" w:customStyle="1" w:styleId="TextonotapieCar">
    <w:name w:val="Texto nota pie Car"/>
    <w:basedOn w:val="Fuentedeprrafopredeter"/>
    <w:link w:val="Textonotapie"/>
    <w:rsid w:val="00B024D9"/>
    <w:rPr>
      <w:lang w:val="es-ES" w:eastAsia="es-ES"/>
    </w:rPr>
  </w:style>
  <w:style w:type="character" w:styleId="Hipervnculo">
    <w:name w:val="Hyperlink"/>
    <w:basedOn w:val="Fuentedeprrafopredeter"/>
    <w:rsid w:val="00B024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76268">
      <w:bodyDiv w:val="1"/>
      <w:marLeft w:val="0"/>
      <w:marRight w:val="0"/>
      <w:marTop w:val="0"/>
      <w:marBottom w:val="0"/>
      <w:divBdr>
        <w:top w:val="none" w:sz="0" w:space="0" w:color="auto"/>
        <w:left w:val="none" w:sz="0" w:space="0" w:color="auto"/>
        <w:bottom w:val="none" w:sz="0" w:space="0" w:color="auto"/>
        <w:right w:val="none" w:sz="0" w:space="0" w:color="auto"/>
      </w:divBdr>
    </w:div>
    <w:div w:id="149912450">
      <w:bodyDiv w:val="1"/>
      <w:marLeft w:val="0"/>
      <w:marRight w:val="0"/>
      <w:marTop w:val="0"/>
      <w:marBottom w:val="0"/>
      <w:divBdr>
        <w:top w:val="none" w:sz="0" w:space="0" w:color="auto"/>
        <w:left w:val="none" w:sz="0" w:space="0" w:color="auto"/>
        <w:bottom w:val="none" w:sz="0" w:space="0" w:color="auto"/>
        <w:right w:val="none" w:sz="0" w:space="0" w:color="auto"/>
      </w:divBdr>
    </w:div>
    <w:div w:id="284427268">
      <w:bodyDiv w:val="1"/>
      <w:marLeft w:val="0"/>
      <w:marRight w:val="0"/>
      <w:marTop w:val="0"/>
      <w:marBottom w:val="0"/>
      <w:divBdr>
        <w:top w:val="none" w:sz="0" w:space="0" w:color="auto"/>
        <w:left w:val="none" w:sz="0" w:space="0" w:color="auto"/>
        <w:bottom w:val="none" w:sz="0" w:space="0" w:color="auto"/>
        <w:right w:val="none" w:sz="0" w:space="0" w:color="auto"/>
      </w:divBdr>
    </w:div>
    <w:div w:id="301735111">
      <w:bodyDiv w:val="1"/>
      <w:marLeft w:val="0"/>
      <w:marRight w:val="0"/>
      <w:marTop w:val="0"/>
      <w:marBottom w:val="0"/>
      <w:divBdr>
        <w:top w:val="none" w:sz="0" w:space="0" w:color="auto"/>
        <w:left w:val="none" w:sz="0" w:space="0" w:color="auto"/>
        <w:bottom w:val="none" w:sz="0" w:space="0" w:color="auto"/>
        <w:right w:val="none" w:sz="0" w:space="0" w:color="auto"/>
      </w:divBdr>
    </w:div>
    <w:div w:id="317273673">
      <w:bodyDiv w:val="1"/>
      <w:marLeft w:val="0"/>
      <w:marRight w:val="0"/>
      <w:marTop w:val="0"/>
      <w:marBottom w:val="0"/>
      <w:divBdr>
        <w:top w:val="none" w:sz="0" w:space="0" w:color="auto"/>
        <w:left w:val="none" w:sz="0" w:space="0" w:color="auto"/>
        <w:bottom w:val="none" w:sz="0" w:space="0" w:color="auto"/>
        <w:right w:val="none" w:sz="0" w:space="0" w:color="auto"/>
      </w:divBdr>
    </w:div>
    <w:div w:id="420562176">
      <w:bodyDiv w:val="1"/>
      <w:marLeft w:val="0"/>
      <w:marRight w:val="0"/>
      <w:marTop w:val="0"/>
      <w:marBottom w:val="0"/>
      <w:divBdr>
        <w:top w:val="none" w:sz="0" w:space="0" w:color="auto"/>
        <w:left w:val="none" w:sz="0" w:space="0" w:color="auto"/>
        <w:bottom w:val="none" w:sz="0" w:space="0" w:color="auto"/>
        <w:right w:val="none" w:sz="0" w:space="0" w:color="auto"/>
      </w:divBdr>
    </w:div>
    <w:div w:id="600647739">
      <w:bodyDiv w:val="1"/>
      <w:marLeft w:val="0"/>
      <w:marRight w:val="0"/>
      <w:marTop w:val="0"/>
      <w:marBottom w:val="0"/>
      <w:divBdr>
        <w:top w:val="none" w:sz="0" w:space="0" w:color="auto"/>
        <w:left w:val="none" w:sz="0" w:space="0" w:color="auto"/>
        <w:bottom w:val="none" w:sz="0" w:space="0" w:color="auto"/>
        <w:right w:val="none" w:sz="0" w:space="0" w:color="auto"/>
      </w:divBdr>
    </w:div>
    <w:div w:id="646323012">
      <w:bodyDiv w:val="1"/>
      <w:marLeft w:val="0"/>
      <w:marRight w:val="0"/>
      <w:marTop w:val="0"/>
      <w:marBottom w:val="0"/>
      <w:divBdr>
        <w:top w:val="none" w:sz="0" w:space="0" w:color="auto"/>
        <w:left w:val="none" w:sz="0" w:space="0" w:color="auto"/>
        <w:bottom w:val="none" w:sz="0" w:space="0" w:color="auto"/>
        <w:right w:val="none" w:sz="0" w:space="0" w:color="auto"/>
      </w:divBdr>
    </w:div>
    <w:div w:id="697393147">
      <w:bodyDiv w:val="1"/>
      <w:marLeft w:val="0"/>
      <w:marRight w:val="0"/>
      <w:marTop w:val="0"/>
      <w:marBottom w:val="0"/>
      <w:divBdr>
        <w:top w:val="none" w:sz="0" w:space="0" w:color="auto"/>
        <w:left w:val="none" w:sz="0" w:space="0" w:color="auto"/>
        <w:bottom w:val="none" w:sz="0" w:space="0" w:color="auto"/>
        <w:right w:val="none" w:sz="0" w:space="0" w:color="auto"/>
      </w:divBdr>
    </w:div>
    <w:div w:id="747967316">
      <w:bodyDiv w:val="1"/>
      <w:marLeft w:val="0"/>
      <w:marRight w:val="0"/>
      <w:marTop w:val="0"/>
      <w:marBottom w:val="0"/>
      <w:divBdr>
        <w:top w:val="none" w:sz="0" w:space="0" w:color="auto"/>
        <w:left w:val="none" w:sz="0" w:space="0" w:color="auto"/>
        <w:bottom w:val="none" w:sz="0" w:space="0" w:color="auto"/>
        <w:right w:val="none" w:sz="0" w:space="0" w:color="auto"/>
      </w:divBdr>
    </w:div>
    <w:div w:id="805777430">
      <w:bodyDiv w:val="1"/>
      <w:marLeft w:val="0"/>
      <w:marRight w:val="0"/>
      <w:marTop w:val="0"/>
      <w:marBottom w:val="0"/>
      <w:divBdr>
        <w:top w:val="none" w:sz="0" w:space="0" w:color="auto"/>
        <w:left w:val="none" w:sz="0" w:space="0" w:color="auto"/>
        <w:bottom w:val="none" w:sz="0" w:space="0" w:color="auto"/>
        <w:right w:val="none" w:sz="0" w:space="0" w:color="auto"/>
      </w:divBdr>
    </w:div>
    <w:div w:id="906380952">
      <w:bodyDiv w:val="1"/>
      <w:marLeft w:val="0"/>
      <w:marRight w:val="0"/>
      <w:marTop w:val="0"/>
      <w:marBottom w:val="0"/>
      <w:divBdr>
        <w:top w:val="none" w:sz="0" w:space="0" w:color="auto"/>
        <w:left w:val="none" w:sz="0" w:space="0" w:color="auto"/>
        <w:bottom w:val="none" w:sz="0" w:space="0" w:color="auto"/>
        <w:right w:val="none" w:sz="0" w:space="0" w:color="auto"/>
      </w:divBdr>
    </w:div>
    <w:div w:id="929003941">
      <w:bodyDiv w:val="1"/>
      <w:marLeft w:val="0"/>
      <w:marRight w:val="0"/>
      <w:marTop w:val="0"/>
      <w:marBottom w:val="0"/>
      <w:divBdr>
        <w:top w:val="none" w:sz="0" w:space="0" w:color="auto"/>
        <w:left w:val="none" w:sz="0" w:space="0" w:color="auto"/>
        <w:bottom w:val="none" w:sz="0" w:space="0" w:color="auto"/>
        <w:right w:val="none" w:sz="0" w:space="0" w:color="auto"/>
      </w:divBdr>
    </w:div>
    <w:div w:id="1012149074">
      <w:bodyDiv w:val="1"/>
      <w:marLeft w:val="0"/>
      <w:marRight w:val="0"/>
      <w:marTop w:val="0"/>
      <w:marBottom w:val="0"/>
      <w:divBdr>
        <w:top w:val="none" w:sz="0" w:space="0" w:color="auto"/>
        <w:left w:val="none" w:sz="0" w:space="0" w:color="auto"/>
        <w:bottom w:val="none" w:sz="0" w:space="0" w:color="auto"/>
        <w:right w:val="none" w:sz="0" w:space="0" w:color="auto"/>
      </w:divBdr>
    </w:div>
    <w:div w:id="1208567317">
      <w:bodyDiv w:val="1"/>
      <w:marLeft w:val="0"/>
      <w:marRight w:val="0"/>
      <w:marTop w:val="0"/>
      <w:marBottom w:val="0"/>
      <w:divBdr>
        <w:top w:val="none" w:sz="0" w:space="0" w:color="auto"/>
        <w:left w:val="none" w:sz="0" w:space="0" w:color="auto"/>
        <w:bottom w:val="none" w:sz="0" w:space="0" w:color="auto"/>
        <w:right w:val="none" w:sz="0" w:space="0" w:color="auto"/>
      </w:divBdr>
    </w:div>
    <w:div w:id="1288313180">
      <w:bodyDiv w:val="1"/>
      <w:marLeft w:val="0"/>
      <w:marRight w:val="0"/>
      <w:marTop w:val="0"/>
      <w:marBottom w:val="0"/>
      <w:divBdr>
        <w:top w:val="none" w:sz="0" w:space="0" w:color="auto"/>
        <w:left w:val="none" w:sz="0" w:space="0" w:color="auto"/>
        <w:bottom w:val="none" w:sz="0" w:space="0" w:color="auto"/>
        <w:right w:val="none" w:sz="0" w:space="0" w:color="auto"/>
      </w:divBdr>
    </w:div>
    <w:div w:id="1464539029">
      <w:bodyDiv w:val="1"/>
      <w:marLeft w:val="0"/>
      <w:marRight w:val="0"/>
      <w:marTop w:val="0"/>
      <w:marBottom w:val="0"/>
      <w:divBdr>
        <w:top w:val="none" w:sz="0" w:space="0" w:color="auto"/>
        <w:left w:val="none" w:sz="0" w:space="0" w:color="auto"/>
        <w:bottom w:val="none" w:sz="0" w:space="0" w:color="auto"/>
        <w:right w:val="none" w:sz="0" w:space="0" w:color="auto"/>
      </w:divBdr>
    </w:div>
    <w:div w:id="1541089948">
      <w:bodyDiv w:val="1"/>
      <w:marLeft w:val="0"/>
      <w:marRight w:val="0"/>
      <w:marTop w:val="0"/>
      <w:marBottom w:val="0"/>
      <w:divBdr>
        <w:top w:val="none" w:sz="0" w:space="0" w:color="auto"/>
        <w:left w:val="none" w:sz="0" w:space="0" w:color="auto"/>
        <w:bottom w:val="none" w:sz="0" w:space="0" w:color="auto"/>
        <w:right w:val="none" w:sz="0" w:space="0" w:color="auto"/>
      </w:divBdr>
    </w:div>
    <w:div w:id="1549535483">
      <w:bodyDiv w:val="1"/>
      <w:marLeft w:val="0"/>
      <w:marRight w:val="0"/>
      <w:marTop w:val="0"/>
      <w:marBottom w:val="0"/>
      <w:divBdr>
        <w:top w:val="none" w:sz="0" w:space="0" w:color="auto"/>
        <w:left w:val="none" w:sz="0" w:space="0" w:color="auto"/>
        <w:bottom w:val="none" w:sz="0" w:space="0" w:color="auto"/>
        <w:right w:val="none" w:sz="0" w:space="0" w:color="auto"/>
      </w:divBdr>
    </w:div>
    <w:div w:id="1558937267">
      <w:bodyDiv w:val="1"/>
      <w:marLeft w:val="0"/>
      <w:marRight w:val="0"/>
      <w:marTop w:val="0"/>
      <w:marBottom w:val="0"/>
      <w:divBdr>
        <w:top w:val="none" w:sz="0" w:space="0" w:color="auto"/>
        <w:left w:val="none" w:sz="0" w:space="0" w:color="auto"/>
        <w:bottom w:val="none" w:sz="0" w:space="0" w:color="auto"/>
        <w:right w:val="none" w:sz="0" w:space="0" w:color="auto"/>
      </w:divBdr>
    </w:div>
    <w:div w:id="1631322746">
      <w:bodyDiv w:val="1"/>
      <w:marLeft w:val="0"/>
      <w:marRight w:val="0"/>
      <w:marTop w:val="0"/>
      <w:marBottom w:val="0"/>
      <w:divBdr>
        <w:top w:val="none" w:sz="0" w:space="0" w:color="auto"/>
        <w:left w:val="none" w:sz="0" w:space="0" w:color="auto"/>
        <w:bottom w:val="none" w:sz="0" w:space="0" w:color="auto"/>
        <w:right w:val="none" w:sz="0" w:space="0" w:color="auto"/>
      </w:divBdr>
    </w:div>
    <w:div w:id="1853060376">
      <w:bodyDiv w:val="1"/>
      <w:marLeft w:val="0"/>
      <w:marRight w:val="0"/>
      <w:marTop w:val="0"/>
      <w:marBottom w:val="0"/>
      <w:divBdr>
        <w:top w:val="none" w:sz="0" w:space="0" w:color="auto"/>
        <w:left w:val="none" w:sz="0" w:space="0" w:color="auto"/>
        <w:bottom w:val="none" w:sz="0" w:space="0" w:color="auto"/>
        <w:right w:val="none" w:sz="0" w:space="0" w:color="auto"/>
      </w:divBdr>
      <w:divsChild>
        <w:div w:id="809398165">
          <w:marLeft w:val="0"/>
          <w:marRight w:val="0"/>
          <w:marTop w:val="0"/>
          <w:marBottom w:val="0"/>
          <w:divBdr>
            <w:top w:val="none" w:sz="0" w:space="0" w:color="auto"/>
            <w:left w:val="none" w:sz="0" w:space="0" w:color="auto"/>
            <w:bottom w:val="none" w:sz="0" w:space="31" w:color="auto"/>
            <w:right w:val="none" w:sz="0" w:space="0" w:color="auto"/>
          </w:divBdr>
          <w:divsChild>
            <w:div w:id="53552661">
              <w:marLeft w:val="0"/>
              <w:marRight w:val="0"/>
              <w:marTop w:val="0"/>
              <w:marBottom w:val="0"/>
              <w:divBdr>
                <w:top w:val="none" w:sz="0" w:space="0" w:color="auto"/>
                <w:left w:val="none" w:sz="0" w:space="0" w:color="auto"/>
                <w:bottom w:val="none" w:sz="0" w:space="0" w:color="auto"/>
                <w:right w:val="none" w:sz="0" w:space="0" w:color="auto"/>
              </w:divBdr>
            </w:div>
            <w:div w:id="51314769">
              <w:marLeft w:val="0"/>
              <w:marRight w:val="0"/>
              <w:marTop w:val="240"/>
              <w:marBottom w:val="0"/>
              <w:divBdr>
                <w:top w:val="none" w:sz="0" w:space="0" w:color="auto"/>
                <w:left w:val="none" w:sz="0" w:space="0" w:color="auto"/>
                <w:bottom w:val="none" w:sz="0" w:space="0" w:color="auto"/>
                <w:right w:val="none" w:sz="0" w:space="0" w:color="auto"/>
              </w:divBdr>
              <w:divsChild>
                <w:div w:id="201506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3079">
          <w:marLeft w:val="0"/>
          <w:marRight w:val="0"/>
          <w:marTop w:val="0"/>
          <w:marBottom w:val="0"/>
          <w:divBdr>
            <w:top w:val="none" w:sz="0" w:space="0" w:color="auto"/>
            <w:left w:val="none" w:sz="0" w:space="0" w:color="auto"/>
            <w:bottom w:val="none" w:sz="0" w:space="0" w:color="auto"/>
            <w:right w:val="none" w:sz="0" w:space="0" w:color="auto"/>
          </w:divBdr>
          <w:divsChild>
            <w:div w:id="238179369">
              <w:marLeft w:val="0"/>
              <w:marRight w:val="0"/>
              <w:marTop w:val="0"/>
              <w:marBottom w:val="180"/>
              <w:divBdr>
                <w:top w:val="none" w:sz="0" w:space="0" w:color="auto"/>
                <w:left w:val="none" w:sz="0" w:space="0" w:color="auto"/>
                <w:bottom w:val="none" w:sz="0" w:space="0" w:color="auto"/>
                <w:right w:val="none" w:sz="0" w:space="0" w:color="auto"/>
              </w:divBdr>
              <w:divsChild>
                <w:div w:id="1309507119">
                  <w:marLeft w:val="0"/>
                  <w:marRight w:val="0"/>
                  <w:marTop w:val="0"/>
                  <w:marBottom w:val="0"/>
                  <w:divBdr>
                    <w:top w:val="none" w:sz="0" w:space="0" w:color="auto"/>
                    <w:left w:val="none" w:sz="0" w:space="0" w:color="auto"/>
                    <w:bottom w:val="none" w:sz="0" w:space="0" w:color="auto"/>
                    <w:right w:val="none" w:sz="0" w:space="0" w:color="auto"/>
                  </w:divBdr>
                </w:div>
                <w:div w:id="2030911763">
                  <w:marLeft w:val="0"/>
                  <w:marRight w:val="0"/>
                  <w:marTop w:val="45"/>
                  <w:marBottom w:val="0"/>
                  <w:divBdr>
                    <w:top w:val="none" w:sz="0" w:space="0" w:color="auto"/>
                    <w:left w:val="none" w:sz="0" w:space="0" w:color="auto"/>
                    <w:bottom w:val="none" w:sz="0" w:space="0" w:color="auto"/>
                    <w:right w:val="none" w:sz="0" w:space="0" w:color="auto"/>
                  </w:divBdr>
                  <w:divsChild>
                    <w:div w:id="20554217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90441413">
              <w:marLeft w:val="0"/>
              <w:marRight w:val="0"/>
              <w:marTop w:val="0"/>
              <w:marBottom w:val="300"/>
              <w:divBdr>
                <w:top w:val="none" w:sz="0" w:space="0" w:color="auto"/>
                <w:left w:val="none" w:sz="0" w:space="0" w:color="auto"/>
                <w:bottom w:val="none" w:sz="0" w:space="0" w:color="auto"/>
                <w:right w:val="none" w:sz="0" w:space="0" w:color="auto"/>
              </w:divBdr>
              <w:divsChild>
                <w:div w:id="1463840778">
                  <w:marLeft w:val="0"/>
                  <w:marRight w:val="75"/>
                  <w:marTop w:val="0"/>
                  <w:marBottom w:val="0"/>
                  <w:divBdr>
                    <w:top w:val="single" w:sz="6" w:space="8" w:color="D1D5D5"/>
                    <w:left w:val="single" w:sz="6" w:space="11" w:color="D1D5D5"/>
                    <w:bottom w:val="single" w:sz="6" w:space="8" w:color="D1D5D5"/>
                    <w:right w:val="single" w:sz="6" w:space="11" w:color="D1D5D5"/>
                  </w:divBdr>
                </w:div>
                <w:div w:id="1208640138">
                  <w:marLeft w:val="0"/>
                  <w:marRight w:val="75"/>
                  <w:marTop w:val="0"/>
                  <w:marBottom w:val="0"/>
                  <w:divBdr>
                    <w:top w:val="single" w:sz="6" w:space="8" w:color="D1D5D5"/>
                    <w:left w:val="single" w:sz="6" w:space="14" w:color="D1D5D5"/>
                    <w:bottom w:val="single" w:sz="6" w:space="8" w:color="D1D5D5"/>
                    <w:right w:val="single" w:sz="6" w:space="14" w:color="D1D5D5"/>
                  </w:divBdr>
                </w:div>
                <w:div w:id="1564677124">
                  <w:marLeft w:val="0"/>
                  <w:marRight w:val="0"/>
                  <w:marTop w:val="0"/>
                  <w:marBottom w:val="0"/>
                  <w:divBdr>
                    <w:top w:val="single" w:sz="6" w:space="5" w:color="D1D5D5"/>
                    <w:left w:val="single" w:sz="6" w:space="5" w:color="D1D5D5"/>
                    <w:bottom w:val="single" w:sz="6" w:space="5" w:color="D1D5D5"/>
                    <w:right w:val="single" w:sz="6" w:space="2" w:color="D1D5D5"/>
                  </w:divBdr>
                  <w:divsChild>
                    <w:div w:id="1778990043">
                      <w:marLeft w:val="225"/>
                      <w:marRight w:val="0"/>
                      <w:marTop w:val="15"/>
                      <w:marBottom w:val="0"/>
                      <w:divBdr>
                        <w:top w:val="none" w:sz="0" w:space="4" w:color="auto"/>
                        <w:left w:val="dotted" w:sz="6" w:space="3" w:color="777777"/>
                        <w:bottom w:val="none" w:sz="0" w:space="0" w:color="auto"/>
                        <w:right w:val="none" w:sz="0" w:space="3" w:color="auto"/>
                      </w:divBdr>
                    </w:div>
                    <w:div w:id="1352611091">
                      <w:marLeft w:val="0"/>
                      <w:marRight w:val="0"/>
                      <w:marTop w:val="15"/>
                      <w:marBottom w:val="0"/>
                      <w:divBdr>
                        <w:top w:val="none" w:sz="0" w:space="4" w:color="auto"/>
                        <w:left w:val="none" w:sz="0" w:space="0" w:color="auto"/>
                        <w:bottom w:val="none" w:sz="0" w:space="0" w:color="auto"/>
                        <w:right w:val="none" w:sz="0" w:space="3" w:color="auto"/>
                      </w:divBdr>
                    </w:div>
                  </w:divsChild>
                </w:div>
              </w:divsChild>
            </w:div>
            <w:div w:id="673144183">
              <w:marLeft w:val="0"/>
              <w:marRight w:val="0"/>
              <w:marTop w:val="0"/>
              <w:marBottom w:val="0"/>
              <w:divBdr>
                <w:top w:val="none" w:sz="0" w:space="0" w:color="auto"/>
                <w:left w:val="none" w:sz="0" w:space="0" w:color="auto"/>
                <w:bottom w:val="none" w:sz="0" w:space="0" w:color="auto"/>
                <w:right w:val="none" w:sz="0" w:space="0" w:color="auto"/>
              </w:divBdr>
              <w:divsChild>
                <w:div w:id="660350906">
                  <w:marLeft w:val="0"/>
                  <w:marRight w:val="75"/>
                  <w:marTop w:val="0"/>
                  <w:marBottom w:val="0"/>
                  <w:divBdr>
                    <w:top w:val="single" w:sz="6" w:space="2" w:color="CCCCCC"/>
                    <w:left w:val="single" w:sz="6" w:space="2" w:color="CCCCCC"/>
                    <w:bottom w:val="single" w:sz="6" w:space="2" w:color="CCCCCC"/>
                    <w:right w:val="single" w:sz="6" w:space="2" w:color="CCCCCC"/>
                  </w:divBdr>
                  <w:divsChild>
                    <w:div w:id="435903305">
                      <w:marLeft w:val="0"/>
                      <w:marRight w:val="0"/>
                      <w:marTop w:val="0"/>
                      <w:marBottom w:val="0"/>
                      <w:divBdr>
                        <w:top w:val="none" w:sz="0" w:space="0" w:color="auto"/>
                        <w:left w:val="none" w:sz="0" w:space="0" w:color="auto"/>
                        <w:bottom w:val="none" w:sz="0" w:space="0" w:color="auto"/>
                        <w:right w:val="none" w:sz="0" w:space="0" w:color="auto"/>
                      </w:divBdr>
                      <w:divsChild>
                        <w:div w:id="436297762">
                          <w:marLeft w:val="0"/>
                          <w:marRight w:val="0"/>
                          <w:marTop w:val="0"/>
                          <w:marBottom w:val="0"/>
                          <w:divBdr>
                            <w:top w:val="none" w:sz="0" w:space="0" w:color="auto"/>
                            <w:left w:val="none" w:sz="0" w:space="0" w:color="auto"/>
                            <w:bottom w:val="none" w:sz="0" w:space="0" w:color="auto"/>
                            <w:right w:val="none" w:sz="0" w:space="0" w:color="auto"/>
                          </w:divBdr>
                        </w:div>
                        <w:div w:id="65060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152783">
      <w:bodyDiv w:val="1"/>
      <w:marLeft w:val="0"/>
      <w:marRight w:val="0"/>
      <w:marTop w:val="0"/>
      <w:marBottom w:val="0"/>
      <w:divBdr>
        <w:top w:val="none" w:sz="0" w:space="0" w:color="auto"/>
        <w:left w:val="none" w:sz="0" w:space="0" w:color="auto"/>
        <w:bottom w:val="none" w:sz="0" w:space="0" w:color="auto"/>
        <w:right w:val="none" w:sz="0" w:space="0" w:color="auto"/>
      </w:divBdr>
    </w:div>
    <w:div w:id="1969507373">
      <w:bodyDiv w:val="1"/>
      <w:marLeft w:val="0"/>
      <w:marRight w:val="0"/>
      <w:marTop w:val="0"/>
      <w:marBottom w:val="0"/>
      <w:divBdr>
        <w:top w:val="none" w:sz="0" w:space="0" w:color="auto"/>
        <w:left w:val="none" w:sz="0" w:space="0" w:color="auto"/>
        <w:bottom w:val="none" w:sz="0" w:space="0" w:color="auto"/>
        <w:right w:val="none" w:sz="0" w:space="0" w:color="auto"/>
      </w:divBdr>
    </w:div>
    <w:div w:id="199256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chart" Target="charts/chart2.xml"/><Relationship Id="rId39" Type="http://schemas.openxmlformats.org/officeDocument/2006/relationships/footer" Target="footer4.xml"/><Relationship Id="rId21" Type="http://schemas.openxmlformats.org/officeDocument/2006/relationships/footer" Target="footer1.xml"/><Relationship Id="rId34" Type="http://schemas.openxmlformats.org/officeDocument/2006/relationships/chart" Target="charts/chart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2.xml"/><Relationship Id="rId29" Type="http://schemas.openxmlformats.org/officeDocument/2006/relationships/chart" Target="charts/chart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footer" Target="footer3.xml"/><Relationship Id="rId32" Type="http://schemas.openxmlformats.org/officeDocument/2006/relationships/chart" Target="charts/chart8.xml"/><Relationship Id="rId37" Type="http://schemas.openxmlformats.org/officeDocument/2006/relationships/chart" Target="charts/chart1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header" Target="header3.xml"/><Relationship Id="rId28" Type="http://schemas.openxmlformats.org/officeDocument/2006/relationships/chart" Target="charts/chart4.xml"/><Relationship Id="rId36" Type="http://schemas.openxmlformats.org/officeDocument/2006/relationships/chart" Target="charts/chart12.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footer" Target="footer2.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chart" Target="charts/chart11.xml"/><Relationship Id="rId8" Type="http://schemas.openxmlformats.org/officeDocument/2006/relationships/hyperlink" Target="mailto:comunicacionsocial@inegi.org.mx"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1.xml"/><Relationship Id="rId33" Type="http://schemas.openxmlformats.org/officeDocument/2006/relationships/chart" Target="charts/chart9.xml"/><Relationship Id="rId38"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bbalanza6.dot"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Balanza\2020\05-20\graficas%20Bal%20opor%20desestacionalizada-opotunas%20desde%202009%20(Autoguardado)%20(5).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D:\Balanza\2020\05-20\graficas%20Bal%20opor%20desestacionalizada-opotunas%20desde%202009%20(Autoguardado)%20(5).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D:\Balanza\2020\05-20\graficas%20Bal%20opor%20desestacionalizada-opotunas%20desde%202009%20(Autoguardado)%20(5).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D:\Balanza\2020\05-20\graficas%20Bal%20opor%20desestacionalizada-opotunas%20desde%202009%20(Autoguardado)%20(5).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Balanza\2020\05-20\graficas%20Bal%20opor%20desestacionalizada-opotunas%20desde%202009%20(Autoguardado)%20(5).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Balanza\2020\05-20\graficas%20Bal%20opor%20desestacionalizada-opotunas%20desde%202009%20(Autoguardado)%20(5).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Balanza\2020\05-20\graficas%20Bal%20opor%20desestacionalizada-opotunas%20desde%202009%20(Autoguardado)%20(5).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D:\Balanza\2020\05-20\graficas%20Bal%20opor%20desestacionalizada-opotunas%20desde%202009%20(Autoguardado)%20(5).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D:\Balanza\2020\05-20\graficas%20Bal%20opor%20desestacionalizada-opotunas%20desde%202009%20(Autoguardado)%20(5).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D:\Balanza\2020\05-20\graficas%20Bal%20opor%20desestacionalizada-opotunas%20desde%202009%20(Autoguardado)%20(5).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D:\Balanza\2020\05-20\graficas%20Bal%20opor%20desestacionalizada-opotunas%20desde%202009%20(Autoguardado)%20(5).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D:\Balanza\2020\05-20\graficas%20Bal%20opor%20desestacionalizada-opotunas%20desde%202009%20(Autoguardado)%20(5).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D:\Balanza\2020\05-20\graficas%20Bal%20opor%20desestacionalizada-opotunas%20desde%202009%20(Autoguardado)%20(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1751326328910886E-2"/>
          <c:y val="3.9495865891773979E-2"/>
          <c:w val="0.87810900140646975"/>
          <c:h val="0.86464797668043236"/>
        </c:manualLayout>
      </c:layout>
      <c:lineChart>
        <c:grouping val="standard"/>
        <c:varyColors val="0"/>
        <c:ser>
          <c:idx val="1"/>
          <c:order val="0"/>
          <c:tx>
            <c:strRef>
              <c:f>datos!$C$4</c:f>
              <c:strCache>
                <c:ptCount val="1"/>
                <c:pt idx="0">
                  <c:v>Serie Desestacionalizada</c:v>
                </c:pt>
              </c:strCache>
            </c:strRef>
          </c:tx>
          <c:spPr>
            <a:ln w="19050" cap="flat">
              <a:solidFill>
                <a:srgbClr val="C00000"/>
              </a:solidFill>
              <a:prstDash val="solid"/>
            </a:ln>
            <a:effectLst/>
          </c:spPr>
          <c:marker>
            <c:symbol val="none"/>
          </c:marker>
          <c:cat>
            <c:multiLvlStrRef>
              <c:f>datos!$A$29:$B$105</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2014</c:v>
                  </c:pt>
                  <c:pt idx="12">
                    <c:v>2015</c:v>
                  </c:pt>
                  <c:pt idx="24">
                    <c:v>2016</c:v>
                  </c:pt>
                  <c:pt idx="36">
                    <c:v>2017</c:v>
                  </c:pt>
                  <c:pt idx="48">
                    <c:v>2018</c:v>
                  </c:pt>
                  <c:pt idx="60">
                    <c:v>2019</c:v>
                  </c:pt>
                  <c:pt idx="72">
                    <c:v>2020</c:v>
                  </c:pt>
                </c:lvl>
              </c:multiLvlStrCache>
            </c:multiLvlStrRef>
          </c:cat>
          <c:val>
            <c:numRef>
              <c:f>datos!$C$29:$C$105</c:f>
              <c:numCache>
                <c:formatCode>#,##0.0</c:formatCode>
                <c:ptCount val="77"/>
                <c:pt idx="0">
                  <c:v>-452.40984172023491</c:v>
                </c:pt>
                <c:pt idx="1">
                  <c:v>3.089448212548632</c:v>
                </c:pt>
                <c:pt idx="2">
                  <c:v>-558.8859297012923</c:v>
                </c:pt>
                <c:pt idx="3">
                  <c:v>-66.682207534428926</c:v>
                </c:pt>
                <c:pt idx="4">
                  <c:v>-367.97666907697931</c:v>
                </c:pt>
                <c:pt idx="5">
                  <c:v>-450.31283801157315</c:v>
                </c:pt>
                <c:pt idx="6">
                  <c:v>23.821022374354015</c:v>
                </c:pt>
                <c:pt idx="7">
                  <c:v>-933.92804057807416</c:v>
                </c:pt>
                <c:pt idx="8">
                  <c:v>775.71306238556917</c:v>
                </c:pt>
                <c:pt idx="9">
                  <c:v>786.69729040534503</c:v>
                </c:pt>
                <c:pt idx="10">
                  <c:v>-1924.7907341186542</c:v>
                </c:pt>
                <c:pt idx="11">
                  <c:v>-280.17868466098162</c:v>
                </c:pt>
                <c:pt idx="12">
                  <c:v>-454.17282296383337</c:v>
                </c:pt>
                <c:pt idx="13">
                  <c:v>-385.8462983268164</c:v>
                </c:pt>
                <c:pt idx="14">
                  <c:v>-642.62902933864461</c:v>
                </c:pt>
                <c:pt idx="15">
                  <c:v>-1074.4745856470167</c:v>
                </c:pt>
                <c:pt idx="16">
                  <c:v>-1759.9270802546494</c:v>
                </c:pt>
                <c:pt idx="17">
                  <c:v>-1460.5489109890468</c:v>
                </c:pt>
                <c:pt idx="18">
                  <c:v>-990.00310188777303</c:v>
                </c:pt>
                <c:pt idx="19">
                  <c:v>-2357.4830044876917</c:v>
                </c:pt>
                <c:pt idx="20">
                  <c:v>-1205.4377863699904</c:v>
                </c:pt>
                <c:pt idx="21">
                  <c:v>-777.22799297376514</c:v>
                </c:pt>
                <c:pt idx="22">
                  <c:v>-1712.0322276167556</c:v>
                </c:pt>
                <c:pt idx="23">
                  <c:v>-1588.6148404956612</c:v>
                </c:pt>
                <c:pt idx="24">
                  <c:v>-803.36425883179436</c:v>
                </c:pt>
                <c:pt idx="25">
                  <c:v>-1814.0537667711264</c:v>
                </c:pt>
                <c:pt idx="26">
                  <c:v>-2012.2591924587216</c:v>
                </c:pt>
                <c:pt idx="27">
                  <c:v>-2117.9715671449817</c:v>
                </c:pt>
                <c:pt idx="28">
                  <c:v>-980.49638759940308</c:v>
                </c:pt>
                <c:pt idx="29">
                  <c:v>-1259.7817272429529</c:v>
                </c:pt>
                <c:pt idx="30">
                  <c:v>-1072.3854714924373</c:v>
                </c:pt>
                <c:pt idx="31">
                  <c:v>-788.42060281655085</c:v>
                </c:pt>
                <c:pt idx="32">
                  <c:v>-689.92236552147278</c:v>
                </c:pt>
                <c:pt idx="33">
                  <c:v>-418.90868853095094</c:v>
                </c:pt>
                <c:pt idx="34">
                  <c:v>-220.01424776972272</c:v>
                </c:pt>
                <c:pt idx="35">
                  <c:v>-896.72794643324642</c:v>
                </c:pt>
                <c:pt idx="36">
                  <c:v>-477.00399791686095</c:v>
                </c:pt>
                <c:pt idx="37">
                  <c:v>-466.34443279408038</c:v>
                </c:pt>
                <c:pt idx="38">
                  <c:v>-997.24938903914608</c:v>
                </c:pt>
                <c:pt idx="39">
                  <c:v>-702.95714889604869</c:v>
                </c:pt>
                <c:pt idx="40">
                  <c:v>-1502.3091789374269</c:v>
                </c:pt>
                <c:pt idx="41">
                  <c:v>-628.42189216204451</c:v>
                </c:pt>
                <c:pt idx="42">
                  <c:v>-771.5333475969187</c:v>
                </c:pt>
                <c:pt idx="43">
                  <c:v>-1562.8555367405131</c:v>
                </c:pt>
                <c:pt idx="44">
                  <c:v>-1256.6412637917301</c:v>
                </c:pt>
                <c:pt idx="45">
                  <c:v>-1360.5035929597452</c:v>
                </c:pt>
                <c:pt idx="46">
                  <c:v>152.41592575201594</c:v>
                </c:pt>
                <c:pt idx="47">
                  <c:v>-1404.800760076665</c:v>
                </c:pt>
                <c:pt idx="48">
                  <c:v>-751.96522074122959</c:v>
                </c:pt>
                <c:pt idx="49">
                  <c:v>-514.39674634655512</c:v>
                </c:pt>
                <c:pt idx="50">
                  <c:v>-734.45714001645501</c:v>
                </c:pt>
                <c:pt idx="51">
                  <c:v>-603.06421440452914</c:v>
                </c:pt>
                <c:pt idx="52">
                  <c:v>-2220.7837327917578</c:v>
                </c:pt>
                <c:pt idx="53">
                  <c:v>-1825.2050604887104</c:v>
                </c:pt>
                <c:pt idx="54">
                  <c:v>-1773.9062564762917</c:v>
                </c:pt>
                <c:pt idx="55">
                  <c:v>-1070.773253101363</c:v>
                </c:pt>
                <c:pt idx="56">
                  <c:v>-264.47328911226759</c:v>
                </c:pt>
                <c:pt idx="57">
                  <c:v>-1388.3282777073291</c:v>
                </c:pt>
                <c:pt idx="58">
                  <c:v>-2212.7435131987399</c:v>
                </c:pt>
                <c:pt idx="59">
                  <c:v>237.3100311603207</c:v>
                </c:pt>
                <c:pt idx="60">
                  <c:v>-908.12502297897117</c:v>
                </c:pt>
                <c:pt idx="61">
                  <c:v>-75.712935122569888</c:v>
                </c:pt>
                <c:pt idx="62">
                  <c:v>-97.430370887923345</c:v>
                </c:pt>
                <c:pt idx="63">
                  <c:v>113.40598338079644</c:v>
                </c:pt>
                <c:pt idx="64">
                  <c:v>570.13553625360419</c:v>
                </c:pt>
                <c:pt idx="65">
                  <c:v>1120.8541451926903</c:v>
                </c:pt>
                <c:pt idx="66">
                  <c:v>285.68893095588919</c:v>
                </c:pt>
                <c:pt idx="67">
                  <c:v>1397.6085523251052</c:v>
                </c:pt>
                <c:pt idx="68">
                  <c:v>546.93393432500397</c:v>
                </c:pt>
                <c:pt idx="69">
                  <c:v>388.18163562676546</c:v>
                </c:pt>
                <c:pt idx="70">
                  <c:v>788.36357277965112</c:v>
                </c:pt>
                <c:pt idx="71">
                  <c:v>1397.2251896804974</c:v>
                </c:pt>
                <c:pt idx="72">
                  <c:v>1859.7311259944145</c:v>
                </c:pt>
                <c:pt idx="73">
                  <c:v>1351.9199758296395</c:v>
                </c:pt>
                <c:pt idx="74">
                  <c:v>1797.1811724198187</c:v>
                </c:pt>
                <c:pt idx="75">
                  <c:v>-4360.6174877430258</c:v>
                </c:pt>
                <c:pt idx="76">
                  <c:v>-4062.6925611493452</c:v>
                </c:pt>
              </c:numCache>
            </c:numRef>
          </c:val>
          <c:smooth val="0"/>
          <c:extLst>
            <c:ext xmlns:c16="http://schemas.microsoft.com/office/drawing/2014/chart" uri="{C3380CC4-5D6E-409C-BE32-E72D297353CC}">
              <c16:uniqueId val="{00000000-C042-4BBE-A8BB-202F76000CF8}"/>
            </c:ext>
          </c:extLst>
        </c:ser>
        <c:dLbls>
          <c:showLegendKey val="0"/>
          <c:showVal val="0"/>
          <c:showCatName val="0"/>
          <c:showSerName val="0"/>
          <c:showPercent val="0"/>
          <c:showBubbleSize val="0"/>
        </c:dLbls>
        <c:smooth val="0"/>
        <c:axId val="441886288"/>
        <c:axId val="616597096"/>
      </c:lineChart>
      <c:catAx>
        <c:axId val="44188628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a:pPr>
            <a:endParaRPr lang="es-MX"/>
          </a:p>
        </c:txPr>
        <c:crossAx val="616597096"/>
        <c:crosses val="autoZero"/>
        <c:auto val="1"/>
        <c:lblAlgn val="ctr"/>
        <c:lblOffset val="0"/>
        <c:tickLblSkip val="1"/>
        <c:tickMarkSkip val="1"/>
        <c:noMultiLvlLbl val="1"/>
      </c:catAx>
      <c:valAx>
        <c:axId val="616597096"/>
        <c:scaling>
          <c:orientation val="minMax"/>
          <c:max val="2000"/>
          <c:min val="-5000"/>
        </c:scaling>
        <c:delete val="0"/>
        <c:axPos val="r"/>
        <c:numFmt formatCode="#,##0" sourceLinked="0"/>
        <c:majorTickMark val="out"/>
        <c:minorTickMark val="none"/>
        <c:tickLblPos val="high"/>
        <c:spPr>
          <a:ln w="3175">
            <a:solidFill>
              <a:srgbClr val="000000"/>
            </a:solidFill>
            <a:prstDash val="solid"/>
          </a:ln>
        </c:spPr>
        <c:txPr>
          <a:bodyPr rot="0" vert="horz"/>
          <a:lstStyle/>
          <a:p>
            <a:pPr>
              <a:defRPr/>
            </a:pPr>
            <a:endParaRPr lang="es-MX"/>
          </a:p>
        </c:txPr>
        <c:crossAx val="441886288"/>
        <c:crosses val="max"/>
        <c:crossBetween val="between"/>
        <c:majorUnit val="1000"/>
        <c:minorUnit val="200"/>
      </c:valAx>
      <c:spPr>
        <a:noFill/>
        <a:ln w="25400">
          <a:noFill/>
        </a:ln>
      </c:spPr>
    </c:plotArea>
    <c:plotVisOnly val="1"/>
    <c:dispBlanksAs val="zero"/>
    <c:showDLblsOverMax val="0"/>
  </c:chart>
  <c:spPr>
    <a:noFill/>
    <a:ln w="3175">
      <a:solidFill>
        <a:schemeClr val="tx1"/>
      </a:solidFill>
      <a:prstDash val="solid"/>
    </a:ln>
    <a:effectLst>
      <a:outerShdw dist="12700" dir="2700000" algn="tl" rotWithShape="0">
        <a:prstClr val="black"/>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No Petroleras</a:t>
            </a:r>
          </a:p>
        </c:rich>
      </c:tx>
      <c:layout>
        <c:manualLayout>
          <c:xMode val="edge"/>
          <c:yMode val="edge"/>
          <c:x val="0.36994854664791382"/>
          <c:y val="0"/>
        </c:manualLayout>
      </c:layout>
      <c:overlay val="1"/>
    </c:title>
    <c:autoTitleDeleted val="0"/>
    <c:plotArea>
      <c:layout>
        <c:manualLayout>
          <c:layoutTarget val="inner"/>
          <c:xMode val="edge"/>
          <c:yMode val="edge"/>
          <c:x val="2.7150492264416341E-2"/>
          <c:y val="5.4538923182442134E-2"/>
          <c:w val="0.87057255039852288"/>
          <c:h val="0.79496347736625517"/>
        </c:manualLayout>
      </c:layout>
      <c:lineChart>
        <c:grouping val="standard"/>
        <c:varyColors val="0"/>
        <c:ser>
          <c:idx val="1"/>
          <c:order val="0"/>
          <c:tx>
            <c:strRef>
              <c:f>datos!$U$4</c:f>
              <c:strCache>
                <c:ptCount val="1"/>
                <c:pt idx="0">
                  <c:v>Serie Desestacionalizada</c:v>
                </c:pt>
              </c:strCache>
            </c:strRef>
          </c:tx>
          <c:spPr>
            <a:ln w="6350" cap="flat">
              <a:solidFill>
                <a:srgbClr val="95B3D7"/>
              </a:solidFill>
              <a:prstDash val="solid"/>
            </a:ln>
            <a:effectLst/>
          </c:spPr>
          <c:marker>
            <c:symbol val="none"/>
          </c:marker>
          <c:cat>
            <c:multiLvlStrRef>
              <c:f>datos!$A$29:$B$105</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2014</c:v>
                  </c:pt>
                  <c:pt idx="12">
                    <c:v>2015</c:v>
                  </c:pt>
                  <c:pt idx="24">
                    <c:v>2016</c:v>
                  </c:pt>
                  <c:pt idx="36">
                    <c:v>2017</c:v>
                  </c:pt>
                  <c:pt idx="48">
                    <c:v>2018</c:v>
                  </c:pt>
                  <c:pt idx="60">
                    <c:v>2019</c:v>
                  </c:pt>
                  <c:pt idx="72">
                    <c:v>2020</c:v>
                  </c:pt>
                </c:lvl>
              </c:multiLvlStrCache>
            </c:multiLvlStrRef>
          </c:cat>
          <c:val>
            <c:numRef>
              <c:f>datos!$U$29:$U$105</c:f>
              <c:numCache>
                <c:formatCode>#,##0.0</c:formatCode>
                <c:ptCount val="77"/>
                <c:pt idx="0">
                  <c:v>28494.998890818501</c:v>
                </c:pt>
                <c:pt idx="1">
                  <c:v>28987.954468098713</c:v>
                </c:pt>
                <c:pt idx="2">
                  <c:v>29547.80612477467</c:v>
                </c:pt>
                <c:pt idx="3">
                  <c:v>29685.289874856651</c:v>
                </c:pt>
                <c:pt idx="4">
                  <c:v>30371.410324181899</c:v>
                </c:pt>
                <c:pt idx="5">
                  <c:v>30138.40711674044</c:v>
                </c:pt>
                <c:pt idx="6">
                  <c:v>30048.089866215189</c:v>
                </c:pt>
                <c:pt idx="7">
                  <c:v>31063.270871486278</c:v>
                </c:pt>
                <c:pt idx="8">
                  <c:v>29304.550774814583</c:v>
                </c:pt>
                <c:pt idx="9">
                  <c:v>29788.32309522299</c:v>
                </c:pt>
                <c:pt idx="10">
                  <c:v>30787.300798815162</c:v>
                </c:pt>
                <c:pt idx="11">
                  <c:v>29999.629199823008</c:v>
                </c:pt>
                <c:pt idx="12">
                  <c:v>29816.734668841556</c:v>
                </c:pt>
                <c:pt idx="13">
                  <c:v>29385.383576061551</c:v>
                </c:pt>
                <c:pt idx="14">
                  <c:v>30466.145779646111</c:v>
                </c:pt>
                <c:pt idx="15">
                  <c:v>30649.332512081273</c:v>
                </c:pt>
                <c:pt idx="16">
                  <c:v>30308.524748272277</c:v>
                </c:pt>
                <c:pt idx="17">
                  <c:v>30892.62412657954</c:v>
                </c:pt>
                <c:pt idx="18">
                  <c:v>30373.758110108189</c:v>
                </c:pt>
                <c:pt idx="19">
                  <c:v>30318.181474033881</c:v>
                </c:pt>
                <c:pt idx="20">
                  <c:v>30002.291911976543</c:v>
                </c:pt>
                <c:pt idx="21">
                  <c:v>30454.790426991618</c:v>
                </c:pt>
                <c:pt idx="22">
                  <c:v>30198.86884476144</c:v>
                </c:pt>
                <c:pt idx="23">
                  <c:v>28926.886803089761</c:v>
                </c:pt>
                <c:pt idx="24">
                  <c:v>29703.86606784751</c:v>
                </c:pt>
                <c:pt idx="25">
                  <c:v>29593.648510200968</c:v>
                </c:pt>
                <c:pt idx="26">
                  <c:v>29035.825347574599</c:v>
                </c:pt>
                <c:pt idx="27">
                  <c:v>29929.638727487491</c:v>
                </c:pt>
                <c:pt idx="28">
                  <c:v>28874.302453353113</c:v>
                </c:pt>
                <c:pt idx="29">
                  <c:v>29310.010636413794</c:v>
                </c:pt>
                <c:pt idx="30">
                  <c:v>29297.171526303988</c:v>
                </c:pt>
                <c:pt idx="31">
                  <c:v>29272.566855096138</c:v>
                </c:pt>
                <c:pt idx="32">
                  <c:v>30078.878769398911</c:v>
                </c:pt>
                <c:pt idx="33">
                  <c:v>29472.174809833781</c:v>
                </c:pt>
                <c:pt idx="34">
                  <c:v>30075.651081412099</c:v>
                </c:pt>
                <c:pt idx="35">
                  <c:v>30532.57109933476</c:v>
                </c:pt>
                <c:pt idx="36">
                  <c:v>30299.59486054517</c:v>
                </c:pt>
                <c:pt idx="37">
                  <c:v>30383.88758399586</c:v>
                </c:pt>
                <c:pt idx="38">
                  <c:v>30810.476094503247</c:v>
                </c:pt>
                <c:pt idx="39">
                  <c:v>30743.98278532533</c:v>
                </c:pt>
                <c:pt idx="40">
                  <c:v>31629.42734766594</c:v>
                </c:pt>
                <c:pt idx="41">
                  <c:v>31812.388440636441</c:v>
                </c:pt>
                <c:pt idx="42">
                  <c:v>31465.871176492161</c:v>
                </c:pt>
                <c:pt idx="43">
                  <c:v>32079.795285610729</c:v>
                </c:pt>
                <c:pt idx="44">
                  <c:v>31828.640281334159</c:v>
                </c:pt>
                <c:pt idx="45">
                  <c:v>32390.884976335048</c:v>
                </c:pt>
                <c:pt idx="46">
                  <c:v>32018.245419073901</c:v>
                </c:pt>
                <c:pt idx="47">
                  <c:v>33559.398693793111</c:v>
                </c:pt>
                <c:pt idx="48">
                  <c:v>32924.957031385828</c:v>
                </c:pt>
                <c:pt idx="49">
                  <c:v>33240.468765093785</c:v>
                </c:pt>
                <c:pt idx="50">
                  <c:v>34402.71945213859</c:v>
                </c:pt>
                <c:pt idx="51">
                  <c:v>33728.534340906299</c:v>
                </c:pt>
                <c:pt idx="52">
                  <c:v>34418.243072294383</c:v>
                </c:pt>
                <c:pt idx="53">
                  <c:v>34167.260647464951</c:v>
                </c:pt>
                <c:pt idx="54">
                  <c:v>34313.697265593626</c:v>
                </c:pt>
                <c:pt idx="55">
                  <c:v>34363.405079830976</c:v>
                </c:pt>
                <c:pt idx="56">
                  <c:v>34990.776437142464</c:v>
                </c:pt>
                <c:pt idx="57">
                  <c:v>34803.392991112683</c:v>
                </c:pt>
                <c:pt idx="58">
                  <c:v>34865.054706901996</c:v>
                </c:pt>
                <c:pt idx="59">
                  <c:v>33892.602193816885</c:v>
                </c:pt>
                <c:pt idx="60">
                  <c:v>34859.87757131891</c:v>
                </c:pt>
                <c:pt idx="61">
                  <c:v>34528.245049632933</c:v>
                </c:pt>
                <c:pt idx="62">
                  <c:v>34137.416207215683</c:v>
                </c:pt>
                <c:pt idx="63">
                  <c:v>34434.146186573009</c:v>
                </c:pt>
                <c:pt idx="64">
                  <c:v>34273.590739663079</c:v>
                </c:pt>
                <c:pt idx="65">
                  <c:v>33579.300104738926</c:v>
                </c:pt>
                <c:pt idx="66">
                  <c:v>34440.379075825855</c:v>
                </c:pt>
                <c:pt idx="67">
                  <c:v>34341.178791132399</c:v>
                </c:pt>
                <c:pt idx="68">
                  <c:v>33841.527823620891</c:v>
                </c:pt>
                <c:pt idx="69">
                  <c:v>33425.789910148138</c:v>
                </c:pt>
                <c:pt idx="70">
                  <c:v>33018.86400813808</c:v>
                </c:pt>
                <c:pt idx="71">
                  <c:v>32962.197489140992</c:v>
                </c:pt>
                <c:pt idx="72">
                  <c:v>33427.341958764941</c:v>
                </c:pt>
                <c:pt idx="73">
                  <c:v>33098.874659460533</c:v>
                </c:pt>
                <c:pt idx="74">
                  <c:v>31429.383452751001</c:v>
                </c:pt>
                <c:pt idx="75">
                  <c:v>25039.815385716247</c:v>
                </c:pt>
                <c:pt idx="76">
                  <c:v>20611.348135210621</c:v>
                </c:pt>
              </c:numCache>
            </c:numRef>
          </c:val>
          <c:smooth val="0"/>
          <c:extLst>
            <c:ext xmlns:c16="http://schemas.microsoft.com/office/drawing/2014/chart" uri="{C3380CC4-5D6E-409C-BE32-E72D297353CC}">
              <c16:uniqueId val="{00000000-557E-4C48-B32C-DA139FEDCE87}"/>
            </c:ext>
          </c:extLst>
        </c:ser>
        <c:ser>
          <c:idx val="0"/>
          <c:order val="1"/>
          <c:tx>
            <c:strRef>
              <c:f>datos!$V$4</c:f>
              <c:strCache>
                <c:ptCount val="1"/>
                <c:pt idx="0">
                  <c:v>Tendencia-Ciclo</c:v>
                </c:pt>
              </c:strCache>
            </c:strRef>
          </c:tx>
          <c:spPr>
            <a:ln w="9525">
              <a:solidFill>
                <a:srgbClr val="C00000"/>
              </a:solidFill>
              <a:prstDash val="solid"/>
            </a:ln>
            <a:effectLst/>
          </c:spPr>
          <c:marker>
            <c:symbol val="none"/>
          </c:marker>
          <c:cat>
            <c:multiLvlStrRef>
              <c:f>datos!$A$29:$B$105</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2014</c:v>
                  </c:pt>
                  <c:pt idx="12">
                    <c:v>2015</c:v>
                  </c:pt>
                  <c:pt idx="24">
                    <c:v>2016</c:v>
                  </c:pt>
                  <c:pt idx="36">
                    <c:v>2017</c:v>
                  </c:pt>
                  <c:pt idx="48">
                    <c:v>2018</c:v>
                  </c:pt>
                  <c:pt idx="60">
                    <c:v>2019</c:v>
                  </c:pt>
                  <c:pt idx="72">
                    <c:v>2020</c:v>
                  </c:pt>
                </c:lvl>
              </c:multiLvlStrCache>
            </c:multiLvlStrRef>
          </c:cat>
          <c:val>
            <c:numRef>
              <c:f>datos!$V$29:$V$105</c:f>
              <c:numCache>
                <c:formatCode>#,##0.0</c:formatCode>
                <c:ptCount val="77"/>
                <c:pt idx="0">
                  <c:v>28589.429687836291</c:v>
                </c:pt>
                <c:pt idx="1">
                  <c:v>28974.399914131489</c:v>
                </c:pt>
                <c:pt idx="2">
                  <c:v>29392.990611247998</c:v>
                </c:pt>
                <c:pt idx="3">
                  <c:v>29770.202134816278</c:v>
                </c:pt>
                <c:pt idx="4">
                  <c:v>30025.826965786098</c:v>
                </c:pt>
                <c:pt idx="5">
                  <c:v>30139.218602857494</c:v>
                </c:pt>
                <c:pt idx="6">
                  <c:v>30156.119031953629</c:v>
                </c:pt>
                <c:pt idx="7">
                  <c:v>30128.929822811748</c:v>
                </c:pt>
                <c:pt idx="8">
                  <c:v>30075.83695049744</c:v>
                </c:pt>
                <c:pt idx="9">
                  <c:v>30013.086629202371</c:v>
                </c:pt>
                <c:pt idx="10">
                  <c:v>29975.621768503341</c:v>
                </c:pt>
                <c:pt idx="11">
                  <c:v>29979.121254648231</c:v>
                </c:pt>
                <c:pt idx="12">
                  <c:v>30018.86058626978</c:v>
                </c:pt>
                <c:pt idx="13">
                  <c:v>30098.582313554922</c:v>
                </c:pt>
                <c:pt idx="14">
                  <c:v>30210.79510429312</c:v>
                </c:pt>
                <c:pt idx="15">
                  <c:v>30315.044780289456</c:v>
                </c:pt>
                <c:pt idx="16">
                  <c:v>30386.679368326189</c:v>
                </c:pt>
                <c:pt idx="17">
                  <c:v>30414.36461574378</c:v>
                </c:pt>
                <c:pt idx="18">
                  <c:v>30387.97761574401</c:v>
                </c:pt>
                <c:pt idx="19">
                  <c:v>30331.745003310578</c:v>
                </c:pt>
                <c:pt idx="20">
                  <c:v>30271.734796633627</c:v>
                </c:pt>
                <c:pt idx="21">
                  <c:v>30199.440024878269</c:v>
                </c:pt>
                <c:pt idx="22">
                  <c:v>30079.319214995623</c:v>
                </c:pt>
                <c:pt idx="23">
                  <c:v>29898.309116837328</c:v>
                </c:pt>
                <c:pt idx="24">
                  <c:v>29669.968112586401</c:v>
                </c:pt>
                <c:pt idx="25">
                  <c:v>29421.65241719703</c:v>
                </c:pt>
                <c:pt idx="26">
                  <c:v>29192.25818946218</c:v>
                </c:pt>
                <c:pt idx="27">
                  <c:v>29047.566183153518</c:v>
                </c:pt>
                <c:pt idx="28">
                  <c:v>29014.595030907418</c:v>
                </c:pt>
                <c:pt idx="29">
                  <c:v>29072.75058323401</c:v>
                </c:pt>
                <c:pt idx="30">
                  <c:v>29213.19867198799</c:v>
                </c:pt>
                <c:pt idx="31">
                  <c:v>29419.356691903173</c:v>
                </c:pt>
                <c:pt idx="32">
                  <c:v>29647.756101662471</c:v>
                </c:pt>
                <c:pt idx="33">
                  <c:v>29871.497460271938</c:v>
                </c:pt>
                <c:pt idx="34">
                  <c:v>30067.252693051811</c:v>
                </c:pt>
                <c:pt idx="35">
                  <c:v>30231.959671388697</c:v>
                </c:pt>
                <c:pt idx="36">
                  <c:v>30401.736597115912</c:v>
                </c:pt>
                <c:pt idx="37">
                  <c:v>30590.989588033241</c:v>
                </c:pt>
                <c:pt idx="38">
                  <c:v>30814.840417632688</c:v>
                </c:pt>
                <c:pt idx="39">
                  <c:v>31060.887682103021</c:v>
                </c:pt>
                <c:pt idx="40">
                  <c:v>31310.968919670559</c:v>
                </c:pt>
                <c:pt idx="41">
                  <c:v>31545.753202322863</c:v>
                </c:pt>
                <c:pt idx="42">
                  <c:v>31740.675280094609</c:v>
                </c:pt>
                <c:pt idx="43">
                  <c:v>31898.14180576014</c:v>
                </c:pt>
                <c:pt idx="44">
                  <c:v>32041.461513342954</c:v>
                </c:pt>
                <c:pt idx="45">
                  <c:v>32224.278067177402</c:v>
                </c:pt>
                <c:pt idx="46">
                  <c:v>32465.005653850872</c:v>
                </c:pt>
                <c:pt idx="47">
                  <c:v>32771.149800463769</c:v>
                </c:pt>
                <c:pt idx="48">
                  <c:v>33105.398461671764</c:v>
                </c:pt>
                <c:pt idx="49">
                  <c:v>33440.169787266161</c:v>
                </c:pt>
                <c:pt idx="50">
                  <c:v>33737.544952185599</c:v>
                </c:pt>
                <c:pt idx="51">
                  <c:v>33972.193333888179</c:v>
                </c:pt>
                <c:pt idx="52">
                  <c:v>34156.66092878511</c:v>
                </c:pt>
                <c:pt idx="53">
                  <c:v>34318.042087805268</c:v>
                </c:pt>
                <c:pt idx="54">
                  <c:v>34462.387322436007</c:v>
                </c:pt>
                <c:pt idx="55">
                  <c:v>34580.071195313067</c:v>
                </c:pt>
                <c:pt idx="56">
                  <c:v>34680.291105863536</c:v>
                </c:pt>
                <c:pt idx="57">
                  <c:v>34735.071980789871</c:v>
                </c:pt>
                <c:pt idx="58">
                  <c:v>34727.983943421685</c:v>
                </c:pt>
                <c:pt idx="59">
                  <c:v>34676.658515218485</c:v>
                </c:pt>
                <c:pt idx="60">
                  <c:v>34569.022332534412</c:v>
                </c:pt>
                <c:pt idx="61">
                  <c:v>34438.384411292544</c:v>
                </c:pt>
                <c:pt idx="62">
                  <c:v>34328.491652535158</c:v>
                </c:pt>
                <c:pt idx="63">
                  <c:v>34267.757313843693</c:v>
                </c:pt>
                <c:pt idx="64">
                  <c:v>34243.341010374526</c:v>
                </c:pt>
                <c:pt idx="65">
                  <c:v>34224.98228074739</c:v>
                </c:pt>
                <c:pt idx="66">
                  <c:v>34164.30671208421</c:v>
                </c:pt>
                <c:pt idx="67">
                  <c:v>34032.980710928547</c:v>
                </c:pt>
                <c:pt idx="68">
                  <c:v>33827.350671235145</c:v>
                </c:pt>
                <c:pt idx="69">
                  <c:v>33577.682862885966</c:v>
                </c:pt>
                <c:pt idx="70">
                  <c:v>33316.82387277353</c:v>
                </c:pt>
                <c:pt idx="71">
                  <c:v>33047.812886759748</c:v>
                </c:pt>
                <c:pt idx="72">
                  <c:v>32778.099020017951</c:v>
                </c:pt>
                <c:pt idx="73">
                  <c:v>32494.618945813541</c:v>
                </c:pt>
                <c:pt idx="74">
                  <c:v>32176.50238677247</c:v>
                </c:pt>
                <c:pt idx="75">
                  <c:v>30932.846782613418</c:v>
                </c:pt>
                <c:pt idx="76">
                  <c:v>30655.965174380279</c:v>
                </c:pt>
              </c:numCache>
            </c:numRef>
          </c:val>
          <c:smooth val="0"/>
          <c:extLst>
            <c:ext xmlns:c16="http://schemas.microsoft.com/office/drawing/2014/chart" uri="{C3380CC4-5D6E-409C-BE32-E72D297353CC}">
              <c16:uniqueId val="{00000001-557E-4C48-B32C-DA139FEDCE87}"/>
            </c:ext>
          </c:extLst>
        </c:ser>
        <c:dLbls>
          <c:showLegendKey val="0"/>
          <c:showVal val="0"/>
          <c:showCatName val="0"/>
          <c:showSerName val="0"/>
          <c:showPercent val="0"/>
          <c:showBubbleSize val="0"/>
        </c:dLbls>
        <c:smooth val="0"/>
        <c:axId val="530007200"/>
        <c:axId val="530007984"/>
      </c:lineChart>
      <c:catAx>
        <c:axId val="53000720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530007984"/>
        <c:crosses val="autoZero"/>
        <c:auto val="1"/>
        <c:lblAlgn val="ctr"/>
        <c:lblOffset val="0"/>
        <c:tickLblSkip val="1"/>
        <c:tickMarkSkip val="1"/>
        <c:noMultiLvlLbl val="1"/>
      </c:catAx>
      <c:valAx>
        <c:axId val="530007984"/>
        <c:scaling>
          <c:orientation val="minMax"/>
          <c:max val="38000"/>
          <c:min val="20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530007200"/>
        <c:crosses val="max"/>
        <c:crossBetween val="between"/>
        <c:majorUnit val="3600"/>
        <c:minorUnit val="1000"/>
      </c:valAx>
      <c:spPr>
        <a:noFill/>
        <a:ln w="25400">
          <a:noFill/>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46913580246912"/>
          <c:y val="0.93827890422485205"/>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Bienes de Consumo</a:t>
            </a:r>
          </a:p>
        </c:rich>
      </c:tx>
      <c:layout>
        <c:manualLayout>
          <c:xMode val="edge"/>
          <c:yMode val="edge"/>
          <c:x val="0.33466326769809185"/>
          <c:y val="0"/>
        </c:manualLayout>
      </c:layout>
      <c:overlay val="1"/>
    </c:title>
    <c:autoTitleDeleted val="0"/>
    <c:plotArea>
      <c:layout>
        <c:manualLayout>
          <c:layoutTarget val="inner"/>
          <c:xMode val="edge"/>
          <c:yMode val="edge"/>
          <c:x val="2.7150492264416341E-2"/>
          <c:y val="5.8894204389574774E-2"/>
          <c:w val="0.88382032348804562"/>
          <c:h val="0.79060819615914713"/>
        </c:manualLayout>
      </c:layout>
      <c:lineChart>
        <c:grouping val="standard"/>
        <c:varyColors val="0"/>
        <c:ser>
          <c:idx val="1"/>
          <c:order val="0"/>
          <c:tx>
            <c:strRef>
              <c:f>datos!$W$4</c:f>
              <c:strCache>
                <c:ptCount val="1"/>
                <c:pt idx="0">
                  <c:v>Serie Desestacionalizada</c:v>
                </c:pt>
              </c:strCache>
            </c:strRef>
          </c:tx>
          <c:spPr>
            <a:ln w="6350" cap="flat">
              <a:solidFill>
                <a:srgbClr val="95B3D7"/>
              </a:solidFill>
              <a:prstDash val="solid"/>
            </a:ln>
            <a:effectLst/>
          </c:spPr>
          <c:marker>
            <c:symbol val="none"/>
          </c:marker>
          <c:cat>
            <c:multiLvlStrRef>
              <c:f>datos!$A$29:$B$105</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2014</c:v>
                  </c:pt>
                  <c:pt idx="12">
                    <c:v>2015</c:v>
                  </c:pt>
                  <c:pt idx="24">
                    <c:v>2016</c:v>
                  </c:pt>
                  <c:pt idx="36">
                    <c:v>2017</c:v>
                  </c:pt>
                  <c:pt idx="48">
                    <c:v>2018</c:v>
                  </c:pt>
                  <c:pt idx="60">
                    <c:v>2019</c:v>
                  </c:pt>
                  <c:pt idx="72">
                    <c:v>2020</c:v>
                  </c:pt>
                </c:lvl>
              </c:multiLvlStrCache>
            </c:multiLvlStrRef>
          </c:cat>
          <c:val>
            <c:numRef>
              <c:f>datos!$W$29:$W$105</c:f>
              <c:numCache>
                <c:formatCode>#,##0.0</c:formatCode>
                <c:ptCount val="77"/>
                <c:pt idx="0">
                  <c:v>4751.0977367813102</c:v>
                </c:pt>
                <c:pt idx="1">
                  <c:v>4795.58586726668</c:v>
                </c:pt>
                <c:pt idx="2">
                  <c:v>4733.2965761261303</c:v>
                </c:pt>
                <c:pt idx="3">
                  <c:v>5026.5351726659501</c:v>
                </c:pt>
                <c:pt idx="4">
                  <c:v>4720.04056621776</c:v>
                </c:pt>
                <c:pt idx="5">
                  <c:v>4990.5429983594004</c:v>
                </c:pt>
                <c:pt idx="6">
                  <c:v>4863.6590982114303</c:v>
                </c:pt>
                <c:pt idx="7">
                  <c:v>4925.0761364433702</c:v>
                </c:pt>
                <c:pt idx="8">
                  <c:v>4624.3057641589903</c:v>
                </c:pt>
                <c:pt idx="9">
                  <c:v>4786.2035091960497</c:v>
                </c:pt>
                <c:pt idx="10">
                  <c:v>5319.7975737711804</c:v>
                </c:pt>
                <c:pt idx="11">
                  <c:v>4681.3741413073003</c:v>
                </c:pt>
                <c:pt idx="12">
                  <c:v>4664.5561028970196</c:v>
                </c:pt>
                <c:pt idx="13">
                  <c:v>4530.2723843064205</c:v>
                </c:pt>
                <c:pt idx="14">
                  <c:v>4466.7798907386605</c:v>
                </c:pt>
                <c:pt idx="15">
                  <c:v>4436.6469434905957</c:v>
                </c:pt>
                <c:pt idx="16">
                  <c:v>4759.4053673688395</c:v>
                </c:pt>
                <c:pt idx="17">
                  <c:v>4828.6967988454999</c:v>
                </c:pt>
                <c:pt idx="18">
                  <c:v>4682.8586297522106</c:v>
                </c:pt>
                <c:pt idx="19">
                  <c:v>5392.7780838074996</c:v>
                </c:pt>
                <c:pt idx="20">
                  <c:v>4628.7511913591197</c:v>
                </c:pt>
                <c:pt idx="21">
                  <c:v>4547.1466804849151</c:v>
                </c:pt>
                <c:pt idx="22">
                  <c:v>4654.4394191384363</c:v>
                </c:pt>
                <c:pt idx="23">
                  <c:v>4589.5511067843745</c:v>
                </c:pt>
                <c:pt idx="24">
                  <c:v>4356.4201106231485</c:v>
                </c:pt>
                <c:pt idx="25">
                  <c:v>4229.1748918219728</c:v>
                </c:pt>
                <c:pt idx="26">
                  <c:v>4157.4763271234533</c:v>
                </c:pt>
                <c:pt idx="27">
                  <c:v>4243.637050081119</c:v>
                </c:pt>
                <c:pt idx="28">
                  <c:v>4365.7839742230472</c:v>
                </c:pt>
                <c:pt idx="29">
                  <c:v>4267.9064819444029</c:v>
                </c:pt>
                <c:pt idx="30">
                  <c:v>4597.65720069282</c:v>
                </c:pt>
                <c:pt idx="31">
                  <c:v>4192.787597409545</c:v>
                </c:pt>
                <c:pt idx="32">
                  <c:v>4453.3122003567996</c:v>
                </c:pt>
                <c:pt idx="33">
                  <c:v>4343.3240184381602</c:v>
                </c:pt>
                <c:pt idx="34">
                  <c:v>4253.808549204452</c:v>
                </c:pt>
                <c:pt idx="35">
                  <c:v>4470.6292414177396</c:v>
                </c:pt>
                <c:pt idx="36">
                  <c:v>4494.1666073082897</c:v>
                </c:pt>
                <c:pt idx="37">
                  <c:v>4666.67170677594</c:v>
                </c:pt>
                <c:pt idx="38">
                  <c:v>4719.8668085686095</c:v>
                </c:pt>
                <c:pt idx="39">
                  <c:v>4540.0963879545498</c:v>
                </c:pt>
                <c:pt idx="40">
                  <c:v>4637.4574137973705</c:v>
                </c:pt>
                <c:pt idx="41">
                  <c:v>4716.1961013916598</c:v>
                </c:pt>
                <c:pt idx="42">
                  <c:v>4704.1081308920202</c:v>
                </c:pt>
                <c:pt idx="43">
                  <c:v>4731.6957917858899</c:v>
                </c:pt>
                <c:pt idx="44">
                  <c:v>4950.81168684354</c:v>
                </c:pt>
                <c:pt idx="45">
                  <c:v>4905.6055242870198</c:v>
                </c:pt>
                <c:pt idx="46">
                  <c:v>4926.7704079222294</c:v>
                </c:pt>
                <c:pt idx="47">
                  <c:v>5468.3006231010004</c:v>
                </c:pt>
                <c:pt idx="48">
                  <c:v>5061.3291934436802</c:v>
                </c:pt>
                <c:pt idx="49">
                  <c:v>5178.5502603405503</c:v>
                </c:pt>
                <c:pt idx="50">
                  <c:v>5367.0389466619799</c:v>
                </c:pt>
                <c:pt idx="51">
                  <c:v>5252.55539733558</c:v>
                </c:pt>
                <c:pt idx="52">
                  <c:v>5237.2520338794402</c:v>
                </c:pt>
                <c:pt idx="53">
                  <c:v>5345.6763676700102</c:v>
                </c:pt>
                <c:pt idx="54">
                  <c:v>5357.9035709790805</c:v>
                </c:pt>
                <c:pt idx="55">
                  <c:v>5490.2717586421095</c:v>
                </c:pt>
                <c:pt idx="56">
                  <c:v>5319.2612367968695</c:v>
                </c:pt>
                <c:pt idx="57">
                  <c:v>5313.8161268193599</c:v>
                </c:pt>
                <c:pt idx="58">
                  <c:v>5139.3484889400606</c:v>
                </c:pt>
                <c:pt idx="59">
                  <c:v>4952.4581455976295</c:v>
                </c:pt>
                <c:pt idx="60">
                  <c:v>4974.3688415488105</c:v>
                </c:pt>
                <c:pt idx="61">
                  <c:v>4862.6027708934098</c:v>
                </c:pt>
                <c:pt idx="62">
                  <c:v>5178.5893121375502</c:v>
                </c:pt>
                <c:pt idx="63">
                  <c:v>5325.26428084908</c:v>
                </c:pt>
                <c:pt idx="64">
                  <c:v>5316.7103096022001</c:v>
                </c:pt>
                <c:pt idx="65">
                  <c:v>5238.7254298438102</c:v>
                </c:pt>
                <c:pt idx="66">
                  <c:v>5125.1767091023003</c:v>
                </c:pt>
                <c:pt idx="67">
                  <c:v>5002.3698007401099</c:v>
                </c:pt>
                <c:pt idx="68">
                  <c:v>4877.6471312706099</c:v>
                </c:pt>
                <c:pt idx="69">
                  <c:v>5163.3554488426398</c:v>
                </c:pt>
                <c:pt idx="70">
                  <c:v>5043.6576721092497</c:v>
                </c:pt>
                <c:pt idx="71">
                  <c:v>4956.4439462322498</c:v>
                </c:pt>
                <c:pt idx="72">
                  <c:v>5313.0718019223305</c:v>
                </c:pt>
                <c:pt idx="73">
                  <c:v>4854.2680392259299</c:v>
                </c:pt>
                <c:pt idx="74">
                  <c:v>4387.8074188800101</c:v>
                </c:pt>
                <c:pt idx="75">
                  <c:v>2897.1114688921361</c:v>
                </c:pt>
                <c:pt idx="76">
                  <c:v>2558.0594386417238</c:v>
                </c:pt>
              </c:numCache>
            </c:numRef>
          </c:val>
          <c:smooth val="0"/>
          <c:extLst>
            <c:ext xmlns:c16="http://schemas.microsoft.com/office/drawing/2014/chart" uri="{C3380CC4-5D6E-409C-BE32-E72D297353CC}">
              <c16:uniqueId val="{00000000-66D3-4ED8-BA6D-4B5B14CDD422}"/>
            </c:ext>
          </c:extLst>
        </c:ser>
        <c:ser>
          <c:idx val="0"/>
          <c:order val="1"/>
          <c:tx>
            <c:strRef>
              <c:f>datos!$X$4</c:f>
              <c:strCache>
                <c:ptCount val="1"/>
                <c:pt idx="0">
                  <c:v>Tendencia-Ciclo</c:v>
                </c:pt>
              </c:strCache>
            </c:strRef>
          </c:tx>
          <c:spPr>
            <a:ln w="9525">
              <a:solidFill>
                <a:srgbClr val="C00000"/>
              </a:solidFill>
              <a:prstDash val="solid"/>
            </a:ln>
            <a:effectLst/>
          </c:spPr>
          <c:marker>
            <c:symbol val="none"/>
          </c:marker>
          <c:cat>
            <c:multiLvlStrRef>
              <c:f>datos!$A$29:$B$105</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2014</c:v>
                  </c:pt>
                  <c:pt idx="12">
                    <c:v>2015</c:v>
                  </c:pt>
                  <c:pt idx="24">
                    <c:v>2016</c:v>
                  </c:pt>
                  <c:pt idx="36">
                    <c:v>2017</c:v>
                  </c:pt>
                  <c:pt idx="48">
                    <c:v>2018</c:v>
                  </c:pt>
                  <c:pt idx="60">
                    <c:v>2019</c:v>
                  </c:pt>
                  <c:pt idx="72">
                    <c:v>2020</c:v>
                  </c:pt>
                </c:lvl>
              </c:multiLvlStrCache>
            </c:multiLvlStrRef>
          </c:cat>
          <c:val>
            <c:numRef>
              <c:f>datos!$X$29:$X$105</c:f>
              <c:numCache>
                <c:formatCode>#,##0.0</c:formatCode>
                <c:ptCount val="77"/>
                <c:pt idx="0">
                  <c:v>4681.2385887611999</c:v>
                </c:pt>
                <c:pt idx="1">
                  <c:v>4741.0893718998195</c:v>
                </c:pt>
                <c:pt idx="2">
                  <c:v>4804.1196251411493</c:v>
                </c:pt>
                <c:pt idx="3">
                  <c:v>4853.7258165548901</c:v>
                </c:pt>
                <c:pt idx="4">
                  <c:v>4879.28186261676</c:v>
                </c:pt>
                <c:pt idx="5">
                  <c:v>4881.6104408575802</c:v>
                </c:pt>
                <c:pt idx="6">
                  <c:v>4869.4388970044402</c:v>
                </c:pt>
                <c:pt idx="7">
                  <c:v>4848.1119302758498</c:v>
                </c:pt>
                <c:pt idx="8">
                  <c:v>4818.3442873405893</c:v>
                </c:pt>
                <c:pt idx="9">
                  <c:v>4782.1953543439304</c:v>
                </c:pt>
                <c:pt idx="10">
                  <c:v>4735.6665583461399</c:v>
                </c:pt>
                <c:pt idx="11">
                  <c:v>4676.3852118179002</c:v>
                </c:pt>
                <c:pt idx="12">
                  <c:v>4616.1188044038799</c:v>
                </c:pt>
                <c:pt idx="13">
                  <c:v>4560.70025204998</c:v>
                </c:pt>
                <c:pt idx="14">
                  <c:v>4530.2044268214904</c:v>
                </c:pt>
                <c:pt idx="15">
                  <c:v>4535.0610053824703</c:v>
                </c:pt>
                <c:pt idx="16">
                  <c:v>4573.4208452304301</c:v>
                </c:pt>
                <c:pt idx="17">
                  <c:v>4624.3586156630399</c:v>
                </c:pt>
                <c:pt idx="18">
                  <c:v>4670.6353172855697</c:v>
                </c:pt>
                <c:pt idx="19">
                  <c:v>4698.6231120745706</c:v>
                </c:pt>
                <c:pt idx="20">
                  <c:v>4693.0577687503201</c:v>
                </c:pt>
                <c:pt idx="21">
                  <c:v>4652.6827535805496</c:v>
                </c:pt>
                <c:pt idx="22">
                  <c:v>4582.3048082002879</c:v>
                </c:pt>
                <c:pt idx="23">
                  <c:v>4497.2769655522516</c:v>
                </c:pt>
                <c:pt idx="24">
                  <c:v>4411.3153107301632</c:v>
                </c:pt>
                <c:pt idx="25">
                  <c:v>4342.4593636345426</c:v>
                </c:pt>
                <c:pt idx="26">
                  <c:v>4295.5094858437642</c:v>
                </c:pt>
                <c:pt idx="27">
                  <c:v>4272.8432006735939</c:v>
                </c:pt>
                <c:pt idx="28">
                  <c:v>4275.6791928851771</c:v>
                </c:pt>
                <c:pt idx="29">
                  <c:v>4288.8787200140951</c:v>
                </c:pt>
                <c:pt idx="30">
                  <c:v>4296.4355933429842</c:v>
                </c:pt>
                <c:pt idx="31">
                  <c:v>4299.5888133500248</c:v>
                </c:pt>
                <c:pt idx="32">
                  <c:v>4312.6341391359701</c:v>
                </c:pt>
                <c:pt idx="33">
                  <c:v>4351.0558345113404</c:v>
                </c:pt>
                <c:pt idx="34">
                  <c:v>4413.0124131442099</c:v>
                </c:pt>
                <c:pt idx="35">
                  <c:v>4486.5661193558099</c:v>
                </c:pt>
                <c:pt idx="36">
                  <c:v>4555.1610186241905</c:v>
                </c:pt>
                <c:pt idx="37">
                  <c:v>4609.3976256039705</c:v>
                </c:pt>
                <c:pt idx="38">
                  <c:v>4640.0161067517902</c:v>
                </c:pt>
                <c:pt idx="39">
                  <c:v>4653.6130617931794</c:v>
                </c:pt>
                <c:pt idx="40">
                  <c:v>4659.13483817425</c:v>
                </c:pt>
                <c:pt idx="41">
                  <c:v>4675.5896820458502</c:v>
                </c:pt>
                <c:pt idx="42">
                  <c:v>4722.2893067991299</c:v>
                </c:pt>
                <c:pt idx="43">
                  <c:v>4795.12933027278</c:v>
                </c:pt>
                <c:pt idx="44">
                  <c:v>4879.8376101188405</c:v>
                </c:pt>
                <c:pt idx="45">
                  <c:v>4967.5216110644997</c:v>
                </c:pt>
                <c:pt idx="46">
                  <c:v>5052.0877760929707</c:v>
                </c:pt>
                <c:pt idx="47">
                  <c:v>5128.0124206822502</c:v>
                </c:pt>
                <c:pt idx="48">
                  <c:v>5185.09228458904</c:v>
                </c:pt>
                <c:pt idx="49">
                  <c:v>5223.3706224134603</c:v>
                </c:pt>
                <c:pt idx="50">
                  <c:v>5256.0765699969998</c:v>
                </c:pt>
                <c:pt idx="51">
                  <c:v>5291.41718776987</c:v>
                </c:pt>
                <c:pt idx="52">
                  <c:v>5331.1397044898804</c:v>
                </c:pt>
                <c:pt idx="53">
                  <c:v>5373.2186961615498</c:v>
                </c:pt>
                <c:pt idx="54">
                  <c:v>5398.3666605900899</c:v>
                </c:pt>
                <c:pt idx="55">
                  <c:v>5387.0702860101501</c:v>
                </c:pt>
                <c:pt idx="56">
                  <c:v>5333.96969049779</c:v>
                </c:pt>
                <c:pt idx="57">
                  <c:v>5242.4716967023696</c:v>
                </c:pt>
                <c:pt idx="58">
                  <c:v>5140.7793612984196</c:v>
                </c:pt>
                <c:pt idx="59">
                  <c:v>5070.2758538933003</c:v>
                </c:pt>
                <c:pt idx="60">
                  <c:v>5057.4411883564098</c:v>
                </c:pt>
                <c:pt idx="61">
                  <c:v>5099.7632077315002</c:v>
                </c:pt>
                <c:pt idx="62">
                  <c:v>5170.9687141169097</c:v>
                </c:pt>
                <c:pt idx="63">
                  <c:v>5227.3130593034093</c:v>
                </c:pt>
                <c:pt idx="64">
                  <c:v>5241.4093306783498</c:v>
                </c:pt>
                <c:pt idx="65">
                  <c:v>5208.3835802698504</c:v>
                </c:pt>
                <c:pt idx="66">
                  <c:v>5147.1856471137598</c:v>
                </c:pt>
                <c:pt idx="67">
                  <c:v>5086.2283031638899</c:v>
                </c:pt>
                <c:pt idx="68">
                  <c:v>5047.7997553803498</c:v>
                </c:pt>
                <c:pt idx="69">
                  <c:v>5029.4449548474004</c:v>
                </c:pt>
                <c:pt idx="70">
                  <c:v>5012.4441592748299</c:v>
                </c:pt>
                <c:pt idx="71">
                  <c:v>4973.1401942615194</c:v>
                </c:pt>
                <c:pt idx="72">
                  <c:v>4898.6699496871297</c:v>
                </c:pt>
                <c:pt idx="73">
                  <c:v>4791.4639812250798</c:v>
                </c:pt>
                <c:pt idx="74">
                  <c:v>4667.5170541266107</c:v>
                </c:pt>
                <c:pt idx="75">
                  <c:v>3642.23259665363</c:v>
                </c:pt>
                <c:pt idx="76">
                  <c:v>3577.9122659682503</c:v>
                </c:pt>
              </c:numCache>
            </c:numRef>
          </c:val>
          <c:smooth val="0"/>
          <c:extLst>
            <c:ext xmlns:c16="http://schemas.microsoft.com/office/drawing/2014/chart" uri="{C3380CC4-5D6E-409C-BE32-E72D297353CC}">
              <c16:uniqueId val="{00000001-66D3-4ED8-BA6D-4B5B14CDD422}"/>
            </c:ext>
          </c:extLst>
        </c:ser>
        <c:dLbls>
          <c:showLegendKey val="0"/>
          <c:showVal val="0"/>
          <c:showCatName val="0"/>
          <c:showSerName val="0"/>
          <c:showPercent val="0"/>
          <c:showBubbleSize val="0"/>
        </c:dLbls>
        <c:smooth val="0"/>
        <c:axId val="530006808"/>
        <c:axId val="530008376"/>
      </c:lineChart>
      <c:catAx>
        <c:axId val="53000680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530008376"/>
        <c:crosses val="autoZero"/>
        <c:auto val="1"/>
        <c:lblAlgn val="ctr"/>
        <c:lblOffset val="0"/>
        <c:tickLblSkip val="1"/>
        <c:tickMarkSkip val="1"/>
        <c:noMultiLvlLbl val="1"/>
      </c:catAx>
      <c:valAx>
        <c:axId val="530008376"/>
        <c:scaling>
          <c:orientation val="minMax"/>
          <c:max val="6400"/>
          <c:min val="24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530006808"/>
        <c:crosses val="max"/>
        <c:crossBetween val="between"/>
        <c:majorUnit val="800"/>
        <c:minorUnit val="1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46913580246912"/>
          <c:y val="0.93832860922146633"/>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Bienes Intermedios</a:t>
            </a:r>
          </a:p>
        </c:rich>
      </c:tx>
      <c:layout>
        <c:manualLayout>
          <c:xMode val="edge"/>
          <c:yMode val="edge"/>
          <c:x val="0.33368834974216727"/>
          <c:y val="2.1776406035665294E-3"/>
        </c:manualLayout>
      </c:layout>
      <c:overlay val="1"/>
    </c:title>
    <c:autoTitleDeleted val="0"/>
    <c:plotArea>
      <c:layout>
        <c:manualLayout>
          <c:layoutTarget val="inner"/>
          <c:xMode val="edge"/>
          <c:yMode val="edge"/>
          <c:x val="2.7150492264416341E-2"/>
          <c:y val="5.8894204389574774E-2"/>
          <c:w val="0.87057255039852288"/>
          <c:h val="0.79060819615914713"/>
        </c:manualLayout>
      </c:layout>
      <c:lineChart>
        <c:grouping val="standard"/>
        <c:varyColors val="0"/>
        <c:ser>
          <c:idx val="1"/>
          <c:order val="0"/>
          <c:tx>
            <c:strRef>
              <c:f>datos!$Y$4</c:f>
              <c:strCache>
                <c:ptCount val="1"/>
                <c:pt idx="0">
                  <c:v>Serie Desestacionalizada</c:v>
                </c:pt>
              </c:strCache>
            </c:strRef>
          </c:tx>
          <c:spPr>
            <a:ln w="6350" cap="flat">
              <a:solidFill>
                <a:srgbClr val="95B3D7"/>
              </a:solidFill>
              <a:prstDash val="solid"/>
            </a:ln>
            <a:effectLst/>
          </c:spPr>
          <c:marker>
            <c:symbol val="none"/>
          </c:marker>
          <c:cat>
            <c:multiLvlStrRef>
              <c:f>datos!$A$29:$B$105</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2014</c:v>
                  </c:pt>
                  <c:pt idx="12">
                    <c:v>2015</c:v>
                  </c:pt>
                  <c:pt idx="24">
                    <c:v>2016</c:v>
                  </c:pt>
                  <c:pt idx="36">
                    <c:v>2017</c:v>
                  </c:pt>
                  <c:pt idx="48">
                    <c:v>2018</c:v>
                  </c:pt>
                  <c:pt idx="60">
                    <c:v>2019</c:v>
                  </c:pt>
                  <c:pt idx="72">
                    <c:v>2020</c:v>
                  </c:pt>
                </c:lvl>
              </c:multiLvlStrCache>
            </c:multiLvlStrRef>
          </c:cat>
          <c:val>
            <c:numRef>
              <c:f>datos!$Y$29:$Y$105</c:f>
              <c:numCache>
                <c:formatCode>#,##0.0</c:formatCode>
                <c:ptCount val="77"/>
                <c:pt idx="0">
                  <c:v>24049.376306404269</c:v>
                </c:pt>
                <c:pt idx="1">
                  <c:v>24535.030417434573</c:v>
                </c:pt>
                <c:pt idx="2">
                  <c:v>25060.977790622979</c:v>
                </c:pt>
                <c:pt idx="3">
                  <c:v>24890.66335038302</c:v>
                </c:pt>
                <c:pt idx="4">
                  <c:v>25625.081645578608</c:v>
                </c:pt>
                <c:pt idx="5">
                  <c:v>25438.892487450081</c:v>
                </c:pt>
                <c:pt idx="6">
                  <c:v>24770.885416729838</c:v>
                </c:pt>
                <c:pt idx="7">
                  <c:v>26290.17859448232</c:v>
                </c:pt>
                <c:pt idx="8">
                  <c:v>24915.848915323972</c:v>
                </c:pt>
                <c:pt idx="9">
                  <c:v>24894.705228549359</c:v>
                </c:pt>
                <c:pt idx="10">
                  <c:v>26144.906734274449</c:v>
                </c:pt>
                <c:pt idx="11">
                  <c:v>25223.155081879617</c:v>
                </c:pt>
                <c:pt idx="12">
                  <c:v>24672.231326989629</c:v>
                </c:pt>
                <c:pt idx="13">
                  <c:v>24514.79190706374</c:v>
                </c:pt>
                <c:pt idx="14">
                  <c:v>25075.92542697777</c:v>
                </c:pt>
                <c:pt idx="15">
                  <c:v>25347.748992331351</c:v>
                </c:pt>
                <c:pt idx="16">
                  <c:v>24730.105027083689</c:v>
                </c:pt>
                <c:pt idx="17">
                  <c:v>25202.743829923107</c:v>
                </c:pt>
                <c:pt idx="18">
                  <c:v>25158.161245066891</c:v>
                </c:pt>
                <c:pt idx="19">
                  <c:v>25208.784580357842</c:v>
                </c:pt>
                <c:pt idx="20">
                  <c:v>24459.976329273512</c:v>
                </c:pt>
                <c:pt idx="21">
                  <c:v>25013.654547993217</c:v>
                </c:pt>
                <c:pt idx="22">
                  <c:v>24636.505958724149</c:v>
                </c:pt>
                <c:pt idx="23">
                  <c:v>23611.776228907398</c:v>
                </c:pt>
                <c:pt idx="24">
                  <c:v>24325.855308743201</c:v>
                </c:pt>
                <c:pt idx="25">
                  <c:v>24081.954675791851</c:v>
                </c:pt>
                <c:pt idx="26">
                  <c:v>23761.91582181806</c:v>
                </c:pt>
                <c:pt idx="27">
                  <c:v>24948.157076461743</c:v>
                </c:pt>
                <c:pt idx="28">
                  <c:v>23795.63119425661</c:v>
                </c:pt>
                <c:pt idx="29">
                  <c:v>24032.556466069043</c:v>
                </c:pt>
                <c:pt idx="30">
                  <c:v>24341.54329211903</c:v>
                </c:pt>
                <c:pt idx="31">
                  <c:v>24325.97004945908</c:v>
                </c:pt>
                <c:pt idx="32">
                  <c:v>25140.230837440122</c:v>
                </c:pt>
                <c:pt idx="33">
                  <c:v>24757.962972484082</c:v>
                </c:pt>
                <c:pt idx="34">
                  <c:v>25440.596667168658</c:v>
                </c:pt>
                <c:pt idx="35">
                  <c:v>25989.8143934199</c:v>
                </c:pt>
                <c:pt idx="36">
                  <c:v>25977.20459902571</c:v>
                </c:pt>
                <c:pt idx="37">
                  <c:v>25910.40552554209</c:v>
                </c:pt>
                <c:pt idx="38">
                  <c:v>26161.79355882679</c:v>
                </c:pt>
                <c:pt idx="39">
                  <c:v>25930.863540844381</c:v>
                </c:pt>
                <c:pt idx="40">
                  <c:v>26482.69193039359</c:v>
                </c:pt>
                <c:pt idx="41">
                  <c:v>26655.571413831738</c:v>
                </c:pt>
                <c:pt idx="42">
                  <c:v>26513.988752821242</c:v>
                </c:pt>
                <c:pt idx="43">
                  <c:v>27555.215928876911</c:v>
                </c:pt>
                <c:pt idx="44">
                  <c:v>27073.36871032451</c:v>
                </c:pt>
                <c:pt idx="45">
                  <c:v>27885.536738348288</c:v>
                </c:pt>
                <c:pt idx="46">
                  <c:v>27575.776100634841</c:v>
                </c:pt>
                <c:pt idx="47">
                  <c:v>28854.574235632168</c:v>
                </c:pt>
                <c:pt idx="48">
                  <c:v>28010.932392696312</c:v>
                </c:pt>
                <c:pt idx="49">
                  <c:v>28573.787674573512</c:v>
                </c:pt>
                <c:pt idx="50">
                  <c:v>29773.522683708779</c:v>
                </c:pt>
                <c:pt idx="51">
                  <c:v>28947.436457116841</c:v>
                </c:pt>
                <c:pt idx="52">
                  <c:v>29804.39532136721</c:v>
                </c:pt>
                <c:pt idx="53">
                  <c:v>29670.526295045947</c:v>
                </c:pt>
                <c:pt idx="54">
                  <c:v>29661.163642343861</c:v>
                </c:pt>
                <c:pt idx="55">
                  <c:v>29660.777797595278</c:v>
                </c:pt>
                <c:pt idx="56">
                  <c:v>30262.896427518652</c:v>
                </c:pt>
                <c:pt idx="57">
                  <c:v>30232.968688319503</c:v>
                </c:pt>
                <c:pt idx="58">
                  <c:v>30790.046499656648</c:v>
                </c:pt>
                <c:pt idx="59">
                  <c:v>29560.81952943845</c:v>
                </c:pt>
                <c:pt idx="60">
                  <c:v>30197.430447869949</c:v>
                </c:pt>
                <c:pt idx="61">
                  <c:v>29920.838093781269</c:v>
                </c:pt>
                <c:pt idx="62">
                  <c:v>29616.27734420056</c:v>
                </c:pt>
                <c:pt idx="63">
                  <c:v>29825.737037862018</c:v>
                </c:pt>
                <c:pt idx="64">
                  <c:v>29731.90338882964</c:v>
                </c:pt>
                <c:pt idx="65">
                  <c:v>29187.161337857331</c:v>
                </c:pt>
                <c:pt idx="66">
                  <c:v>29864.181514377909</c:v>
                </c:pt>
                <c:pt idx="67">
                  <c:v>29686.709889309601</c:v>
                </c:pt>
                <c:pt idx="68">
                  <c:v>29204.627724081409</c:v>
                </c:pt>
                <c:pt idx="69">
                  <c:v>28502.3758643767</c:v>
                </c:pt>
                <c:pt idx="70">
                  <c:v>28208.725455304681</c:v>
                </c:pt>
                <c:pt idx="71">
                  <c:v>28256.631495463283</c:v>
                </c:pt>
                <c:pt idx="72">
                  <c:v>28964.06341620877</c:v>
                </c:pt>
                <c:pt idx="73">
                  <c:v>28506.026799013773</c:v>
                </c:pt>
                <c:pt idx="74">
                  <c:v>27434.356545484879</c:v>
                </c:pt>
                <c:pt idx="75">
                  <c:v>21520.456868496069</c:v>
                </c:pt>
                <c:pt idx="76">
                  <c:v>17045.807813337411</c:v>
                </c:pt>
              </c:numCache>
            </c:numRef>
          </c:val>
          <c:smooth val="0"/>
          <c:extLst>
            <c:ext xmlns:c16="http://schemas.microsoft.com/office/drawing/2014/chart" uri="{C3380CC4-5D6E-409C-BE32-E72D297353CC}">
              <c16:uniqueId val="{00000000-8EF4-46E5-BA4C-EA88DB838BD9}"/>
            </c:ext>
          </c:extLst>
        </c:ser>
        <c:ser>
          <c:idx val="0"/>
          <c:order val="1"/>
          <c:tx>
            <c:strRef>
              <c:f>datos!$Z$4</c:f>
              <c:strCache>
                <c:ptCount val="1"/>
                <c:pt idx="0">
                  <c:v>Tendencia-Ciclo</c:v>
                </c:pt>
              </c:strCache>
            </c:strRef>
          </c:tx>
          <c:spPr>
            <a:ln w="9525">
              <a:solidFill>
                <a:srgbClr val="C00000"/>
              </a:solidFill>
              <a:prstDash val="solid"/>
            </a:ln>
            <a:effectLst/>
          </c:spPr>
          <c:marker>
            <c:symbol val="none"/>
          </c:marker>
          <c:cat>
            <c:multiLvlStrRef>
              <c:f>datos!$A$29:$B$105</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2014</c:v>
                  </c:pt>
                  <c:pt idx="12">
                    <c:v>2015</c:v>
                  </c:pt>
                  <c:pt idx="24">
                    <c:v>2016</c:v>
                  </c:pt>
                  <c:pt idx="36">
                    <c:v>2017</c:v>
                  </c:pt>
                  <c:pt idx="48">
                    <c:v>2018</c:v>
                  </c:pt>
                  <c:pt idx="60">
                    <c:v>2019</c:v>
                  </c:pt>
                  <c:pt idx="72">
                    <c:v>2020</c:v>
                  </c:pt>
                </c:lvl>
              </c:multiLvlStrCache>
            </c:multiLvlStrRef>
          </c:cat>
          <c:val>
            <c:numRef>
              <c:f>datos!$Z$29:$Z$105</c:f>
              <c:numCache>
                <c:formatCode>#,##0.0</c:formatCode>
                <c:ptCount val="77"/>
                <c:pt idx="0">
                  <c:v>24023.297147775404</c:v>
                </c:pt>
                <c:pt idx="1">
                  <c:v>24413.542407782261</c:v>
                </c:pt>
                <c:pt idx="2">
                  <c:v>24801.381732495727</c:v>
                </c:pt>
                <c:pt idx="3">
                  <c:v>25121.184336373568</c:v>
                </c:pt>
                <c:pt idx="4">
                  <c:v>25318.105221711659</c:v>
                </c:pt>
                <c:pt idx="5">
                  <c:v>25390.364596579602</c:v>
                </c:pt>
                <c:pt idx="6">
                  <c:v>25395.66101533626</c:v>
                </c:pt>
                <c:pt idx="7">
                  <c:v>25383.186512706099</c:v>
                </c:pt>
                <c:pt idx="8">
                  <c:v>25340.021171288838</c:v>
                </c:pt>
                <c:pt idx="9">
                  <c:v>25253.74984393884</c:v>
                </c:pt>
                <c:pt idx="10">
                  <c:v>25148.201196151902</c:v>
                </c:pt>
                <c:pt idx="11">
                  <c:v>25044.33433464781</c:v>
                </c:pt>
                <c:pt idx="12">
                  <c:v>24952.60412151735</c:v>
                </c:pt>
                <c:pt idx="13">
                  <c:v>24908.358174006113</c:v>
                </c:pt>
                <c:pt idx="14">
                  <c:v>24933.489449686229</c:v>
                </c:pt>
                <c:pt idx="15">
                  <c:v>24989.724016987137</c:v>
                </c:pt>
                <c:pt idx="16">
                  <c:v>25042.428069476471</c:v>
                </c:pt>
                <c:pt idx="17">
                  <c:v>25067.703321234862</c:v>
                </c:pt>
                <c:pt idx="18">
                  <c:v>25030.025934204863</c:v>
                </c:pt>
                <c:pt idx="19">
                  <c:v>24942.689488346048</c:v>
                </c:pt>
                <c:pt idx="20">
                  <c:v>24842.606975575691</c:v>
                </c:pt>
                <c:pt idx="21">
                  <c:v>24731.146453145411</c:v>
                </c:pt>
                <c:pt idx="22">
                  <c:v>24596.804189113158</c:v>
                </c:pt>
                <c:pt idx="23">
                  <c:v>24439.993819382689</c:v>
                </c:pt>
                <c:pt idx="24">
                  <c:v>24275.692998842609</c:v>
                </c:pt>
                <c:pt idx="25">
                  <c:v>24114.635563057531</c:v>
                </c:pt>
                <c:pt idx="26">
                  <c:v>23977.506657652761</c:v>
                </c:pt>
                <c:pt idx="27">
                  <c:v>23915.348946718001</c:v>
                </c:pt>
                <c:pt idx="28">
                  <c:v>23948.151512021119</c:v>
                </c:pt>
                <c:pt idx="29">
                  <c:v>24055.939447095439</c:v>
                </c:pt>
                <c:pt idx="30">
                  <c:v>24242.323745707221</c:v>
                </c:pt>
                <c:pt idx="31">
                  <c:v>24503.199230675571</c:v>
                </c:pt>
                <c:pt idx="32">
                  <c:v>24809.508652955643</c:v>
                </c:pt>
                <c:pt idx="33">
                  <c:v>25135.528826966558</c:v>
                </c:pt>
                <c:pt idx="34">
                  <c:v>25440.430684296018</c:v>
                </c:pt>
                <c:pt idx="35">
                  <c:v>25686.976703654978</c:v>
                </c:pt>
                <c:pt idx="36">
                  <c:v>25879.203161830741</c:v>
                </c:pt>
                <c:pt idx="37">
                  <c:v>26015.682737278381</c:v>
                </c:pt>
                <c:pt idx="38">
                  <c:v>26123.339169068058</c:v>
                </c:pt>
                <c:pt idx="39">
                  <c:v>26225.730282446471</c:v>
                </c:pt>
                <c:pt idx="40">
                  <c:v>26357.159868364441</c:v>
                </c:pt>
                <c:pt idx="41">
                  <c:v>26537.00283689392</c:v>
                </c:pt>
                <c:pt idx="42">
                  <c:v>26760.03571536412</c:v>
                </c:pt>
                <c:pt idx="43">
                  <c:v>27017.10252453298</c:v>
                </c:pt>
                <c:pt idx="44">
                  <c:v>27288.639130788641</c:v>
                </c:pt>
                <c:pt idx="45">
                  <c:v>27584.226438324102</c:v>
                </c:pt>
                <c:pt idx="46">
                  <c:v>27890.192453572869</c:v>
                </c:pt>
                <c:pt idx="47">
                  <c:v>28205.51726738919</c:v>
                </c:pt>
                <c:pt idx="48">
                  <c:v>28516.171695141369</c:v>
                </c:pt>
                <c:pt idx="49">
                  <c:v>28819.85024996796</c:v>
                </c:pt>
                <c:pt idx="50">
                  <c:v>29095.153021263483</c:v>
                </c:pt>
                <c:pt idx="51">
                  <c:v>29321.269005901831</c:v>
                </c:pt>
                <c:pt idx="52">
                  <c:v>29502.374782403469</c:v>
                </c:pt>
                <c:pt idx="53">
                  <c:v>29662.0003669814</c:v>
                </c:pt>
                <c:pt idx="54">
                  <c:v>29810.704453124959</c:v>
                </c:pt>
                <c:pt idx="55">
                  <c:v>29936.834948107778</c:v>
                </c:pt>
                <c:pt idx="56">
                  <c:v>30049.50274533992</c:v>
                </c:pt>
                <c:pt idx="57">
                  <c:v>30122.160043856482</c:v>
                </c:pt>
                <c:pt idx="58">
                  <c:v>30132.323938549849</c:v>
                </c:pt>
                <c:pt idx="59">
                  <c:v>30096.236429769109</c:v>
                </c:pt>
                <c:pt idx="60">
                  <c:v>29995.667797753231</c:v>
                </c:pt>
                <c:pt idx="61">
                  <c:v>29861.874745742862</c:v>
                </c:pt>
                <c:pt idx="62">
                  <c:v>29744.169169143581</c:v>
                </c:pt>
                <c:pt idx="63">
                  <c:v>29677.966005207589</c:v>
                </c:pt>
                <c:pt idx="64">
                  <c:v>29646.158300634983</c:v>
                </c:pt>
                <c:pt idx="65">
                  <c:v>29604.798645661758</c:v>
                </c:pt>
                <c:pt idx="66">
                  <c:v>29501.548770200563</c:v>
                </c:pt>
                <c:pt idx="67">
                  <c:v>29317.600580193579</c:v>
                </c:pt>
                <c:pt idx="68">
                  <c:v>29064.763269428713</c:v>
                </c:pt>
                <c:pt idx="69">
                  <c:v>28790.038660646689</c:v>
                </c:pt>
                <c:pt idx="70">
                  <c:v>28543.230311982668</c:v>
                </c:pt>
                <c:pt idx="71">
                  <c:v>28346.544347000519</c:v>
                </c:pt>
                <c:pt idx="72">
                  <c:v>28216.209900442718</c:v>
                </c:pt>
                <c:pt idx="73">
                  <c:v>28132.48334777767</c:v>
                </c:pt>
                <c:pt idx="74">
                  <c:v>28046.380721787093</c:v>
                </c:pt>
                <c:pt idx="75">
                  <c:v>27939.136659519099</c:v>
                </c:pt>
                <c:pt idx="76">
                  <c:v>27821.237356163918</c:v>
                </c:pt>
              </c:numCache>
            </c:numRef>
          </c:val>
          <c:smooth val="0"/>
          <c:extLst>
            <c:ext xmlns:c16="http://schemas.microsoft.com/office/drawing/2014/chart" uri="{C3380CC4-5D6E-409C-BE32-E72D297353CC}">
              <c16:uniqueId val="{00000001-8EF4-46E5-BA4C-EA88DB838BD9}"/>
            </c:ext>
          </c:extLst>
        </c:ser>
        <c:dLbls>
          <c:showLegendKey val="0"/>
          <c:showVal val="0"/>
          <c:showCatName val="0"/>
          <c:showSerName val="0"/>
          <c:showPercent val="0"/>
          <c:showBubbleSize val="0"/>
        </c:dLbls>
        <c:smooth val="0"/>
        <c:axId val="440193776"/>
        <c:axId val="440192992"/>
      </c:lineChart>
      <c:catAx>
        <c:axId val="44019377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440192992"/>
        <c:crosses val="autoZero"/>
        <c:auto val="1"/>
        <c:lblAlgn val="ctr"/>
        <c:lblOffset val="0"/>
        <c:tickLblSkip val="1"/>
        <c:tickMarkSkip val="1"/>
        <c:noMultiLvlLbl val="1"/>
      </c:catAx>
      <c:valAx>
        <c:axId val="440192992"/>
        <c:scaling>
          <c:orientation val="minMax"/>
          <c:min val="16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440193776"/>
        <c:crosses val="max"/>
        <c:crossBetween val="between"/>
        <c:majorUnit val="3200"/>
        <c:minorUnit val="10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524691358024692"/>
          <c:y val="0.94039978655312817"/>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Bienes de Capital</a:t>
            </a:r>
          </a:p>
        </c:rich>
      </c:tx>
      <c:layout>
        <c:manualLayout>
          <c:xMode val="edge"/>
          <c:yMode val="edge"/>
          <c:x val="0.35402144866385382"/>
          <c:y val="2.1776406035665294E-3"/>
        </c:manualLayout>
      </c:layout>
      <c:overlay val="1"/>
    </c:title>
    <c:autoTitleDeleted val="0"/>
    <c:plotArea>
      <c:layout>
        <c:manualLayout>
          <c:layoutTarget val="inner"/>
          <c:xMode val="edge"/>
          <c:yMode val="edge"/>
          <c:x val="3.914609053497943E-2"/>
          <c:y val="7.1312164776479031E-2"/>
          <c:w val="0.88382032348804562"/>
          <c:h val="0.78407527434844926"/>
        </c:manualLayout>
      </c:layout>
      <c:lineChart>
        <c:grouping val="standard"/>
        <c:varyColors val="0"/>
        <c:ser>
          <c:idx val="1"/>
          <c:order val="0"/>
          <c:tx>
            <c:strRef>
              <c:f>datos!$AA$4</c:f>
              <c:strCache>
                <c:ptCount val="1"/>
                <c:pt idx="0">
                  <c:v>Serie Desestacionalizada</c:v>
                </c:pt>
              </c:strCache>
            </c:strRef>
          </c:tx>
          <c:spPr>
            <a:ln w="6350" cap="flat">
              <a:solidFill>
                <a:srgbClr val="95B3D7"/>
              </a:solidFill>
              <a:prstDash val="solid"/>
            </a:ln>
            <a:effectLst/>
          </c:spPr>
          <c:marker>
            <c:symbol val="none"/>
          </c:marker>
          <c:cat>
            <c:multiLvlStrRef>
              <c:f>datos!$A$29:$B$105</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2014</c:v>
                  </c:pt>
                  <c:pt idx="12">
                    <c:v>2015</c:v>
                  </c:pt>
                  <c:pt idx="24">
                    <c:v>2016</c:v>
                  </c:pt>
                  <c:pt idx="36">
                    <c:v>2017</c:v>
                  </c:pt>
                  <c:pt idx="48">
                    <c:v>2018</c:v>
                  </c:pt>
                  <c:pt idx="60">
                    <c:v>2019</c:v>
                  </c:pt>
                  <c:pt idx="72">
                    <c:v>2020</c:v>
                  </c:pt>
                </c:lvl>
              </c:multiLvlStrCache>
            </c:multiLvlStrRef>
          </c:cat>
          <c:val>
            <c:numRef>
              <c:f>datos!$AA$29:$AA$105</c:f>
              <c:numCache>
                <c:formatCode>#,##0.0</c:formatCode>
                <c:ptCount val="77"/>
                <c:pt idx="0">
                  <c:v>3214.7797607050302</c:v>
                </c:pt>
                <c:pt idx="1">
                  <c:v>3282.2019665207299</c:v>
                </c:pt>
                <c:pt idx="2">
                  <c:v>3305.3322868188202</c:v>
                </c:pt>
                <c:pt idx="3">
                  <c:v>3356.7708159531198</c:v>
                </c:pt>
                <c:pt idx="4">
                  <c:v>3366.60289712025</c:v>
                </c:pt>
                <c:pt idx="5">
                  <c:v>3179.3622983567402</c:v>
                </c:pt>
                <c:pt idx="6">
                  <c:v>3394.4560150914999</c:v>
                </c:pt>
                <c:pt idx="7">
                  <c:v>3274.90629081202</c:v>
                </c:pt>
                <c:pt idx="8">
                  <c:v>3227.9289148304601</c:v>
                </c:pt>
                <c:pt idx="9">
                  <c:v>3302.5310187830801</c:v>
                </c:pt>
                <c:pt idx="10">
                  <c:v>3376.65212360127</c:v>
                </c:pt>
                <c:pt idx="11">
                  <c:v>3312.6538195438702</c:v>
                </c:pt>
                <c:pt idx="12">
                  <c:v>3489.78727422259</c:v>
                </c:pt>
                <c:pt idx="13">
                  <c:v>3145.4240558828901</c:v>
                </c:pt>
                <c:pt idx="14">
                  <c:v>3569.9826756443799</c:v>
                </c:pt>
                <c:pt idx="15">
                  <c:v>3450.8996160174602</c:v>
                </c:pt>
                <c:pt idx="16">
                  <c:v>3490.97849730076</c:v>
                </c:pt>
                <c:pt idx="17">
                  <c:v>3706.7281065309799</c:v>
                </c:pt>
                <c:pt idx="18">
                  <c:v>3438.4152656107899</c:v>
                </c:pt>
                <c:pt idx="19">
                  <c:v>3434.2002191633701</c:v>
                </c:pt>
                <c:pt idx="20">
                  <c:v>3478.69598152957</c:v>
                </c:pt>
                <c:pt idx="21">
                  <c:v>3436.2880151013101</c:v>
                </c:pt>
                <c:pt idx="22">
                  <c:v>3361.7735289756001</c:v>
                </c:pt>
                <c:pt idx="23">
                  <c:v>3167.5398396166702</c:v>
                </c:pt>
                <c:pt idx="24">
                  <c:v>3237.7109960397102</c:v>
                </c:pt>
                <c:pt idx="25">
                  <c:v>3283.5963083821098</c:v>
                </c:pt>
                <c:pt idx="26">
                  <c:v>3211.4934135120102</c:v>
                </c:pt>
                <c:pt idx="27">
                  <c:v>3168.4619185597198</c:v>
                </c:pt>
                <c:pt idx="28">
                  <c:v>3267.6568520150499</c:v>
                </c:pt>
                <c:pt idx="29">
                  <c:v>3552.4762293691301</c:v>
                </c:pt>
                <c:pt idx="30">
                  <c:v>3350.8904992657899</c:v>
                </c:pt>
                <c:pt idx="31">
                  <c:v>3317.2629846843802</c:v>
                </c:pt>
                <c:pt idx="32">
                  <c:v>3450.46051622706</c:v>
                </c:pt>
                <c:pt idx="33">
                  <c:v>3290.49236854333</c:v>
                </c:pt>
                <c:pt idx="34">
                  <c:v>3274.8781009293798</c:v>
                </c:pt>
                <c:pt idx="35">
                  <c:v>3325.9241100054301</c:v>
                </c:pt>
                <c:pt idx="36">
                  <c:v>3250.3796167227802</c:v>
                </c:pt>
                <c:pt idx="37">
                  <c:v>3204.8421192631899</c:v>
                </c:pt>
                <c:pt idx="38">
                  <c:v>3257.6770624220499</c:v>
                </c:pt>
                <c:pt idx="39">
                  <c:v>3422.0115938625399</c:v>
                </c:pt>
                <c:pt idx="40">
                  <c:v>3485.1804521714298</c:v>
                </c:pt>
                <c:pt idx="41">
                  <c:v>3470.7722760779602</c:v>
                </c:pt>
                <c:pt idx="42">
                  <c:v>3395.4054489915502</c:v>
                </c:pt>
                <c:pt idx="43">
                  <c:v>3564.8387769289602</c:v>
                </c:pt>
                <c:pt idx="44">
                  <c:v>3462.8988332855301</c:v>
                </c:pt>
                <c:pt idx="45">
                  <c:v>3454.6028841232101</c:v>
                </c:pt>
                <c:pt idx="46">
                  <c:v>3483.58502731628</c:v>
                </c:pt>
                <c:pt idx="47">
                  <c:v>3588.68620494892</c:v>
                </c:pt>
                <c:pt idx="48">
                  <c:v>3636.0015694174399</c:v>
                </c:pt>
                <c:pt idx="49">
                  <c:v>3813.0078563761999</c:v>
                </c:pt>
                <c:pt idx="50">
                  <c:v>3814.9753136715999</c:v>
                </c:pt>
                <c:pt idx="51">
                  <c:v>3799.0362825040802</c:v>
                </c:pt>
                <c:pt idx="52">
                  <c:v>3836.0862158023501</c:v>
                </c:pt>
                <c:pt idx="53">
                  <c:v>3957.7674294947101</c:v>
                </c:pt>
                <c:pt idx="54">
                  <c:v>4067.0797071970001</c:v>
                </c:pt>
                <c:pt idx="55">
                  <c:v>3877.7187599328299</c:v>
                </c:pt>
                <c:pt idx="56">
                  <c:v>3949.8029524237299</c:v>
                </c:pt>
                <c:pt idx="57">
                  <c:v>3926.8335274536498</c:v>
                </c:pt>
                <c:pt idx="58">
                  <c:v>3715.4336144129002</c:v>
                </c:pt>
                <c:pt idx="59">
                  <c:v>3442.9138501102402</c:v>
                </c:pt>
                <c:pt idx="60">
                  <c:v>3744.7136910344402</c:v>
                </c:pt>
                <c:pt idx="61">
                  <c:v>3599.5696003602302</c:v>
                </c:pt>
                <c:pt idx="62">
                  <c:v>3628.9899715061101</c:v>
                </c:pt>
                <c:pt idx="63">
                  <c:v>3658.5987825575598</c:v>
                </c:pt>
                <c:pt idx="64">
                  <c:v>3757.65328489272</c:v>
                </c:pt>
                <c:pt idx="65">
                  <c:v>3239.5999054584199</c:v>
                </c:pt>
                <c:pt idx="66">
                  <c:v>3277.8568826241099</c:v>
                </c:pt>
                <c:pt idx="67">
                  <c:v>3454.4761636109001</c:v>
                </c:pt>
                <c:pt idx="68">
                  <c:v>3326.7678458909099</c:v>
                </c:pt>
                <c:pt idx="69">
                  <c:v>3398.6817537918901</c:v>
                </c:pt>
                <c:pt idx="70">
                  <c:v>3414.7290111964198</c:v>
                </c:pt>
                <c:pt idx="71">
                  <c:v>3293.05828389415</c:v>
                </c:pt>
                <c:pt idx="72">
                  <c:v>3205.53534072103</c:v>
                </c:pt>
                <c:pt idx="73">
                  <c:v>3265.2578436580002</c:v>
                </c:pt>
                <c:pt idx="74">
                  <c:v>2863.40578887948</c:v>
                </c:pt>
                <c:pt idx="75">
                  <c:v>2688.55734699909</c:v>
                </c:pt>
                <c:pt idx="76">
                  <c:v>2518.67132898726</c:v>
                </c:pt>
              </c:numCache>
            </c:numRef>
          </c:val>
          <c:smooth val="0"/>
          <c:extLst>
            <c:ext xmlns:c16="http://schemas.microsoft.com/office/drawing/2014/chart" uri="{C3380CC4-5D6E-409C-BE32-E72D297353CC}">
              <c16:uniqueId val="{00000000-9FB8-4C90-8F41-D5FE88844350}"/>
            </c:ext>
          </c:extLst>
        </c:ser>
        <c:ser>
          <c:idx val="0"/>
          <c:order val="1"/>
          <c:tx>
            <c:strRef>
              <c:f>datos!$AB$4</c:f>
              <c:strCache>
                <c:ptCount val="1"/>
                <c:pt idx="0">
                  <c:v>Tendencia-Ciclo</c:v>
                </c:pt>
              </c:strCache>
            </c:strRef>
          </c:tx>
          <c:spPr>
            <a:ln w="9525">
              <a:solidFill>
                <a:srgbClr val="C00000"/>
              </a:solidFill>
              <a:prstDash val="solid"/>
            </a:ln>
            <a:effectLst/>
          </c:spPr>
          <c:marker>
            <c:symbol val="none"/>
          </c:marker>
          <c:cat>
            <c:multiLvlStrRef>
              <c:f>datos!$A$29:$B$105</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2014</c:v>
                  </c:pt>
                  <c:pt idx="12">
                    <c:v>2015</c:v>
                  </c:pt>
                  <c:pt idx="24">
                    <c:v>2016</c:v>
                  </c:pt>
                  <c:pt idx="36">
                    <c:v>2017</c:v>
                  </c:pt>
                  <c:pt idx="48">
                    <c:v>2018</c:v>
                  </c:pt>
                  <c:pt idx="60">
                    <c:v>2019</c:v>
                  </c:pt>
                  <c:pt idx="72">
                    <c:v>2020</c:v>
                  </c:pt>
                </c:lvl>
              </c:multiLvlStrCache>
            </c:multiLvlStrRef>
          </c:cat>
          <c:val>
            <c:numRef>
              <c:f>datos!$AB$29:$AB$105</c:f>
              <c:numCache>
                <c:formatCode>#,##0.0</c:formatCode>
                <c:ptCount val="77"/>
                <c:pt idx="0">
                  <c:v>3270.82423419627</c:v>
                </c:pt>
                <c:pt idx="1">
                  <c:v>3297.2595641394801</c:v>
                </c:pt>
                <c:pt idx="2">
                  <c:v>3315.0304117750302</c:v>
                </c:pt>
                <c:pt idx="3">
                  <c:v>3324.4274736397101</c:v>
                </c:pt>
                <c:pt idx="4">
                  <c:v>3324.2794258448598</c:v>
                </c:pt>
                <c:pt idx="5">
                  <c:v>3315.87454732794</c:v>
                </c:pt>
                <c:pt idx="6">
                  <c:v>3301.1034236023502</c:v>
                </c:pt>
                <c:pt idx="7">
                  <c:v>3287.5713142002</c:v>
                </c:pt>
                <c:pt idx="8">
                  <c:v>3286.2795364683302</c:v>
                </c:pt>
                <c:pt idx="9">
                  <c:v>3303.8265660887901</c:v>
                </c:pt>
                <c:pt idx="10">
                  <c:v>3338.8860796874701</c:v>
                </c:pt>
                <c:pt idx="11">
                  <c:v>3383.08468354856</c:v>
                </c:pt>
                <c:pt idx="12">
                  <c:v>3428.3486625660098</c:v>
                </c:pt>
                <c:pt idx="13">
                  <c:v>3466.6547618099598</c:v>
                </c:pt>
                <c:pt idx="14">
                  <c:v>3487.7363142766199</c:v>
                </c:pt>
                <c:pt idx="15">
                  <c:v>3493.5798385247599</c:v>
                </c:pt>
                <c:pt idx="16">
                  <c:v>3490.1032140283701</c:v>
                </c:pt>
                <c:pt idx="17">
                  <c:v>3482.12066502675</c:v>
                </c:pt>
                <c:pt idx="18">
                  <c:v>3472.31649836717</c:v>
                </c:pt>
                <c:pt idx="19">
                  <c:v>3458.5143498334401</c:v>
                </c:pt>
                <c:pt idx="20">
                  <c:v>3435.12655145695</c:v>
                </c:pt>
                <c:pt idx="21">
                  <c:v>3402.6939188881302</c:v>
                </c:pt>
                <c:pt idx="22">
                  <c:v>3359.43237174869</c:v>
                </c:pt>
                <c:pt idx="23">
                  <c:v>3311.5470077749201</c:v>
                </c:pt>
                <c:pt idx="24">
                  <c:v>3265.9277241639902</c:v>
                </c:pt>
                <c:pt idx="25">
                  <c:v>3233.8621881838699</c:v>
                </c:pt>
                <c:pt idx="26">
                  <c:v>3221.4467061772798</c:v>
                </c:pt>
                <c:pt idx="27">
                  <c:v>3231.65815886374</c:v>
                </c:pt>
                <c:pt idx="28">
                  <c:v>3259.23797614659</c:v>
                </c:pt>
                <c:pt idx="29">
                  <c:v>3293.4452270797701</c:v>
                </c:pt>
                <c:pt idx="30">
                  <c:v>3324.9621466031299</c:v>
                </c:pt>
                <c:pt idx="31">
                  <c:v>3346.2411283349302</c:v>
                </c:pt>
                <c:pt idx="32">
                  <c:v>3349.7419341979398</c:v>
                </c:pt>
                <c:pt idx="33">
                  <c:v>3331.0192268014998</c:v>
                </c:pt>
                <c:pt idx="34">
                  <c:v>3299.2544491980402</c:v>
                </c:pt>
                <c:pt idx="35">
                  <c:v>3271.2359884073899</c:v>
                </c:pt>
                <c:pt idx="36">
                  <c:v>3262.60840335283</c:v>
                </c:pt>
                <c:pt idx="37">
                  <c:v>3277.71801294743</c:v>
                </c:pt>
                <c:pt idx="38">
                  <c:v>3315.48090368055</c:v>
                </c:pt>
                <c:pt idx="39">
                  <c:v>3367.4036340447801</c:v>
                </c:pt>
                <c:pt idx="40">
                  <c:v>3418.04659243683</c:v>
                </c:pt>
                <c:pt idx="41">
                  <c:v>3456.2162067486302</c:v>
                </c:pt>
                <c:pt idx="42">
                  <c:v>3474.7440805681299</c:v>
                </c:pt>
                <c:pt idx="43">
                  <c:v>3474.7694732034902</c:v>
                </c:pt>
                <c:pt idx="44">
                  <c:v>3473.3688204718001</c:v>
                </c:pt>
                <c:pt idx="45">
                  <c:v>3489.6707144031502</c:v>
                </c:pt>
                <c:pt idx="46">
                  <c:v>3530.9230335565899</c:v>
                </c:pt>
                <c:pt idx="47">
                  <c:v>3589.8118104042401</c:v>
                </c:pt>
                <c:pt idx="48">
                  <c:v>3656.4287149829202</c:v>
                </c:pt>
                <c:pt idx="49">
                  <c:v>3727.3853056315102</c:v>
                </c:pt>
                <c:pt idx="50">
                  <c:v>3794.9036092656702</c:v>
                </c:pt>
                <c:pt idx="51">
                  <c:v>3849.5120828937702</c:v>
                </c:pt>
                <c:pt idx="52">
                  <c:v>3895.4150758165101</c:v>
                </c:pt>
                <c:pt idx="53">
                  <c:v>3931.2758891655199</c:v>
                </c:pt>
                <c:pt idx="54">
                  <c:v>3949.42722903192</c:v>
                </c:pt>
                <c:pt idx="55">
                  <c:v>3945.0153869180199</c:v>
                </c:pt>
                <c:pt idx="56">
                  <c:v>3915.0497928920099</c:v>
                </c:pt>
                <c:pt idx="57">
                  <c:v>3860.46707735679</c:v>
                </c:pt>
                <c:pt idx="58">
                  <c:v>3796.5004992343202</c:v>
                </c:pt>
                <c:pt idx="59">
                  <c:v>3738.7790766220601</c:v>
                </c:pt>
                <c:pt idx="60">
                  <c:v>3694.6453977523502</c:v>
                </c:pt>
                <c:pt idx="61">
                  <c:v>3658.4913471701202</c:v>
                </c:pt>
                <c:pt idx="62">
                  <c:v>3625.6574318046301</c:v>
                </c:pt>
                <c:pt idx="63">
                  <c:v>3590.3930558664802</c:v>
                </c:pt>
                <c:pt idx="64">
                  <c:v>3544.9695039983599</c:v>
                </c:pt>
                <c:pt idx="65">
                  <c:v>3495.2543675842699</c:v>
                </c:pt>
                <c:pt idx="66">
                  <c:v>3453.1465308100401</c:v>
                </c:pt>
                <c:pt idx="67">
                  <c:v>3423.3848897176299</c:v>
                </c:pt>
                <c:pt idx="68">
                  <c:v>3403.95729901</c:v>
                </c:pt>
                <c:pt idx="69">
                  <c:v>3386.4909931268298</c:v>
                </c:pt>
                <c:pt idx="70">
                  <c:v>3351.0667051509399</c:v>
                </c:pt>
                <c:pt idx="71">
                  <c:v>3281.0993482556701</c:v>
                </c:pt>
                <c:pt idx="72">
                  <c:v>3171.2869262007698</c:v>
                </c:pt>
                <c:pt idx="73">
                  <c:v>3028.3478596904602</c:v>
                </c:pt>
                <c:pt idx="74">
                  <c:v>2870.6740294194901</c:v>
                </c:pt>
                <c:pt idx="75">
                  <c:v>2721.5167902041799</c:v>
                </c:pt>
                <c:pt idx="76">
                  <c:v>2602.0843663873302</c:v>
                </c:pt>
              </c:numCache>
            </c:numRef>
          </c:val>
          <c:smooth val="0"/>
          <c:extLst>
            <c:ext xmlns:c16="http://schemas.microsoft.com/office/drawing/2014/chart" uri="{C3380CC4-5D6E-409C-BE32-E72D297353CC}">
              <c16:uniqueId val="{00000001-9FB8-4C90-8F41-D5FE88844350}"/>
            </c:ext>
          </c:extLst>
        </c:ser>
        <c:dLbls>
          <c:showLegendKey val="0"/>
          <c:showVal val="0"/>
          <c:showCatName val="0"/>
          <c:showSerName val="0"/>
          <c:showPercent val="0"/>
          <c:showBubbleSize val="0"/>
        </c:dLbls>
        <c:smooth val="0"/>
        <c:axId val="440194952"/>
        <c:axId val="440193384"/>
      </c:lineChart>
      <c:catAx>
        <c:axId val="44019495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440193384"/>
        <c:crosses val="autoZero"/>
        <c:auto val="1"/>
        <c:lblAlgn val="ctr"/>
        <c:lblOffset val="0"/>
        <c:tickLblSkip val="1"/>
        <c:tickMarkSkip val="1"/>
        <c:noMultiLvlLbl val="1"/>
      </c:catAx>
      <c:valAx>
        <c:axId val="440193384"/>
        <c:scaling>
          <c:orientation val="minMax"/>
          <c:max val="4200"/>
          <c:min val="22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440194952"/>
        <c:crosses val="max"/>
        <c:crossBetween val="between"/>
        <c:majorUnit val="400"/>
        <c:minorUnit val="1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46913580246912"/>
          <c:y val="0.94104303184509264"/>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b="1"/>
            </a:pPr>
            <a:r>
              <a:rPr lang="es-ES" sz="700" b="1" cap="small" baseline="0"/>
              <a:t>Totales</a:t>
            </a:r>
          </a:p>
        </c:rich>
      </c:tx>
      <c:layout>
        <c:manualLayout>
          <c:xMode val="edge"/>
          <c:yMode val="edge"/>
          <c:x val="0.42851406469762776"/>
          <c:y val="0"/>
        </c:manualLayout>
      </c:layout>
      <c:overlay val="1"/>
    </c:title>
    <c:autoTitleDeleted val="0"/>
    <c:plotArea>
      <c:layout>
        <c:manualLayout>
          <c:layoutTarget val="inner"/>
          <c:xMode val="edge"/>
          <c:yMode val="edge"/>
          <c:x val="2.7150492264416341E-2"/>
          <c:y val="5.4538923182442134E-2"/>
          <c:w val="0.87057255039852288"/>
          <c:h val="0.79496347736625517"/>
        </c:manualLayout>
      </c:layout>
      <c:lineChart>
        <c:grouping val="standard"/>
        <c:varyColors val="0"/>
        <c:ser>
          <c:idx val="1"/>
          <c:order val="0"/>
          <c:tx>
            <c:strRef>
              <c:f>datos!$E$4</c:f>
              <c:strCache>
                <c:ptCount val="1"/>
                <c:pt idx="0">
                  <c:v>Serie Desestacionalizada</c:v>
                </c:pt>
              </c:strCache>
            </c:strRef>
          </c:tx>
          <c:spPr>
            <a:ln w="9525" cap="flat">
              <a:solidFill>
                <a:srgbClr val="95B3D7"/>
              </a:solidFill>
              <a:prstDash val="solid"/>
            </a:ln>
            <a:effectLst/>
          </c:spPr>
          <c:marker>
            <c:symbol val="none"/>
          </c:marker>
          <c:cat>
            <c:multiLvlStrRef>
              <c:f>datos!$A$29:$B$105</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2014</c:v>
                  </c:pt>
                  <c:pt idx="12">
                    <c:v>2015</c:v>
                  </c:pt>
                  <c:pt idx="24">
                    <c:v>2016</c:v>
                  </c:pt>
                  <c:pt idx="36">
                    <c:v>2017</c:v>
                  </c:pt>
                  <c:pt idx="48">
                    <c:v>2018</c:v>
                  </c:pt>
                  <c:pt idx="60">
                    <c:v>2019</c:v>
                  </c:pt>
                  <c:pt idx="72">
                    <c:v>2020</c:v>
                  </c:pt>
                </c:lvl>
              </c:multiLvlStrCache>
            </c:multiLvlStrRef>
          </c:cat>
          <c:val>
            <c:numRef>
              <c:f>datos!$E$29:$E$105</c:f>
              <c:numCache>
                <c:formatCode>#,##0.0</c:formatCode>
                <c:ptCount val="77"/>
                <c:pt idx="0">
                  <c:v>31562.843962170376</c:v>
                </c:pt>
                <c:pt idx="1">
                  <c:v>32615.907699434531</c:v>
                </c:pt>
                <c:pt idx="2">
                  <c:v>32540.720723866638</c:v>
                </c:pt>
                <c:pt idx="3">
                  <c:v>33207.287131467659</c:v>
                </c:pt>
                <c:pt idx="4">
                  <c:v>33343.748439839641</c:v>
                </c:pt>
                <c:pt idx="5">
                  <c:v>33158.484946154647</c:v>
                </c:pt>
                <c:pt idx="6">
                  <c:v>33052.82155240712</c:v>
                </c:pt>
                <c:pt idx="7">
                  <c:v>33556.232981159636</c:v>
                </c:pt>
                <c:pt idx="8">
                  <c:v>33543.796656698993</c:v>
                </c:pt>
                <c:pt idx="9">
                  <c:v>33770.137046933836</c:v>
                </c:pt>
                <c:pt idx="10">
                  <c:v>32916.565697528247</c:v>
                </c:pt>
                <c:pt idx="11">
                  <c:v>32937.004358069804</c:v>
                </c:pt>
                <c:pt idx="12">
                  <c:v>32372.401881145404</c:v>
                </c:pt>
                <c:pt idx="13">
                  <c:v>31804.642048926235</c:v>
                </c:pt>
                <c:pt idx="14">
                  <c:v>32470.058964022166</c:v>
                </c:pt>
                <c:pt idx="15">
                  <c:v>32160.820966192394</c:v>
                </c:pt>
                <c:pt idx="16">
                  <c:v>31220.561811498639</c:v>
                </c:pt>
                <c:pt idx="17">
                  <c:v>32277.619824310543</c:v>
                </c:pt>
                <c:pt idx="18">
                  <c:v>32289.432038542116</c:v>
                </c:pt>
                <c:pt idx="19">
                  <c:v>31678.279878841018</c:v>
                </c:pt>
                <c:pt idx="20">
                  <c:v>31361.985715792212</c:v>
                </c:pt>
                <c:pt idx="21">
                  <c:v>32219.861250605678</c:v>
                </c:pt>
                <c:pt idx="22">
                  <c:v>30940.686679221431</c:v>
                </c:pt>
                <c:pt idx="23">
                  <c:v>29780.252334812783</c:v>
                </c:pt>
                <c:pt idx="24">
                  <c:v>31116.622156574263</c:v>
                </c:pt>
                <c:pt idx="25">
                  <c:v>29780.672109224804</c:v>
                </c:pt>
                <c:pt idx="26">
                  <c:v>29118.626369994799</c:v>
                </c:pt>
                <c:pt idx="27">
                  <c:v>30242.284477957597</c:v>
                </c:pt>
                <c:pt idx="28">
                  <c:v>30448.575632895307</c:v>
                </c:pt>
                <c:pt idx="29">
                  <c:v>30593.157450139624</c:v>
                </c:pt>
                <c:pt idx="30">
                  <c:v>31217.705520585201</c:v>
                </c:pt>
                <c:pt idx="31">
                  <c:v>31047.600028736451</c:v>
                </c:pt>
                <c:pt idx="32">
                  <c:v>32354.081188502507</c:v>
                </c:pt>
                <c:pt idx="33">
                  <c:v>31972.870670934619</c:v>
                </c:pt>
                <c:pt idx="34">
                  <c:v>32749.269069532769</c:v>
                </c:pt>
                <c:pt idx="35">
                  <c:v>32889.639798409822</c:v>
                </c:pt>
                <c:pt idx="36">
                  <c:v>33244.746825139919</c:v>
                </c:pt>
                <c:pt idx="37">
                  <c:v>33315.574918787141</c:v>
                </c:pt>
                <c:pt idx="38">
                  <c:v>33142.088040778297</c:v>
                </c:pt>
                <c:pt idx="39">
                  <c:v>33190.014373765422</c:v>
                </c:pt>
                <c:pt idx="40">
                  <c:v>33103.020617424962</c:v>
                </c:pt>
                <c:pt idx="41">
                  <c:v>34214.117899139317</c:v>
                </c:pt>
                <c:pt idx="42">
                  <c:v>33841.968985107895</c:v>
                </c:pt>
                <c:pt idx="43">
                  <c:v>34288.894960851248</c:v>
                </c:pt>
                <c:pt idx="44">
                  <c:v>34230.437966661848</c:v>
                </c:pt>
                <c:pt idx="45">
                  <c:v>34885.241553798769</c:v>
                </c:pt>
                <c:pt idx="46">
                  <c:v>36138.547461625363</c:v>
                </c:pt>
                <c:pt idx="47">
                  <c:v>36506.760303605428</c:v>
                </c:pt>
                <c:pt idx="48">
                  <c:v>35956.297934816197</c:v>
                </c:pt>
                <c:pt idx="49">
                  <c:v>37050.949044943707</c:v>
                </c:pt>
                <c:pt idx="50">
                  <c:v>38221.079804025903</c:v>
                </c:pt>
                <c:pt idx="51">
                  <c:v>37395.963922551971</c:v>
                </c:pt>
                <c:pt idx="52">
                  <c:v>36656.949838257242</c:v>
                </c:pt>
                <c:pt idx="53">
                  <c:v>37148.76503172196</c:v>
                </c:pt>
                <c:pt idx="54">
                  <c:v>37312.240664043646</c:v>
                </c:pt>
                <c:pt idx="55">
                  <c:v>37957.995063068855</c:v>
                </c:pt>
                <c:pt idx="56">
                  <c:v>39267.487327626986</c:v>
                </c:pt>
                <c:pt idx="57">
                  <c:v>38085.290064885186</c:v>
                </c:pt>
                <c:pt idx="58">
                  <c:v>37432.085089810869</c:v>
                </c:pt>
                <c:pt idx="59">
                  <c:v>38193.501556306648</c:v>
                </c:pt>
                <c:pt idx="60">
                  <c:v>38008.387957474231</c:v>
                </c:pt>
                <c:pt idx="61">
                  <c:v>38307.297529912343</c:v>
                </c:pt>
                <c:pt idx="62">
                  <c:v>38326.4262569563</c:v>
                </c:pt>
                <c:pt idx="63">
                  <c:v>38923.006084649453</c:v>
                </c:pt>
                <c:pt idx="64">
                  <c:v>39376.402519578165</c:v>
                </c:pt>
                <c:pt idx="65">
                  <c:v>38786.340818352248</c:v>
                </c:pt>
                <c:pt idx="66">
                  <c:v>38552.904037060216</c:v>
                </c:pt>
                <c:pt idx="67">
                  <c:v>39541.164405985714</c:v>
                </c:pt>
                <c:pt idx="68">
                  <c:v>37955.976635567931</c:v>
                </c:pt>
                <c:pt idx="69">
                  <c:v>37452.594702637994</c:v>
                </c:pt>
                <c:pt idx="70">
                  <c:v>37455.475711389998</c:v>
                </c:pt>
                <c:pt idx="71">
                  <c:v>37903.358915270182</c:v>
                </c:pt>
                <c:pt idx="72">
                  <c:v>39342.401684846547</c:v>
                </c:pt>
                <c:pt idx="73">
                  <c:v>37977.47265772734</c:v>
                </c:pt>
                <c:pt idx="74">
                  <c:v>36482.750925664193</c:v>
                </c:pt>
                <c:pt idx="75">
                  <c:v>22745.508196644267</c:v>
                </c:pt>
                <c:pt idx="76">
                  <c:v>18059.846019817051</c:v>
                </c:pt>
              </c:numCache>
            </c:numRef>
          </c:val>
          <c:smooth val="0"/>
          <c:extLst>
            <c:ext xmlns:c16="http://schemas.microsoft.com/office/drawing/2014/chart" uri="{C3380CC4-5D6E-409C-BE32-E72D297353CC}">
              <c16:uniqueId val="{00000000-8BDD-4F29-8CEA-3D40C0EEB650}"/>
            </c:ext>
          </c:extLst>
        </c:ser>
        <c:ser>
          <c:idx val="0"/>
          <c:order val="1"/>
          <c:tx>
            <c:strRef>
              <c:f>datos!$F$4</c:f>
              <c:strCache>
                <c:ptCount val="1"/>
                <c:pt idx="0">
                  <c:v>Tendencia-Ciclo</c:v>
                </c:pt>
              </c:strCache>
            </c:strRef>
          </c:tx>
          <c:spPr>
            <a:ln w="6350">
              <a:solidFill>
                <a:srgbClr val="C00000"/>
              </a:solidFill>
              <a:prstDash val="solid"/>
            </a:ln>
            <a:effectLst/>
          </c:spPr>
          <c:marker>
            <c:symbol val="none"/>
          </c:marker>
          <c:dPt>
            <c:idx val="2"/>
            <c:bubble3D val="0"/>
            <c:extLst>
              <c:ext xmlns:c16="http://schemas.microsoft.com/office/drawing/2014/chart" uri="{C3380CC4-5D6E-409C-BE32-E72D297353CC}">
                <c16:uniqueId val="{00000001-8BDD-4F29-8CEA-3D40C0EEB650}"/>
              </c:ext>
            </c:extLst>
          </c:dPt>
          <c:cat>
            <c:multiLvlStrRef>
              <c:f>datos!$A$29:$B$105</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2014</c:v>
                  </c:pt>
                  <c:pt idx="12">
                    <c:v>2015</c:v>
                  </c:pt>
                  <c:pt idx="24">
                    <c:v>2016</c:v>
                  </c:pt>
                  <c:pt idx="36">
                    <c:v>2017</c:v>
                  </c:pt>
                  <c:pt idx="48">
                    <c:v>2018</c:v>
                  </c:pt>
                  <c:pt idx="60">
                    <c:v>2019</c:v>
                  </c:pt>
                  <c:pt idx="72">
                    <c:v>2020</c:v>
                  </c:pt>
                </c:lvl>
              </c:multiLvlStrCache>
            </c:multiLvlStrRef>
          </c:cat>
          <c:val>
            <c:numRef>
              <c:f>datos!$F$29:$F$105</c:f>
              <c:numCache>
                <c:formatCode>#,##0.0</c:formatCode>
                <c:ptCount val="77"/>
                <c:pt idx="0">
                  <c:v>32136.367626095787</c:v>
                </c:pt>
                <c:pt idx="1">
                  <c:v>32373.939995945337</c:v>
                </c:pt>
                <c:pt idx="2">
                  <c:v>32625.571906666934</c:v>
                </c:pt>
                <c:pt idx="3">
                  <c:v>32853.823242279352</c:v>
                </c:pt>
                <c:pt idx="4">
                  <c:v>33050.667222526878</c:v>
                </c:pt>
                <c:pt idx="5">
                  <c:v>33233.778766589385</c:v>
                </c:pt>
                <c:pt idx="6">
                  <c:v>33387.102033106865</c:v>
                </c:pt>
                <c:pt idx="7">
                  <c:v>33466.377568408439</c:v>
                </c:pt>
                <c:pt idx="8">
                  <c:v>33438.604353302035</c:v>
                </c:pt>
                <c:pt idx="9">
                  <c:v>33286.895977224704</c:v>
                </c:pt>
                <c:pt idx="10">
                  <c:v>33051.655548543895</c:v>
                </c:pt>
                <c:pt idx="11">
                  <c:v>32779.909909657021</c:v>
                </c:pt>
                <c:pt idx="12">
                  <c:v>32516.961078961904</c:v>
                </c:pt>
                <c:pt idx="13">
                  <c:v>32333.868490770776</c:v>
                </c:pt>
                <c:pt idx="14">
                  <c:v>32252.50273112733</c:v>
                </c:pt>
                <c:pt idx="15">
                  <c:v>32220.6729796361</c:v>
                </c:pt>
                <c:pt idx="16">
                  <c:v>32185.198091144845</c:v>
                </c:pt>
                <c:pt idx="17">
                  <c:v>32103.840831976631</c:v>
                </c:pt>
                <c:pt idx="18">
                  <c:v>31963.172654924532</c:v>
                </c:pt>
                <c:pt idx="19">
                  <c:v>31769.423767893142</c:v>
                </c:pt>
                <c:pt idx="20">
                  <c:v>31520.817614385604</c:v>
                </c:pt>
                <c:pt idx="21">
                  <c:v>31214.743207071264</c:v>
                </c:pt>
                <c:pt idx="22">
                  <c:v>30869.426331647344</c:v>
                </c:pt>
                <c:pt idx="23">
                  <c:v>30542.125782319621</c:v>
                </c:pt>
                <c:pt idx="24">
                  <c:v>30285.359065382523</c:v>
                </c:pt>
                <c:pt idx="25">
                  <c:v>30136.588856702616</c:v>
                </c:pt>
                <c:pt idx="26">
                  <c:v>30094.942949222037</c:v>
                </c:pt>
                <c:pt idx="27">
                  <c:v>30185.542949609007</c:v>
                </c:pt>
                <c:pt idx="28">
                  <c:v>30385.89223009138</c:v>
                </c:pt>
                <c:pt idx="29">
                  <c:v>30662.773598523483</c:v>
                </c:pt>
                <c:pt idx="30">
                  <c:v>30994.545102842148</c:v>
                </c:pt>
                <c:pt idx="31">
                  <c:v>31373.252433702</c:v>
                </c:pt>
                <c:pt idx="32">
                  <c:v>31787.906619555299</c:v>
                </c:pt>
                <c:pt idx="33">
                  <c:v>32223.402224158155</c:v>
                </c:pt>
                <c:pt idx="34">
                  <c:v>32628.834267900093</c:v>
                </c:pt>
                <c:pt idx="35">
                  <c:v>32930.573572347872</c:v>
                </c:pt>
                <c:pt idx="36">
                  <c:v>33118.115906953179</c:v>
                </c:pt>
                <c:pt idx="37">
                  <c:v>33223.951047273506</c:v>
                </c:pt>
                <c:pt idx="38">
                  <c:v>33299.292217203722</c:v>
                </c:pt>
                <c:pt idx="39">
                  <c:v>33386.095942571017</c:v>
                </c:pt>
                <c:pt idx="40">
                  <c:v>33486.772116242486</c:v>
                </c:pt>
                <c:pt idx="41">
                  <c:v>33641.882969843187</c:v>
                </c:pt>
                <c:pt idx="42">
                  <c:v>33885.591601235559</c:v>
                </c:pt>
                <c:pt idx="43">
                  <c:v>34221.512667865783</c:v>
                </c:pt>
                <c:pt idx="44">
                  <c:v>34630.361223769542</c:v>
                </c:pt>
                <c:pt idx="45">
                  <c:v>35108.451655560515</c:v>
                </c:pt>
                <c:pt idx="46">
                  <c:v>35634.402330177239</c:v>
                </c:pt>
                <c:pt idx="47">
                  <c:v>36170.255339235882</c:v>
                </c:pt>
                <c:pt idx="48">
                  <c:v>36643.658880275783</c:v>
                </c:pt>
                <c:pt idx="49">
                  <c:v>36982.578112465846</c:v>
                </c:pt>
                <c:pt idx="50">
                  <c:v>37186.009848749272</c:v>
                </c:pt>
                <c:pt idx="51">
                  <c:v>37303.337560398184</c:v>
                </c:pt>
                <c:pt idx="52">
                  <c:v>37413.69994022316</c:v>
                </c:pt>
                <c:pt idx="53">
                  <c:v>37531.375306994254</c:v>
                </c:pt>
                <c:pt idx="54">
                  <c:v>37653.734432263031</c:v>
                </c:pt>
                <c:pt idx="55">
                  <c:v>37776.88526755444</c:v>
                </c:pt>
                <c:pt idx="56">
                  <c:v>37882.389151064512</c:v>
                </c:pt>
                <c:pt idx="57">
                  <c:v>37931.540182994591</c:v>
                </c:pt>
                <c:pt idx="58">
                  <c:v>37934.324227153018</c:v>
                </c:pt>
                <c:pt idx="59">
                  <c:v>37959.372849200328</c:v>
                </c:pt>
                <c:pt idx="60">
                  <c:v>38060.746998662289</c:v>
                </c:pt>
                <c:pt idx="61">
                  <c:v>38270.989726075139</c:v>
                </c:pt>
                <c:pt idx="62">
                  <c:v>38557.835607130408</c:v>
                </c:pt>
                <c:pt idx="63">
                  <c:v>38823.945939237659</c:v>
                </c:pt>
                <c:pt idx="64">
                  <c:v>38981.975440344206</c:v>
                </c:pt>
                <c:pt idx="65">
                  <c:v>38985.427986064729</c:v>
                </c:pt>
                <c:pt idx="66">
                  <c:v>38834.817335423002</c:v>
                </c:pt>
                <c:pt idx="67">
                  <c:v>38568.718555638203</c:v>
                </c:pt>
                <c:pt idx="68">
                  <c:v>38285.098272177194</c:v>
                </c:pt>
                <c:pt idx="69">
                  <c:v>38041.059230995699</c:v>
                </c:pt>
                <c:pt idx="70">
                  <c:v>37854.156853312481</c:v>
                </c:pt>
                <c:pt idx="71">
                  <c:v>37704.092438145257</c:v>
                </c:pt>
                <c:pt idx="72">
                  <c:v>37562.071093521292</c:v>
                </c:pt>
                <c:pt idx="73">
                  <c:v>37405.620033729756</c:v>
                </c:pt>
                <c:pt idx="74">
                  <c:v>37234.890658993034</c:v>
                </c:pt>
                <c:pt idx="75">
                  <c:v>23148.383693800231</c:v>
                </c:pt>
                <c:pt idx="76">
                  <c:v>23051.733819013472</c:v>
                </c:pt>
              </c:numCache>
            </c:numRef>
          </c:val>
          <c:smooth val="0"/>
          <c:extLst>
            <c:ext xmlns:c16="http://schemas.microsoft.com/office/drawing/2014/chart" uri="{C3380CC4-5D6E-409C-BE32-E72D297353CC}">
              <c16:uniqueId val="{00000002-8BDD-4F29-8CEA-3D40C0EEB650}"/>
            </c:ext>
          </c:extLst>
        </c:ser>
        <c:dLbls>
          <c:showLegendKey val="0"/>
          <c:showVal val="0"/>
          <c:showCatName val="0"/>
          <c:showSerName val="0"/>
          <c:showPercent val="0"/>
          <c:showBubbleSize val="0"/>
        </c:dLbls>
        <c:smooth val="0"/>
        <c:axId val="440195736"/>
        <c:axId val="440194168"/>
      </c:lineChart>
      <c:catAx>
        <c:axId val="44019573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400"/>
            </a:pPr>
            <a:endParaRPr lang="es-MX"/>
          </a:p>
        </c:txPr>
        <c:crossAx val="440194168"/>
        <c:crosses val="autoZero"/>
        <c:auto val="1"/>
        <c:lblAlgn val="ctr"/>
        <c:lblOffset val="0"/>
        <c:tickLblSkip val="1"/>
        <c:tickMarkSkip val="1"/>
        <c:noMultiLvlLbl val="1"/>
      </c:catAx>
      <c:valAx>
        <c:axId val="440194168"/>
        <c:scaling>
          <c:orientation val="minMax"/>
          <c:max val="41000"/>
          <c:min val="16000"/>
        </c:scaling>
        <c:delete val="0"/>
        <c:axPos val="r"/>
        <c:numFmt formatCode="#,##0" sourceLinked="0"/>
        <c:majorTickMark val="out"/>
        <c:minorTickMark val="none"/>
        <c:tickLblPos val="high"/>
        <c:spPr>
          <a:ln w="3175">
            <a:solidFill>
              <a:srgbClr val="000000"/>
            </a:solidFill>
            <a:prstDash val="solid"/>
          </a:ln>
        </c:spPr>
        <c:txPr>
          <a:bodyPr rot="0" vert="horz"/>
          <a:lstStyle/>
          <a:p>
            <a:pPr>
              <a:defRPr/>
            </a:pPr>
            <a:endParaRPr lang="es-MX"/>
          </a:p>
        </c:txPr>
        <c:crossAx val="440195736"/>
        <c:crosses val="max"/>
        <c:crossBetween val="between"/>
        <c:minorUnit val="400"/>
      </c:valAx>
      <c:spPr>
        <a:noFill/>
        <a:ln w="3175">
          <a:solidFill>
            <a:schemeClr val="bg1"/>
          </a:solidFill>
          <a:prstDash val="solid"/>
        </a:ln>
      </c:spPr>
    </c:plotArea>
    <c:legend>
      <c:legendPos val="b"/>
      <c:layout>
        <c:manualLayout>
          <c:xMode val="edge"/>
          <c:yMode val="edge"/>
          <c:x val="0.13895274584929757"/>
          <c:y val="0.93397297808012092"/>
          <c:w val="0.6876189639006095"/>
          <c:h val="4.9672325102880673E-2"/>
        </c:manualLayout>
      </c:layout>
      <c:overlay val="0"/>
      <c:spPr>
        <a:noFill/>
        <a:ln w="25400">
          <a:noFill/>
        </a:ln>
      </c:spPr>
    </c:legend>
    <c:plotVisOnly val="1"/>
    <c:dispBlanksAs val="zero"/>
    <c:showDLblsOverMax val="0"/>
  </c:chart>
  <c:spPr>
    <a:noFill/>
    <a:ln w="3175">
      <a:solidFill>
        <a:schemeClr val="tx1"/>
      </a:solidFill>
      <a:prstDash val="solid"/>
    </a:ln>
    <a:effectLst/>
  </c:spPr>
  <c:txPr>
    <a:bodyPr/>
    <a:lstStyle/>
    <a:p>
      <a:pPr>
        <a:defRPr sz="5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lang="es-MX" sz="700" b="1" i="0" cap="small" baseline="0"/>
            </a:pPr>
            <a:r>
              <a:rPr lang="es-ES" sz="700" b="1" i="0" cap="small" baseline="0"/>
              <a:t>Petroleras</a:t>
            </a:r>
          </a:p>
        </c:rich>
      </c:tx>
      <c:layout>
        <c:manualLayout>
          <c:xMode val="edge"/>
          <c:yMode val="edge"/>
          <c:x val="0.37839580403188638"/>
          <c:y val="6.5329218106995914E-3"/>
        </c:manualLayout>
      </c:layout>
      <c:overlay val="1"/>
    </c:title>
    <c:autoTitleDeleted val="0"/>
    <c:plotArea>
      <c:layout>
        <c:manualLayout>
          <c:layoutTarget val="inner"/>
          <c:xMode val="edge"/>
          <c:yMode val="edge"/>
          <c:x val="3.9390166028097064E-2"/>
          <c:y val="5.4538999734452885E-2"/>
          <c:w val="0.88382032348804562"/>
          <c:h val="0.79278583676269065"/>
        </c:manualLayout>
      </c:layout>
      <c:lineChart>
        <c:grouping val="standard"/>
        <c:varyColors val="0"/>
        <c:ser>
          <c:idx val="1"/>
          <c:order val="0"/>
          <c:tx>
            <c:strRef>
              <c:f>datos!$G$4</c:f>
              <c:strCache>
                <c:ptCount val="1"/>
                <c:pt idx="0">
                  <c:v>Serie Desestacionalizada</c:v>
                </c:pt>
              </c:strCache>
            </c:strRef>
          </c:tx>
          <c:spPr>
            <a:ln w="6350" cap="flat">
              <a:solidFill>
                <a:srgbClr val="95B3D7"/>
              </a:solidFill>
              <a:prstDash val="solid"/>
            </a:ln>
            <a:effectLst/>
          </c:spPr>
          <c:marker>
            <c:symbol val="none"/>
          </c:marker>
          <c:cat>
            <c:multiLvlStrRef>
              <c:f>datos!$A$29:$B$105</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2014</c:v>
                  </c:pt>
                  <c:pt idx="12">
                    <c:v>2015</c:v>
                  </c:pt>
                  <c:pt idx="24">
                    <c:v>2016</c:v>
                  </c:pt>
                  <c:pt idx="36">
                    <c:v>2017</c:v>
                  </c:pt>
                  <c:pt idx="48">
                    <c:v>2018</c:v>
                  </c:pt>
                  <c:pt idx="60">
                    <c:v>2019</c:v>
                  </c:pt>
                  <c:pt idx="72">
                    <c:v>2020</c:v>
                  </c:pt>
                </c:lvl>
              </c:multiLvlStrCache>
            </c:multiLvlStrRef>
          </c:cat>
          <c:val>
            <c:numRef>
              <c:f>datos!$G$29:$G$105</c:f>
              <c:numCache>
                <c:formatCode>#,##0.0</c:formatCode>
                <c:ptCount val="77"/>
                <c:pt idx="0">
                  <c:v>4134.4653280267839</c:v>
                </c:pt>
                <c:pt idx="1">
                  <c:v>4195.6222939891422</c:v>
                </c:pt>
                <c:pt idx="2">
                  <c:v>3828.9307520610892</c:v>
                </c:pt>
                <c:pt idx="3">
                  <c:v>3857.916622132775</c:v>
                </c:pt>
                <c:pt idx="4">
                  <c:v>3730.889389414725</c:v>
                </c:pt>
                <c:pt idx="5">
                  <c:v>3814.6894308520814</c:v>
                </c:pt>
                <c:pt idx="6">
                  <c:v>3300.7047822544941</c:v>
                </c:pt>
                <c:pt idx="7">
                  <c:v>3496.4301510431528</c:v>
                </c:pt>
                <c:pt idx="8">
                  <c:v>3444.8475363006282</c:v>
                </c:pt>
                <c:pt idx="9">
                  <c:v>3079.9521953008029</c:v>
                </c:pt>
                <c:pt idx="10">
                  <c:v>3017.9204807497958</c:v>
                </c:pt>
                <c:pt idx="11">
                  <c:v>2498.8458295331352</c:v>
                </c:pt>
                <c:pt idx="12">
                  <c:v>2283.767359158634</c:v>
                </c:pt>
                <c:pt idx="13">
                  <c:v>2216.205587032724</c:v>
                </c:pt>
                <c:pt idx="14">
                  <c:v>2212.6918268560112</c:v>
                </c:pt>
                <c:pt idx="15">
                  <c:v>1971.4336244559768</c:v>
                </c:pt>
                <c:pt idx="16">
                  <c:v>2307.045428982356</c:v>
                </c:pt>
                <c:pt idx="17">
                  <c:v>2145.0796221752062</c:v>
                </c:pt>
                <c:pt idx="18">
                  <c:v>2019.3233103501329</c:v>
                </c:pt>
                <c:pt idx="19">
                  <c:v>1862.233852880717</c:v>
                </c:pt>
                <c:pt idx="20">
                  <c:v>1686.3334189383929</c:v>
                </c:pt>
                <c:pt idx="21">
                  <c:v>1734.6565590499522</c:v>
                </c:pt>
                <c:pt idx="22">
                  <c:v>1523.451483236596</c:v>
                </c:pt>
                <c:pt idx="23">
                  <c:v>1191.542206370887</c:v>
                </c:pt>
                <c:pt idx="24">
                  <c:v>1189.9630366168249</c:v>
                </c:pt>
                <c:pt idx="25">
                  <c:v>1176.5591838675032</c:v>
                </c:pt>
                <c:pt idx="26">
                  <c:v>1301.0830945369241</c:v>
                </c:pt>
                <c:pt idx="27">
                  <c:v>1397.511239620057</c:v>
                </c:pt>
                <c:pt idx="28">
                  <c:v>1595.77651094048</c:v>
                </c:pt>
                <c:pt idx="29">
                  <c:v>1594.017309939361</c:v>
                </c:pt>
                <c:pt idx="30">
                  <c:v>1596.9713987772402</c:v>
                </c:pt>
                <c:pt idx="31">
                  <c:v>1718.4885552499409</c:v>
                </c:pt>
                <c:pt idx="32">
                  <c:v>1830.4428734140611</c:v>
                </c:pt>
                <c:pt idx="33">
                  <c:v>1822.201858719827</c:v>
                </c:pt>
                <c:pt idx="34">
                  <c:v>1653.1916554934969</c:v>
                </c:pt>
                <c:pt idx="35">
                  <c:v>1845.336236259378</c:v>
                </c:pt>
                <c:pt idx="36">
                  <c:v>2027.2327283135901</c:v>
                </c:pt>
                <c:pt idx="37">
                  <c:v>1922.0873155655129</c:v>
                </c:pt>
                <c:pt idx="38">
                  <c:v>1793.0021445949569</c:v>
                </c:pt>
                <c:pt idx="39">
                  <c:v>1772.90470050268</c:v>
                </c:pt>
                <c:pt idx="40">
                  <c:v>1534.5140763925099</c:v>
                </c:pt>
                <c:pt idx="41">
                  <c:v>1804.525181659737</c:v>
                </c:pt>
                <c:pt idx="42">
                  <c:v>1909.136400740726</c:v>
                </c:pt>
                <c:pt idx="43">
                  <c:v>1832.0848120830321</c:v>
                </c:pt>
                <c:pt idx="44">
                  <c:v>1913.20259389894</c:v>
                </c:pt>
                <c:pt idx="45">
                  <c:v>2118.4904259741088</c:v>
                </c:pt>
                <c:pt idx="46">
                  <c:v>2420.9067853707711</c:v>
                </c:pt>
                <c:pt idx="47">
                  <c:v>2628.1608228390451</c:v>
                </c:pt>
                <c:pt idx="48">
                  <c:v>2458.2371060856908</c:v>
                </c:pt>
                <c:pt idx="49">
                  <c:v>2544.6771618756784</c:v>
                </c:pt>
                <c:pt idx="50">
                  <c:v>2603.0872872798082</c:v>
                </c:pt>
                <c:pt idx="51">
                  <c:v>2789.2395313772408</c:v>
                </c:pt>
                <c:pt idx="52">
                  <c:v>2680.4398339359859</c:v>
                </c:pt>
                <c:pt idx="53">
                  <c:v>2676.1570415928522</c:v>
                </c:pt>
                <c:pt idx="54">
                  <c:v>2507.533351233802</c:v>
                </c:pt>
                <c:pt idx="55">
                  <c:v>2797.368484008191</c:v>
                </c:pt>
                <c:pt idx="56">
                  <c:v>2776.974722952873</c:v>
                </c:pt>
                <c:pt idx="57">
                  <c:v>2456.9347650783002</c:v>
                </c:pt>
                <c:pt idx="58">
                  <c:v>2257.904084661041</c:v>
                </c:pt>
                <c:pt idx="59">
                  <c:v>2147.12602849124</c:v>
                </c:pt>
                <c:pt idx="60">
                  <c:v>2162.1043342664461</c:v>
                </c:pt>
                <c:pt idx="61">
                  <c:v>2483.4625665996432</c:v>
                </c:pt>
                <c:pt idx="62">
                  <c:v>2496.4921029692268</c:v>
                </c:pt>
                <c:pt idx="63">
                  <c:v>2387.241615464492</c:v>
                </c:pt>
                <c:pt idx="64">
                  <c:v>2509.147692984543</c:v>
                </c:pt>
                <c:pt idx="65">
                  <c:v>2138.719164959743</c:v>
                </c:pt>
                <c:pt idx="66">
                  <c:v>2142.6053520852711</c:v>
                </c:pt>
                <c:pt idx="67">
                  <c:v>1987.998319062842</c:v>
                </c:pt>
                <c:pt idx="68">
                  <c:v>1903.7552894598371</c:v>
                </c:pt>
                <c:pt idx="69">
                  <c:v>1730.224606494884</c:v>
                </c:pt>
                <c:pt idx="70">
                  <c:v>1806.3490786068098</c:v>
                </c:pt>
                <c:pt idx="71">
                  <c:v>2107.8875345546808</c:v>
                </c:pt>
                <c:pt idx="72">
                  <c:v>2271.5615354249221</c:v>
                </c:pt>
                <c:pt idx="73">
                  <c:v>1557.3257947332631</c:v>
                </c:pt>
                <c:pt idx="74">
                  <c:v>1298.6568389667918</c:v>
                </c:pt>
                <c:pt idx="75">
                  <c:v>779.45758218486003</c:v>
                </c:pt>
                <c:pt idx="76">
                  <c:v>927.10536020816903</c:v>
                </c:pt>
              </c:numCache>
            </c:numRef>
          </c:val>
          <c:smooth val="0"/>
          <c:extLst>
            <c:ext xmlns:c16="http://schemas.microsoft.com/office/drawing/2014/chart" uri="{C3380CC4-5D6E-409C-BE32-E72D297353CC}">
              <c16:uniqueId val="{00000000-A45B-480C-8738-B84272F9A242}"/>
            </c:ext>
          </c:extLst>
        </c:ser>
        <c:ser>
          <c:idx val="0"/>
          <c:order val="1"/>
          <c:tx>
            <c:strRef>
              <c:f>datos!$H$4</c:f>
              <c:strCache>
                <c:ptCount val="1"/>
                <c:pt idx="0">
                  <c:v>Tendencia-Ciclo</c:v>
                </c:pt>
              </c:strCache>
            </c:strRef>
          </c:tx>
          <c:spPr>
            <a:ln w="9525">
              <a:solidFill>
                <a:srgbClr val="C00000"/>
              </a:solidFill>
              <a:prstDash val="solid"/>
            </a:ln>
            <a:effectLst/>
          </c:spPr>
          <c:marker>
            <c:symbol val="none"/>
          </c:marker>
          <c:cat>
            <c:multiLvlStrRef>
              <c:f>datos!$A$29:$B$105</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2014</c:v>
                  </c:pt>
                  <c:pt idx="12">
                    <c:v>2015</c:v>
                  </c:pt>
                  <c:pt idx="24">
                    <c:v>2016</c:v>
                  </c:pt>
                  <c:pt idx="36">
                    <c:v>2017</c:v>
                  </c:pt>
                  <c:pt idx="48">
                    <c:v>2018</c:v>
                  </c:pt>
                  <c:pt idx="60">
                    <c:v>2019</c:v>
                  </c:pt>
                  <c:pt idx="72">
                    <c:v>2020</c:v>
                  </c:pt>
                </c:lvl>
              </c:multiLvlStrCache>
            </c:multiLvlStrRef>
          </c:cat>
          <c:val>
            <c:numRef>
              <c:f>datos!$H$29:$H$105</c:f>
              <c:numCache>
                <c:formatCode>#,##0.0</c:formatCode>
                <c:ptCount val="77"/>
                <c:pt idx="0">
                  <c:v>4097.4324459257741</c:v>
                </c:pt>
                <c:pt idx="1">
                  <c:v>4067.0138190296661</c:v>
                </c:pt>
                <c:pt idx="2">
                  <c:v>3981.4199525335571</c:v>
                </c:pt>
                <c:pt idx="3">
                  <c:v>3866.1063936581741</c:v>
                </c:pt>
                <c:pt idx="4">
                  <c:v>3745.1041242771053</c:v>
                </c:pt>
                <c:pt idx="5">
                  <c:v>3646.1425116966789</c:v>
                </c:pt>
                <c:pt idx="6">
                  <c:v>3563.8877830913257</c:v>
                </c:pt>
                <c:pt idx="7">
                  <c:v>3455.8468233507338</c:v>
                </c:pt>
                <c:pt idx="8">
                  <c:v>3301.7989557144519</c:v>
                </c:pt>
                <c:pt idx="9">
                  <c:v>3097.709161580312</c:v>
                </c:pt>
                <c:pt idx="10">
                  <c:v>2861.4709764236081</c:v>
                </c:pt>
                <c:pt idx="11">
                  <c:v>2618.630285163289</c:v>
                </c:pt>
                <c:pt idx="12">
                  <c:v>2403.718995825092</c:v>
                </c:pt>
                <c:pt idx="13">
                  <c:v>2247.0990916840428</c:v>
                </c:pt>
                <c:pt idx="14">
                  <c:v>2164.6331550518712</c:v>
                </c:pt>
                <c:pt idx="15">
                  <c:v>2128.5109750117708</c:v>
                </c:pt>
                <c:pt idx="16">
                  <c:v>2102.887506571311</c:v>
                </c:pt>
                <c:pt idx="17">
                  <c:v>2062.847593894372</c:v>
                </c:pt>
                <c:pt idx="18">
                  <c:v>1987.9831388733742</c:v>
                </c:pt>
                <c:pt idx="19">
                  <c:v>1879.0033297956079</c:v>
                </c:pt>
                <c:pt idx="20">
                  <c:v>1739.3772102626001</c:v>
                </c:pt>
                <c:pt idx="21">
                  <c:v>1582.436906561886</c:v>
                </c:pt>
                <c:pt idx="22">
                  <c:v>1430.2635002067641</c:v>
                </c:pt>
                <c:pt idx="23">
                  <c:v>1312.9549129269451</c:v>
                </c:pt>
                <c:pt idx="24">
                  <c:v>1249.358356822929</c:v>
                </c:pt>
                <c:pt idx="25">
                  <c:v>1246.3820481058979</c:v>
                </c:pt>
                <c:pt idx="26">
                  <c:v>1297.1706013718181</c:v>
                </c:pt>
                <c:pt idx="27">
                  <c:v>1385.768924228985</c:v>
                </c:pt>
                <c:pt idx="28">
                  <c:v>1491.5317056221579</c:v>
                </c:pt>
                <c:pt idx="29">
                  <c:v>1588.9870883704709</c:v>
                </c:pt>
                <c:pt idx="30">
                  <c:v>1661.886752822672</c:v>
                </c:pt>
                <c:pt idx="31">
                  <c:v>1716.0866443220962</c:v>
                </c:pt>
                <c:pt idx="32">
                  <c:v>1763.1345017999431</c:v>
                </c:pt>
                <c:pt idx="33">
                  <c:v>1809.9044509138951</c:v>
                </c:pt>
                <c:pt idx="34">
                  <c:v>1854.3919444587971</c:v>
                </c:pt>
                <c:pt idx="35">
                  <c:v>1883.4182857952039</c:v>
                </c:pt>
                <c:pt idx="36">
                  <c:v>1884.419019796268</c:v>
                </c:pt>
                <c:pt idx="37">
                  <c:v>1862.9769866096879</c:v>
                </c:pt>
                <c:pt idx="38">
                  <c:v>1829.859497249912</c:v>
                </c:pt>
                <c:pt idx="39">
                  <c:v>1792.5925124361841</c:v>
                </c:pt>
                <c:pt idx="40">
                  <c:v>1763.152207176222</c:v>
                </c:pt>
                <c:pt idx="41">
                  <c:v>1760.6840932862119</c:v>
                </c:pt>
                <c:pt idx="42">
                  <c:v>1808.3856784956749</c:v>
                </c:pt>
                <c:pt idx="43">
                  <c:v>1907.0404081545641</c:v>
                </c:pt>
                <c:pt idx="44">
                  <c:v>2040.3662524235529</c:v>
                </c:pt>
                <c:pt idx="45">
                  <c:v>2186.549766751793</c:v>
                </c:pt>
                <c:pt idx="46">
                  <c:v>2328.7765804962169</c:v>
                </c:pt>
                <c:pt idx="47">
                  <c:v>2452.8281076728108</c:v>
                </c:pt>
                <c:pt idx="48">
                  <c:v>2550.7291597751473</c:v>
                </c:pt>
                <c:pt idx="49">
                  <c:v>2613.3873494133932</c:v>
                </c:pt>
                <c:pt idx="50">
                  <c:v>2646.3359978954159</c:v>
                </c:pt>
                <c:pt idx="51">
                  <c:v>2671.103525578053</c:v>
                </c:pt>
                <c:pt idx="52">
                  <c:v>2698.3014855937931</c:v>
                </c:pt>
                <c:pt idx="53">
                  <c:v>2717.9918680282381</c:v>
                </c:pt>
                <c:pt idx="54">
                  <c:v>2709.1501813198938</c:v>
                </c:pt>
                <c:pt idx="55">
                  <c:v>2653.5234303745428</c:v>
                </c:pt>
                <c:pt idx="56">
                  <c:v>2558.1307891443212</c:v>
                </c:pt>
                <c:pt idx="57">
                  <c:v>2446.4002274806558</c:v>
                </c:pt>
                <c:pt idx="58">
                  <c:v>2345.7400466396571</c:v>
                </c:pt>
                <c:pt idx="59">
                  <c:v>2288.2971195547998</c:v>
                </c:pt>
                <c:pt idx="60">
                  <c:v>2289.0293114167362</c:v>
                </c:pt>
                <c:pt idx="61">
                  <c:v>2334.0343059512829</c:v>
                </c:pt>
                <c:pt idx="62">
                  <c:v>2386.2875164741918</c:v>
                </c:pt>
                <c:pt idx="63">
                  <c:v>2398.6935434554889</c:v>
                </c:pt>
                <c:pt idx="64">
                  <c:v>2349.651050283212</c:v>
                </c:pt>
                <c:pt idx="65">
                  <c:v>2250.5093408560888</c:v>
                </c:pt>
                <c:pt idx="66">
                  <c:v>2136.4647617739079</c:v>
                </c:pt>
                <c:pt idx="67">
                  <c:v>2043.5486249938081</c:v>
                </c:pt>
                <c:pt idx="68">
                  <c:v>1987.1081712794471</c:v>
                </c:pt>
                <c:pt idx="69">
                  <c:v>1952.562263515083</c:v>
                </c:pt>
                <c:pt idx="70">
                  <c:v>1912.4508286728119</c:v>
                </c:pt>
                <c:pt idx="71">
                  <c:v>1837.682304268548</c:v>
                </c:pt>
                <c:pt idx="72">
                  <c:v>1709.4137807686861</c:v>
                </c:pt>
                <c:pt idx="73">
                  <c:v>1539.8281044891121</c:v>
                </c:pt>
                <c:pt idx="74">
                  <c:v>1352.9886764679541</c:v>
                </c:pt>
                <c:pt idx="75">
                  <c:v>1184.5926719500369</c:v>
                </c:pt>
                <c:pt idx="76">
                  <c:v>1059.13141222385</c:v>
                </c:pt>
              </c:numCache>
            </c:numRef>
          </c:val>
          <c:smooth val="0"/>
          <c:extLst>
            <c:ext xmlns:c16="http://schemas.microsoft.com/office/drawing/2014/chart" uri="{C3380CC4-5D6E-409C-BE32-E72D297353CC}">
              <c16:uniqueId val="{00000001-A45B-480C-8738-B84272F9A242}"/>
            </c:ext>
          </c:extLst>
        </c:ser>
        <c:dLbls>
          <c:showLegendKey val="0"/>
          <c:showVal val="0"/>
          <c:showCatName val="0"/>
          <c:showSerName val="0"/>
          <c:showPercent val="0"/>
          <c:showBubbleSize val="0"/>
        </c:dLbls>
        <c:smooth val="0"/>
        <c:axId val="787179504"/>
        <c:axId val="787178720"/>
      </c:lineChart>
      <c:catAx>
        <c:axId val="7871795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787178720"/>
        <c:crosses val="autoZero"/>
        <c:auto val="1"/>
        <c:lblAlgn val="ctr"/>
        <c:lblOffset val="0"/>
        <c:tickLblSkip val="1"/>
        <c:tickMarkSkip val="1"/>
        <c:noMultiLvlLbl val="1"/>
      </c:catAx>
      <c:valAx>
        <c:axId val="787178720"/>
        <c:scaling>
          <c:orientation val="minMax"/>
          <c:max val="5500"/>
          <c:min val="5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787179504"/>
        <c:crosses val="max"/>
        <c:crossBetween val="between"/>
        <c:majorUnit val="900"/>
        <c:minorUnit val="400"/>
      </c:valAx>
      <c:spPr>
        <a:noFill/>
        <a:ln w="25400">
          <a:noFill/>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46898278008905"/>
          <c:y val="0.93015109461252066"/>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cap="small" baseline="0"/>
            </a:pPr>
            <a:r>
              <a:rPr lang="es-ES" sz="700" b="1" cap="small" baseline="0"/>
              <a:t>No Petroleras</a:t>
            </a:r>
          </a:p>
        </c:rich>
      </c:tx>
      <c:layout>
        <c:manualLayout>
          <c:xMode val="edge"/>
          <c:yMode val="edge"/>
          <c:x val="0.3759026019690882"/>
          <c:y val="4.3552812071330589E-3"/>
        </c:manualLayout>
      </c:layout>
      <c:overlay val="1"/>
    </c:title>
    <c:autoTitleDeleted val="0"/>
    <c:plotArea>
      <c:layout>
        <c:manualLayout>
          <c:layoutTarget val="inner"/>
          <c:xMode val="edge"/>
          <c:yMode val="edge"/>
          <c:x val="2.7150492264416341E-2"/>
          <c:y val="6.1071844993141312E-2"/>
          <c:w val="0.87057255039852288"/>
          <c:h val="0.78843055555555552"/>
        </c:manualLayout>
      </c:layout>
      <c:lineChart>
        <c:grouping val="standard"/>
        <c:varyColors val="0"/>
        <c:ser>
          <c:idx val="1"/>
          <c:order val="0"/>
          <c:tx>
            <c:strRef>
              <c:f>datos!$I$4</c:f>
              <c:strCache>
                <c:ptCount val="1"/>
                <c:pt idx="0">
                  <c:v>Serie Desestacionalizada</c:v>
                </c:pt>
              </c:strCache>
            </c:strRef>
          </c:tx>
          <c:spPr>
            <a:ln w="6350" cap="flat">
              <a:solidFill>
                <a:srgbClr val="95B3D7"/>
              </a:solidFill>
              <a:prstDash val="solid"/>
            </a:ln>
            <a:effectLst/>
          </c:spPr>
          <c:marker>
            <c:symbol val="none"/>
          </c:marker>
          <c:cat>
            <c:multiLvlStrRef>
              <c:f>datos!$A$29:$B$105</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2014</c:v>
                  </c:pt>
                  <c:pt idx="12">
                    <c:v>2015</c:v>
                  </c:pt>
                  <c:pt idx="24">
                    <c:v>2016</c:v>
                  </c:pt>
                  <c:pt idx="36">
                    <c:v>2017</c:v>
                  </c:pt>
                  <c:pt idx="48">
                    <c:v>2018</c:v>
                  </c:pt>
                  <c:pt idx="60">
                    <c:v>2019</c:v>
                  </c:pt>
                  <c:pt idx="72">
                    <c:v>2020</c:v>
                  </c:pt>
                </c:lvl>
              </c:multiLvlStrCache>
            </c:multiLvlStrRef>
          </c:cat>
          <c:val>
            <c:numRef>
              <c:f>datos!$I$29:$I$105</c:f>
              <c:numCache>
                <c:formatCode>#,##0.0</c:formatCode>
                <c:ptCount val="77"/>
                <c:pt idx="0">
                  <c:v>27428.378634143592</c:v>
                </c:pt>
                <c:pt idx="1">
                  <c:v>28420.285405445389</c:v>
                </c:pt>
                <c:pt idx="2">
                  <c:v>28711.789971805549</c:v>
                </c:pt>
                <c:pt idx="3">
                  <c:v>29349.370509334887</c:v>
                </c:pt>
                <c:pt idx="4">
                  <c:v>29612.859050424915</c:v>
                </c:pt>
                <c:pt idx="5">
                  <c:v>29343.795515302565</c:v>
                </c:pt>
                <c:pt idx="6">
                  <c:v>29752.116770152628</c:v>
                </c:pt>
                <c:pt idx="7">
                  <c:v>30059.802830116481</c:v>
                </c:pt>
                <c:pt idx="8">
                  <c:v>30098.949120398363</c:v>
                </c:pt>
                <c:pt idx="9">
                  <c:v>30690.184851633032</c:v>
                </c:pt>
                <c:pt idx="10">
                  <c:v>29898.645216778452</c:v>
                </c:pt>
                <c:pt idx="11">
                  <c:v>30438.158528536671</c:v>
                </c:pt>
                <c:pt idx="12">
                  <c:v>30088.634521986769</c:v>
                </c:pt>
                <c:pt idx="13">
                  <c:v>29588.436461893511</c:v>
                </c:pt>
                <c:pt idx="14">
                  <c:v>30257.367137166155</c:v>
                </c:pt>
                <c:pt idx="15">
                  <c:v>30189.387341736416</c:v>
                </c:pt>
                <c:pt idx="16">
                  <c:v>28913.516382516282</c:v>
                </c:pt>
                <c:pt idx="17">
                  <c:v>30132.540202135337</c:v>
                </c:pt>
                <c:pt idx="18">
                  <c:v>30270.108728191983</c:v>
                </c:pt>
                <c:pt idx="19">
                  <c:v>29816.046025960302</c:v>
                </c:pt>
                <c:pt idx="20">
                  <c:v>29675.652296853819</c:v>
                </c:pt>
                <c:pt idx="21">
                  <c:v>30485.204691555726</c:v>
                </c:pt>
                <c:pt idx="22">
                  <c:v>29417.235195984835</c:v>
                </c:pt>
                <c:pt idx="23">
                  <c:v>28588.710128441897</c:v>
                </c:pt>
                <c:pt idx="24">
                  <c:v>29926.65911995744</c:v>
                </c:pt>
                <c:pt idx="25">
                  <c:v>28604.112925357302</c:v>
                </c:pt>
                <c:pt idx="26">
                  <c:v>27817.543275457876</c:v>
                </c:pt>
                <c:pt idx="27">
                  <c:v>28844.773238337541</c:v>
                </c:pt>
                <c:pt idx="28">
                  <c:v>28852.799121954828</c:v>
                </c:pt>
                <c:pt idx="29">
                  <c:v>28999.140140200263</c:v>
                </c:pt>
                <c:pt idx="30">
                  <c:v>29620.73412180796</c:v>
                </c:pt>
                <c:pt idx="31">
                  <c:v>29329.111473486511</c:v>
                </c:pt>
                <c:pt idx="32">
                  <c:v>30523.638315088447</c:v>
                </c:pt>
                <c:pt idx="33">
                  <c:v>30150.668812214793</c:v>
                </c:pt>
                <c:pt idx="34">
                  <c:v>31096.077414039271</c:v>
                </c:pt>
                <c:pt idx="35">
                  <c:v>31044.303562150446</c:v>
                </c:pt>
                <c:pt idx="36">
                  <c:v>31217.514096826329</c:v>
                </c:pt>
                <c:pt idx="37">
                  <c:v>31393.487603221627</c:v>
                </c:pt>
                <c:pt idx="38">
                  <c:v>31349.085896183344</c:v>
                </c:pt>
                <c:pt idx="39">
                  <c:v>31417.109673262741</c:v>
                </c:pt>
                <c:pt idx="40">
                  <c:v>31568.506541032453</c:v>
                </c:pt>
                <c:pt idx="41">
                  <c:v>32409.59271747958</c:v>
                </c:pt>
                <c:pt idx="42">
                  <c:v>31932.832584367166</c:v>
                </c:pt>
                <c:pt idx="43">
                  <c:v>32456.810148768214</c:v>
                </c:pt>
                <c:pt idx="44">
                  <c:v>32317.235372762909</c:v>
                </c:pt>
                <c:pt idx="45">
                  <c:v>32766.751127824664</c:v>
                </c:pt>
                <c:pt idx="46">
                  <c:v>33717.640676254596</c:v>
                </c:pt>
                <c:pt idx="47">
                  <c:v>33878.599480766381</c:v>
                </c:pt>
                <c:pt idx="48">
                  <c:v>33498.060828730508</c:v>
                </c:pt>
                <c:pt idx="49">
                  <c:v>34506.271883068031</c:v>
                </c:pt>
                <c:pt idx="50">
                  <c:v>35617.992516746097</c:v>
                </c:pt>
                <c:pt idx="51">
                  <c:v>34606.724391174728</c:v>
                </c:pt>
                <c:pt idx="52">
                  <c:v>33976.510004321259</c:v>
                </c:pt>
                <c:pt idx="53">
                  <c:v>34472.607990129109</c:v>
                </c:pt>
                <c:pt idx="54">
                  <c:v>34804.707312809842</c:v>
                </c:pt>
                <c:pt idx="55">
                  <c:v>35160.626579060663</c:v>
                </c:pt>
                <c:pt idx="56">
                  <c:v>36490.512604674113</c:v>
                </c:pt>
                <c:pt idx="57">
                  <c:v>35628.355299806884</c:v>
                </c:pt>
                <c:pt idx="58">
                  <c:v>35174.181005149825</c:v>
                </c:pt>
                <c:pt idx="59">
                  <c:v>36046.375527815406</c:v>
                </c:pt>
                <c:pt idx="60">
                  <c:v>35846.283623207783</c:v>
                </c:pt>
                <c:pt idx="61">
                  <c:v>35823.8349633127</c:v>
                </c:pt>
                <c:pt idx="62">
                  <c:v>35829.934153987073</c:v>
                </c:pt>
                <c:pt idx="63">
                  <c:v>36535.764469184964</c:v>
                </c:pt>
                <c:pt idx="64">
                  <c:v>36867.25482659362</c:v>
                </c:pt>
                <c:pt idx="65">
                  <c:v>36647.621653392504</c:v>
                </c:pt>
                <c:pt idx="66">
                  <c:v>36410.298684974943</c:v>
                </c:pt>
                <c:pt idx="67">
                  <c:v>37553.166086922873</c:v>
                </c:pt>
                <c:pt idx="68">
                  <c:v>36052.221346108097</c:v>
                </c:pt>
                <c:pt idx="69">
                  <c:v>35722.37009614311</c:v>
                </c:pt>
                <c:pt idx="70">
                  <c:v>35649.126632783191</c:v>
                </c:pt>
                <c:pt idx="71">
                  <c:v>35795.471380715499</c:v>
                </c:pt>
                <c:pt idx="72">
                  <c:v>37070.840149421623</c:v>
                </c:pt>
                <c:pt idx="73">
                  <c:v>36420.146862994079</c:v>
                </c:pt>
                <c:pt idx="74">
                  <c:v>35184.094086697398</c:v>
                </c:pt>
                <c:pt idx="75">
                  <c:v>21966.050614459407</c:v>
                </c:pt>
                <c:pt idx="76">
                  <c:v>17132.74065960888</c:v>
                </c:pt>
              </c:numCache>
            </c:numRef>
          </c:val>
          <c:smooth val="0"/>
          <c:extLst>
            <c:ext xmlns:c16="http://schemas.microsoft.com/office/drawing/2014/chart" uri="{C3380CC4-5D6E-409C-BE32-E72D297353CC}">
              <c16:uniqueId val="{00000000-CBEC-4A60-8DD4-DB84F8CBDC28}"/>
            </c:ext>
          </c:extLst>
        </c:ser>
        <c:ser>
          <c:idx val="0"/>
          <c:order val="1"/>
          <c:tx>
            <c:strRef>
              <c:f>datos!$J$4</c:f>
              <c:strCache>
                <c:ptCount val="1"/>
                <c:pt idx="0">
                  <c:v>Tendencia-Ciclo</c:v>
                </c:pt>
              </c:strCache>
            </c:strRef>
          </c:tx>
          <c:spPr>
            <a:ln w="9525">
              <a:solidFill>
                <a:srgbClr val="C00000"/>
              </a:solidFill>
              <a:prstDash val="solid"/>
            </a:ln>
            <a:effectLst/>
          </c:spPr>
          <c:marker>
            <c:symbol val="none"/>
          </c:marker>
          <c:cat>
            <c:multiLvlStrRef>
              <c:f>datos!$A$29:$B$105</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2014</c:v>
                  </c:pt>
                  <c:pt idx="12">
                    <c:v>2015</c:v>
                  </c:pt>
                  <c:pt idx="24">
                    <c:v>2016</c:v>
                  </c:pt>
                  <c:pt idx="36">
                    <c:v>2017</c:v>
                  </c:pt>
                  <c:pt idx="48">
                    <c:v>2018</c:v>
                  </c:pt>
                  <c:pt idx="60">
                    <c:v>2019</c:v>
                  </c:pt>
                  <c:pt idx="72">
                    <c:v>2020</c:v>
                  </c:pt>
                </c:lvl>
              </c:multiLvlStrCache>
            </c:multiLvlStrRef>
          </c:cat>
          <c:val>
            <c:numRef>
              <c:f>datos!$J$29:$J$105</c:f>
              <c:numCache>
                <c:formatCode>#,##0.0</c:formatCode>
                <c:ptCount val="77"/>
                <c:pt idx="0">
                  <c:v>28038.935180170014</c:v>
                </c:pt>
                <c:pt idx="1">
                  <c:v>28306.926176915669</c:v>
                </c:pt>
                <c:pt idx="2">
                  <c:v>28644.151954133376</c:v>
                </c:pt>
                <c:pt idx="3">
                  <c:v>28987.716848621181</c:v>
                </c:pt>
                <c:pt idx="4">
                  <c:v>29305.563098249775</c:v>
                </c:pt>
                <c:pt idx="5">
                  <c:v>29587.636254892706</c:v>
                </c:pt>
                <c:pt idx="6">
                  <c:v>29823.214250015539</c:v>
                </c:pt>
                <c:pt idx="7">
                  <c:v>30010.530745057702</c:v>
                </c:pt>
                <c:pt idx="8">
                  <c:v>30136.805397587585</c:v>
                </c:pt>
                <c:pt idx="9">
                  <c:v>30189.186815644389</c:v>
                </c:pt>
                <c:pt idx="10">
                  <c:v>30190.184572120284</c:v>
                </c:pt>
                <c:pt idx="11">
                  <c:v>30161.279624493731</c:v>
                </c:pt>
                <c:pt idx="12">
                  <c:v>30113.242083136811</c:v>
                </c:pt>
                <c:pt idx="13">
                  <c:v>30086.769399086734</c:v>
                </c:pt>
                <c:pt idx="14">
                  <c:v>30087.86957607546</c:v>
                </c:pt>
                <c:pt idx="15">
                  <c:v>30092.16200462433</c:v>
                </c:pt>
                <c:pt idx="16">
                  <c:v>30082.310584573534</c:v>
                </c:pt>
                <c:pt idx="17">
                  <c:v>30040.993238082261</c:v>
                </c:pt>
                <c:pt idx="18">
                  <c:v>29975.189516051159</c:v>
                </c:pt>
                <c:pt idx="19">
                  <c:v>29890.420438097535</c:v>
                </c:pt>
                <c:pt idx="20">
                  <c:v>29781.440404123005</c:v>
                </c:pt>
                <c:pt idx="21">
                  <c:v>29632.306300509379</c:v>
                </c:pt>
                <c:pt idx="22">
                  <c:v>29439.162831440579</c:v>
                </c:pt>
                <c:pt idx="23">
                  <c:v>29229.170869392678</c:v>
                </c:pt>
                <c:pt idx="24">
                  <c:v>29036.000708559593</c:v>
                </c:pt>
                <c:pt idx="25">
                  <c:v>28890.206808596718</c:v>
                </c:pt>
                <c:pt idx="26">
                  <c:v>28797.772347850219</c:v>
                </c:pt>
                <c:pt idx="27">
                  <c:v>28799.774025380022</c:v>
                </c:pt>
                <c:pt idx="28">
                  <c:v>28894.360524469223</c:v>
                </c:pt>
                <c:pt idx="29">
                  <c:v>29073.786510153011</c:v>
                </c:pt>
                <c:pt idx="30">
                  <c:v>29332.658350019476</c:v>
                </c:pt>
                <c:pt idx="31">
                  <c:v>29657.165789379906</c:v>
                </c:pt>
                <c:pt idx="32">
                  <c:v>30024.772117755354</c:v>
                </c:pt>
                <c:pt idx="33">
                  <c:v>30413.49777324426</c:v>
                </c:pt>
                <c:pt idx="34">
                  <c:v>30774.442323441297</c:v>
                </c:pt>
                <c:pt idx="35">
                  <c:v>31047.155286552665</c:v>
                </c:pt>
                <c:pt idx="36">
                  <c:v>31233.696887156908</c:v>
                </c:pt>
                <c:pt idx="37">
                  <c:v>31360.974060663815</c:v>
                </c:pt>
                <c:pt idx="38">
                  <c:v>31469.432719953809</c:v>
                </c:pt>
                <c:pt idx="39">
                  <c:v>31593.503430134831</c:v>
                </c:pt>
                <c:pt idx="40">
                  <c:v>31723.619909066267</c:v>
                </c:pt>
                <c:pt idx="41">
                  <c:v>31881.198876556973</c:v>
                </c:pt>
                <c:pt idx="42">
                  <c:v>32077.205922739886</c:v>
                </c:pt>
                <c:pt idx="43">
                  <c:v>32314.47225971122</c:v>
                </c:pt>
                <c:pt idx="44">
                  <c:v>32589.994971345986</c:v>
                </c:pt>
                <c:pt idx="45">
                  <c:v>32921.901888808723</c:v>
                </c:pt>
                <c:pt idx="46">
                  <c:v>33305.625749681021</c:v>
                </c:pt>
                <c:pt idx="47">
                  <c:v>33717.427231563073</c:v>
                </c:pt>
                <c:pt idx="48">
                  <c:v>34092.929720500637</c:v>
                </c:pt>
                <c:pt idx="49">
                  <c:v>34369.190763052451</c:v>
                </c:pt>
                <c:pt idx="50">
                  <c:v>34539.673850853855</c:v>
                </c:pt>
                <c:pt idx="51">
                  <c:v>34632.234034820132</c:v>
                </c:pt>
                <c:pt idx="52">
                  <c:v>34715.398454629365</c:v>
                </c:pt>
                <c:pt idx="53">
                  <c:v>34813.383438966019</c:v>
                </c:pt>
                <c:pt idx="54">
                  <c:v>34944.584250943139</c:v>
                </c:pt>
                <c:pt idx="55">
                  <c:v>35123.361837179895</c:v>
                </c:pt>
                <c:pt idx="56">
                  <c:v>35324.258361920191</c:v>
                </c:pt>
                <c:pt idx="57">
                  <c:v>35485.139955513936</c:v>
                </c:pt>
                <c:pt idx="58">
                  <c:v>35588.58418051336</c:v>
                </c:pt>
                <c:pt idx="59">
                  <c:v>35671.075729645527</c:v>
                </c:pt>
                <c:pt idx="60">
                  <c:v>35771.717687245553</c:v>
                </c:pt>
                <c:pt idx="61">
                  <c:v>35936.955420123857</c:v>
                </c:pt>
                <c:pt idx="62">
                  <c:v>36171.548090656215</c:v>
                </c:pt>
                <c:pt idx="63">
                  <c:v>36425.252395782169</c:v>
                </c:pt>
                <c:pt idx="64">
                  <c:v>36632.324390060996</c:v>
                </c:pt>
                <c:pt idx="65">
                  <c:v>36734.918645208643</c:v>
                </c:pt>
                <c:pt idx="66">
                  <c:v>36698.352573649092</c:v>
                </c:pt>
                <c:pt idx="67">
                  <c:v>36525.169930644392</c:v>
                </c:pt>
                <c:pt idx="68">
                  <c:v>36297.990100897747</c:v>
                </c:pt>
                <c:pt idx="69">
                  <c:v>36088.496967480613</c:v>
                </c:pt>
                <c:pt idx="70">
                  <c:v>35941.706024639672</c:v>
                </c:pt>
                <c:pt idx="71">
                  <c:v>35866.410133876707</c:v>
                </c:pt>
                <c:pt idx="72">
                  <c:v>35852.657312752606</c:v>
                </c:pt>
                <c:pt idx="73">
                  <c:v>35865.791929240644</c:v>
                </c:pt>
                <c:pt idx="74">
                  <c:v>35881.90198252508</c:v>
                </c:pt>
                <c:pt idx="75">
                  <c:v>21963.791021850193</c:v>
                </c:pt>
                <c:pt idx="76">
                  <c:v>21992.602406789621</c:v>
                </c:pt>
              </c:numCache>
            </c:numRef>
          </c:val>
          <c:smooth val="0"/>
          <c:extLst>
            <c:ext xmlns:c16="http://schemas.microsoft.com/office/drawing/2014/chart" uri="{C3380CC4-5D6E-409C-BE32-E72D297353CC}">
              <c16:uniqueId val="{00000001-CBEC-4A60-8DD4-DB84F8CBDC28}"/>
            </c:ext>
          </c:extLst>
        </c:ser>
        <c:dLbls>
          <c:showLegendKey val="0"/>
          <c:showVal val="0"/>
          <c:showCatName val="0"/>
          <c:showSerName val="0"/>
          <c:showPercent val="0"/>
          <c:showBubbleSize val="0"/>
        </c:dLbls>
        <c:smooth val="0"/>
        <c:axId val="787179896"/>
        <c:axId val="787180680"/>
      </c:lineChart>
      <c:catAx>
        <c:axId val="78717989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787180680"/>
        <c:crosses val="autoZero"/>
        <c:auto val="1"/>
        <c:lblAlgn val="ctr"/>
        <c:lblOffset val="0"/>
        <c:tickLblSkip val="1"/>
        <c:tickMarkSkip val="1"/>
        <c:noMultiLvlLbl val="1"/>
      </c:catAx>
      <c:valAx>
        <c:axId val="787180680"/>
        <c:scaling>
          <c:orientation val="minMax"/>
          <c:min val="16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787179896"/>
        <c:crosses val="max"/>
        <c:crossBetween val="between"/>
        <c:majorUnit val="4800"/>
        <c:minorUnit val="1000"/>
      </c:valAx>
      <c:spPr>
        <a:noFill/>
        <a:ln w="25400">
          <a:noFill/>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46913580246912"/>
          <c:y val="0.93397297808012092"/>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cap="small" baseline="0"/>
            </a:pPr>
            <a:r>
              <a:rPr lang="es-ES" sz="700" b="1" cap="small" baseline="0"/>
              <a:t>Manufactureras</a:t>
            </a:r>
          </a:p>
        </c:rich>
      </c:tx>
      <c:layout>
        <c:manualLayout>
          <c:xMode val="edge"/>
          <c:yMode val="edge"/>
          <c:x val="0.33520663384905747"/>
          <c:y val="1.5243484224966269E-2"/>
        </c:manualLayout>
      </c:layout>
      <c:overlay val="1"/>
    </c:title>
    <c:autoTitleDeleted val="0"/>
    <c:plotArea>
      <c:layout>
        <c:manualLayout>
          <c:layoutTarget val="inner"/>
          <c:xMode val="edge"/>
          <c:yMode val="edge"/>
          <c:x val="2.7150492264416341E-2"/>
          <c:y val="5.6716563786008332E-2"/>
          <c:w val="0.87057255039852288"/>
          <c:h val="0.78843055555555552"/>
        </c:manualLayout>
      </c:layout>
      <c:lineChart>
        <c:grouping val="standard"/>
        <c:varyColors val="0"/>
        <c:ser>
          <c:idx val="1"/>
          <c:order val="0"/>
          <c:tx>
            <c:strRef>
              <c:f>datos!$K$4</c:f>
              <c:strCache>
                <c:ptCount val="1"/>
                <c:pt idx="0">
                  <c:v>Serie Desestacionalizada</c:v>
                </c:pt>
              </c:strCache>
            </c:strRef>
          </c:tx>
          <c:spPr>
            <a:ln w="6350" cap="flat">
              <a:solidFill>
                <a:srgbClr val="95B3D7"/>
              </a:solidFill>
              <a:prstDash val="solid"/>
            </a:ln>
            <a:effectLst/>
          </c:spPr>
          <c:marker>
            <c:symbol val="none"/>
          </c:marker>
          <c:cat>
            <c:multiLvlStrRef>
              <c:f>datos!$A$29:$B$105</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2014</c:v>
                  </c:pt>
                  <c:pt idx="12">
                    <c:v>2015</c:v>
                  </c:pt>
                  <c:pt idx="24">
                    <c:v>2016</c:v>
                  </c:pt>
                  <c:pt idx="36">
                    <c:v>2017</c:v>
                  </c:pt>
                  <c:pt idx="48">
                    <c:v>2018</c:v>
                  </c:pt>
                  <c:pt idx="60">
                    <c:v>2019</c:v>
                  </c:pt>
                  <c:pt idx="72">
                    <c:v>2020</c:v>
                  </c:pt>
                </c:lvl>
              </c:multiLvlStrCache>
            </c:multiLvlStrRef>
          </c:cat>
          <c:val>
            <c:numRef>
              <c:f>datos!$K$29:$K$105</c:f>
              <c:numCache>
                <c:formatCode>#,##0.0</c:formatCode>
                <c:ptCount val="77"/>
                <c:pt idx="0">
                  <c:v>26012.596037931191</c:v>
                </c:pt>
                <c:pt idx="1">
                  <c:v>27001.62618839119</c:v>
                </c:pt>
                <c:pt idx="2">
                  <c:v>27301.671528279367</c:v>
                </c:pt>
                <c:pt idx="3">
                  <c:v>27880.470642022789</c:v>
                </c:pt>
                <c:pt idx="4">
                  <c:v>28159.188143706029</c:v>
                </c:pt>
                <c:pt idx="5">
                  <c:v>27801.616952629382</c:v>
                </c:pt>
                <c:pt idx="6">
                  <c:v>28183.299523520942</c:v>
                </c:pt>
                <c:pt idx="7">
                  <c:v>28721.185900148648</c:v>
                </c:pt>
                <c:pt idx="8">
                  <c:v>28655.134337591931</c:v>
                </c:pt>
                <c:pt idx="9">
                  <c:v>29164.63623524315</c:v>
                </c:pt>
                <c:pt idx="10">
                  <c:v>28351.95754517792</c:v>
                </c:pt>
                <c:pt idx="11">
                  <c:v>29107.482377223248</c:v>
                </c:pt>
                <c:pt idx="12">
                  <c:v>28635.202804912562</c:v>
                </c:pt>
                <c:pt idx="13">
                  <c:v>28007.969621770812</c:v>
                </c:pt>
                <c:pt idx="14">
                  <c:v>28861.62367663455</c:v>
                </c:pt>
                <c:pt idx="15">
                  <c:v>28793.053485516881</c:v>
                </c:pt>
                <c:pt idx="16">
                  <c:v>27571.36202509901</c:v>
                </c:pt>
                <c:pt idx="17">
                  <c:v>28473.083613059171</c:v>
                </c:pt>
                <c:pt idx="18">
                  <c:v>28897.625982238518</c:v>
                </c:pt>
                <c:pt idx="19">
                  <c:v>28341.008313712569</c:v>
                </c:pt>
                <c:pt idx="20">
                  <c:v>28101.611162406418</c:v>
                </c:pt>
                <c:pt idx="21">
                  <c:v>29039.08564321954</c:v>
                </c:pt>
                <c:pt idx="22">
                  <c:v>27929.208046487169</c:v>
                </c:pt>
                <c:pt idx="23">
                  <c:v>27106.48689507489</c:v>
                </c:pt>
                <c:pt idx="24">
                  <c:v>28428.1871299958</c:v>
                </c:pt>
                <c:pt idx="25">
                  <c:v>27155.440847818019</c:v>
                </c:pt>
                <c:pt idx="26">
                  <c:v>26284.470849602851</c:v>
                </c:pt>
                <c:pt idx="27">
                  <c:v>27376.340559405849</c:v>
                </c:pt>
                <c:pt idx="28">
                  <c:v>27440.454394908629</c:v>
                </c:pt>
                <c:pt idx="29">
                  <c:v>27417.125895301298</c:v>
                </c:pt>
                <c:pt idx="30">
                  <c:v>27991.758643754052</c:v>
                </c:pt>
                <c:pt idx="31">
                  <c:v>27655.35669823514</c:v>
                </c:pt>
                <c:pt idx="32">
                  <c:v>28619.176433430759</c:v>
                </c:pt>
                <c:pt idx="33">
                  <c:v>28363.903961744123</c:v>
                </c:pt>
                <c:pt idx="34">
                  <c:v>29320.277699112801</c:v>
                </c:pt>
                <c:pt idx="35">
                  <c:v>29418.530864897199</c:v>
                </c:pt>
                <c:pt idx="36">
                  <c:v>29690.509855662298</c:v>
                </c:pt>
                <c:pt idx="37">
                  <c:v>29661.940742524599</c:v>
                </c:pt>
                <c:pt idx="38">
                  <c:v>29684.965327933904</c:v>
                </c:pt>
                <c:pt idx="39">
                  <c:v>29656.8141989904</c:v>
                </c:pt>
                <c:pt idx="40">
                  <c:v>29829.6946443259</c:v>
                </c:pt>
                <c:pt idx="41">
                  <c:v>30669.8812057264</c:v>
                </c:pt>
                <c:pt idx="42">
                  <c:v>30173.681584981299</c:v>
                </c:pt>
                <c:pt idx="43">
                  <c:v>30458.208334094899</c:v>
                </c:pt>
                <c:pt idx="44">
                  <c:v>30415.562984547396</c:v>
                </c:pt>
                <c:pt idx="45">
                  <c:v>30897.763937847798</c:v>
                </c:pt>
                <c:pt idx="46">
                  <c:v>31830.6923010264</c:v>
                </c:pt>
                <c:pt idx="47">
                  <c:v>31858.066972303601</c:v>
                </c:pt>
                <c:pt idx="48">
                  <c:v>31539.8905607862</c:v>
                </c:pt>
                <c:pt idx="49">
                  <c:v>32634.401280981197</c:v>
                </c:pt>
                <c:pt idx="50">
                  <c:v>33683.8568721997</c:v>
                </c:pt>
                <c:pt idx="51">
                  <c:v>32685.3133559915</c:v>
                </c:pt>
                <c:pt idx="52">
                  <c:v>31995.2162274332</c:v>
                </c:pt>
                <c:pt idx="53">
                  <c:v>32610.552813854898</c:v>
                </c:pt>
                <c:pt idx="54">
                  <c:v>32953.889372974198</c:v>
                </c:pt>
                <c:pt idx="55">
                  <c:v>33227.7041498775</c:v>
                </c:pt>
                <c:pt idx="56">
                  <c:v>34648.1955017418</c:v>
                </c:pt>
                <c:pt idx="57">
                  <c:v>33826.5684310543</c:v>
                </c:pt>
                <c:pt idx="58">
                  <c:v>33404.168241206302</c:v>
                </c:pt>
                <c:pt idx="59">
                  <c:v>34084.694348594203</c:v>
                </c:pt>
                <c:pt idx="60">
                  <c:v>33991.156050532001</c:v>
                </c:pt>
                <c:pt idx="61">
                  <c:v>33868.609794105098</c:v>
                </c:pt>
                <c:pt idx="62">
                  <c:v>33904.480275348098</c:v>
                </c:pt>
                <c:pt idx="63">
                  <c:v>34543.875304274603</c:v>
                </c:pt>
                <c:pt idx="64">
                  <c:v>34785.306117510401</c:v>
                </c:pt>
                <c:pt idx="65">
                  <c:v>34662.029975922203</c:v>
                </c:pt>
                <c:pt idx="66">
                  <c:v>34328.037921645999</c:v>
                </c:pt>
                <c:pt idx="67">
                  <c:v>35548.995953403202</c:v>
                </c:pt>
                <c:pt idx="68">
                  <c:v>34141.911446828097</c:v>
                </c:pt>
                <c:pt idx="69">
                  <c:v>33637.759613445203</c:v>
                </c:pt>
                <c:pt idx="70">
                  <c:v>33568.2820832211</c:v>
                </c:pt>
                <c:pt idx="71">
                  <c:v>33720.991456838899</c:v>
                </c:pt>
                <c:pt idx="72">
                  <c:v>34909.600551451098</c:v>
                </c:pt>
                <c:pt idx="73">
                  <c:v>34374.498463532305</c:v>
                </c:pt>
                <c:pt idx="74">
                  <c:v>33024.379283544404</c:v>
                </c:pt>
                <c:pt idx="75">
                  <c:v>19923.989036648392</c:v>
                </c:pt>
                <c:pt idx="76">
                  <c:v>15304.356117469659</c:v>
                </c:pt>
              </c:numCache>
            </c:numRef>
          </c:val>
          <c:smooth val="0"/>
          <c:extLst>
            <c:ext xmlns:c16="http://schemas.microsoft.com/office/drawing/2014/chart" uri="{C3380CC4-5D6E-409C-BE32-E72D297353CC}">
              <c16:uniqueId val="{00000000-839E-444F-BD3D-05F24D345B75}"/>
            </c:ext>
          </c:extLst>
        </c:ser>
        <c:ser>
          <c:idx val="0"/>
          <c:order val="1"/>
          <c:tx>
            <c:strRef>
              <c:f>datos!$J$4</c:f>
              <c:strCache>
                <c:ptCount val="1"/>
                <c:pt idx="0">
                  <c:v>Tendencia-Ciclo</c:v>
                </c:pt>
              </c:strCache>
            </c:strRef>
          </c:tx>
          <c:spPr>
            <a:ln w="9525">
              <a:solidFill>
                <a:srgbClr val="C00000"/>
              </a:solidFill>
              <a:prstDash val="solid"/>
            </a:ln>
            <a:effectLst/>
          </c:spPr>
          <c:marker>
            <c:symbol val="none"/>
          </c:marker>
          <c:cat>
            <c:multiLvlStrRef>
              <c:f>datos!$A$29:$B$105</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2014</c:v>
                  </c:pt>
                  <c:pt idx="12">
                    <c:v>2015</c:v>
                  </c:pt>
                  <c:pt idx="24">
                    <c:v>2016</c:v>
                  </c:pt>
                  <c:pt idx="36">
                    <c:v>2017</c:v>
                  </c:pt>
                  <c:pt idx="48">
                    <c:v>2018</c:v>
                  </c:pt>
                  <c:pt idx="60">
                    <c:v>2019</c:v>
                  </c:pt>
                  <c:pt idx="72">
                    <c:v>2020</c:v>
                  </c:pt>
                </c:lvl>
              </c:multiLvlStrCache>
            </c:multiLvlStrRef>
          </c:cat>
          <c:val>
            <c:numRef>
              <c:f>datos!$L$29:$L$105</c:f>
              <c:numCache>
                <c:formatCode>#,##0.0</c:formatCode>
                <c:ptCount val="77"/>
                <c:pt idx="0">
                  <c:v>26612.655220093198</c:v>
                </c:pt>
                <c:pt idx="1">
                  <c:v>26867.897119560381</c:v>
                </c:pt>
                <c:pt idx="2">
                  <c:v>27194.040834095387</c:v>
                </c:pt>
                <c:pt idx="3">
                  <c:v>27529.074548935339</c:v>
                </c:pt>
                <c:pt idx="4">
                  <c:v>27840.641521430909</c:v>
                </c:pt>
                <c:pt idx="5">
                  <c:v>28120.163701590653</c:v>
                </c:pt>
                <c:pt idx="6">
                  <c:v>28357.818222259222</c:v>
                </c:pt>
                <c:pt idx="7">
                  <c:v>28550.267581207394</c:v>
                </c:pt>
                <c:pt idx="8">
                  <c:v>28682.252866309282</c:v>
                </c:pt>
                <c:pt idx="9">
                  <c:v>28740.699401155631</c:v>
                </c:pt>
                <c:pt idx="10">
                  <c:v>28748.400312827038</c:v>
                </c:pt>
                <c:pt idx="11">
                  <c:v>28728.111960959606</c:v>
                </c:pt>
                <c:pt idx="12">
                  <c:v>28690.38971149825</c:v>
                </c:pt>
                <c:pt idx="13">
                  <c:v>28674.198982083406</c:v>
                </c:pt>
                <c:pt idx="14">
                  <c:v>28682.122775968324</c:v>
                </c:pt>
                <c:pt idx="15">
                  <c:v>28684.379216529789</c:v>
                </c:pt>
                <c:pt idx="16">
                  <c:v>28662.331589750727</c:v>
                </c:pt>
                <c:pt idx="17">
                  <c:v>28601.683135521747</c:v>
                </c:pt>
                <c:pt idx="18">
                  <c:v>28515.84061987669</c:v>
                </c:pt>
                <c:pt idx="19">
                  <c:v>28416.138694167777</c:v>
                </c:pt>
                <c:pt idx="20">
                  <c:v>28297.738296549862</c:v>
                </c:pt>
                <c:pt idx="21">
                  <c:v>28142.778995762521</c:v>
                </c:pt>
                <c:pt idx="22">
                  <c:v>27945.765874212389</c:v>
                </c:pt>
                <c:pt idx="23">
                  <c:v>27733.923583457276</c:v>
                </c:pt>
                <c:pt idx="24">
                  <c:v>27538.736783951379</c:v>
                </c:pt>
                <c:pt idx="25">
                  <c:v>27389.180178811708</c:v>
                </c:pt>
                <c:pt idx="26">
                  <c:v>27289.60597109863</c:v>
                </c:pt>
                <c:pt idx="27">
                  <c:v>27277.946230200989</c:v>
                </c:pt>
                <c:pt idx="28">
                  <c:v>27349.886071294441</c:v>
                </c:pt>
                <c:pt idx="29">
                  <c:v>27495.298774846</c:v>
                </c:pt>
                <c:pt idx="30">
                  <c:v>27712.368539992698</c:v>
                </c:pt>
                <c:pt idx="31">
                  <c:v>27995.875388822191</c:v>
                </c:pt>
                <c:pt idx="32">
                  <c:v>28334.673560498188</c:v>
                </c:pt>
                <c:pt idx="33">
                  <c:v>28710.568075017771</c:v>
                </c:pt>
                <c:pt idx="34">
                  <c:v>29071.101655584258</c:v>
                </c:pt>
                <c:pt idx="35">
                  <c:v>29348.237034940601</c:v>
                </c:pt>
                <c:pt idx="36">
                  <c:v>29537.439477301199</c:v>
                </c:pt>
                <c:pt idx="37">
                  <c:v>29663.201843152299</c:v>
                </c:pt>
                <c:pt idx="38">
                  <c:v>29764.833816521597</c:v>
                </c:pt>
                <c:pt idx="39">
                  <c:v>29874.987984726497</c:v>
                </c:pt>
                <c:pt idx="40">
                  <c:v>29984.730705336799</c:v>
                </c:pt>
                <c:pt idx="41">
                  <c:v>30117.570072407601</c:v>
                </c:pt>
                <c:pt idx="42">
                  <c:v>30284.496854590798</c:v>
                </c:pt>
                <c:pt idx="43">
                  <c:v>30490.135133732601</c:v>
                </c:pt>
                <c:pt idx="44">
                  <c:v>30736.461350342797</c:v>
                </c:pt>
                <c:pt idx="45">
                  <c:v>31044.531310877501</c:v>
                </c:pt>
                <c:pt idx="46">
                  <c:v>31413.160389835204</c:v>
                </c:pt>
                <c:pt idx="47">
                  <c:v>31816.102080025499</c:v>
                </c:pt>
                <c:pt idx="48">
                  <c:v>32186.054438305298</c:v>
                </c:pt>
                <c:pt idx="49">
                  <c:v>32458.691458093701</c:v>
                </c:pt>
                <c:pt idx="50">
                  <c:v>32627.748067157198</c:v>
                </c:pt>
                <c:pt idx="51">
                  <c:v>32722.281071047099</c:v>
                </c:pt>
                <c:pt idx="52">
                  <c:v>32811.192930020901</c:v>
                </c:pt>
                <c:pt idx="53">
                  <c:v>32919.256631747099</c:v>
                </c:pt>
                <c:pt idx="54">
                  <c:v>33064.710740429298</c:v>
                </c:pt>
                <c:pt idx="55">
                  <c:v>33258.064396275899</c:v>
                </c:pt>
                <c:pt idx="56">
                  <c:v>33468.257334241898</c:v>
                </c:pt>
                <c:pt idx="57">
                  <c:v>33632.484690173704</c:v>
                </c:pt>
                <c:pt idx="58">
                  <c:v>33731.176675856797</c:v>
                </c:pt>
                <c:pt idx="59">
                  <c:v>33800.560424169802</c:v>
                </c:pt>
                <c:pt idx="60">
                  <c:v>33882.794513107598</c:v>
                </c:pt>
                <c:pt idx="61">
                  <c:v>34024.497707853101</c:v>
                </c:pt>
                <c:pt idx="62">
                  <c:v>34231.9184305335</c:v>
                </c:pt>
                <c:pt idx="63">
                  <c:v>34461.340137511303</c:v>
                </c:pt>
                <c:pt idx="64">
                  <c:v>34649.4405075865</c:v>
                </c:pt>
                <c:pt idx="65">
                  <c:v>34737.384441483802</c:v>
                </c:pt>
                <c:pt idx="66">
                  <c:v>34689.929814229399</c:v>
                </c:pt>
                <c:pt idx="67">
                  <c:v>34507.518045990204</c:v>
                </c:pt>
                <c:pt idx="68">
                  <c:v>34268.515450778403</c:v>
                </c:pt>
                <c:pt idx="69">
                  <c:v>34041.731578957406</c:v>
                </c:pt>
                <c:pt idx="70">
                  <c:v>33873.796576053996</c:v>
                </c:pt>
                <c:pt idx="71">
                  <c:v>33780.123004012901</c:v>
                </c:pt>
                <c:pt idx="72">
                  <c:v>33755.624451987096</c:v>
                </c:pt>
                <c:pt idx="73">
                  <c:v>33769.8326831878</c:v>
                </c:pt>
                <c:pt idx="74">
                  <c:v>33796.680532099002</c:v>
                </c:pt>
                <c:pt idx="75">
                  <c:v>19890.859855141753</c:v>
                </c:pt>
                <c:pt idx="76">
                  <c:v>19926.81205699873</c:v>
                </c:pt>
              </c:numCache>
            </c:numRef>
          </c:val>
          <c:smooth val="0"/>
          <c:extLst>
            <c:ext xmlns:c16="http://schemas.microsoft.com/office/drawing/2014/chart" uri="{C3380CC4-5D6E-409C-BE32-E72D297353CC}">
              <c16:uniqueId val="{00000001-839E-444F-BD3D-05F24D345B75}"/>
            </c:ext>
          </c:extLst>
        </c:ser>
        <c:dLbls>
          <c:showLegendKey val="0"/>
          <c:showVal val="0"/>
          <c:showCatName val="0"/>
          <c:showSerName val="0"/>
          <c:showPercent val="0"/>
          <c:showBubbleSize val="0"/>
        </c:dLbls>
        <c:smooth val="0"/>
        <c:axId val="780756064"/>
        <c:axId val="780753320"/>
      </c:lineChart>
      <c:catAx>
        <c:axId val="78075606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780753320"/>
        <c:crosses val="autoZero"/>
        <c:auto val="1"/>
        <c:lblAlgn val="ctr"/>
        <c:lblOffset val="0"/>
        <c:tickLblSkip val="1"/>
        <c:tickMarkSkip val="1"/>
        <c:noMultiLvlLbl val="1"/>
      </c:catAx>
      <c:valAx>
        <c:axId val="780753320"/>
        <c:scaling>
          <c:orientation val="minMax"/>
          <c:max val="37000"/>
          <c:min val="14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780756064"/>
        <c:crosses val="max"/>
        <c:crossBetween val="between"/>
        <c:majorUnit val="5000"/>
        <c:minorUnit val="10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39830748653799"/>
          <c:y val="0.93477321031841931"/>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Automotrices</a:t>
            </a:r>
          </a:p>
        </c:rich>
      </c:tx>
      <c:layout>
        <c:manualLayout>
          <c:xMode val="edge"/>
          <c:yMode val="edge"/>
          <c:x val="0.36747761368966086"/>
          <c:y val="8.7105624142661247E-3"/>
        </c:manualLayout>
      </c:layout>
      <c:overlay val="1"/>
    </c:title>
    <c:autoTitleDeleted val="0"/>
    <c:plotArea>
      <c:layout>
        <c:manualLayout>
          <c:layoutTarget val="inner"/>
          <c:xMode val="edge"/>
          <c:yMode val="edge"/>
          <c:x val="2.5661978434130452E-2"/>
          <c:y val="6.5427126200274369E-2"/>
          <c:w val="0.88382032348804562"/>
          <c:h val="0.79278583676269065"/>
        </c:manualLayout>
      </c:layout>
      <c:lineChart>
        <c:grouping val="standard"/>
        <c:varyColors val="0"/>
        <c:ser>
          <c:idx val="1"/>
          <c:order val="0"/>
          <c:tx>
            <c:strRef>
              <c:f>datos!$M$4</c:f>
              <c:strCache>
                <c:ptCount val="1"/>
                <c:pt idx="0">
                  <c:v>Serie Desestacionalizada</c:v>
                </c:pt>
              </c:strCache>
            </c:strRef>
          </c:tx>
          <c:spPr>
            <a:ln w="6350" cap="flat">
              <a:solidFill>
                <a:srgbClr val="95B3D7"/>
              </a:solidFill>
              <a:prstDash val="solid"/>
            </a:ln>
            <a:effectLst/>
          </c:spPr>
          <c:marker>
            <c:symbol val="none"/>
          </c:marker>
          <c:cat>
            <c:multiLvlStrRef>
              <c:f>datos!$A$29:$B$105</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2014</c:v>
                  </c:pt>
                  <c:pt idx="12">
                    <c:v>2015</c:v>
                  </c:pt>
                  <c:pt idx="24">
                    <c:v>2016</c:v>
                  </c:pt>
                  <c:pt idx="36">
                    <c:v>2017</c:v>
                  </c:pt>
                  <c:pt idx="48">
                    <c:v>2018</c:v>
                  </c:pt>
                  <c:pt idx="60">
                    <c:v>2019</c:v>
                  </c:pt>
                  <c:pt idx="72">
                    <c:v>2020</c:v>
                  </c:pt>
                </c:lvl>
              </c:multiLvlStrCache>
            </c:multiLvlStrRef>
          </c:cat>
          <c:val>
            <c:numRef>
              <c:f>datos!$M$29:$M$105</c:f>
              <c:numCache>
                <c:formatCode>#,##0.0</c:formatCode>
                <c:ptCount val="77"/>
                <c:pt idx="0">
                  <c:v>8021.40018792509</c:v>
                </c:pt>
                <c:pt idx="1">
                  <c:v>8668.9917428153894</c:v>
                </c:pt>
                <c:pt idx="2">
                  <c:v>8859.2362536294695</c:v>
                </c:pt>
                <c:pt idx="3">
                  <c:v>8717.2598736703894</c:v>
                </c:pt>
                <c:pt idx="4">
                  <c:v>9287.4509801008298</c:v>
                </c:pt>
                <c:pt idx="5">
                  <c:v>8942.54596587788</c:v>
                </c:pt>
                <c:pt idx="6">
                  <c:v>9348.2696607172402</c:v>
                </c:pt>
                <c:pt idx="7">
                  <c:v>9662.0749433502497</c:v>
                </c:pt>
                <c:pt idx="8">
                  <c:v>9167.3096942688298</c:v>
                </c:pt>
                <c:pt idx="9">
                  <c:v>9794.0870911141501</c:v>
                </c:pt>
                <c:pt idx="10">
                  <c:v>9468.15116696732</c:v>
                </c:pt>
                <c:pt idx="11">
                  <c:v>9264.0443944871495</c:v>
                </c:pt>
                <c:pt idx="12">
                  <c:v>9679.7224510350607</c:v>
                </c:pt>
                <c:pt idx="13">
                  <c:v>8937.3403585312099</c:v>
                </c:pt>
                <c:pt idx="14">
                  <c:v>9624.5109990569508</c:v>
                </c:pt>
                <c:pt idx="15">
                  <c:v>9971.8416428731798</c:v>
                </c:pt>
                <c:pt idx="16">
                  <c:v>9552.7993432755102</c:v>
                </c:pt>
                <c:pt idx="17">
                  <c:v>9692.2438205157705</c:v>
                </c:pt>
                <c:pt idx="18">
                  <c:v>9829.9587625462209</c:v>
                </c:pt>
                <c:pt idx="19">
                  <c:v>9576.7611122082708</c:v>
                </c:pt>
                <c:pt idx="20">
                  <c:v>9424.5385421128194</c:v>
                </c:pt>
                <c:pt idx="21">
                  <c:v>9615.8038436510396</c:v>
                </c:pt>
                <c:pt idx="22">
                  <c:v>9231.0657182464693</c:v>
                </c:pt>
                <c:pt idx="23">
                  <c:v>9410.0462882927895</c:v>
                </c:pt>
                <c:pt idx="24">
                  <c:v>10046.241806592099</c:v>
                </c:pt>
                <c:pt idx="25">
                  <c:v>9314.5435723565206</c:v>
                </c:pt>
                <c:pt idx="26">
                  <c:v>8404.6143244502491</c:v>
                </c:pt>
                <c:pt idx="27">
                  <c:v>9304.7775779065505</c:v>
                </c:pt>
                <c:pt idx="28">
                  <c:v>9217.6920702610296</c:v>
                </c:pt>
                <c:pt idx="29">
                  <c:v>9123.0818038026991</c:v>
                </c:pt>
                <c:pt idx="30">
                  <c:v>9154.2849449391506</c:v>
                </c:pt>
                <c:pt idx="31">
                  <c:v>9154.4107793052408</c:v>
                </c:pt>
                <c:pt idx="32">
                  <c:v>9786.8893762331609</c:v>
                </c:pt>
                <c:pt idx="33">
                  <c:v>9492.7590416190196</c:v>
                </c:pt>
                <c:pt idx="34">
                  <c:v>10016.092996015301</c:v>
                </c:pt>
                <c:pt idx="35">
                  <c:v>10282.971387326799</c:v>
                </c:pt>
                <c:pt idx="36">
                  <c:v>10277.3068936033</c:v>
                </c:pt>
                <c:pt idx="37">
                  <c:v>10039.1804279592</c:v>
                </c:pt>
                <c:pt idx="38">
                  <c:v>9989.8100914000006</c:v>
                </c:pt>
                <c:pt idx="39">
                  <c:v>9999.9294603527997</c:v>
                </c:pt>
                <c:pt idx="40">
                  <c:v>10295.3562825799</c:v>
                </c:pt>
                <c:pt idx="41">
                  <c:v>10700.9660872236</c:v>
                </c:pt>
                <c:pt idx="42">
                  <c:v>10519.302664156001</c:v>
                </c:pt>
                <c:pt idx="43">
                  <c:v>10580.566533532099</c:v>
                </c:pt>
                <c:pt idx="44">
                  <c:v>10730.018123502099</c:v>
                </c:pt>
                <c:pt idx="45">
                  <c:v>10895.0390456515</c:v>
                </c:pt>
                <c:pt idx="46">
                  <c:v>11414.2019028015</c:v>
                </c:pt>
                <c:pt idx="47">
                  <c:v>11242.699078555601</c:v>
                </c:pt>
                <c:pt idx="48">
                  <c:v>11022.1860168522</c:v>
                </c:pt>
                <c:pt idx="49">
                  <c:v>11808.651459246101</c:v>
                </c:pt>
                <c:pt idx="50">
                  <c:v>12093.935998954201</c:v>
                </c:pt>
                <c:pt idx="51">
                  <c:v>11756.6220625443</c:v>
                </c:pt>
                <c:pt idx="52">
                  <c:v>10855.410166681901</c:v>
                </c:pt>
                <c:pt idx="53">
                  <c:v>11604.6039612229</c:v>
                </c:pt>
                <c:pt idx="54">
                  <c:v>11671.367782388899</c:v>
                </c:pt>
                <c:pt idx="55">
                  <c:v>11849.7458940172</c:v>
                </c:pt>
                <c:pt idx="56">
                  <c:v>12942.104392581999</c:v>
                </c:pt>
                <c:pt idx="57">
                  <c:v>12320.2094904202</c:v>
                </c:pt>
                <c:pt idx="58">
                  <c:v>11983.5189582558</c:v>
                </c:pt>
                <c:pt idx="59">
                  <c:v>12262.317350944701</c:v>
                </c:pt>
                <c:pt idx="60">
                  <c:v>11863.4382005802</c:v>
                </c:pt>
                <c:pt idx="61">
                  <c:v>11954.029739060101</c:v>
                </c:pt>
                <c:pt idx="62">
                  <c:v>12268.0280679478</c:v>
                </c:pt>
                <c:pt idx="63">
                  <c:v>12442.935938851801</c:v>
                </c:pt>
                <c:pt idx="64">
                  <c:v>12643.024598541801</c:v>
                </c:pt>
                <c:pt idx="65">
                  <c:v>12488.1726814103</c:v>
                </c:pt>
                <c:pt idx="66">
                  <c:v>12839.609281781601</c:v>
                </c:pt>
                <c:pt idx="67">
                  <c:v>13395.4803127098</c:v>
                </c:pt>
                <c:pt idx="68">
                  <c:v>12287.9966412376</c:v>
                </c:pt>
                <c:pt idx="69">
                  <c:v>11573.156446839001</c:v>
                </c:pt>
                <c:pt idx="70">
                  <c:v>11876.9584161449</c:v>
                </c:pt>
                <c:pt idx="71">
                  <c:v>12042.7190940045</c:v>
                </c:pt>
                <c:pt idx="72">
                  <c:v>13049.645573064499</c:v>
                </c:pt>
                <c:pt idx="73">
                  <c:v>12211.515314230401</c:v>
                </c:pt>
                <c:pt idx="74">
                  <c:v>11384.068852689899</c:v>
                </c:pt>
                <c:pt idx="75">
                  <c:v>2608.7591144855901</c:v>
                </c:pt>
                <c:pt idx="76">
                  <c:v>1317.2117999382599</c:v>
                </c:pt>
              </c:numCache>
            </c:numRef>
          </c:val>
          <c:smooth val="0"/>
          <c:extLst>
            <c:ext xmlns:c16="http://schemas.microsoft.com/office/drawing/2014/chart" uri="{C3380CC4-5D6E-409C-BE32-E72D297353CC}">
              <c16:uniqueId val="{00000000-77BB-40A4-9700-3D2E15AE9907}"/>
            </c:ext>
          </c:extLst>
        </c:ser>
        <c:ser>
          <c:idx val="0"/>
          <c:order val="1"/>
          <c:tx>
            <c:strRef>
              <c:f>datos!$N$4</c:f>
              <c:strCache>
                <c:ptCount val="1"/>
                <c:pt idx="0">
                  <c:v>Tendencia-Ciclo</c:v>
                </c:pt>
              </c:strCache>
            </c:strRef>
          </c:tx>
          <c:spPr>
            <a:ln w="9525">
              <a:solidFill>
                <a:srgbClr val="C00000"/>
              </a:solidFill>
              <a:prstDash val="solid"/>
            </a:ln>
            <a:effectLst/>
          </c:spPr>
          <c:marker>
            <c:symbol val="none"/>
          </c:marker>
          <c:cat>
            <c:multiLvlStrRef>
              <c:f>datos!$A$29:$B$105</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2014</c:v>
                  </c:pt>
                  <c:pt idx="12">
                    <c:v>2015</c:v>
                  </c:pt>
                  <c:pt idx="24">
                    <c:v>2016</c:v>
                  </c:pt>
                  <c:pt idx="36">
                    <c:v>2017</c:v>
                  </c:pt>
                  <c:pt idx="48">
                    <c:v>2018</c:v>
                  </c:pt>
                  <c:pt idx="60">
                    <c:v>2019</c:v>
                  </c:pt>
                  <c:pt idx="72">
                    <c:v>2020</c:v>
                  </c:pt>
                </c:lvl>
              </c:multiLvlStrCache>
            </c:multiLvlStrRef>
          </c:cat>
          <c:val>
            <c:numRef>
              <c:f>datos!$N$29:$N$105</c:f>
              <c:numCache>
                <c:formatCode>#,##0.0</c:formatCode>
                <c:ptCount val="77"/>
                <c:pt idx="0">
                  <c:v>8393.4928241016005</c:v>
                </c:pt>
                <c:pt idx="1">
                  <c:v>8531.6138076296793</c:v>
                </c:pt>
                <c:pt idx="2">
                  <c:v>8713.1352377100902</c:v>
                </c:pt>
                <c:pt idx="3">
                  <c:v>8893.8450913407396</c:v>
                </c:pt>
                <c:pt idx="4">
                  <c:v>9055.1782208640107</c:v>
                </c:pt>
                <c:pt idx="5">
                  <c:v>9200.7164859147506</c:v>
                </c:pt>
                <c:pt idx="6">
                  <c:v>9317.0554865270205</c:v>
                </c:pt>
                <c:pt idx="7">
                  <c:v>9408.1113573475905</c:v>
                </c:pt>
                <c:pt idx="8">
                  <c:v>9468.9015205142805</c:v>
                </c:pt>
                <c:pt idx="9">
                  <c:v>9492.6280955107304</c:v>
                </c:pt>
                <c:pt idx="10">
                  <c:v>9505.0641257502393</c:v>
                </c:pt>
                <c:pt idx="11">
                  <c:v>9528.7209785835093</c:v>
                </c:pt>
                <c:pt idx="12">
                  <c:v>9563.3050354280495</c:v>
                </c:pt>
                <c:pt idx="13">
                  <c:v>9619.3662219016096</c:v>
                </c:pt>
                <c:pt idx="14">
                  <c:v>9680.1606777722209</c:v>
                </c:pt>
                <c:pt idx="15">
                  <c:v>9721.9553258450906</c:v>
                </c:pt>
                <c:pt idx="16">
                  <c:v>9742.3615954746292</c:v>
                </c:pt>
                <c:pt idx="17">
                  <c:v>9721.0332367387491</c:v>
                </c:pt>
                <c:pt idx="18">
                  <c:v>9671.2276544841898</c:v>
                </c:pt>
                <c:pt idx="19">
                  <c:v>9606.5612354069799</c:v>
                </c:pt>
                <c:pt idx="20">
                  <c:v>9533.3368028127607</c:v>
                </c:pt>
                <c:pt idx="21">
                  <c:v>9464.3115442832204</c:v>
                </c:pt>
                <c:pt idx="22">
                  <c:v>9405.8148533645908</c:v>
                </c:pt>
                <c:pt idx="23">
                  <c:v>9360.0985677372792</c:v>
                </c:pt>
                <c:pt idx="24">
                  <c:v>9332.73063850158</c:v>
                </c:pt>
                <c:pt idx="25">
                  <c:v>9309.0831237513103</c:v>
                </c:pt>
                <c:pt idx="26">
                  <c:v>9266.6021853690308</c:v>
                </c:pt>
                <c:pt idx="27">
                  <c:v>9220.9732065853896</c:v>
                </c:pt>
                <c:pt idx="28">
                  <c:v>9184.6725218775391</c:v>
                </c:pt>
                <c:pt idx="29">
                  <c:v>9173.7705248364</c:v>
                </c:pt>
                <c:pt idx="30">
                  <c:v>9220.6912596630009</c:v>
                </c:pt>
                <c:pt idx="31">
                  <c:v>9341.65069607039</c:v>
                </c:pt>
                <c:pt idx="32">
                  <c:v>9530.7587491589893</c:v>
                </c:pt>
                <c:pt idx="33">
                  <c:v>9751.4093880460696</c:v>
                </c:pt>
                <c:pt idx="34">
                  <c:v>9946.2992744508592</c:v>
                </c:pt>
                <c:pt idx="35">
                  <c:v>10065.959286667599</c:v>
                </c:pt>
                <c:pt idx="36">
                  <c:v>10113.6093758674</c:v>
                </c:pt>
                <c:pt idx="37">
                  <c:v>10125.339660301899</c:v>
                </c:pt>
                <c:pt idx="38">
                  <c:v>10142.7167875043</c:v>
                </c:pt>
                <c:pt idx="39">
                  <c:v>10194.0481833047</c:v>
                </c:pt>
                <c:pt idx="40">
                  <c:v>10276.2396704888</c:v>
                </c:pt>
                <c:pt idx="41">
                  <c:v>10398.9126622448</c:v>
                </c:pt>
                <c:pt idx="42">
                  <c:v>10543.264767504001</c:v>
                </c:pt>
                <c:pt idx="43">
                  <c:v>10683.2461787916</c:v>
                </c:pt>
                <c:pt idx="44">
                  <c:v>10814.4068395503</c:v>
                </c:pt>
                <c:pt idx="45">
                  <c:v>10962.169794379201</c:v>
                </c:pt>
                <c:pt idx="46">
                  <c:v>11142.690329323201</c:v>
                </c:pt>
                <c:pt idx="47">
                  <c:v>11347.154104073201</c:v>
                </c:pt>
                <c:pt idx="48">
                  <c:v>11537.221719462599</c:v>
                </c:pt>
                <c:pt idx="49">
                  <c:v>11673.4340554767</c:v>
                </c:pt>
                <c:pt idx="50">
                  <c:v>11745.0467606273</c:v>
                </c:pt>
                <c:pt idx="51">
                  <c:v>11757.685696597</c:v>
                </c:pt>
                <c:pt idx="52">
                  <c:v>11748.218934372801</c:v>
                </c:pt>
                <c:pt idx="53">
                  <c:v>11747.6577852194</c:v>
                </c:pt>
                <c:pt idx="54">
                  <c:v>11786.7230424094</c:v>
                </c:pt>
                <c:pt idx="55">
                  <c:v>11879.233424780799</c:v>
                </c:pt>
                <c:pt idx="56">
                  <c:v>11989.9822113224</c:v>
                </c:pt>
                <c:pt idx="57">
                  <c:v>12065.8458395325</c:v>
                </c:pt>
                <c:pt idx="58">
                  <c:v>12086.4488531233</c:v>
                </c:pt>
                <c:pt idx="59">
                  <c:v>12080.4904305785</c:v>
                </c:pt>
                <c:pt idx="60">
                  <c:v>12081.3323274384</c:v>
                </c:pt>
                <c:pt idx="61">
                  <c:v>12131.565167508799</c:v>
                </c:pt>
                <c:pt idx="62">
                  <c:v>12245.168906000499</c:v>
                </c:pt>
                <c:pt idx="63">
                  <c:v>12398.982350109</c:v>
                </c:pt>
                <c:pt idx="64">
                  <c:v>12539.251171260399</c:v>
                </c:pt>
                <c:pt idx="65">
                  <c:v>12605.0640081931</c:v>
                </c:pt>
                <c:pt idx="66">
                  <c:v>12571.2493096383</c:v>
                </c:pt>
                <c:pt idx="67">
                  <c:v>12444.383269009901</c:v>
                </c:pt>
                <c:pt idx="68">
                  <c:v>12285.106457956799</c:v>
                </c:pt>
                <c:pt idx="69">
                  <c:v>12144.4355521588</c:v>
                </c:pt>
                <c:pt idx="70">
                  <c:v>12051.2032912621</c:v>
                </c:pt>
                <c:pt idx="71">
                  <c:v>12012.3422758016</c:v>
                </c:pt>
                <c:pt idx="72">
                  <c:v>12014.7405912541</c:v>
                </c:pt>
                <c:pt idx="73">
                  <c:v>12032.543933835599</c:v>
                </c:pt>
                <c:pt idx="74">
                  <c:v>12046.914837071099</c:v>
                </c:pt>
                <c:pt idx="75">
                  <c:v>2621.68823020935</c:v>
                </c:pt>
                <c:pt idx="76">
                  <c:v>2631.1689068876299</c:v>
                </c:pt>
              </c:numCache>
            </c:numRef>
          </c:val>
          <c:smooth val="0"/>
          <c:extLst>
            <c:ext xmlns:c16="http://schemas.microsoft.com/office/drawing/2014/chart" uri="{C3380CC4-5D6E-409C-BE32-E72D297353CC}">
              <c16:uniqueId val="{00000001-77BB-40A4-9700-3D2E15AE9907}"/>
            </c:ext>
          </c:extLst>
        </c:ser>
        <c:dLbls>
          <c:showLegendKey val="0"/>
          <c:showVal val="0"/>
          <c:showCatName val="0"/>
          <c:showSerName val="0"/>
          <c:showPercent val="0"/>
          <c:showBubbleSize val="0"/>
        </c:dLbls>
        <c:smooth val="0"/>
        <c:axId val="780759200"/>
        <c:axId val="780750576"/>
      </c:lineChart>
      <c:catAx>
        <c:axId val="78075920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780750576"/>
        <c:crosses val="autoZero"/>
        <c:auto val="1"/>
        <c:lblAlgn val="ctr"/>
        <c:lblOffset val="0"/>
        <c:tickLblSkip val="1"/>
        <c:tickMarkSkip val="1"/>
        <c:noMultiLvlLbl val="1"/>
      </c:catAx>
      <c:valAx>
        <c:axId val="780750576"/>
        <c:scaling>
          <c:orientation val="minMax"/>
          <c:max val="15500"/>
          <c:min val="5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780759200"/>
        <c:crosses val="max"/>
        <c:crossBetween val="between"/>
        <c:majorUnit val="3000"/>
        <c:minorUnit val="4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697977123934631"/>
          <c:y val="0.9360430170875762"/>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Manufactureras   No </a:t>
            </a:r>
          </a:p>
          <a:p>
            <a:pPr>
              <a:defRPr lang="es-MX" sz="700" b="1" i="0" cap="small" baseline="0"/>
            </a:pPr>
            <a:r>
              <a:rPr lang="es-ES" sz="700" b="1" i="0" cap="small" baseline="0"/>
              <a:t>Automotrices</a:t>
            </a:r>
          </a:p>
        </c:rich>
      </c:tx>
      <c:layout>
        <c:manualLayout>
          <c:xMode val="edge"/>
          <c:yMode val="edge"/>
          <c:x val="0.30494139709329582"/>
          <c:y val="0"/>
        </c:manualLayout>
      </c:layout>
      <c:overlay val="1"/>
    </c:title>
    <c:autoTitleDeleted val="0"/>
    <c:plotArea>
      <c:layout>
        <c:manualLayout>
          <c:layoutTarget val="inner"/>
          <c:xMode val="edge"/>
          <c:yMode val="edge"/>
          <c:x val="3.9836100468284383E-2"/>
          <c:y val="5.0672862131553378E-2"/>
          <c:w val="0.87057255039852288"/>
          <c:h val="0.79278583676269065"/>
        </c:manualLayout>
      </c:layout>
      <c:lineChart>
        <c:grouping val="standard"/>
        <c:varyColors val="0"/>
        <c:ser>
          <c:idx val="1"/>
          <c:order val="0"/>
          <c:tx>
            <c:strRef>
              <c:f>datos!$O$4</c:f>
              <c:strCache>
                <c:ptCount val="1"/>
                <c:pt idx="0">
                  <c:v>Serie Desestacionalizada</c:v>
                </c:pt>
              </c:strCache>
            </c:strRef>
          </c:tx>
          <c:spPr>
            <a:ln w="6350" cap="flat">
              <a:solidFill>
                <a:srgbClr val="95B3D7"/>
              </a:solidFill>
              <a:prstDash val="solid"/>
            </a:ln>
            <a:effectLst/>
          </c:spPr>
          <c:marker>
            <c:symbol val="none"/>
          </c:marker>
          <c:cat>
            <c:multiLvlStrRef>
              <c:f>datos!$A$29:$B$105</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2014</c:v>
                  </c:pt>
                  <c:pt idx="12">
                    <c:v>2015</c:v>
                  </c:pt>
                  <c:pt idx="24">
                    <c:v>2016</c:v>
                  </c:pt>
                  <c:pt idx="36">
                    <c:v>2017</c:v>
                  </c:pt>
                  <c:pt idx="48">
                    <c:v>2018</c:v>
                  </c:pt>
                  <c:pt idx="60">
                    <c:v>2019</c:v>
                  </c:pt>
                  <c:pt idx="72">
                    <c:v>2020</c:v>
                  </c:pt>
                </c:lvl>
              </c:multiLvlStrCache>
            </c:multiLvlStrRef>
          </c:cat>
          <c:val>
            <c:numRef>
              <c:f>datos!$O$29:$O$105</c:f>
              <c:numCache>
                <c:formatCode>#,##0.0</c:formatCode>
                <c:ptCount val="77"/>
                <c:pt idx="0">
                  <c:v>17991.195850006101</c:v>
                </c:pt>
                <c:pt idx="1">
                  <c:v>18332.634445575801</c:v>
                </c:pt>
                <c:pt idx="2">
                  <c:v>18442.435274649899</c:v>
                </c:pt>
                <c:pt idx="3">
                  <c:v>19163.210768352401</c:v>
                </c:pt>
                <c:pt idx="4">
                  <c:v>18871.737163605201</c:v>
                </c:pt>
                <c:pt idx="5">
                  <c:v>18859.0709867515</c:v>
                </c:pt>
                <c:pt idx="6">
                  <c:v>18835.029862803702</c:v>
                </c:pt>
                <c:pt idx="7">
                  <c:v>19059.110956798399</c:v>
                </c:pt>
                <c:pt idx="8">
                  <c:v>19487.8246433231</c:v>
                </c:pt>
                <c:pt idx="9">
                  <c:v>19370.549144129</c:v>
                </c:pt>
                <c:pt idx="10">
                  <c:v>18883.8063782106</c:v>
                </c:pt>
                <c:pt idx="11">
                  <c:v>19843.437982736101</c:v>
                </c:pt>
                <c:pt idx="12">
                  <c:v>18955.480353877501</c:v>
                </c:pt>
                <c:pt idx="13">
                  <c:v>19070.6292632396</c:v>
                </c:pt>
                <c:pt idx="14">
                  <c:v>19237.112677577599</c:v>
                </c:pt>
                <c:pt idx="15">
                  <c:v>18821.211842643701</c:v>
                </c:pt>
                <c:pt idx="16">
                  <c:v>18018.5626818235</c:v>
                </c:pt>
                <c:pt idx="17">
                  <c:v>18780.8397925434</c:v>
                </c:pt>
                <c:pt idx="18">
                  <c:v>19067.667219692299</c:v>
                </c:pt>
                <c:pt idx="19">
                  <c:v>18764.247201504299</c:v>
                </c:pt>
                <c:pt idx="20">
                  <c:v>18677.072620293598</c:v>
                </c:pt>
                <c:pt idx="21">
                  <c:v>19423.2817995685</c:v>
                </c:pt>
                <c:pt idx="22">
                  <c:v>18698.142328240701</c:v>
                </c:pt>
                <c:pt idx="23">
                  <c:v>17696.4406067821</c:v>
                </c:pt>
                <c:pt idx="24">
                  <c:v>18381.945323403699</c:v>
                </c:pt>
                <c:pt idx="25">
                  <c:v>17840.897275461499</c:v>
                </c:pt>
                <c:pt idx="26">
                  <c:v>17879.856525152602</c:v>
                </c:pt>
                <c:pt idx="27">
                  <c:v>18071.562981499301</c:v>
                </c:pt>
                <c:pt idx="28">
                  <c:v>18222.7623246476</c:v>
                </c:pt>
                <c:pt idx="29">
                  <c:v>18294.044091498599</c:v>
                </c:pt>
                <c:pt idx="30">
                  <c:v>18837.473698814902</c:v>
                </c:pt>
                <c:pt idx="31">
                  <c:v>18500.945918929901</c:v>
                </c:pt>
                <c:pt idx="32">
                  <c:v>18832.287057197598</c:v>
                </c:pt>
                <c:pt idx="33">
                  <c:v>18871.144920125102</c:v>
                </c:pt>
                <c:pt idx="34">
                  <c:v>19304.1847030975</c:v>
                </c:pt>
                <c:pt idx="35">
                  <c:v>19135.559477570401</c:v>
                </c:pt>
                <c:pt idx="36">
                  <c:v>19413.202962059</c:v>
                </c:pt>
                <c:pt idx="37">
                  <c:v>19622.760314565399</c:v>
                </c:pt>
                <c:pt idx="38">
                  <c:v>19695.155236533901</c:v>
                </c:pt>
                <c:pt idx="39">
                  <c:v>19656.8847386376</c:v>
                </c:pt>
                <c:pt idx="40">
                  <c:v>19534.338361745999</c:v>
                </c:pt>
                <c:pt idx="41">
                  <c:v>19968.915118502799</c:v>
                </c:pt>
                <c:pt idx="42">
                  <c:v>19654.3789208253</c:v>
                </c:pt>
                <c:pt idx="43">
                  <c:v>19877.6418005628</c:v>
                </c:pt>
                <c:pt idx="44">
                  <c:v>19685.544861045299</c:v>
                </c:pt>
                <c:pt idx="45">
                  <c:v>20002.7248921963</c:v>
                </c:pt>
                <c:pt idx="46">
                  <c:v>20416.490398224902</c:v>
                </c:pt>
                <c:pt idx="47">
                  <c:v>20615.367893748</c:v>
                </c:pt>
                <c:pt idx="48">
                  <c:v>20517.704543934</c:v>
                </c:pt>
                <c:pt idx="49">
                  <c:v>20825.749821735099</c:v>
                </c:pt>
                <c:pt idx="50">
                  <c:v>21589.920873245501</c:v>
                </c:pt>
                <c:pt idx="51">
                  <c:v>20928.691293447198</c:v>
                </c:pt>
                <c:pt idx="52">
                  <c:v>21139.8060607513</c:v>
                </c:pt>
                <c:pt idx="53">
                  <c:v>21005.948852631998</c:v>
                </c:pt>
                <c:pt idx="54">
                  <c:v>21282.5215905853</c:v>
                </c:pt>
                <c:pt idx="55">
                  <c:v>21377.9582558603</c:v>
                </c:pt>
                <c:pt idx="56">
                  <c:v>21706.091109159799</c:v>
                </c:pt>
                <c:pt idx="57">
                  <c:v>21506.358940634102</c:v>
                </c:pt>
                <c:pt idx="58">
                  <c:v>21420.6492829505</c:v>
                </c:pt>
                <c:pt idx="59">
                  <c:v>21822.376997649499</c:v>
                </c:pt>
                <c:pt idx="60">
                  <c:v>22127.717849951801</c:v>
                </c:pt>
                <c:pt idx="61">
                  <c:v>21914.580055045</c:v>
                </c:pt>
                <c:pt idx="62">
                  <c:v>21636.4522074003</c:v>
                </c:pt>
                <c:pt idx="63">
                  <c:v>22100.939365422801</c:v>
                </c:pt>
                <c:pt idx="64">
                  <c:v>22142.281518968601</c:v>
                </c:pt>
                <c:pt idx="65">
                  <c:v>22173.857294511901</c:v>
                </c:pt>
                <c:pt idx="66">
                  <c:v>21488.4286398644</c:v>
                </c:pt>
                <c:pt idx="67">
                  <c:v>22153.5156406934</c:v>
                </c:pt>
                <c:pt idx="68">
                  <c:v>21853.914805590499</c:v>
                </c:pt>
                <c:pt idx="69">
                  <c:v>22064.603166606201</c:v>
                </c:pt>
                <c:pt idx="70">
                  <c:v>21691.323667076202</c:v>
                </c:pt>
                <c:pt idx="71">
                  <c:v>21678.272362834399</c:v>
                </c:pt>
                <c:pt idx="72">
                  <c:v>21859.954978386599</c:v>
                </c:pt>
                <c:pt idx="73">
                  <c:v>22162.983149301901</c:v>
                </c:pt>
                <c:pt idx="74">
                  <c:v>21640.310430854501</c:v>
                </c:pt>
                <c:pt idx="75">
                  <c:v>17315.229922162802</c:v>
                </c:pt>
                <c:pt idx="76">
                  <c:v>13987.1443175314</c:v>
                </c:pt>
              </c:numCache>
            </c:numRef>
          </c:val>
          <c:smooth val="0"/>
          <c:extLst>
            <c:ext xmlns:c16="http://schemas.microsoft.com/office/drawing/2014/chart" uri="{C3380CC4-5D6E-409C-BE32-E72D297353CC}">
              <c16:uniqueId val="{00000000-94FF-4DE7-92F2-128091A280E9}"/>
            </c:ext>
          </c:extLst>
        </c:ser>
        <c:ser>
          <c:idx val="0"/>
          <c:order val="1"/>
          <c:tx>
            <c:strRef>
              <c:f>datos!$P$4</c:f>
              <c:strCache>
                <c:ptCount val="1"/>
                <c:pt idx="0">
                  <c:v>Tendencia-Ciclo</c:v>
                </c:pt>
              </c:strCache>
            </c:strRef>
          </c:tx>
          <c:spPr>
            <a:ln w="9525">
              <a:solidFill>
                <a:srgbClr val="C00000"/>
              </a:solidFill>
              <a:prstDash val="solid"/>
            </a:ln>
            <a:effectLst/>
          </c:spPr>
          <c:marker>
            <c:symbol val="none"/>
          </c:marker>
          <c:cat>
            <c:multiLvlStrRef>
              <c:f>datos!$A$29:$B$105</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2014</c:v>
                  </c:pt>
                  <c:pt idx="12">
                    <c:v>2015</c:v>
                  </c:pt>
                  <c:pt idx="24">
                    <c:v>2016</c:v>
                  </c:pt>
                  <c:pt idx="36">
                    <c:v>2017</c:v>
                  </c:pt>
                  <c:pt idx="48">
                    <c:v>2018</c:v>
                  </c:pt>
                  <c:pt idx="60">
                    <c:v>2019</c:v>
                  </c:pt>
                  <c:pt idx="72">
                    <c:v>2020</c:v>
                  </c:pt>
                </c:lvl>
              </c:multiLvlStrCache>
            </c:multiLvlStrRef>
          </c:cat>
          <c:val>
            <c:numRef>
              <c:f>datos!$P$29:$P$105</c:f>
              <c:numCache>
                <c:formatCode>#,##0.0</c:formatCode>
                <c:ptCount val="77"/>
                <c:pt idx="0">
                  <c:v>18219.1623959916</c:v>
                </c:pt>
                <c:pt idx="1">
                  <c:v>18336.2833119307</c:v>
                </c:pt>
                <c:pt idx="2">
                  <c:v>18480.905596385299</c:v>
                </c:pt>
                <c:pt idx="3">
                  <c:v>18635.2294575946</c:v>
                </c:pt>
                <c:pt idx="4">
                  <c:v>18785.463300566898</c:v>
                </c:pt>
                <c:pt idx="5">
                  <c:v>18919.4472156759</c:v>
                </c:pt>
                <c:pt idx="6">
                  <c:v>19040.762735732202</c:v>
                </c:pt>
                <c:pt idx="7">
                  <c:v>19142.156223859802</c:v>
                </c:pt>
                <c:pt idx="8">
                  <c:v>19213.351345794999</c:v>
                </c:pt>
                <c:pt idx="9">
                  <c:v>19248.071305644899</c:v>
                </c:pt>
                <c:pt idx="10">
                  <c:v>19243.336187076799</c:v>
                </c:pt>
                <c:pt idx="11">
                  <c:v>19199.390982376099</c:v>
                </c:pt>
                <c:pt idx="12">
                  <c:v>19127.084676070201</c:v>
                </c:pt>
                <c:pt idx="13">
                  <c:v>19054.832760181798</c:v>
                </c:pt>
                <c:pt idx="14">
                  <c:v>19001.962098196102</c:v>
                </c:pt>
                <c:pt idx="15">
                  <c:v>18962.423890684699</c:v>
                </c:pt>
                <c:pt idx="16">
                  <c:v>18919.9699942761</c:v>
                </c:pt>
                <c:pt idx="17">
                  <c:v>18880.649898782998</c:v>
                </c:pt>
                <c:pt idx="18">
                  <c:v>18844.612965392502</c:v>
                </c:pt>
                <c:pt idx="19">
                  <c:v>18809.577458760799</c:v>
                </c:pt>
                <c:pt idx="20">
                  <c:v>18764.401493737099</c:v>
                </c:pt>
                <c:pt idx="21">
                  <c:v>18678.467451479301</c:v>
                </c:pt>
                <c:pt idx="22">
                  <c:v>18539.951020847799</c:v>
                </c:pt>
                <c:pt idx="23">
                  <c:v>18373.825015719998</c:v>
                </c:pt>
                <c:pt idx="24">
                  <c:v>18206.006145449799</c:v>
                </c:pt>
                <c:pt idx="25">
                  <c:v>18080.0970550604</c:v>
                </c:pt>
                <c:pt idx="26">
                  <c:v>18023.003785729601</c:v>
                </c:pt>
                <c:pt idx="27">
                  <c:v>18056.973023615599</c:v>
                </c:pt>
                <c:pt idx="28">
                  <c:v>18165.213549416902</c:v>
                </c:pt>
                <c:pt idx="29">
                  <c:v>18321.5282500096</c:v>
                </c:pt>
                <c:pt idx="30">
                  <c:v>18491.677280329699</c:v>
                </c:pt>
                <c:pt idx="31">
                  <c:v>18654.224692751799</c:v>
                </c:pt>
                <c:pt idx="32">
                  <c:v>18803.9148113392</c:v>
                </c:pt>
                <c:pt idx="33">
                  <c:v>18959.158686971699</c:v>
                </c:pt>
                <c:pt idx="34">
                  <c:v>19124.802381133399</c:v>
                </c:pt>
                <c:pt idx="35">
                  <c:v>19282.277748273002</c:v>
                </c:pt>
                <c:pt idx="36">
                  <c:v>19423.830101433799</c:v>
                </c:pt>
                <c:pt idx="37">
                  <c:v>19537.8621828504</c:v>
                </c:pt>
                <c:pt idx="38">
                  <c:v>19622.1170290173</c:v>
                </c:pt>
                <c:pt idx="39">
                  <c:v>19680.939801421799</c:v>
                </c:pt>
                <c:pt idx="40">
                  <c:v>19708.491034848001</c:v>
                </c:pt>
                <c:pt idx="41">
                  <c:v>19718.657410162799</c:v>
                </c:pt>
                <c:pt idx="42">
                  <c:v>19741.232087086799</c:v>
                </c:pt>
                <c:pt idx="43">
                  <c:v>19806.888954941001</c:v>
                </c:pt>
                <c:pt idx="44">
                  <c:v>19922.054510792499</c:v>
                </c:pt>
                <c:pt idx="45">
                  <c:v>20082.361516498298</c:v>
                </c:pt>
                <c:pt idx="46">
                  <c:v>20270.470060512002</c:v>
                </c:pt>
                <c:pt idx="47">
                  <c:v>20468.947975952298</c:v>
                </c:pt>
                <c:pt idx="48">
                  <c:v>20648.832718842699</c:v>
                </c:pt>
                <c:pt idx="49">
                  <c:v>20785.257402617</c:v>
                </c:pt>
                <c:pt idx="50">
                  <c:v>20882.7013065299</c:v>
                </c:pt>
                <c:pt idx="51">
                  <c:v>20964.595374450098</c:v>
                </c:pt>
                <c:pt idx="52">
                  <c:v>21062.973995648099</c:v>
                </c:pt>
                <c:pt idx="53">
                  <c:v>21171.598846527701</c:v>
                </c:pt>
                <c:pt idx="54">
                  <c:v>21277.987698019901</c:v>
                </c:pt>
                <c:pt idx="55">
                  <c:v>21378.830971495099</c:v>
                </c:pt>
                <c:pt idx="56">
                  <c:v>21478.275122919498</c:v>
                </c:pt>
                <c:pt idx="57">
                  <c:v>21566.6388506412</c:v>
                </c:pt>
                <c:pt idx="58">
                  <c:v>21644.727822733501</c:v>
                </c:pt>
                <c:pt idx="59">
                  <c:v>21720.0699935913</c:v>
                </c:pt>
                <c:pt idx="60">
                  <c:v>21801.462185669199</c:v>
                </c:pt>
                <c:pt idx="61">
                  <c:v>21892.9325403443</c:v>
                </c:pt>
                <c:pt idx="62">
                  <c:v>21986.749524532999</c:v>
                </c:pt>
                <c:pt idx="63">
                  <c:v>22062.357787402299</c:v>
                </c:pt>
                <c:pt idx="64">
                  <c:v>22110.189336326101</c:v>
                </c:pt>
                <c:pt idx="65">
                  <c:v>22132.320433290701</c:v>
                </c:pt>
                <c:pt idx="66">
                  <c:v>22118.680504591099</c:v>
                </c:pt>
                <c:pt idx="67">
                  <c:v>22063.1347769803</c:v>
                </c:pt>
                <c:pt idx="68">
                  <c:v>21983.408992821602</c:v>
                </c:pt>
                <c:pt idx="69">
                  <c:v>21897.296026798602</c:v>
                </c:pt>
                <c:pt idx="70">
                  <c:v>21822.593284791899</c:v>
                </c:pt>
                <c:pt idx="71">
                  <c:v>21767.780728211299</c:v>
                </c:pt>
                <c:pt idx="72">
                  <c:v>21740.883860733</c:v>
                </c:pt>
                <c:pt idx="73">
                  <c:v>21737.288749352199</c:v>
                </c:pt>
                <c:pt idx="74">
                  <c:v>21749.765695027902</c:v>
                </c:pt>
                <c:pt idx="75">
                  <c:v>17269.171624932402</c:v>
                </c:pt>
                <c:pt idx="76">
                  <c:v>17295.6431501111</c:v>
                </c:pt>
              </c:numCache>
            </c:numRef>
          </c:val>
          <c:smooth val="0"/>
          <c:extLst>
            <c:ext xmlns:c16="http://schemas.microsoft.com/office/drawing/2014/chart" uri="{C3380CC4-5D6E-409C-BE32-E72D297353CC}">
              <c16:uniqueId val="{00000001-94FF-4DE7-92F2-128091A280E9}"/>
            </c:ext>
          </c:extLst>
        </c:ser>
        <c:dLbls>
          <c:showLegendKey val="0"/>
          <c:showVal val="0"/>
          <c:showCatName val="0"/>
          <c:showSerName val="0"/>
          <c:showPercent val="0"/>
          <c:showBubbleSize val="0"/>
        </c:dLbls>
        <c:smooth val="0"/>
        <c:axId val="780750968"/>
        <c:axId val="780747048"/>
      </c:lineChart>
      <c:catAx>
        <c:axId val="78075096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780747048"/>
        <c:crosses val="autoZero"/>
        <c:auto val="1"/>
        <c:lblAlgn val="ctr"/>
        <c:lblOffset val="0"/>
        <c:tickLblSkip val="1"/>
        <c:tickMarkSkip val="1"/>
        <c:noMultiLvlLbl val="1"/>
      </c:catAx>
      <c:valAx>
        <c:axId val="780747048"/>
        <c:scaling>
          <c:orientation val="minMax"/>
          <c:max val="24000"/>
          <c:min val="12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780750968"/>
        <c:crosses val="max"/>
        <c:crossBetween val="between"/>
        <c:majorUnit val="2400"/>
        <c:minorUnit val="10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697459912019296"/>
          <c:y val="0.93232898715041568"/>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Totales</a:t>
            </a:r>
          </a:p>
        </c:rich>
      </c:tx>
      <c:layout>
        <c:manualLayout>
          <c:xMode val="edge"/>
          <c:yMode val="edge"/>
          <c:x val="0.43149109235818089"/>
          <c:y val="2.1776406035665294E-3"/>
        </c:manualLayout>
      </c:layout>
      <c:overlay val="1"/>
    </c:title>
    <c:autoTitleDeleted val="0"/>
    <c:plotArea>
      <c:layout>
        <c:manualLayout>
          <c:layoutTarget val="inner"/>
          <c:xMode val="edge"/>
          <c:yMode val="edge"/>
          <c:x val="2.7150492264416341E-2"/>
          <c:y val="5.8894204389574774E-2"/>
          <c:w val="0.87057255039852288"/>
          <c:h val="0.79060819615914713"/>
        </c:manualLayout>
      </c:layout>
      <c:lineChart>
        <c:grouping val="standard"/>
        <c:varyColors val="0"/>
        <c:ser>
          <c:idx val="1"/>
          <c:order val="0"/>
          <c:tx>
            <c:strRef>
              <c:f>datos!$Q$4</c:f>
              <c:strCache>
                <c:ptCount val="1"/>
                <c:pt idx="0">
                  <c:v>Serie Desestacionalizada</c:v>
                </c:pt>
              </c:strCache>
            </c:strRef>
          </c:tx>
          <c:spPr>
            <a:ln w="6350" cap="flat">
              <a:solidFill>
                <a:srgbClr val="95B3D7"/>
              </a:solidFill>
              <a:prstDash val="solid"/>
            </a:ln>
            <a:effectLst/>
          </c:spPr>
          <c:marker>
            <c:symbol val="none"/>
          </c:marker>
          <c:cat>
            <c:multiLvlStrRef>
              <c:f>datos!$A$29:$B$105</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2014</c:v>
                  </c:pt>
                  <c:pt idx="12">
                    <c:v>2015</c:v>
                  </c:pt>
                  <c:pt idx="24">
                    <c:v>2016</c:v>
                  </c:pt>
                  <c:pt idx="36">
                    <c:v>2017</c:v>
                  </c:pt>
                  <c:pt idx="48">
                    <c:v>2018</c:v>
                  </c:pt>
                  <c:pt idx="60">
                    <c:v>2019</c:v>
                  </c:pt>
                  <c:pt idx="72">
                    <c:v>2020</c:v>
                  </c:pt>
                </c:lvl>
              </c:multiLvlStrCache>
            </c:multiLvlStrRef>
          </c:cat>
          <c:val>
            <c:numRef>
              <c:f>datos!$Q$29:$Q$105</c:f>
              <c:numCache>
                <c:formatCode>#,##0.0</c:formatCode>
                <c:ptCount val="77"/>
                <c:pt idx="0">
                  <c:v>32015.25380389061</c:v>
                </c:pt>
                <c:pt idx="1">
                  <c:v>32612.818251221983</c:v>
                </c:pt>
                <c:pt idx="2">
                  <c:v>33099.606653567927</c:v>
                </c:pt>
                <c:pt idx="3">
                  <c:v>33273.969339002091</c:v>
                </c:pt>
                <c:pt idx="4">
                  <c:v>33711.725108916617</c:v>
                </c:pt>
                <c:pt idx="5">
                  <c:v>33608.797784166221</c:v>
                </c:pt>
                <c:pt idx="6">
                  <c:v>33029.000530032768</c:v>
                </c:pt>
                <c:pt idx="7">
                  <c:v>34490.161021737709</c:v>
                </c:pt>
                <c:pt idx="8">
                  <c:v>32768.083594313423</c:v>
                </c:pt>
                <c:pt idx="9">
                  <c:v>32983.439756528489</c:v>
                </c:pt>
                <c:pt idx="10">
                  <c:v>34841.356431646898</c:v>
                </c:pt>
                <c:pt idx="11">
                  <c:v>33217.183042730787</c:v>
                </c:pt>
                <c:pt idx="12">
                  <c:v>32826.57470410924</c:v>
                </c:pt>
                <c:pt idx="13">
                  <c:v>32190.488347253049</c:v>
                </c:pt>
                <c:pt idx="14">
                  <c:v>33112.687993360814</c:v>
                </c:pt>
                <c:pt idx="15">
                  <c:v>33235.295551839408</c:v>
                </c:pt>
                <c:pt idx="16">
                  <c:v>32980.488891753288</c:v>
                </c:pt>
                <c:pt idx="17">
                  <c:v>33738.168735299587</c:v>
                </c:pt>
                <c:pt idx="18">
                  <c:v>33279.435140429887</c:v>
                </c:pt>
                <c:pt idx="19">
                  <c:v>34035.762883328709</c:v>
                </c:pt>
                <c:pt idx="20">
                  <c:v>32567.423502162201</c:v>
                </c:pt>
                <c:pt idx="21">
                  <c:v>32997.089243579445</c:v>
                </c:pt>
                <c:pt idx="22">
                  <c:v>32652.718906838185</c:v>
                </c:pt>
                <c:pt idx="23">
                  <c:v>31368.867175308445</c:v>
                </c:pt>
                <c:pt idx="24">
                  <c:v>31919.98641540606</c:v>
                </c:pt>
                <c:pt idx="25">
                  <c:v>31594.72587599593</c:v>
                </c:pt>
                <c:pt idx="26">
                  <c:v>31130.885562453521</c:v>
                </c:pt>
                <c:pt idx="27">
                  <c:v>32360.256045102578</c:v>
                </c:pt>
                <c:pt idx="28">
                  <c:v>31429.07202049471</c:v>
                </c:pt>
                <c:pt idx="29">
                  <c:v>31852.939177382577</c:v>
                </c:pt>
                <c:pt idx="30">
                  <c:v>32290.090992077639</c:v>
                </c:pt>
                <c:pt idx="31">
                  <c:v>31836.020631553001</c:v>
                </c:pt>
                <c:pt idx="32">
                  <c:v>33044.003554023977</c:v>
                </c:pt>
                <c:pt idx="33">
                  <c:v>32391.77935946557</c:v>
                </c:pt>
                <c:pt idx="34">
                  <c:v>32969.283317302492</c:v>
                </c:pt>
                <c:pt idx="35">
                  <c:v>33786.367744843068</c:v>
                </c:pt>
                <c:pt idx="36">
                  <c:v>33721.750823056784</c:v>
                </c:pt>
                <c:pt idx="37">
                  <c:v>33781.919351581222</c:v>
                </c:pt>
                <c:pt idx="38">
                  <c:v>34139.337429817446</c:v>
                </c:pt>
                <c:pt idx="39">
                  <c:v>33892.971522661472</c:v>
                </c:pt>
                <c:pt idx="40">
                  <c:v>34605.329796362392</c:v>
                </c:pt>
                <c:pt idx="41">
                  <c:v>34842.539791301358</c:v>
                </c:pt>
                <c:pt idx="42">
                  <c:v>34613.502332704811</c:v>
                </c:pt>
                <c:pt idx="43">
                  <c:v>35851.750497591762</c:v>
                </c:pt>
                <c:pt idx="44">
                  <c:v>35487.079230453579</c:v>
                </c:pt>
                <c:pt idx="45">
                  <c:v>36245.74514675852</c:v>
                </c:pt>
                <c:pt idx="46">
                  <c:v>35986.131535873348</c:v>
                </c:pt>
                <c:pt idx="47">
                  <c:v>37911.561063682093</c:v>
                </c:pt>
                <c:pt idx="48">
                  <c:v>36708.263155557426</c:v>
                </c:pt>
                <c:pt idx="49">
                  <c:v>37565.345791290267</c:v>
                </c:pt>
                <c:pt idx="50">
                  <c:v>38955.53694404236</c:v>
                </c:pt>
                <c:pt idx="51">
                  <c:v>37999.028136956498</c:v>
                </c:pt>
                <c:pt idx="52">
                  <c:v>38877.733571049001</c:v>
                </c:pt>
                <c:pt idx="53">
                  <c:v>38973.970092210671</c:v>
                </c:pt>
                <c:pt idx="54">
                  <c:v>39086.146920519939</c:v>
                </c:pt>
                <c:pt idx="55">
                  <c:v>39028.768316170215</c:v>
                </c:pt>
                <c:pt idx="56">
                  <c:v>39531.960616739256</c:v>
                </c:pt>
                <c:pt idx="57">
                  <c:v>39473.618342592512</c:v>
                </c:pt>
                <c:pt idx="58">
                  <c:v>39644.828603009606</c:v>
                </c:pt>
                <c:pt idx="59">
                  <c:v>37956.191525146322</c:v>
                </c:pt>
                <c:pt idx="60">
                  <c:v>38916.512980453197</c:v>
                </c:pt>
                <c:pt idx="61">
                  <c:v>38383.010465034909</c:v>
                </c:pt>
                <c:pt idx="62">
                  <c:v>38423.856627844223</c:v>
                </c:pt>
                <c:pt idx="63">
                  <c:v>38809.600101268661</c:v>
                </c:pt>
                <c:pt idx="64">
                  <c:v>38806.26698332456</c:v>
                </c:pt>
                <c:pt idx="65">
                  <c:v>37665.486673159554</c:v>
                </c:pt>
                <c:pt idx="66">
                  <c:v>38267.215106104326</c:v>
                </c:pt>
                <c:pt idx="67">
                  <c:v>38143.555853660611</c:v>
                </c:pt>
                <c:pt idx="68">
                  <c:v>37409.042701242928</c:v>
                </c:pt>
                <c:pt idx="69">
                  <c:v>37064.413067011228</c:v>
                </c:pt>
                <c:pt idx="70">
                  <c:v>36667.112138610348</c:v>
                </c:pt>
                <c:pt idx="71">
                  <c:v>36506.13372558968</c:v>
                </c:pt>
                <c:pt idx="72">
                  <c:v>37482.670558852129</c:v>
                </c:pt>
                <c:pt idx="73">
                  <c:v>36625.552681897701</c:v>
                </c:pt>
                <c:pt idx="74">
                  <c:v>34685.569753244374</c:v>
                </c:pt>
                <c:pt idx="75">
                  <c:v>27106.125684387294</c:v>
                </c:pt>
                <c:pt idx="76">
                  <c:v>22122.538580966393</c:v>
                </c:pt>
              </c:numCache>
            </c:numRef>
          </c:val>
          <c:smooth val="0"/>
          <c:extLst>
            <c:ext xmlns:c16="http://schemas.microsoft.com/office/drawing/2014/chart" uri="{C3380CC4-5D6E-409C-BE32-E72D297353CC}">
              <c16:uniqueId val="{00000000-A36E-45BE-ADE8-043132FF1521}"/>
            </c:ext>
          </c:extLst>
        </c:ser>
        <c:ser>
          <c:idx val="0"/>
          <c:order val="1"/>
          <c:tx>
            <c:strRef>
              <c:f>datos!$R$4</c:f>
              <c:strCache>
                <c:ptCount val="1"/>
                <c:pt idx="0">
                  <c:v>Tendencia-Ciclo</c:v>
                </c:pt>
              </c:strCache>
            </c:strRef>
          </c:tx>
          <c:spPr>
            <a:ln w="9525">
              <a:solidFill>
                <a:srgbClr val="C00000"/>
              </a:solidFill>
              <a:prstDash val="solid"/>
            </a:ln>
            <a:effectLst/>
          </c:spPr>
          <c:marker>
            <c:symbol val="none"/>
          </c:marker>
          <c:cat>
            <c:multiLvlStrRef>
              <c:f>datos!$A$29:$B$105</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2014</c:v>
                  </c:pt>
                  <c:pt idx="12">
                    <c:v>2015</c:v>
                  </c:pt>
                  <c:pt idx="24">
                    <c:v>2016</c:v>
                  </c:pt>
                  <c:pt idx="36">
                    <c:v>2017</c:v>
                  </c:pt>
                  <c:pt idx="48">
                    <c:v>2018</c:v>
                  </c:pt>
                  <c:pt idx="60">
                    <c:v>2019</c:v>
                  </c:pt>
                  <c:pt idx="72">
                    <c:v>2020</c:v>
                  </c:pt>
                </c:lvl>
              </c:multiLvlStrCache>
            </c:multiLvlStrRef>
          </c:cat>
          <c:val>
            <c:numRef>
              <c:f>datos!$R$29:$R$105</c:f>
              <c:numCache>
                <c:formatCode>#,##0.0</c:formatCode>
                <c:ptCount val="77"/>
                <c:pt idx="0">
                  <c:v>31975.359970732872</c:v>
                </c:pt>
                <c:pt idx="1">
                  <c:v>32451.89134382156</c:v>
                </c:pt>
                <c:pt idx="2">
                  <c:v>32920.531769411908</c:v>
                </c:pt>
                <c:pt idx="3">
                  <c:v>33299.337626568165</c:v>
                </c:pt>
                <c:pt idx="4">
                  <c:v>33521.66651017328</c:v>
                </c:pt>
                <c:pt idx="5">
                  <c:v>33587.849584765121</c:v>
                </c:pt>
                <c:pt idx="6">
                  <c:v>33566.20333594305</c:v>
                </c:pt>
                <c:pt idx="7">
                  <c:v>33518.869757182147</c:v>
                </c:pt>
                <c:pt idx="8">
                  <c:v>33444.644995097762</c:v>
                </c:pt>
                <c:pt idx="9">
                  <c:v>33339.771764371559</c:v>
                </c:pt>
                <c:pt idx="10">
                  <c:v>33222.753834185511</c:v>
                </c:pt>
                <c:pt idx="11">
                  <c:v>33103.80423001427</c:v>
                </c:pt>
                <c:pt idx="12">
                  <c:v>32997.071588487241</c:v>
                </c:pt>
                <c:pt idx="13">
                  <c:v>32935.713187866051</c:v>
                </c:pt>
                <c:pt idx="14">
                  <c:v>32951.43019078434</c:v>
                </c:pt>
                <c:pt idx="15">
                  <c:v>33018.364860894362</c:v>
                </c:pt>
                <c:pt idx="16">
                  <c:v>33105.952128735269</c:v>
                </c:pt>
                <c:pt idx="17">
                  <c:v>33174.182601924651</c:v>
                </c:pt>
                <c:pt idx="18">
                  <c:v>33172.9777498576</c:v>
                </c:pt>
                <c:pt idx="19">
                  <c:v>33099.826950254057</c:v>
                </c:pt>
                <c:pt idx="20">
                  <c:v>32970.791295782954</c:v>
                </c:pt>
                <c:pt idx="21">
                  <c:v>32786.523125614091</c:v>
                </c:pt>
                <c:pt idx="22">
                  <c:v>32538.541369062143</c:v>
                </c:pt>
                <c:pt idx="23">
                  <c:v>32248.817792709859</c:v>
                </c:pt>
                <c:pt idx="24">
                  <c:v>31952.936033736765</c:v>
                </c:pt>
                <c:pt idx="25">
                  <c:v>31690.957114875942</c:v>
                </c:pt>
                <c:pt idx="26">
                  <c:v>31494.462849673804</c:v>
                </c:pt>
                <c:pt idx="27">
                  <c:v>31419.850306255332</c:v>
                </c:pt>
                <c:pt idx="28">
                  <c:v>31483.068681052886</c:v>
                </c:pt>
                <c:pt idx="29">
                  <c:v>31638.263394189307</c:v>
                </c:pt>
                <c:pt idx="30">
                  <c:v>31863.721485653332</c:v>
                </c:pt>
                <c:pt idx="31">
                  <c:v>32149.029172360526</c:v>
                </c:pt>
                <c:pt idx="32">
                  <c:v>32471.884726289551</c:v>
                </c:pt>
                <c:pt idx="33">
                  <c:v>32817.603888279395</c:v>
                </c:pt>
                <c:pt idx="34">
                  <c:v>33152.697546638272</c:v>
                </c:pt>
                <c:pt idx="35">
                  <c:v>33444.778811418175</c:v>
                </c:pt>
                <c:pt idx="36">
                  <c:v>33696.972583807765</c:v>
                </c:pt>
                <c:pt idx="37">
                  <c:v>33902.798375829778</c:v>
                </c:pt>
                <c:pt idx="38">
                  <c:v>34078.836179500395</c:v>
                </c:pt>
                <c:pt idx="39">
                  <c:v>34246.746978284427</c:v>
                </c:pt>
                <c:pt idx="40">
                  <c:v>34434.341298975516</c:v>
                </c:pt>
                <c:pt idx="41">
                  <c:v>34668.808725688403</c:v>
                </c:pt>
                <c:pt idx="42">
                  <c:v>34957.069102731381</c:v>
                </c:pt>
                <c:pt idx="43">
                  <c:v>35287.001328009253</c:v>
                </c:pt>
                <c:pt idx="44">
                  <c:v>35641.845561379283</c:v>
                </c:pt>
                <c:pt idx="45">
                  <c:v>36041.418763791749</c:v>
                </c:pt>
                <c:pt idx="46">
                  <c:v>36473.203263222429</c:v>
                </c:pt>
                <c:pt idx="47">
                  <c:v>36923.341498475682</c:v>
                </c:pt>
                <c:pt idx="48">
                  <c:v>37357.692694713325</c:v>
                </c:pt>
                <c:pt idx="49">
                  <c:v>37770.606178012931</c:v>
                </c:pt>
                <c:pt idx="50">
                  <c:v>38146.13320052615</c:v>
                </c:pt>
                <c:pt idx="51">
                  <c:v>38462.198276565468</c:v>
                </c:pt>
                <c:pt idx="52">
                  <c:v>38728.929562709862</c:v>
                </c:pt>
                <c:pt idx="53">
                  <c:v>38966.494952308465</c:v>
                </c:pt>
                <c:pt idx="54">
                  <c:v>39158.498342746971</c:v>
                </c:pt>
                <c:pt idx="55">
                  <c:v>39268.920621035948</c:v>
                </c:pt>
                <c:pt idx="56">
                  <c:v>39298.522228729715</c:v>
                </c:pt>
                <c:pt idx="57">
                  <c:v>39225.098817915641</c:v>
                </c:pt>
                <c:pt idx="58">
                  <c:v>39069.603799082593</c:v>
                </c:pt>
                <c:pt idx="59">
                  <c:v>38905.291360284464</c:v>
                </c:pt>
                <c:pt idx="60">
                  <c:v>38747.754383861989</c:v>
                </c:pt>
                <c:pt idx="61">
                  <c:v>38620.129300644483</c:v>
                </c:pt>
                <c:pt idx="62">
                  <c:v>38540.795315065116</c:v>
                </c:pt>
                <c:pt idx="63">
                  <c:v>38495.67212037748</c:v>
                </c:pt>
                <c:pt idx="64">
                  <c:v>38432.537135311686</c:v>
                </c:pt>
                <c:pt idx="65">
                  <c:v>38308.436593515878</c:v>
                </c:pt>
                <c:pt idx="66">
                  <c:v>38101.880948124359</c:v>
                </c:pt>
                <c:pt idx="67">
                  <c:v>37827.213773075098</c:v>
                </c:pt>
                <c:pt idx="68">
                  <c:v>37516.520323819066</c:v>
                </c:pt>
                <c:pt idx="69">
                  <c:v>37205.97460862092</c:v>
                </c:pt>
                <c:pt idx="70">
                  <c:v>36906.741176408439</c:v>
                </c:pt>
                <c:pt idx="71">
                  <c:v>36600.783889517705</c:v>
                </c:pt>
                <c:pt idx="72">
                  <c:v>36286.166776330618</c:v>
                </c:pt>
                <c:pt idx="73">
                  <c:v>35952.295188693213</c:v>
                </c:pt>
                <c:pt idx="74">
                  <c:v>35584.571805333188</c:v>
                </c:pt>
                <c:pt idx="75">
                  <c:v>34302.886046376909</c:v>
                </c:pt>
                <c:pt idx="76">
                  <c:v>34001.233988519496</c:v>
                </c:pt>
              </c:numCache>
            </c:numRef>
          </c:val>
          <c:smooth val="0"/>
          <c:extLst>
            <c:ext xmlns:c16="http://schemas.microsoft.com/office/drawing/2014/chart" uri="{C3380CC4-5D6E-409C-BE32-E72D297353CC}">
              <c16:uniqueId val="{00000001-A36E-45BE-ADE8-043132FF1521}"/>
            </c:ext>
          </c:extLst>
        </c:ser>
        <c:dLbls>
          <c:showLegendKey val="0"/>
          <c:showVal val="0"/>
          <c:showCatName val="0"/>
          <c:showSerName val="0"/>
          <c:showPercent val="0"/>
          <c:showBubbleSize val="0"/>
        </c:dLbls>
        <c:smooth val="0"/>
        <c:axId val="616593960"/>
        <c:axId val="530007592"/>
      </c:lineChart>
      <c:catAx>
        <c:axId val="61659396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530007592"/>
        <c:crosses val="autoZero"/>
        <c:auto val="1"/>
        <c:lblAlgn val="ctr"/>
        <c:lblOffset val="0"/>
        <c:tickLblSkip val="1"/>
        <c:tickMarkSkip val="1"/>
        <c:noMultiLvlLbl val="1"/>
      </c:catAx>
      <c:valAx>
        <c:axId val="530007592"/>
        <c:scaling>
          <c:orientation val="minMax"/>
          <c:max val="41000"/>
          <c:min val="20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616593960"/>
        <c:crosses val="max"/>
        <c:crossBetween val="between"/>
        <c:majorUnit val="4000"/>
        <c:minorUnit val="10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548602242088835"/>
          <c:y val="0.93827893314093769"/>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Petroleras</a:t>
            </a:r>
          </a:p>
        </c:rich>
      </c:tx>
      <c:layout>
        <c:manualLayout>
          <c:xMode val="edge"/>
          <c:yMode val="edge"/>
          <c:x val="0.40671748088258508"/>
          <c:y val="9.3141632007945646E-2"/>
        </c:manualLayout>
      </c:layout>
      <c:overlay val="1"/>
    </c:title>
    <c:autoTitleDeleted val="0"/>
    <c:plotArea>
      <c:layout>
        <c:manualLayout>
          <c:layoutTarget val="inner"/>
          <c:xMode val="edge"/>
          <c:yMode val="edge"/>
          <c:x val="2.8639006094702293E-2"/>
          <c:y val="5.8894204389574774E-2"/>
          <c:w val="0.87057255039852288"/>
          <c:h val="0.79496347736625517"/>
        </c:manualLayout>
      </c:layout>
      <c:lineChart>
        <c:grouping val="standard"/>
        <c:varyColors val="0"/>
        <c:ser>
          <c:idx val="1"/>
          <c:order val="0"/>
          <c:tx>
            <c:strRef>
              <c:f>datos!$S$4</c:f>
              <c:strCache>
                <c:ptCount val="1"/>
                <c:pt idx="0">
                  <c:v>Serie Desestacionalizada</c:v>
                </c:pt>
              </c:strCache>
            </c:strRef>
          </c:tx>
          <c:spPr>
            <a:ln w="6350" cap="flat">
              <a:solidFill>
                <a:srgbClr val="95B3D7"/>
              </a:solidFill>
              <a:prstDash val="solid"/>
            </a:ln>
            <a:effectLst/>
          </c:spPr>
          <c:marker>
            <c:symbol val="none"/>
          </c:marker>
          <c:cat>
            <c:multiLvlStrRef>
              <c:f>datos!$A$29:$B$105</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2014</c:v>
                  </c:pt>
                  <c:pt idx="12">
                    <c:v>2015</c:v>
                  </c:pt>
                  <c:pt idx="24">
                    <c:v>2016</c:v>
                  </c:pt>
                  <c:pt idx="36">
                    <c:v>2017</c:v>
                  </c:pt>
                  <c:pt idx="48">
                    <c:v>2018</c:v>
                  </c:pt>
                  <c:pt idx="60">
                    <c:v>2019</c:v>
                  </c:pt>
                  <c:pt idx="72">
                    <c:v>2020</c:v>
                  </c:pt>
                </c:lvl>
              </c:multiLvlStrCache>
            </c:multiLvlStrRef>
          </c:cat>
          <c:val>
            <c:numRef>
              <c:f>datos!$S$29:$S$105</c:f>
              <c:numCache>
                <c:formatCode>#,##0.0</c:formatCode>
                <c:ptCount val="77"/>
                <c:pt idx="0">
                  <c:v>3520.25491307211</c:v>
                </c:pt>
                <c:pt idx="1">
                  <c:v>3624.86378312327</c:v>
                </c:pt>
                <c:pt idx="2">
                  <c:v>3551.8005287932601</c:v>
                </c:pt>
                <c:pt idx="3">
                  <c:v>3588.6794641454399</c:v>
                </c:pt>
                <c:pt idx="4">
                  <c:v>3340.31478473472</c:v>
                </c:pt>
                <c:pt idx="5">
                  <c:v>3470.3906674257796</c:v>
                </c:pt>
                <c:pt idx="6">
                  <c:v>2980.9106638175799</c:v>
                </c:pt>
                <c:pt idx="7">
                  <c:v>3426.89015025143</c:v>
                </c:pt>
                <c:pt idx="8">
                  <c:v>3463.5328194988397</c:v>
                </c:pt>
                <c:pt idx="9">
                  <c:v>3195.1166613055002</c:v>
                </c:pt>
                <c:pt idx="10">
                  <c:v>4054.0556328317398</c:v>
                </c:pt>
                <c:pt idx="11">
                  <c:v>3217.5538429077797</c:v>
                </c:pt>
                <c:pt idx="12">
                  <c:v>3009.8400352676799</c:v>
                </c:pt>
                <c:pt idx="13">
                  <c:v>2805.1047711914998</c:v>
                </c:pt>
                <c:pt idx="14">
                  <c:v>2646.5422137146998</c:v>
                </c:pt>
                <c:pt idx="15">
                  <c:v>2585.9630397581359</c:v>
                </c:pt>
                <c:pt idx="16">
                  <c:v>2671.9641434810101</c:v>
                </c:pt>
                <c:pt idx="17">
                  <c:v>2845.5446087200498</c:v>
                </c:pt>
                <c:pt idx="18">
                  <c:v>2905.6770303216999</c:v>
                </c:pt>
                <c:pt idx="19">
                  <c:v>3717.5814092948299</c:v>
                </c:pt>
                <c:pt idx="20">
                  <c:v>2565.1315901856597</c:v>
                </c:pt>
                <c:pt idx="21">
                  <c:v>2542.2988165878251</c:v>
                </c:pt>
                <c:pt idx="22">
                  <c:v>2453.8500620767459</c:v>
                </c:pt>
                <c:pt idx="23">
                  <c:v>2441.9803722186839</c:v>
                </c:pt>
                <c:pt idx="24">
                  <c:v>2216.1203475585489</c:v>
                </c:pt>
                <c:pt idx="25">
                  <c:v>2001.077365794963</c:v>
                </c:pt>
                <c:pt idx="26">
                  <c:v>2095.060214878923</c:v>
                </c:pt>
                <c:pt idx="27">
                  <c:v>2430.6173176150887</c:v>
                </c:pt>
                <c:pt idx="28">
                  <c:v>2554.7695671415972</c:v>
                </c:pt>
                <c:pt idx="29">
                  <c:v>2542.9285409687832</c:v>
                </c:pt>
                <c:pt idx="30">
                  <c:v>2992.9194657736498</c:v>
                </c:pt>
                <c:pt idx="31">
                  <c:v>2563.4537764568649</c:v>
                </c:pt>
                <c:pt idx="32">
                  <c:v>2965.1247846250699</c:v>
                </c:pt>
                <c:pt idx="33">
                  <c:v>2919.6045496317902</c:v>
                </c:pt>
                <c:pt idx="34">
                  <c:v>2893.6322358903917</c:v>
                </c:pt>
                <c:pt idx="35">
                  <c:v>3253.7966455083101</c:v>
                </c:pt>
                <c:pt idx="36">
                  <c:v>3422.1559625116101</c:v>
                </c:pt>
                <c:pt idx="37">
                  <c:v>3398.0317675853603</c:v>
                </c:pt>
                <c:pt idx="38">
                  <c:v>3328.8613353142</c:v>
                </c:pt>
                <c:pt idx="39">
                  <c:v>3148.9887373361398</c:v>
                </c:pt>
                <c:pt idx="40">
                  <c:v>2975.9024486964499</c:v>
                </c:pt>
                <c:pt idx="41">
                  <c:v>3030.1513506649198</c:v>
                </c:pt>
                <c:pt idx="42">
                  <c:v>3147.6311562126502</c:v>
                </c:pt>
                <c:pt idx="43">
                  <c:v>3771.9552119810301</c:v>
                </c:pt>
                <c:pt idx="44">
                  <c:v>3658.4389491194197</c:v>
                </c:pt>
                <c:pt idx="45">
                  <c:v>3854.8601704234698</c:v>
                </c:pt>
                <c:pt idx="46">
                  <c:v>3967.8861167994501</c:v>
                </c:pt>
                <c:pt idx="47">
                  <c:v>4352.1623698889798</c:v>
                </c:pt>
                <c:pt idx="48">
                  <c:v>3783.3061241716005</c:v>
                </c:pt>
                <c:pt idx="49">
                  <c:v>4324.8770261964801</c:v>
                </c:pt>
                <c:pt idx="50">
                  <c:v>4552.8174919037701</c:v>
                </c:pt>
                <c:pt idx="51">
                  <c:v>4270.4937960501993</c:v>
                </c:pt>
                <c:pt idx="52">
                  <c:v>4459.4904987546197</c:v>
                </c:pt>
                <c:pt idx="53">
                  <c:v>4806.7094447457202</c:v>
                </c:pt>
                <c:pt idx="54">
                  <c:v>4772.4496549263094</c:v>
                </c:pt>
                <c:pt idx="55">
                  <c:v>4665.3632363392408</c:v>
                </c:pt>
                <c:pt idx="56">
                  <c:v>4541.1841795967903</c:v>
                </c:pt>
                <c:pt idx="57">
                  <c:v>4670.2253514798304</c:v>
                </c:pt>
                <c:pt idx="58">
                  <c:v>4779.7738961076102</c:v>
                </c:pt>
                <c:pt idx="59">
                  <c:v>4063.58933132944</c:v>
                </c:pt>
                <c:pt idx="60">
                  <c:v>4056.6354091342901</c:v>
                </c:pt>
                <c:pt idx="61">
                  <c:v>3854.7654154019801</c:v>
                </c:pt>
                <c:pt idx="62">
                  <c:v>4286.4404206285399</c:v>
                </c:pt>
                <c:pt idx="63">
                  <c:v>4375.4539146956504</c:v>
                </c:pt>
                <c:pt idx="64">
                  <c:v>4532.6762436614799</c:v>
                </c:pt>
                <c:pt idx="65">
                  <c:v>4086.18656842063</c:v>
                </c:pt>
                <c:pt idx="66">
                  <c:v>3826.8360302784704</c:v>
                </c:pt>
                <c:pt idx="67">
                  <c:v>3802.3770625282104</c:v>
                </c:pt>
                <c:pt idx="68">
                  <c:v>3567.5148776220399</c:v>
                </c:pt>
                <c:pt idx="69">
                  <c:v>3638.6231568630901</c:v>
                </c:pt>
                <c:pt idx="70">
                  <c:v>3648.2481304722696</c:v>
                </c:pt>
                <c:pt idx="71">
                  <c:v>3543.9362364486901</c:v>
                </c:pt>
                <c:pt idx="72">
                  <c:v>4055.3286000871904</c:v>
                </c:pt>
                <c:pt idx="73">
                  <c:v>3526.6780224371701</c:v>
                </c:pt>
                <c:pt idx="74">
                  <c:v>3256.1863004933703</c:v>
                </c:pt>
                <c:pt idx="75">
                  <c:v>2066.310298671046</c:v>
                </c:pt>
                <c:pt idx="76">
                  <c:v>1511.1904457557739</c:v>
                </c:pt>
              </c:numCache>
            </c:numRef>
          </c:val>
          <c:smooth val="0"/>
          <c:extLst>
            <c:ext xmlns:c16="http://schemas.microsoft.com/office/drawing/2014/chart" uri="{C3380CC4-5D6E-409C-BE32-E72D297353CC}">
              <c16:uniqueId val="{00000000-3CAF-47BA-B725-9FF64F5F2381}"/>
            </c:ext>
          </c:extLst>
        </c:ser>
        <c:ser>
          <c:idx val="0"/>
          <c:order val="1"/>
          <c:tx>
            <c:strRef>
              <c:f>datos!$T$4</c:f>
              <c:strCache>
                <c:ptCount val="1"/>
                <c:pt idx="0">
                  <c:v>Tendencia-Ciclo</c:v>
                </c:pt>
              </c:strCache>
            </c:strRef>
          </c:tx>
          <c:spPr>
            <a:ln w="9525">
              <a:solidFill>
                <a:srgbClr val="C00000"/>
              </a:solidFill>
              <a:prstDash val="solid"/>
            </a:ln>
            <a:effectLst/>
          </c:spPr>
          <c:marker>
            <c:symbol val="none"/>
          </c:marker>
          <c:cat>
            <c:multiLvlStrRef>
              <c:f>datos!$A$29:$B$105</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2014</c:v>
                  </c:pt>
                  <c:pt idx="12">
                    <c:v>2015</c:v>
                  </c:pt>
                  <c:pt idx="24">
                    <c:v>2016</c:v>
                  </c:pt>
                  <c:pt idx="36">
                    <c:v>2017</c:v>
                  </c:pt>
                  <c:pt idx="48">
                    <c:v>2018</c:v>
                  </c:pt>
                  <c:pt idx="60">
                    <c:v>2019</c:v>
                  </c:pt>
                  <c:pt idx="72">
                    <c:v>2020</c:v>
                  </c:pt>
                </c:lvl>
              </c:multiLvlStrCache>
            </c:multiLvlStrRef>
          </c:cat>
          <c:val>
            <c:numRef>
              <c:f>datos!$T$29:$T$105</c:f>
              <c:numCache>
                <c:formatCode>#,##0.0</c:formatCode>
                <c:ptCount val="77"/>
                <c:pt idx="0">
                  <c:v>3385.9302828965801</c:v>
                </c:pt>
                <c:pt idx="1">
                  <c:v>3477.4914296900702</c:v>
                </c:pt>
                <c:pt idx="2">
                  <c:v>3527.54115816391</c:v>
                </c:pt>
                <c:pt idx="3">
                  <c:v>3529.1354917518902</c:v>
                </c:pt>
                <c:pt idx="4">
                  <c:v>3495.8395443871805</c:v>
                </c:pt>
                <c:pt idx="5">
                  <c:v>3448.6309819076296</c:v>
                </c:pt>
                <c:pt idx="6">
                  <c:v>3410.0843039894198</c:v>
                </c:pt>
                <c:pt idx="7">
                  <c:v>3389.9399343703999</c:v>
                </c:pt>
                <c:pt idx="8">
                  <c:v>3368.80804460032</c:v>
                </c:pt>
                <c:pt idx="9">
                  <c:v>3326.6851351691898</c:v>
                </c:pt>
                <c:pt idx="10">
                  <c:v>3247.1320656821699</c:v>
                </c:pt>
                <c:pt idx="11">
                  <c:v>3124.68297536604</c:v>
                </c:pt>
                <c:pt idx="12">
                  <c:v>2978.2110022174602</c:v>
                </c:pt>
                <c:pt idx="13">
                  <c:v>2837.1308743111299</c:v>
                </c:pt>
                <c:pt idx="14">
                  <c:v>2740.6350864912201</c:v>
                </c:pt>
                <c:pt idx="15">
                  <c:v>2703.3200806049099</c:v>
                </c:pt>
                <c:pt idx="16">
                  <c:v>2719.2727604090801</c:v>
                </c:pt>
                <c:pt idx="17">
                  <c:v>2759.8179861808703</c:v>
                </c:pt>
                <c:pt idx="18">
                  <c:v>2785.0001341135899</c:v>
                </c:pt>
                <c:pt idx="19">
                  <c:v>2768.08194694348</c:v>
                </c:pt>
                <c:pt idx="20">
                  <c:v>2699.0564991493302</c:v>
                </c:pt>
                <c:pt idx="21">
                  <c:v>2587.0831007358202</c:v>
                </c:pt>
                <c:pt idx="22">
                  <c:v>2459.2221540665178</c:v>
                </c:pt>
                <c:pt idx="23">
                  <c:v>2350.508675872532</c:v>
                </c:pt>
                <c:pt idx="24">
                  <c:v>2282.9679211503631</c:v>
                </c:pt>
                <c:pt idx="25">
                  <c:v>2269.3046976789128</c:v>
                </c:pt>
                <c:pt idx="26">
                  <c:v>2302.2046602116243</c:v>
                </c:pt>
                <c:pt idx="27">
                  <c:v>2372.2841231018137</c:v>
                </c:pt>
                <c:pt idx="28">
                  <c:v>2468.4736501454672</c:v>
                </c:pt>
                <c:pt idx="29">
                  <c:v>2565.5128109552952</c:v>
                </c:pt>
                <c:pt idx="30">
                  <c:v>2650.5228136653441</c:v>
                </c:pt>
                <c:pt idx="31">
                  <c:v>2729.6724804573551</c:v>
                </c:pt>
                <c:pt idx="32">
                  <c:v>2824.1286246270802</c:v>
                </c:pt>
                <c:pt idx="33">
                  <c:v>2946.1064280074597</c:v>
                </c:pt>
                <c:pt idx="34">
                  <c:v>3085.4448535864599</c:v>
                </c:pt>
                <c:pt idx="35">
                  <c:v>3212.81914002948</c:v>
                </c:pt>
                <c:pt idx="36">
                  <c:v>3295.23598669185</c:v>
                </c:pt>
                <c:pt idx="37">
                  <c:v>3311.8087877965399</c:v>
                </c:pt>
                <c:pt idx="38">
                  <c:v>3263.9957618677099</c:v>
                </c:pt>
                <c:pt idx="39">
                  <c:v>3185.8592961814097</c:v>
                </c:pt>
                <c:pt idx="40">
                  <c:v>3123.3723793049598</c:v>
                </c:pt>
                <c:pt idx="41">
                  <c:v>3123.05552336554</c:v>
                </c:pt>
                <c:pt idx="42">
                  <c:v>3216.39382263677</c:v>
                </c:pt>
                <c:pt idx="43">
                  <c:v>3388.8595222491103</c:v>
                </c:pt>
                <c:pt idx="44">
                  <c:v>3600.3840480363301</c:v>
                </c:pt>
                <c:pt idx="45">
                  <c:v>3817.1406966143504</c:v>
                </c:pt>
                <c:pt idx="46">
                  <c:v>4008.1976093715598</c:v>
                </c:pt>
                <c:pt idx="47">
                  <c:v>4152.1916980119104</c:v>
                </c:pt>
                <c:pt idx="48">
                  <c:v>4252.2942330415599</c:v>
                </c:pt>
                <c:pt idx="49">
                  <c:v>4330.4363907467705</c:v>
                </c:pt>
                <c:pt idx="50">
                  <c:v>4408.5882483405503</c:v>
                </c:pt>
                <c:pt idx="51">
                  <c:v>4490.0049426772894</c:v>
                </c:pt>
                <c:pt idx="52">
                  <c:v>4572.2686339247502</c:v>
                </c:pt>
                <c:pt idx="53">
                  <c:v>4648.4528645032005</c:v>
                </c:pt>
                <c:pt idx="54">
                  <c:v>4696.1110203109602</c:v>
                </c:pt>
                <c:pt idx="55">
                  <c:v>4688.8494257228795</c:v>
                </c:pt>
                <c:pt idx="56">
                  <c:v>4618.2311228661802</c:v>
                </c:pt>
                <c:pt idx="57">
                  <c:v>4490.0268371257698</c:v>
                </c:pt>
                <c:pt idx="58">
                  <c:v>4341.6198556609097</c:v>
                </c:pt>
                <c:pt idx="59">
                  <c:v>4228.6328450659803</c:v>
                </c:pt>
                <c:pt idx="60">
                  <c:v>4178.7320513275799</c:v>
                </c:pt>
                <c:pt idx="61">
                  <c:v>4181.7448893519404</c:v>
                </c:pt>
                <c:pt idx="62">
                  <c:v>4212.3036625299601</c:v>
                </c:pt>
                <c:pt idx="63">
                  <c:v>4227.9148065337904</c:v>
                </c:pt>
                <c:pt idx="64">
                  <c:v>4189.1961249371598</c:v>
                </c:pt>
                <c:pt idx="65">
                  <c:v>4083.4543127684901</c:v>
                </c:pt>
                <c:pt idx="66">
                  <c:v>3937.57423604015</c:v>
                </c:pt>
                <c:pt idx="67">
                  <c:v>3794.2330621465499</c:v>
                </c:pt>
                <c:pt idx="68">
                  <c:v>3689.1696525839197</c:v>
                </c:pt>
                <c:pt idx="69">
                  <c:v>3628.2917457349504</c:v>
                </c:pt>
                <c:pt idx="70">
                  <c:v>3589.9173036349102</c:v>
                </c:pt>
                <c:pt idx="71">
                  <c:v>3552.9710027579599</c:v>
                </c:pt>
                <c:pt idx="72">
                  <c:v>3508.0677563126701</c:v>
                </c:pt>
                <c:pt idx="73">
                  <c:v>3457.6762428796701</c:v>
                </c:pt>
                <c:pt idx="74">
                  <c:v>3408.0694185607199</c:v>
                </c:pt>
                <c:pt idx="75">
                  <c:v>3370.03926376349</c:v>
                </c:pt>
                <c:pt idx="76">
                  <c:v>3345.26881413922</c:v>
                </c:pt>
              </c:numCache>
            </c:numRef>
          </c:val>
          <c:smooth val="0"/>
          <c:extLst>
            <c:ext xmlns:c16="http://schemas.microsoft.com/office/drawing/2014/chart" uri="{C3380CC4-5D6E-409C-BE32-E72D297353CC}">
              <c16:uniqueId val="{00000001-3CAF-47BA-B725-9FF64F5F2381}"/>
            </c:ext>
          </c:extLst>
        </c:ser>
        <c:dLbls>
          <c:showLegendKey val="0"/>
          <c:showVal val="0"/>
          <c:showCatName val="0"/>
          <c:showSerName val="0"/>
          <c:showPercent val="0"/>
          <c:showBubbleSize val="0"/>
        </c:dLbls>
        <c:smooth val="0"/>
        <c:axId val="530005240"/>
        <c:axId val="530005632"/>
      </c:lineChart>
      <c:catAx>
        <c:axId val="53000524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530005632"/>
        <c:crosses val="autoZero"/>
        <c:auto val="1"/>
        <c:lblAlgn val="ctr"/>
        <c:lblOffset val="0"/>
        <c:tickLblSkip val="1"/>
        <c:tickMarkSkip val="1"/>
        <c:noMultiLvlLbl val="1"/>
      </c:catAx>
      <c:valAx>
        <c:axId val="530005632"/>
        <c:scaling>
          <c:orientation val="minMax"/>
          <c:max val="5400"/>
          <c:min val="14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530005240"/>
        <c:crosses val="max"/>
        <c:crossBetween val="between"/>
        <c:majorUnit val="800"/>
        <c:minorUnit val="100"/>
      </c:valAx>
      <c:spPr>
        <a:noFill/>
        <a:ln w="25400">
          <a:noFill/>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46913580246912"/>
          <c:y val="0.93832860922146633"/>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10.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11.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12.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2.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3.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4.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5.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6.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7.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8.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9.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94865-8871-45B0-B3AF-5588F373C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bbalanza6</Template>
  <TotalTime>1881</TotalTime>
  <Pages>10</Pages>
  <Words>2109</Words>
  <Characters>11318</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Comunicado de Prensa. Balanza Comercial de Mercancías de México</vt:lpstr>
    </vt:vector>
  </TitlesOfParts>
  <Company>INEGI</Company>
  <LinksUpToDate>false</LinksUpToDate>
  <CharactersWithSpaces>13401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Balanza Comercial de Mercancías de México</dc:title>
  <dc:creator>INEGI</dc:creator>
  <cp:keywords>BALANZA SALDO EXPORTACIONES IMPORTACIONES</cp:keywords>
  <cp:lastModifiedBy>GUILLEN MEDINA MOISES</cp:lastModifiedBy>
  <cp:revision>767</cp:revision>
  <cp:lastPrinted>2020-01-24T22:47:00Z</cp:lastPrinted>
  <dcterms:created xsi:type="dcterms:W3CDTF">2019-08-23T17:06:00Z</dcterms:created>
  <dcterms:modified xsi:type="dcterms:W3CDTF">2020-06-25T23:44:00Z</dcterms:modified>
  <cp:category>ESTADÍSTICAS DE COMERCIO EXTERIOR</cp:category>
</cp:coreProperties>
</file>