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62E6" w14:textId="3830C619" w:rsidR="00ED322E" w:rsidRPr="00785514" w:rsidRDefault="00ED322E" w:rsidP="00785514">
      <w:pPr>
        <w:spacing w:before="120"/>
        <w:jc w:val="center"/>
        <w:rPr>
          <w:rFonts w:eastAsia="Arial" w:cs="Arial"/>
          <w:b/>
          <w:bCs/>
        </w:rPr>
      </w:pPr>
      <w:r w:rsidRPr="00785514">
        <w:rPr>
          <w:rFonts w:cs="Arial"/>
          <w:noProof/>
        </w:rPr>
        <mc:AlternateContent>
          <mc:Choice Requires="wps">
            <w:drawing>
              <wp:anchor distT="45720" distB="45720" distL="114300" distR="114300" simplePos="0" relativeHeight="251659264" behindDoc="0" locked="0" layoutInCell="1" allowOverlap="1" wp14:anchorId="5B89868A" wp14:editId="7E41CB15">
                <wp:simplePos x="0" y="0"/>
                <wp:positionH relativeFrom="column">
                  <wp:posOffset>3219450</wp:posOffset>
                </wp:positionH>
                <wp:positionV relativeFrom="paragraph">
                  <wp:posOffset>0</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526C8F1" w14:textId="6F71BC48" w:rsidR="00DE3D99" w:rsidRPr="00265B8C" w:rsidRDefault="00DE3D99" w:rsidP="00ED322E">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3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diciembre</w:t>
                            </w:r>
                            <w:proofErr w:type="spellEnd"/>
                            <w:r>
                              <w:rPr>
                                <w:b/>
                                <w:color w:val="FFFFFF" w:themeColor="background1"/>
                                <w:shd w:val="clear" w:color="auto" w:fill="2F5496"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9868A" id="_x0000_t202" coordsize="21600,21600" o:spt="202" path="m,l,21600r21600,l21600,xe">
                <v:stroke joinstyle="miter"/>
                <v:path gradientshapeok="t" o:connecttype="rect"/>
              </v:shapetype>
              <v:shape id="Cuadro de texto 217" o:spid="_x0000_s1026" type="#_x0000_t202" style="position:absolute;left:0;text-align:left;margin-left:253.5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" stroked="f">
                <v:textbox>
                  <w:txbxContent>
                    <w:p w14:paraId="4526C8F1" w14:textId="6F71BC48" w:rsidR="00DE3D99" w:rsidRPr="00265B8C" w:rsidRDefault="00DE3D99" w:rsidP="00ED322E">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3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diciembre</w:t>
                      </w:r>
                      <w:proofErr w:type="spellEnd"/>
                      <w:r>
                        <w:rPr>
                          <w:b/>
                          <w:color w:val="FFFFFF" w:themeColor="background1"/>
                          <w:shd w:val="clear" w:color="auto" w:fill="2F5496" w:themeFill="accent1" w:themeFillShade="BF"/>
                          <w:lang w:val="pt-BR"/>
                        </w:rPr>
                        <w:t xml:space="preserve"> </w:t>
                      </w:r>
                    </w:p>
                  </w:txbxContent>
                </v:textbox>
                <w10:wrap type="square"/>
              </v:shape>
            </w:pict>
          </mc:Fallback>
        </mc:AlternateContent>
      </w:r>
    </w:p>
    <w:p w14:paraId="6F99A591" w14:textId="77777777" w:rsidR="00ED322E" w:rsidRPr="00785514" w:rsidRDefault="00ED322E" w:rsidP="00785514">
      <w:pPr>
        <w:spacing w:before="120"/>
        <w:jc w:val="center"/>
        <w:rPr>
          <w:rFonts w:eastAsia="Arial" w:cs="Arial"/>
          <w:b/>
          <w:bCs/>
        </w:rPr>
      </w:pPr>
    </w:p>
    <w:p w14:paraId="4D8D6EC2" w14:textId="1B22D87B" w:rsidR="00ED322E" w:rsidRPr="00715D8C" w:rsidRDefault="00715D8C" w:rsidP="00D67128">
      <w:pPr>
        <w:jc w:val="center"/>
        <w:rPr>
          <w:rFonts w:eastAsia="Arial" w:cs="Arial"/>
          <w:b/>
          <w:bCs/>
        </w:rPr>
      </w:pPr>
      <w:r>
        <w:rPr>
          <w:rFonts w:eastAsia="Arial" w:cs="Arial"/>
          <w:b/>
          <w:bCs/>
        </w:rPr>
        <w:t xml:space="preserve">El INEGI PRESENTA POR PRIMERA VEZ RESULTADOS DE LAS </w:t>
      </w:r>
      <w:r w:rsidR="003226FB" w:rsidRPr="00715D8C">
        <w:rPr>
          <w:rFonts w:eastAsia="Arial" w:cs="Arial"/>
          <w:b/>
          <w:bCs/>
        </w:rPr>
        <w:t>C</w:t>
      </w:r>
      <w:r w:rsidR="001D7B2D" w:rsidRPr="00715D8C">
        <w:rPr>
          <w:rFonts w:eastAsia="Arial" w:cs="Arial"/>
          <w:b/>
          <w:bCs/>
        </w:rPr>
        <w:t>UE</w:t>
      </w:r>
      <w:r w:rsidR="00BF06F9" w:rsidRPr="00715D8C">
        <w:rPr>
          <w:rFonts w:eastAsia="Arial" w:cs="Arial"/>
          <w:b/>
          <w:bCs/>
        </w:rPr>
        <w:t>N</w:t>
      </w:r>
      <w:r w:rsidR="001D7B2D" w:rsidRPr="00715D8C">
        <w:rPr>
          <w:rFonts w:eastAsia="Arial" w:cs="Arial"/>
          <w:b/>
          <w:bCs/>
        </w:rPr>
        <w:t>TAS POR SECTORES INSTITUCIONALE</w:t>
      </w:r>
      <w:r w:rsidR="003226FB" w:rsidRPr="00715D8C">
        <w:rPr>
          <w:rFonts w:eastAsia="Arial" w:cs="Arial"/>
          <w:b/>
          <w:bCs/>
        </w:rPr>
        <w:t>S</w:t>
      </w:r>
      <w:r w:rsidR="00ED322E" w:rsidRPr="00715D8C">
        <w:rPr>
          <w:rStyle w:val="Refdenotaalpie"/>
          <w:rFonts w:cs="Arial"/>
          <w:b/>
        </w:rPr>
        <w:footnoteReference w:id="1"/>
      </w:r>
      <w:r w:rsidR="00ED322E" w:rsidRPr="00715D8C">
        <w:rPr>
          <w:rFonts w:cs="Arial"/>
        </w:rPr>
        <w:t xml:space="preserve"> </w:t>
      </w:r>
      <w:r w:rsidR="00ED322E" w:rsidRPr="00715D8C">
        <w:rPr>
          <w:rFonts w:eastAsia="Arial" w:cs="Arial"/>
          <w:b/>
          <w:bCs/>
        </w:rPr>
        <w:t>DE MÉXIC</w:t>
      </w:r>
      <w:r>
        <w:rPr>
          <w:rFonts w:eastAsia="Arial" w:cs="Arial"/>
          <w:b/>
          <w:bCs/>
        </w:rPr>
        <w:t xml:space="preserve">O. </w:t>
      </w:r>
      <w:r w:rsidR="00ED322E" w:rsidRPr="00715D8C">
        <w:rPr>
          <w:rFonts w:cs="Arial"/>
          <w:b/>
          <w:bCs/>
        </w:rPr>
        <w:t>PRIMER TRIMESTRE DE 2020</w:t>
      </w:r>
    </w:p>
    <w:p w14:paraId="2BAB9D02" w14:textId="77777777" w:rsidR="00785514" w:rsidRPr="00785514" w:rsidRDefault="00785514" w:rsidP="00834AD2">
      <w:pPr>
        <w:autoSpaceDE w:val="0"/>
        <w:autoSpaceDN w:val="0"/>
        <w:adjustRightInd w:val="0"/>
        <w:ind w:left="-142" w:right="-284"/>
        <w:jc w:val="both"/>
        <w:rPr>
          <w:lang w:val="es-ES_tradnl"/>
        </w:rPr>
      </w:pPr>
    </w:p>
    <w:p w14:paraId="46B2D782" w14:textId="625EAB2E" w:rsidR="009B5E5A" w:rsidRPr="009A7981" w:rsidRDefault="009B5E5A" w:rsidP="00D67128">
      <w:pPr>
        <w:pStyle w:val="bullet"/>
        <w:numPr>
          <w:ilvl w:val="0"/>
          <w:numId w:val="2"/>
        </w:numPr>
        <w:tabs>
          <w:tab w:val="clear" w:pos="1723"/>
        </w:tabs>
        <w:spacing w:before="0"/>
        <w:ind w:left="142" w:right="-3" w:hanging="284"/>
        <w:rPr>
          <w:b w:val="0"/>
          <w:color w:val="auto"/>
          <w:szCs w:val="22"/>
        </w:rPr>
      </w:pPr>
      <w:bookmarkStart w:id="0" w:name="_Hlk49725043"/>
      <w:r>
        <w:rPr>
          <w:b w:val="0"/>
          <w:color w:val="auto"/>
          <w:szCs w:val="22"/>
        </w:rPr>
        <w:t>P</w:t>
      </w:r>
      <w:r w:rsidRPr="009A7981">
        <w:rPr>
          <w:b w:val="0"/>
          <w:color w:val="auto"/>
          <w:szCs w:val="22"/>
        </w:rPr>
        <w:t xml:space="preserve">roporcionan información sobre las transacciones reales y financieras que realizan los distintos sectores entre sí y con el resto del mundo, así como del balance de activos </w:t>
      </w:r>
      <w:r>
        <w:rPr>
          <w:b w:val="0"/>
          <w:color w:val="auto"/>
          <w:szCs w:val="22"/>
        </w:rPr>
        <w:t xml:space="preserve">y pasivos </w:t>
      </w:r>
      <w:r w:rsidRPr="009A7981">
        <w:rPr>
          <w:b w:val="0"/>
          <w:color w:val="auto"/>
          <w:szCs w:val="22"/>
        </w:rPr>
        <w:t>al inicio y al cierre del año</w:t>
      </w:r>
      <w:r>
        <w:rPr>
          <w:b w:val="0"/>
          <w:color w:val="auto"/>
          <w:szCs w:val="22"/>
        </w:rPr>
        <w:t xml:space="preserve"> y </w:t>
      </w:r>
      <w:r w:rsidRPr="00AF1F43">
        <w:rPr>
          <w:b w:val="0"/>
          <w:color w:val="auto"/>
          <w:szCs w:val="22"/>
        </w:rPr>
        <w:t xml:space="preserve">las </w:t>
      </w:r>
      <w:r>
        <w:rPr>
          <w:b w:val="0"/>
          <w:color w:val="auto"/>
          <w:szCs w:val="22"/>
        </w:rPr>
        <w:t>r</w:t>
      </w:r>
      <w:r w:rsidRPr="00AF1F43">
        <w:rPr>
          <w:b w:val="0"/>
          <w:color w:val="auto"/>
          <w:szCs w:val="22"/>
        </w:rPr>
        <w:t>elaciones intersectoriales quien a quien por sector institucional y para la economía en su conjunto</w:t>
      </w:r>
      <w:r>
        <w:rPr>
          <w:b w:val="0"/>
          <w:color w:val="auto"/>
          <w:szCs w:val="22"/>
        </w:rPr>
        <w:t xml:space="preserve">. </w:t>
      </w:r>
    </w:p>
    <w:p w14:paraId="65BB9528" w14:textId="17DBCD37" w:rsidR="00785514" w:rsidRPr="009E70A3" w:rsidRDefault="00785514" w:rsidP="00D67128">
      <w:pPr>
        <w:pStyle w:val="bullet"/>
        <w:numPr>
          <w:ilvl w:val="0"/>
          <w:numId w:val="2"/>
        </w:numPr>
        <w:tabs>
          <w:tab w:val="clear" w:pos="1723"/>
        </w:tabs>
        <w:spacing w:before="0"/>
        <w:ind w:left="142" w:right="-3" w:hanging="284"/>
        <w:rPr>
          <w:color w:val="auto"/>
          <w:szCs w:val="22"/>
        </w:rPr>
      </w:pPr>
      <w:r w:rsidRPr="009E70A3">
        <w:rPr>
          <w:b w:val="0"/>
          <w:color w:val="auto"/>
          <w:szCs w:val="22"/>
        </w:rPr>
        <w:t xml:space="preserve">Las cifras se publicarán, en promedio </w:t>
      </w:r>
      <w:r w:rsidR="009E70A3" w:rsidRPr="009E70A3">
        <w:rPr>
          <w:b w:val="0"/>
          <w:color w:val="auto"/>
          <w:szCs w:val="22"/>
        </w:rPr>
        <w:t>155</w:t>
      </w:r>
      <w:r w:rsidR="00B305F9">
        <w:rPr>
          <w:b w:val="0"/>
          <w:color w:val="auto"/>
          <w:szCs w:val="22"/>
        </w:rPr>
        <w:t>,</w:t>
      </w:r>
      <w:r w:rsidRPr="009E70A3">
        <w:rPr>
          <w:b w:val="0"/>
          <w:color w:val="auto"/>
          <w:szCs w:val="22"/>
        </w:rPr>
        <w:t xml:space="preserve"> días después de concluido el trimestre de referencia. </w:t>
      </w:r>
    </w:p>
    <w:bookmarkEnd w:id="0"/>
    <w:p w14:paraId="53B55E16" w14:textId="5D1A61B5" w:rsidR="00034CA8" w:rsidRDefault="006B2781" w:rsidP="00D67128">
      <w:pPr>
        <w:pStyle w:val="bullet"/>
        <w:numPr>
          <w:ilvl w:val="0"/>
          <w:numId w:val="2"/>
        </w:numPr>
        <w:tabs>
          <w:tab w:val="clear" w:pos="1723"/>
        </w:tabs>
        <w:spacing w:before="0"/>
        <w:ind w:left="142" w:right="-3" w:hanging="284"/>
        <w:rPr>
          <w:b w:val="0"/>
          <w:color w:val="auto"/>
          <w:szCs w:val="22"/>
        </w:rPr>
      </w:pPr>
      <w:r>
        <w:rPr>
          <w:b w:val="0"/>
          <w:color w:val="auto"/>
          <w:szCs w:val="22"/>
        </w:rPr>
        <w:t xml:space="preserve">Se presenta </w:t>
      </w:r>
      <w:r w:rsidR="003A613B" w:rsidRPr="00E22371">
        <w:rPr>
          <w:b w:val="0"/>
          <w:color w:val="auto"/>
          <w:szCs w:val="22"/>
        </w:rPr>
        <w:t xml:space="preserve">el Producto Interno Bruto </w:t>
      </w:r>
      <w:r>
        <w:rPr>
          <w:b w:val="0"/>
          <w:color w:val="auto"/>
          <w:szCs w:val="22"/>
        </w:rPr>
        <w:t xml:space="preserve">Trimestral </w:t>
      </w:r>
      <w:r w:rsidR="003A613B" w:rsidRPr="00E22371">
        <w:rPr>
          <w:b w:val="0"/>
          <w:color w:val="auto"/>
          <w:szCs w:val="22"/>
        </w:rPr>
        <w:t>(PIB), por los tres métodos</w:t>
      </w:r>
      <w:r>
        <w:rPr>
          <w:b w:val="0"/>
          <w:color w:val="auto"/>
          <w:szCs w:val="22"/>
        </w:rPr>
        <w:t xml:space="preserve"> de cálculo: </w:t>
      </w:r>
      <w:r w:rsidR="003A613B" w:rsidRPr="00E22371">
        <w:rPr>
          <w:b w:val="0"/>
          <w:color w:val="auto"/>
          <w:szCs w:val="22"/>
        </w:rPr>
        <w:t>Producción, Ga</w:t>
      </w:r>
      <w:r w:rsidR="00F05D03">
        <w:rPr>
          <w:b w:val="0"/>
          <w:color w:val="auto"/>
          <w:szCs w:val="22"/>
        </w:rPr>
        <w:t>s</w:t>
      </w:r>
      <w:r w:rsidR="003A613B" w:rsidRPr="00E22371">
        <w:rPr>
          <w:b w:val="0"/>
          <w:color w:val="auto"/>
          <w:szCs w:val="22"/>
        </w:rPr>
        <w:t>to e Ingreso</w:t>
      </w:r>
      <w:r>
        <w:rPr>
          <w:b w:val="0"/>
          <w:color w:val="auto"/>
          <w:szCs w:val="22"/>
        </w:rPr>
        <w:t>.</w:t>
      </w:r>
    </w:p>
    <w:p w14:paraId="582337E7" w14:textId="77777777" w:rsidR="00070D37" w:rsidRPr="00070D37" w:rsidRDefault="00070D37" w:rsidP="00D67128">
      <w:pPr>
        <w:pStyle w:val="bullet"/>
        <w:numPr>
          <w:ilvl w:val="0"/>
          <w:numId w:val="0"/>
        </w:numPr>
        <w:tabs>
          <w:tab w:val="left" w:pos="9072"/>
        </w:tabs>
        <w:spacing w:before="0"/>
        <w:ind w:left="567" w:right="423"/>
        <w:rPr>
          <w:b w:val="0"/>
          <w:color w:val="auto"/>
          <w:szCs w:val="22"/>
        </w:rPr>
      </w:pPr>
    </w:p>
    <w:p w14:paraId="469D86F1" w14:textId="70C05385" w:rsidR="00950C63" w:rsidRDefault="00B76F3A" w:rsidP="00D67128">
      <w:pPr>
        <w:ind w:left="-142" w:right="-286"/>
        <w:jc w:val="both"/>
        <w:rPr>
          <w:sz w:val="22"/>
          <w:szCs w:val="22"/>
        </w:rPr>
      </w:pPr>
      <w:r w:rsidRPr="00070D37">
        <w:rPr>
          <w:rFonts w:eastAsia="Arial" w:cs="Arial"/>
          <w:sz w:val="22"/>
          <w:szCs w:val="22"/>
        </w:rPr>
        <w:t xml:space="preserve">El INEGI presenta por primera vez resultados de las </w:t>
      </w:r>
      <w:r w:rsidR="009B5E5A" w:rsidRPr="00070D37">
        <w:rPr>
          <w:rFonts w:eastAsia="Arial" w:cs="Arial"/>
          <w:sz w:val="22"/>
          <w:szCs w:val="22"/>
        </w:rPr>
        <w:t>C</w:t>
      </w:r>
      <w:r w:rsidRPr="00070D37">
        <w:rPr>
          <w:rFonts w:eastAsia="Arial" w:cs="Arial"/>
          <w:sz w:val="22"/>
          <w:szCs w:val="22"/>
        </w:rPr>
        <w:t xml:space="preserve">uentas por </w:t>
      </w:r>
      <w:r w:rsidR="009B5E5A" w:rsidRPr="00070D37">
        <w:rPr>
          <w:rFonts w:eastAsia="Arial" w:cs="Arial"/>
          <w:sz w:val="22"/>
          <w:szCs w:val="22"/>
        </w:rPr>
        <w:t>Se</w:t>
      </w:r>
      <w:r w:rsidRPr="00070D37">
        <w:rPr>
          <w:rFonts w:eastAsia="Arial" w:cs="Arial"/>
          <w:sz w:val="22"/>
          <w:szCs w:val="22"/>
        </w:rPr>
        <w:t xml:space="preserve">ctores </w:t>
      </w:r>
      <w:r w:rsidR="009B5E5A" w:rsidRPr="00070D37">
        <w:rPr>
          <w:rFonts w:eastAsia="Arial" w:cs="Arial"/>
          <w:sz w:val="22"/>
          <w:szCs w:val="22"/>
        </w:rPr>
        <w:t>I</w:t>
      </w:r>
      <w:r w:rsidRPr="00070D37">
        <w:rPr>
          <w:rFonts w:eastAsia="Arial" w:cs="Arial"/>
          <w:sz w:val="22"/>
          <w:szCs w:val="22"/>
        </w:rPr>
        <w:t>nstitucionales</w:t>
      </w:r>
      <w:r w:rsidRPr="00070D37">
        <w:rPr>
          <w:rFonts w:cs="Arial"/>
          <w:sz w:val="22"/>
          <w:szCs w:val="22"/>
        </w:rPr>
        <w:t xml:space="preserve"> </w:t>
      </w:r>
      <w:r w:rsidR="009B5E5A" w:rsidRPr="00070D37">
        <w:rPr>
          <w:rFonts w:cs="Arial"/>
          <w:sz w:val="22"/>
          <w:szCs w:val="22"/>
        </w:rPr>
        <w:t xml:space="preserve">Trimestrales (CSIT) </w:t>
      </w:r>
      <w:r w:rsidRPr="00070D37">
        <w:rPr>
          <w:rFonts w:eastAsia="Arial" w:cs="Arial"/>
          <w:sz w:val="22"/>
          <w:szCs w:val="22"/>
        </w:rPr>
        <w:t xml:space="preserve">de </w:t>
      </w:r>
      <w:r w:rsidR="001B5264" w:rsidRPr="00070D37">
        <w:rPr>
          <w:rFonts w:eastAsia="Arial" w:cs="Arial"/>
          <w:sz w:val="22"/>
          <w:szCs w:val="22"/>
        </w:rPr>
        <w:t>M</w:t>
      </w:r>
      <w:r w:rsidRPr="00070D37">
        <w:rPr>
          <w:rFonts w:eastAsia="Arial" w:cs="Arial"/>
          <w:sz w:val="22"/>
          <w:szCs w:val="22"/>
        </w:rPr>
        <w:t xml:space="preserve">éxico </w:t>
      </w:r>
      <w:r w:rsidR="003D5D58" w:rsidRPr="00070D37">
        <w:rPr>
          <w:sz w:val="22"/>
          <w:szCs w:val="22"/>
        </w:rPr>
        <w:t>del primer trimestre de 2008 al primer trimestre de 202</w:t>
      </w:r>
      <w:r w:rsidR="00950C63" w:rsidRPr="00070D37">
        <w:rPr>
          <w:sz w:val="22"/>
          <w:szCs w:val="22"/>
        </w:rPr>
        <w:t>0, con lo que amplía las mediciones de este tipo dentro del marco contable del Sistema de Cuentas Nacionales de México (SCNM) que aportan una mayor congruencia a las transacciones que se registran o calculan como flujos y como saldos.</w:t>
      </w:r>
    </w:p>
    <w:p w14:paraId="1D50F706" w14:textId="77777777" w:rsidR="00D67128" w:rsidRPr="00070D37" w:rsidRDefault="00D67128" w:rsidP="00D67128">
      <w:pPr>
        <w:ind w:left="-142" w:right="-286"/>
        <w:jc w:val="both"/>
        <w:rPr>
          <w:rFonts w:eastAsia="Arial" w:cs="Arial"/>
          <w:sz w:val="22"/>
          <w:szCs w:val="22"/>
        </w:rPr>
      </w:pPr>
    </w:p>
    <w:p w14:paraId="1098FC1A" w14:textId="77777777" w:rsidR="00D67128" w:rsidRDefault="009B5E5A" w:rsidP="00D67128">
      <w:pPr>
        <w:pStyle w:val="bullet"/>
        <w:numPr>
          <w:ilvl w:val="0"/>
          <w:numId w:val="0"/>
        </w:numPr>
        <w:spacing w:before="0"/>
        <w:ind w:left="-142" w:right="-286"/>
        <w:rPr>
          <w:b w:val="0"/>
          <w:color w:val="auto"/>
          <w:szCs w:val="22"/>
        </w:rPr>
      </w:pPr>
      <w:r w:rsidRPr="00070D37">
        <w:rPr>
          <w:b w:val="0"/>
          <w:color w:val="auto"/>
          <w:szCs w:val="22"/>
        </w:rPr>
        <w:t>Proporcionan información sobre las transacciones reales y financieras que realizan los distintos sectores entre sí y con el resto del mundo, así como del balance de activos y pasivos al inicio y al cierre del año y las relaciones intersectoriales quien a quien por sector institucional y para la economía en su conjunto.</w:t>
      </w:r>
    </w:p>
    <w:p w14:paraId="17348374" w14:textId="41F29B1B" w:rsidR="00950C63" w:rsidRPr="00070D37" w:rsidRDefault="00950C63" w:rsidP="00D67128">
      <w:pPr>
        <w:pStyle w:val="bullet"/>
        <w:numPr>
          <w:ilvl w:val="0"/>
          <w:numId w:val="0"/>
        </w:numPr>
        <w:spacing w:before="0"/>
        <w:ind w:left="-142" w:right="-286"/>
        <w:rPr>
          <w:b w:val="0"/>
          <w:color w:val="auto"/>
          <w:szCs w:val="22"/>
        </w:rPr>
      </w:pPr>
    </w:p>
    <w:p w14:paraId="3EEEFBF6" w14:textId="53C2FC37" w:rsidR="009B5E5A" w:rsidRDefault="009B5E5A" w:rsidP="00D67128">
      <w:pPr>
        <w:pStyle w:val="bullet"/>
        <w:numPr>
          <w:ilvl w:val="0"/>
          <w:numId w:val="0"/>
        </w:numPr>
        <w:spacing w:before="0"/>
        <w:ind w:left="-142" w:right="-286"/>
        <w:rPr>
          <w:b w:val="0"/>
          <w:color w:val="auto"/>
          <w:szCs w:val="22"/>
        </w:rPr>
      </w:pPr>
      <w:r w:rsidRPr="00070D37">
        <w:rPr>
          <w:b w:val="0"/>
          <w:color w:val="auto"/>
          <w:szCs w:val="22"/>
        </w:rPr>
        <w:t xml:space="preserve">La metodología seguida permite, en el corto plazo, incluir de manera sistemática toda la información disponible en el país de forma consistente con la del Sistema de Cuentas Nacionales de México (SCNM) con base en los Manuales de Sistema de Cuentas Nacionales 2008 de Naciones Unidas (SCN2008) y del Manual de Cuentas Nacionales Trimestrales del Fondo Monetario Internacional (FMI). </w:t>
      </w:r>
    </w:p>
    <w:p w14:paraId="7A52BE8C" w14:textId="77777777" w:rsidR="00270E84" w:rsidRPr="00070D37" w:rsidRDefault="00270E84" w:rsidP="00D67128">
      <w:pPr>
        <w:pStyle w:val="bullet"/>
        <w:numPr>
          <w:ilvl w:val="0"/>
          <w:numId w:val="0"/>
        </w:numPr>
        <w:spacing w:before="0"/>
        <w:ind w:left="-142" w:right="-286"/>
        <w:rPr>
          <w:b w:val="0"/>
          <w:color w:val="auto"/>
          <w:szCs w:val="22"/>
        </w:rPr>
      </w:pPr>
    </w:p>
    <w:p w14:paraId="56D9FBC6" w14:textId="612D09BF" w:rsidR="009B5E5A" w:rsidRDefault="009B5E5A" w:rsidP="00D67128">
      <w:pPr>
        <w:pStyle w:val="bullet"/>
        <w:numPr>
          <w:ilvl w:val="0"/>
          <w:numId w:val="0"/>
        </w:numPr>
        <w:spacing w:before="0"/>
        <w:ind w:left="-142" w:right="-286"/>
        <w:rPr>
          <w:b w:val="0"/>
          <w:color w:val="auto"/>
          <w:szCs w:val="22"/>
        </w:rPr>
      </w:pPr>
      <w:r w:rsidRPr="00070D37">
        <w:rPr>
          <w:b w:val="0"/>
          <w:color w:val="auto"/>
          <w:szCs w:val="22"/>
        </w:rPr>
        <w:t>Las cifras se publicarán, en promedio</w:t>
      </w:r>
      <w:r w:rsidR="00B305F9">
        <w:rPr>
          <w:b w:val="0"/>
          <w:color w:val="auto"/>
          <w:szCs w:val="22"/>
        </w:rPr>
        <w:t>,</w:t>
      </w:r>
      <w:r w:rsidRPr="00070D37">
        <w:rPr>
          <w:b w:val="0"/>
          <w:color w:val="auto"/>
          <w:szCs w:val="22"/>
        </w:rPr>
        <w:t xml:space="preserve"> 155 días después de concluido el trimestre de referencia. </w:t>
      </w:r>
    </w:p>
    <w:p w14:paraId="6655B35E" w14:textId="77777777" w:rsidR="00D67128" w:rsidRPr="00070D37" w:rsidRDefault="00D67128" w:rsidP="00D67128">
      <w:pPr>
        <w:pStyle w:val="bullet"/>
        <w:numPr>
          <w:ilvl w:val="0"/>
          <w:numId w:val="0"/>
        </w:numPr>
        <w:spacing w:before="0"/>
        <w:ind w:left="-142" w:right="-286"/>
        <w:rPr>
          <w:color w:val="auto"/>
          <w:szCs w:val="22"/>
        </w:rPr>
      </w:pPr>
    </w:p>
    <w:p w14:paraId="785D9229" w14:textId="00CF109E" w:rsidR="009B5E5A" w:rsidRDefault="009B5E5A" w:rsidP="00D67128">
      <w:pPr>
        <w:pStyle w:val="bullet"/>
        <w:numPr>
          <w:ilvl w:val="0"/>
          <w:numId w:val="0"/>
        </w:numPr>
        <w:spacing w:before="0"/>
        <w:ind w:left="-142" w:right="-286"/>
        <w:rPr>
          <w:b w:val="0"/>
          <w:color w:val="auto"/>
          <w:szCs w:val="22"/>
        </w:rPr>
      </w:pPr>
      <w:r w:rsidRPr="00070D37">
        <w:rPr>
          <w:b w:val="0"/>
          <w:color w:val="auto"/>
          <w:szCs w:val="22"/>
        </w:rPr>
        <w:t>Los resultados están en concordancia con el compromiso adquirido por el INEGI para elaborar las Cuentas Sectoriales Trimestrales. Con ellas se busca proveer de información con mayor detalle y oportunidad para los usuarios interesados en conocer la dinámica de stocks y flujos de activos financieros.</w:t>
      </w:r>
    </w:p>
    <w:p w14:paraId="22BD2D5B" w14:textId="77777777" w:rsidR="00D67128" w:rsidRPr="00070D37" w:rsidRDefault="00D67128" w:rsidP="00D67128">
      <w:pPr>
        <w:pStyle w:val="bullet"/>
        <w:numPr>
          <w:ilvl w:val="0"/>
          <w:numId w:val="0"/>
        </w:numPr>
        <w:spacing w:before="0"/>
        <w:ind w:left="-142" w:right="-286"/>
        <w:rPr>
          <w:b w:val="0"/>
          <w:color w:val="auto"/>
          <w:szCs w:val="22"/>
        </w:rPr>
      </w:pPr>
    </w:p>
    <w:p w14:paraId="38BD1FAA" w14:textId="50E91A70" w:rsidR="009B5E5A" w:rsidRPr="00070D37" w:rsidRDefault="009B5E5A" w:rsidP="00D67128">
      <w:pPr>
        <w:pStyle w:val="bullet"/>
        <w:numPr>
          <w:ilvl w:val="0"/>
          <w:numId w:val="0"/>
        </w:numPr>
        <w:spacing w:before="0"/>
        <w:ind w:left="-142" w:right="-286"/>
        <w:rPr>
          <w:b w:val="0"/>
          <w:color w:val="auto"/>
          <w:szCs w:val="22"/>
        </w:rPr>
      </w:pPr>
      <w:r w:rsidRPr="00070D37">
        <w:rPr>
          <w:b w:val="0"/>
          <w:color w:val="auto"/>
          <w:szCs w:val="22"/>
        </w:rPr>
        <w:t>Se presenta el Producto Interno Bruto Trimestral (PIB</w:t>
      </w:r>
      <w:r w:rsidR="00070D37">
        <w:rPr>
          <w:b w:val="0"/>
          <w:color w:val="auto"/>
          <w:szCs w:val="22"/>
        </w:rPr>
        <w:t>T</w:t>
      </w:r>
      <w:r w:rsidRPr="00070D37">
        <w:rPr>
          <w:b w:val="0"/>
          <w:color w:val="auto"/>
          <w:szCs w:val="22"/>
        </w:rPr>
        <w:t>), por los tres métodos de cálculo: Producción, Gasto e Ingreso.</w:t>
      </w:r>
    </w:p>
    <w:p w14:paraId="03A9D9AC" w14:textId="77777777" w:rsidR="00FC6F39" w:rsidRPr="00070D37" w:rsidRDefault="00FC6F39" w:rsidP="00D67128">
      <w:pPr>
        <w:pStyle w:val="Textodebloque1"/>
        <w:spacing w:before="0"/>
        <w:ind w:left="-142" w:right="-286" w:firstLine="0"/>
        <w:rPr>
          <w:rFonts w:eastAsia="Arial" w:cs="Arial"/>
          <w:b w:val="0"/>
          <w:bCs/>
          <w:szCs w:val="22"/>
        </w:rPr>
      </w:pPr>
    </w:p>
    <w:p w14:paraId="23A763D2" w14:textId="4E81B920" w:rsidR="00FC6F39" w:rsidRDefault="00D67128" w:rsidP="00D67128">
      <w:pPr>
        <w:pStyle w:val="Textodebloque1"/>
        <w:spacing w:before="0"/>
        <w:ind w:left="-142" w:right="-286" w:firstLine="0"/>
        <w:rPr>
          <w:rFonts w:eastAsia="Arial" w:cs="Arial"/>
          <w:szCs w:val="22"/>
        </w:rPr>
      </w:pPr>
      <w:r w:rsidRPr="00D67128">
        <w:rPr>
          <w:rFonts w:eastAsia="Arial" w:cs="Arial"/>
          <w:szCs w:val="22"/>
        </w:rPr>
        <w:t>PRINCIPALES RESULTADOS</w:t>
      </w:r>
    </w:p>
    <w:p w14:paraId="61A7E763" w14:textId="77777777" w:rsidR="00D67128" w:rsidRPr="00D67128" w:rsidRDefault="00D67128" w:rsidP="00D67128">
      <w:pPr>
        <w:pStyle w:val="Textodebloque1"/>
        <w:spacing w:before="0"/>
        <w:ind w:left="-142" w:right="-286" w:firstLine="0"/>
        <w:rPr>
          <w:rFonts w:eastAsia="Arial" w:cs="Arial"/>
          <w:szCs w:val="22"/>
        </w:rPr>
      </w:pPr>
    </w:p>
    <w:p w14:paraId="3346C75D" w14:textId="6F44C93F" w:rsidR="00215951" w:rsidRDefault="00CB7D94" w:rsidP="00215951">
      <w:pPr>
        <w:ind w:left="-142" w:right="-286"/>
        <w:jc w:val="both"/>
        <w:rPr>
          <w:rFonts w:eastAsia="Arial" w:cs="Arial"/>
          <w:sz w:val="22"/>
          <w:szCs w:val="22"/>
        </w:rPr>
      </w:pPr>
      <w:r w:rsidRPr="00070D37">
        <w:rPr>
          <w:rFonts w:eastAsia="Arial" w:cs="Arial"/>
          <w:sz w:val="22"/>
          <w:szCs w:val="22"/>
        </w:rPr>
        <w:t>Las C</w:t>
      </w:r>
      <w:r w:rsidR="00070D37">
        <w:rPr>
          <w:rFonts w:eastAsia="Arial" w:cs="Arial"/>
          <w:sz w:val="22"/>
          <w:szCs w:val="22"/>
        </w:rPr>
        <w:t>SIT</w:t>
      </w:r>
      <w:r w:rsidR="00E22371" w:rsidRPr="00070D37">
        <w:rPr>
          <w:rFonts w:eastAsia="Arial" w:cs="Arial"/>
          <w:sz w:val="22"/>
          <w:szCs w:val="22"/>
        </w:rPr>
        <w:t xml:space="preserve"> </w:t>
      </w:r>
      <w:r w:rsidR="006B2781" w:rsidRPr="00070D37">
        <w:rPr>
          <w:rFonts w:eastAsia="Arial" w:cs="Arial"/>
          <w:sz w:val="22"/>
          <w:szCs w:val="22"/>
        </w:rPr>
        <w:t xml:space="preserve">se elaboraron para la </w:t>
      </w:r>
      <w:r w:rsidRPr="00070D37">
        <w:rPr>
          <w:rFonts w:eastAsia="Arial" w:cs="Arial"/>
          <w:sz w:val="22"/>
          <w:szCs w:val="22"/>
        </w:rPr>
        <w:t xml:space="preserve">serie </w:t>
      </w:r>
      <w:r w:rsidR="006B2781" w:rsidRPr="00070D37">
        <w:rPr>
          <w:rFonts w:eastAsia="Arial" w:cs="Arial"/>
          <w:sz w:val="22"/>
          <w:szCs w:val="22"/>
        </w:rPr>
        <w:t>d</w:t>
      </w:r>
      <w:r w:rsidRPr="00070D37">
        <w:rPr>
          <w:rFonts w:eastAsia="Arial" w:cs="Arial"/>
          <w:sz w:val="22"/>
          <w:szCs w:val="22"/>
        </w:rPr>
        <w:t>el primer trimestre de 2008 al primer trimestre de 2020</w:t>
      </w:r>
      <w:r w:rsidR="00215951">
        <w:rPr>
          <w:rFonts w:eastAsia="Arial" w:cs="Arial"/>
          <w:sz w:val="22"/>
          <w:szCs w:val="22"/>
        </w:rPr>
        <w:t xml:space="preserve"> y </w:t>
      </w:r>
      <w:r w:rsidRPr="00070D37">
        <w:rPr>
          <w:rFonts w:eastAsia="Arial" w:cs="Arial"/>
          <w:sz w:val="22"/>
          <w:szCs w:val="22"/>
        </w:rPr>
        <w:t xml:space="preserve">proporcionan información referente a las transacciones reales y financieras y posiciones de stocks que realizan </w:t>
      </w:r>
      <w:r w:rsidR="006B2781" w:rsidRPr="00070D37">
        <w:rPr>
          <w:rFonts w:eastAsia="Arial" w:cs="Arial"/>
          <w:sz w:val="22"/>
          <w:szCs w:val="22"/>
        </w:rPr>
        <w:t xml:space="preserve">los </w:t>
      </w:r>
      <w:r w:rsidRPr="00070D37">
        <w:rPr>
          <w:rFonts w:eastAsia="Arial" w:cs="Arial"/>
          <w:sz w:val="22"/>
          <w:szCs w:val="22"/>
        </w:rPr>
        <w:t>sectores entre sí y con el resto del mundo</w:t>
      </w:r>
      <w:r w:rsidR="00215951">
        <w:rPr>
          <w:rFonts w:eastAsia="Arial" w:cs="Arial"/>
          <w:sz w:val="22"/>
          <w:szCs w:val="22"/>
        </w:rPr>
        <w:t>. L</w:t>
      </w:r>
      <w:r w:rsidR="006B2781" w:rsidRPr="00070D37">
        <w:rPr>
          <w:rFonts w:eastAsia="Arial" w:cs="Arial"/>
          <w:sz w:val="22"/>
          <w:szCs w:val="22"/>
        </w:rPr>
        <w:t xml:space="preserve">os </w:t>
      </w:r>
      <w:r w:rsidR="00C85C7C" w:rsidRPr="00070D37">
        <w:rPr>
          <w:rFonts w:eastAsia="Arial" w:cs="Arial"/>
          <w:sz w:val="22"/>
          <w:szCs w:val="22"/>
        </w:rPr>
        <w:t xml:space="preserve">sectores institucionales </w:t>
      </w:r>
      <w:r w:rsidR="006B2781" w:rsidRPr="00070D37">
        <w:rPr>
          <w:rFonts w:eastAsia="Arial" w:cs="Arial"/>
          <w:sz w:val="22"/>
          <w:szCs w:val="22"/>
        </w:rPr>
        <w:t>son</w:t>
      </w:r>
      <w:r w:rsidRPr="00070D37">
        <w:rPr>
          <w:rFonts w:eastAsia="Arial" w:cs="Arial"/>
          <w:sz w:val="22"/>
          <w:szCs w:val="22"/>
        </w:rPr>
        <w:t xml:space="preserve">: Sociedades no financieras, Sociedades financieras, Gobierno general, Hogares, Instituciones sin </w:t>
      </w:r>
      <w:r w:rsidR="00C85C7C" w:rsidRPr="00070D37">
        <w:rPr>
          <w:rFonts w:eastAsia="Arial" w:cs="Arial"/>
          <w:sz w:val="22"/>
          <w:szCs w:val="22"/>
        </w:rPr>
        <w:t>fines de lucro que sirven a los ho</w:t>
      </w:r>
      <w:r w:rsidRPr="00070D37">
        <w:rPr>
          <w:rFonts w:eastAsia="Arial" w:cs="Arial"/>
          <w:sz w:val="22"/>
          <w:szCs w:val="22"/>
        </w:rPr>
        <w:t xml:space="preserve">gares (ISFLSH) y el Resto del </w:t>
      </w:r>
      <w:r w:rsidR="00C85C7C" w:rsidRPr="00070D37">
        <w:rPr>
          <w:rFonts w:eastAsia="Arial" w:cs="Arial"/>
          <w:sz w:val="22"/>
          <w:szCs w:val="22"/>
        </w:rPr>
        <w:t>m</w:t>
      </w:r>
      <w:r w:rsidRPr="00070D37">
        <w:rPr>
          <w:rFonts w:eastAsia="Arial" w:cs="Arial"/>
          <w:sz w:val="22"/>
          <w:szCs w:val="22"/>
        </w:rPr>
        <w:t>undo.</w:t>
      </w:r>
      <w:bookmarkStart w:id="1" w:name="_Hlk49727763"/>
    </w:p>
    <w:p w14:paraId="5274690A" w14:textId="2F34699F" w:rsidR="00CB7D94" w:rsidRPr="00D67128" w:rsidRDefault="00CB7D94" w:rsidP="00D67128">
      <w:pPr>
        <w:ind w:left="-142" w:right="-286"/>
        <w:jc w:val="both"/>
        <w:rPr>
          <w:rFonts w:eastAsia="Arial" w:cs="Arial"/>
          <w:sz w:val="22"/>
          <w:szCs w:val="22"/>
        </w:rPr>
      </w:pPr>
      <w:r w:rsidRPr="00D67128">
        <w:rPr>
          <w:rFonts w:eastAsia="Arial" w:cs="Arial"/>
          <w:sz w:val="22"/>
          <w:szCs w:val="22"/>
        </w:rPr>
        <w:lastRenderedPageBreak/>
        <w:t>Durante el primer trimestre de 2020</w:t>
      </w:r>
      <w:r w:rsidR="00C85C7C" w:rsidRPr="00D67128">
        <w:rPr>
          <w:rFonts w:eastAsia="Arial" w:cs="Arial"/>
          <w:sz w:val="22"/>
          <w:szCs w:val="22"/>
        </w:rPr>
        <w:t>, las Sociedades no financieras contribuyeron con 44.6% del Producto Interno Bruto (PIB) y 34.7% fue generado por los Hogares; les siguieron el Gobierno general con 8.0%, las Sociedades financieras 4.2% y las ISFLSH con 0.</w:t>
      </w:r>
      <w:r w:rsidRPr="00D67128">
        <w:rPr>
          <w:rFonts w:eastAsia="Arial" w:cs="Arial"/>
          <w:sz w:val="22"/>
          <w:szCs w:val="22"/>
        </w:rPr>
        <w:t>9 por ciento</w:t>
      </w:r>
      <w:r w:rsidRPr="00D67128">
        <w:rPr>
          <w:rFonts w:eastAsia="Arial" w:cs="Arial"/>
          <w:sz w:val="22"/>
          <w:szCs w:val="22"/>
          <w:vertAlign w:val="superscript"/>
        </w:rPr>
        <w:footnoteReference w:id="2"/>
      </w:r>
      <w:r w:rsidRPr="00D67128">
        <w:rPr>
          <w:rFonts w:eastAsia="Arial" w:cs="Arial"/>
          <w:sz w:val="22"/>
          <w:szCs w:val="22"/>
        </w:rPr>
        <w:t>.</w:t>
      </w:r>
    </w:p>
    <w:bookmarkEnd w:id="1"/>
    <w:p w14:paraId="1A78EB76" w14:textId="692C8772" w:rsidR="00CB7D94" w:rsidRPr="002069C8" w:rsidRDefault="00CB7D94" w:rsidP="00FA00A1">
      <w:pPr>
        <w:spacing w:before="120"/>
        <w:jc w:val="center"/>
        <w:rPr>
          <w:rFonts w:eastAsia="Arial" w:cs="Arial"/>
          <w:sz w:val="20"/>
          <w:szCs w:val="20"/>
        </w:rPr>
      </w:pPr>
      <w:r w:rsidRPr="002069C8">
        <w:rPr>
          <w:rFonts w:eastAsia="Arial" w:cs="Arial"/>
          <w:sz w:val="20"/>
          <w:szCs w:val="20"/>
        </w:rPr>
        <w:t>Gr</w:t>
      </w:r>
      <w:r w:rsidR="00F05D03">
        <w:rPr>
          <w:rFonts w:eastAsia="Arial" w:cs="Arial"/>
          <w:sz w:val="20"/>
          <w:szCs w:val="20"/>
        </w:rPr>
        <w:t>á</w:t>
      </w:r>
      <w:r w:rsidRPr="002069C8">
        <w:rPr>
          <w:rFonts w:eastAsia="Arial" w:cs="Arial"/>
          <w:sz w:val="20"/>
          <w:szCs w:val="20"/>
        </w:rPr>
        <w:t>fica 1</w:t>
      </w:r>
    </w:p>
    <w:p w14:paraId="2BEDD9D9" w14:textId="77777777" w:rsidR="00CB7D94" w:rsidRDefault="00CB7D94" w:rsidP="00CB7D94">
      <w:pPr>
        <w:jc w:val="center"/>
        <w:rPr>
          <w:rFonts w:eastAsia="Arial" w:cs="Arial"/>
          <w:b/>
          <w:bCs/>
          <w:sz w:val="22"/>
          <w:szCs w:val="22"/>
        </w:rPr>
      </w:pPr>
      <w:r w:rsidRPr="002069C8">
        <w:rPr>
          <w:rFonts w:eastAsia="Arial" w:cs="Arial"/>
          <w:b/>
          <w:bCs/>
          <w:sz w:val="22"/>
          <w:szCs w:val="22"/>
        </w:rPr>
        <w:t>COMPOSICIÓN DEL PIB POR SECTOR INSTITUCIONAL</w:t>
      </w:r>
    </w:p>
    <w:p w14:paraId="5ECB1459" w14:textId="77777777" w:rsidR="00CB7D94" w:rsidRPr="002069C8" w:rsidRDefault="00CB7D94" w:rsidP="00CB7D94">
      <w:pPr>
        <w:jc w:val="center"/>
        <w:rPr>
          <w:rFonts w:eastAsia="Arial" w:cs="Arial"/>
          <w:b/>
          <w:bCs/>
          <w:sz w:val="22"/>
          <w:szCs w:val="22"/>
        </w:rPr>
      </w:pPr>
      <w:r w:rsidRPr="002069C8">
        <w:rPr>
          <w:rFonts w:eastAsia="Arial" w:cs="Arial"/>
          <w:b/>
          <w:bCs/>
          <w:sz w:val="22"/>
          <w:szCs w:val="22"/>
        </w:rPr>
        <w:t>PRIMER TRIMESTRE DE 2020</w:t>
      </w:r>
    </w:p>
    <w:p w14:paraId="2FD89537" w14:textId="77777777" w:rsidR="00CB7D94" w:rsidRPr="002069C8" w:rsidRDefault="00CB7D94" w:rsidP="00CB7D94">
      <w:pPr>
        <w:jc w:val="center"/>
        <w:rPr>
          <w:rFonts w:eastAsia="Arial" w:cs="Arial"/>
          <w:sz w:val="18"/>
          <w:szCs w:val="18"/>
        </w:rPr>
      </w:pPr>
      <w:r w:rsidRPr="002069C8">
        <w:rPr>
          <w:rFonts w:eastAsia="Arial" w:cs="Arial"/>
          <w:sz w:val="18"/>
          <w:szCs w:val="18"/>
        </w:rPr>
        <w:t>(Estructura Porcentual)</w:t>
      </w:r>
    </w:p>
    <w:p w14:paraId="22E134A0" w14:textId="77777777" w:rsidR="00CB7D94" w:rsidRPr="002069C8" w:rsidRDefault="00CB7D94" w:rsidP="001A6CA7">
      <w:pPr>
        <w:jc w:val="center"/>
        <w:rPr>
          <w:rFonts w:eastAsia="Arial" w:cs="Arial"/>
          <w:bCs/>
        </w:rPr>
      </w:pPr>
      <w:r w:rsidRPr="00785514">
        <w:rPr>
          <w:rFonts w:cs="Arial"/>
          <w:noProof/>
          <w:lang w:val="en-US" w:eastAsia="en-US"/>
        </w:rPr>
        <w:drawing>
          <wp:inline distT="0" distB="0" distL="0" distR="0" wp14:anchorId="7821137A" wp14:editId="17DCBAB6">
            <wp:extent cx="4450715" cy="2063750"/>
            <wp:effectExtent l="19050" t="19050" r="26035"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4311" cy="2074691"/>
                    </a:xfrm>
                    <a:prstGeom prst="rect">
                      <a:avLst/>
                    </a:prstGeom>
                    <a:noFill/>
                    <a:ln w="6350">
                      <a:solidFill>
                        <a:schemeClr val="tx1"/>
                      </a:solidFill>
                    </a:ln>
                  </pic:spPr>
                </pic:pic>
              </a:graphicData>
            </a:graphic>
          </wp:inline>
        </w:drawing>
      </w:r>
      <w:r>
        <w:rPr>
          <w:rFonts w:eastAsia="Arial" w:cs="Arial"/>
          <w:b/>
        </w:rPr>
        <w:t xml:space="preserve">     </w:t>
      </w:r>
    </w:p>
    <w:p w14:paraId="34ACA934" w14:textId="17164B71" w:rsidR="00CB7D94" w:rsidRPr="002069C8" w:rsidRDefault="00CB7D94" w:rsidP="00CB7D94">
      <w:pPr>
        <w:ind w:left="1276" w:right="1273"/>
        <w:rPr>
          <w:rFonts w:eastAsia="Arial"/>
          <w:noProof/>
          <w:sz w:val="16"/>
          <w:szCs w:val="16"/>
          <w:lang w:val="es-MX" w:eastAsia="es-MX"/>
        </w:rPr>
      </w:pPr>
      <w:r w:rsidRPr="002069C8">
        <w:rPr>
          <w:rFonts w:eastAsia="Arial"/>
          <w:noProof/>
          <w:sz w:val="16"/>
          <w:szCs w:val="16"/>
          <w:lang w:val="es-MX" w:eastAsia="es-MX"/>
        </w:rPr>
        <w:t xml:space="preserve">Nota: S.11 Sociedades no financieras, S.12 Sociedades financieras, S.13 Gobierno General, S.14 Hogares, S.15 Instituciones sin fines de lucro </w:t>
      </w:r>
      <w:r w:rsidR="006D5F5C">
        <w:rPr>
          <w:rFonts w:eastAsia="Arial"/>
          <w:noProof/>
          <w:sz w:val="16"/>
          <w:szCs w:val="16"/>
          <w:lang w:val="es-MX" w:eastAsia="es-MX"/>
        </w:rPr>
        <w:t>que sirven a</w:t>
      </w:r>
      <w:r w:rsidRPr="002069C8">
        <w:rPr>
          <w:rFonts w:eastAsia="Arial"/>
          <w:noProof/>
          <w:sz w:val="16"/>
          <w:szCs w:val="16"/>
          <w:lang w:val="es-MX" w:eastAsia="es-MX"/>
        </w:rPr>
        <w:t xml:space="preserve"> los hogares (ISFLSH).</w:t>
      </w:r>
    </w:p>
    <w:p w14:paraId="5EE409E1" w14:textId="079FA71F" w:rsidR="00CB7D94" w:rsidRPr="002069C8" w:rsidRDefault="00CB7D94" w:rsidP="00CB7D94">
      <w:pPr>
        <w:ind w:left="1276" w:right="1273"/>
        <w:rPr>
          <w:rFonts w:eastAsia="Arial"/>
          <w:noProof/>
          <w:sz w:val="16"/>
          <w:szCs w:val="16"/>
          <w:lang w:val="es-MX" w:eastAsia="es-MX"/>
        </w:rPr>
      </w:pPr>
      <w:r w:rsidRPr="002069C8">
        <w:rPr>
          <w:rFonts w:eastAsia="Arial"/>
          <w:noProof/>
          <w:sz w:val="16"/>
          <w:szCs w:val="16"/>
          <w:lang w:val="es-MX" w:eastAsia="es-MX"/>
        </w:rPr>
        <w:t xml:space="preserve">D.31 Impuestos </w:t>
      </w:r>
      <w:r w:rsidR="00F05D03">
        <w:rPr>
          <w:rFonts w:eastAsia="Arial"/>
          <w:noProof/>
          <w:sz w:val="16"/>
          <w:szCs w:val="16"/>
          <w:lang w:val="es-MX" w:eastAsia="es-MX"/>
        </w:rPr>
        <w:t xml:space="preserve">sobre </w:t>
      </w:r>
      <w:r w:rsidRPr="002069C8">
        <w:rPr>
          <w:rFonts w:eastAsia="Arial"/>
          <w:noProof/>
          <w:sz w:val="16"/>
          <w:szCs w:val="16"/>
          <w:lang w:val="es-MX" w:eastAsia="es-MX"/>
        </w:rPr>
        <w:t>los productos</w:t>
      </w:r>
      <w:r w:rsidR="00A52544">
        <w:rPr>
          <w:rFonts w:eastAsia="Arial"/>
          <w:noProof/>
          <w:sz w:val="16"/>
          <w:szCs w:val="16"/>
          <w:lang w:val="es-MX" w:eastAsia="es-MX"/>
        </w:rPr>
        <w:t>,</w:t>
      </w:r>
      <w:r w:rsidR="00F05D03">
        <w:rPr>
          <w:rFonts w:eastAsia="Arial"/>
          <w:noProof/>
          <w:sz w:val="16"/>
          <w:szCs w:val="16"/>
          <w:lang w:val="es-MX" w:eastAsia="es-MX"/>
        </w:rPr>
        <w:t xml:space="preserve"> netos</w:t>
      </w:r>
      <w:r w:rsidR="00A52544">
        <w:rPr>
          <w:rFonts w:eastAsia="Arial"/>
          <w:noProof/>
          <w:sz w:val="16"/>
          <w:szCs w:val="16"/>
          <w:lang w:val="es-MX" w:eastAsia="es-MX"/>
        </w:rPr>
        <w:t>.</w:t>
      </w:r>
    </w:p>
    <w:p w14:paraId="6D5BDC58" w14:textId="77777777" w:rsidR="00CB7D94" w:rsidRPr="002069C8" w:rsidRDefault="00CB7D94" w:rsidP="00FA00A1">
      <w:pPr>
        <w:pStyle w:val="Textodebloque1"/>
        <w:spacing w:before="0"/>
        <w:ind w:left="1276" w:right="0" w:firstLine="0"/>
        <w:rPr>
          <w:rFonts w:eastAsia="Arial" w:cs="Arial"/>
          <w:b w:val="0"/>
          <w:bCs/>
          <w:sz w:val="24"/>
          <w:szCs w:val="24"/>
        </w:rPr>
      </w:pPr>
      <w:r w:rsidRPr="002069C8">
        <w:rPr>
          <w:rFonts w:eastAsia="Arial" w:cs="Arial"/>
          <w:b w:val="0"/>
          <w:bCs/>
          <w:noProof/>
          <w:sz w:val="16"/>
          <w:szCs w:val="16"/>
          <w:lang w:val="es-MX" w:eastAsia="es-MX"/>
        </w:rPr>
        <w:t>Fuente: INEGI</w:t>
      </w:r>
    </w:p>
    <w:p w14:paraId="1AF67F55" w14:textId="78F2F814" w:rsidR="00D67128" w:rsidRPr="00215951" w:rsidRDefault="00A52544" w:rsidP="00215951">
      <w:pPr>
        <w:pStyle w:val="Textodebloque1"/>
        <w:spacing w:before="120"/>
        <w:ind w:left="0" w:right="0" w:firstLine="0"/>
        <w:rPr>
          <w:rFonts w:eastAsia="Arial" w:cs="Arial"/>
          <w:b w:val="0"/>
          <w:bCs/>
          <w:szCs w:val="22"/>
        </w:rPr>
      </w:pPr>
      <w:r w:rsidRPr="00070D37">
        <w:rPr>
          <w:rFonts w:eastAsia="Arial" w:cs="Arial"/>
          <w:b w:val="0"/>
          <w:bCs/>
          <w:szCs w:val="22"/>
        </w:rPr>
        <w:t>El ingreso disponible representa uno de los saldos más importantes en las cuentas, porque muestra cuánto puede ser consumido por los sectores institucionales sin necesidad de reducir los activos o incurrir en pasivos. En el primer trimestre de 2020, el Ingreso Disponible Bruto (IDB) se ubicó en 6,013,132 millones de pesos</w:t>
      </w:r>
      <w:r w:rsidR="00215951">
        <w:rPr>
          <w:rFonts w:eastAsia="Arial" w:cs="Arial"/>
          <w:b w:val="0"/>
          <w:bCs/>
          <w:szCs w:val="22"/>
        </w:rPr>
        <w:t>. E</w:t>
      </w:r>
      <w:r w:rsidRPr="00070D37">
        <w:rPr>
          <w:rFonts w:eastAsia="Arial" w:cs="Arial"/>
          <w:b w:val="0"/>
          <w:bCs/>
          <w:szCs w:val="22"/>
        </w:rPr>
        <w:t>l sector de hogares concentra 72.9%, seguido del Gobierno general con 12.1%</w:t>
      </w:r>
      <w:r w:rsidR="008D4AF7">
        <w:rPr>
          <w:rFonts w:eastAsia="Arial" w:cs="Arial"/>
          <w:b w:val="0"/>
          <w:bCs/>
          <w:szCs w:val="22"/>
        </w:rPr>
        <w:t xml:space="preserve"> y</w:t>
      </w:r>
      <w:r w:rsidRPr="00070D37">
        <w:rPr>
          <w:rFonts w:eastAsia="Arial" w:cs="Arial"/>
          <w:b w:val="0"/>
          <w:bCs/>
          <w:szCs w:val="22"/>
        </w:rPr>
        <w:t xml:space="preserve"> las Sociedades no financieras, con 6.5%</w:t>
      </w:r>
      <w:r w:rsidR="008D4AF7">
        <w:rPr>
          <w:rFonts w:eastAsia="Arial" w:cs="Arial"/>
          <w:b w:val="0"/>
          <w:bCs/>
          <w:szCs w:val="22"/>
        </w:rPr>
        <w:t>, por su parte, l</w:t>
      </w:r>
      <w:r w:rsidRPr="00070D37">
        <w:rPr>
          <w:rFonts w:eastAsia="Arial" w:cs="Arial"/>
          <w:b w:val="0"/>
          <w:bCs/>
          <w:szCs w:val="22"/>
        </w:rPr>
        <w:t xml:space="preserve">as Sociedades financieras participan con 5.7% y un 2.9% lo aportaron las </w:t>
      </w:r>
      <w:r w:rsidR="006D5F5C" w:rsidRPr="00070D37">
        <w:rPr>
          <w:rFonts w:eastAsia="Arial" w:cs="Arial"/>
          <w:b w:val="0"/>
          <w:bCs/>
          <w:szCs w:val="22"/>
        </w:rPr>
        <w:t>ISFLSH</w:t>
      </w:r>
      <w:r w:rsidR="00372BAA" w:rsidRPr="00070D37">
        <w:rPr>
          <w:rFonts w:eastAsia="Arial" w:cs="Arial"/>
          <w:b w:val="0"/>
          <w:bCs/>
          <w:szCs w:val="22"/>
        </w:rPr>
        <w:t>.</w:t>
      </w:r>
    </w:p>
    <w:p w14:paraId="6FA03D8B" w14:textId="127483F1" w:rsidR="00372BAA" w:rsidRPr="00D676FE" w:rsidRDefault="00372BAA" w:rsidP="00372BAA">
      <w:pPr>
        <w:spacing w:before="120"/>
        <w:jc w:val="center"/>
        <w:rPr>
          <w:rFonts w:eastAsia="Arial" w:cs="Arial"/>
          <w:sz w:val="20"/>
          <w:szCs w:val="20"/>
          <w:lang w:val="es-ES_tradnl"/>
        </w:rPr>
      </w:pPr>
      <w:r w:rsidRPr="00D676FE">
        <w:rPr>
          <w:rFonts w:eastAsia="Arial" w:cs="Arial"/>
          <w:sz w:val="20"/>
          <w:szCs w:val="20"/>
          <w:lang w:val="es-ES_tradnl"/>
        </w:rPr>
        <w:t>Cuadro</w:t>
      </w:r>
      <w:r>
        <w:rPr>
          <w:rFonts w:eastAsia="Arial" w:cs="Arial"/>
          <w:sz w:val="20"/>
          <w:szCs w:val="20"/>
          <w:lang w:val="es-ES_tradnl"/>
        </w:rPr>
        <w:t xml:space="preserve"> </w:t>
      </w:r>
      <w:r w:rsidRPr="00D676FE">
        <w:rPr>
          <w:rFonts w:eastAsia="Arial" w:cs="Arial"/>
          <w:sz w:val="20"/>
          <w:szCs w:val="20"/>
          <w:lang w:val="es-ES_tradnl"/>
        </w:rPr>
        <w:t>1</w:t>
      </w:r>
    </w:p>
    <w:p w14:paraId="7165F321" w14:textId="77777777" w:rsidR="00372BAA" w:rsidRPr="00D676FE" w:rsidRDefault="00372BAA" w:rsidP="00372BAA">
      <w:pPr>
        <w:jc w:val="center"/>
        <w:rPr>
          <w:rFonts w:eastAsia="Arial" w:cs="Arial"/>
          <w:b/>
          <w:bCs/>
          <w:sz w:val="22"/>
          <w:szCs w:val="22"/>
          <w:lang w:val="es-ES_tradnl"/>
        </w:rPr>
      </w:pPr>
      <w:r w:rsidRPr="00D676FE">
        <w:rPr>
          <w:rFonts w:eastAsia="Arial" w:cs="Arial"/>
          <w:b/>
          <w:bCs/>
          <w:sz w:val="22"/>
          <w:szCs w:val="22"/>
          <w:lang w:val="es-ES_tradnl"/>
        </w:rPr>
        <w:t>INGRESO DISPONIBLE BRUTO POR SECTOR INSTITUCIONAL</w:t>
      </w:r>
    </w:p>
    <w:p w14:paraId="6F2D4015" w14:textId="77777777" w:rsidR="00372BAA" w:rsidRPr="00D676FE" w:rsidRDefault="00372BAA" w:rsidP="00372BAA">
      <w:pPr>
        <w:jc w:val="center"/>
        <w:rPr>
          <w:rFonts w:eastAsia="Arial" w:cs="Arial"/>
          <w:b/>
          <w:bCs/>
          <w:sz w:val="22"/>
          <w:szCs w:val="22"/>
          <w:lang w:val="es-ES_tradnl"/>
        </w:rPr>
      </w:pPr>
      <w:r>
        <w:rPr>
          <w:rFonts w:eastAsia="Arial" w:cs="Arial"/>
          <w:b/>
          <w:bCs/>
          <w:sz w:val="22"/>
          <w:szCs w:val="22"/>
          <w:lang w:val="es-ES_tradnl"/>
        </w:rPr>
        <w:t xml:space="preserve">AL </w:t>
      </w:r>
      <w:r w:rsidRPr="00D676FE">
        <w:rPr>
          <w:rFonts w:eastAsia="Arial" w:cs="Arial"/>
          <w:b/>
          <w:bCs/>
          <w:sz w:val="22"/>
          <w:szCs w:val="22"/>
          <w:lang w:val="es-ES_tradnl"/>
        </w:rPr>
        <w:t>PRIMER TRIMESTRE DE 2020</w:t>
      </w:r>
    </w:p>
    <w:p w14:paraId="360052A7" w14:textId="77777777" w:rsidR="00372BAA" w:rsidRDefault="00372BAA" w:rsidP="00372BAA">
      <w:pPr>
        <w:jc w:val="center"/>
        <w:rPr>
          <w:rFonts w:eastAsia="Arial" w:cs="Arial"/>
          <w:bCs/>
          <w:sz w:val="18"/>
          <w:szCs w:val="18"/>
        </w:rPr>
      </w:pPr>
      <w:r w:rsidRPr="00D676FE">
        <w:rPr>
          <w:rFonts w:eastAsia="Arial" w:cs="Arial"/>
          <w:bCs/>
          <w:sz w:val="18"/>
          <w:szCs w:val="18"/>
        </w:rPr>
        <w:t>(</w:t>
      </w:r>
      <w:r>
        <w:rPr>
          <w:rFonts w:eastAsia="Arial" w:cs="Arial"/>
          <w:bCs/>
          <w:sz w:val="18"/>
          <w:szCs w:val="18"/>
        </w:rPr>
        <w:t>Millones de pesos</w:t>
      </w:r>
      <w:r w:rsidRPr="00D676FE">
        <w:rPr>
          <w:rFonts w:eastAsia="Arial" w:cs="Arial"/>
          <w:bCs/>
          <w:sz w:val="18"/>
          <w:szCs w:val="18"/>
        </w:rPr>
        <w:t>)</w:t>
      </w:r>
    </w:p>
    <w:tbl>
      <w:tblPr>
        <w:tblStyle w:val="Tablaconcuadrcula"/>
        <w:tblW w:w="9493" w:type="dxa"/>
        <w:tblLook w:val="04A0" w:firstRow="1" w:lastRow="0" w:firstColumn="1" w:lastColumn="0" w:noHBand="0" w:noVBand="1"/>
      </w:tblPr>
      <w:tblGrid>
        <w:gridCol w:w="2972"/>
        <w:gridCol w:w="1134"/>
        <w:gridCol w:w="1134"/>
        <w:gridCol w:w="1134"/>
        <w:gridCol w:w="1134"/>
        <w:gridCol w:w="1134"/>
        <w:gridCol w:w="851"/>
      </w:tblGrid>
      <w:tr w:rsidR="00372BAA" w:rsidRPr="000D25E1" w14:paraId="5F351655" w14:textId="77777777" w:rsidTr="009557D1">
        <w:trPr>
          <w:trHeight w:val="254"/>
        </w:trPr>
        <w:tc>
          <w:tcPr>
            <w:tcW w:w="2972" w:type="dxa"/>
            <w:vMerge w:val="restart"/>
            <w:tcBorders>
              <w:bottom w:val="single" w:sz="4" w:space="0" w:color="000000" w:themeColor="text1"/>
              <w:right w:val="single" w:sz="4" w:space="0" w:color="000000" w:themeColor="text1"/>
            </w:tcBorders>
            <w:shd w:val="clear" w:color="auto" w:fill="DEEAF6" w:themeFill="accent5" w:themeFillTint="33"/>
            <w:vAlign w:val="center"/>
          </w:tcPr>
          <w:p w14:paraId="456F8F3C" w14:textId="77777777" w:rsidR="00372BAA" w:rsidRPr="000D25E1" w:rsidRDefault="00372BAA" w:rsidP="009557D1">
            <w:pPr>
              <w:jc w:val="center"/>
              <w:rPr>
                <w:rFonts w:eastAsia="Arial" w:cs="Arial"/>
                <w:b/>
                <w:sz w:val="18"/>
                <w:szCs w:val="18"/>
              </w:rPr>
            </w:pPr>
            <w:r w:rsidRPr="000D25E1">
              <w:rPr>
                <w:rFonts w:eastAsia="Arial" w:cs="Arial"/>
                <w:b/>
                <w:sz w:val="18"/>
                <w:szCs w:val="18"/>
              </w:rPr>
              <w:t xml:space="preserve">Denominación </w:t>
            </w:r>
          </w:p>
        </w:tc>
        <w:tc>
          <w:tcPr>
            <w:tcW w:w="4536" w:type="dxa"/>
            <w:gridSpan w:val="4"/>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D6BDF9" w14:textId="77777777" w:rsidR="00372BAA" w:rsidRPr="000D25E1" w:rsidRDefault="00372BAA" w:rsidP="009557D1">
            <w:pPr>
              <w:jc w:val="center"/>
              <w:rPr>
                <w:rFonts w:eastAsia="Arial" w:cs="Arial"/>
                <w:b/>
                <w:sz w:val="18"/>
                <w:szCs w:val="18"/>
              </w:rPr>
            </w:pPr>
            <w:r w:rsidRPr="000D25E1">
              <w:rPr>
                <w:rFonts w:eastAsia="Arial" w:cs="Arial"/>
                <w:b/>
                <w:sz w:val="18"/>
                <w:szCs w:val="18"/>
              </w:rPr>
              <w:t>2019</w:t>
            </w:r>
          </w:p>
        </w:tc>
        <w:tc>
          <w:tcPr>
            <w:tcW w:w="1985" w:type="dxa"/>
            <w:gridSpan w:val="2"/>
            <w:tcBorders>
              <w:left w:val="single" w:sz="4" w:space="0" w:color="000000" w:themeColor="text1"/>
              <w:bottom w:val="single" w:sz="4" w:space="0" w:color="000000" w:themeColor="text1"/>
            </w:tcBorders>
            <w:shd w:val="clear" w:color="auto" w:fill="DEEAF6" w:themeFill="accent5" w:themeFillTint="33"/>
            <w:vAlign w:val="center"/>
          </w:tcPr>
          <w:p w14:paraId="4042D6BE" w14:textId="77777777" w:rsidR="00372BAA" w:rsidRPr="000D25E1" w:rsidRDefault="00372BAA" w:rsidP="009557D1">
            <w:pPr>
              <w:jc w:val="center"/>
              <w:rPr>
                <w:rFonts w:eastAsia="Arial" w:cs="Arial"/>
                <w:b/>
                <w:sz w:val="18"/>
                <w:szCs w:val="18"/>
              </w:rPr>
            </w:pPr>
            <w:r w:rsidRPr="000D25E1">
              <w:rPr>
                <w:rFonts w:eastAsia="Arial" w:cs="Arial"/>
                <w:b/>
                <w:sz w:val="18"/>
                <w:szCs w:val="18"/>
              </w:rPr>
              <w:t>2020</w:t>
            </w:r>
          </w:p>
        </w:tc>
      </w:tr>
      <w:tr w:rsidR="00372BAA" w:rsidRPr="000D25E1" w14:paraId="26F75EA8" w14:textId="77777777" w:rsidTr="009557D1">
        <w:trPr>
          <w:trHeight w:val="254"/>
        </w:trPr>
        <w:tc>
          <w:tcPr>
            <w:tcW w:w="2972" w:type="dxa"/>
            <w:vMerge/>
            <w:tcBorders>
              <w:top w:val="single" w:sz="4" w:space="0" w:color="000000" w:themeColor="text1"/>
              <w:right w:val="single" w:sz="4" w:space="0" w:color="000000" w:themeColor="text1"/>
            </w:tcBorders>
            <w:shd w:val="clear" w:color="auto" w:fill="DEEAF6" w:themeFill="accent5" w:themeFillTint="33"/>
            <w:vAlign w:val="center"/>
          </w:tcPr>
          <w:p w14:paraId="12A69685" w14:textId="77777777" w:rsidR="00372BAA" w:rsidRPr="000D25E1" w:rsidRDefault="00372BAA" w:rsidP="009557D1">
            <w:pPr>
              <w:jc w:val="center"/>
              <w:rPr>
                <w:rFonts w:eastAsia="Arial" w:cs="Arial"/>
                <w:b/>
                <w:sz w:val="18"/>
                <w:szCs w:val="18"/>
              </w:rPr>
            </w:pPr>
          </w:p>
        </w:tc>
        <w:tc>
          <w:tcPr>
            <w:tcW w:w="113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1BE9256A" w14:textId="77777777" w:rsidR="00372BAA" w:rsidRPr="000D25E1" w:rsidRDefault="00372BAA" w:rsidP="009557D1">
            <w:pPr>
              <w:jc w:val="center"/>
              <w:rPr>
                <w:rFonts w:eastAsia="Arial" w:cs="Arial"/>
                <w:b/>
                <w:sz w:val="18"/>
                <w:szCs w:val="18"/>
              </w:rPr>
            </w:pPr>
            <w:r w:rsidRPr="000D25E1">
              <w:rPr>
                <w:rFonts w:eastAsia="Arial" w:cs="Arial"/>
                <w:b/>
                <w:sz w:val="18"/>
                <w:szCs w:val="18"/>
              </w:rPr>
              <w:t>I</w:t>
            </w:r>
          </w:p>
        </w:tc>
        <w:tc>
          <w:tcPr>
            <w:tcW w:w="113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5A4D16B8" w14:textId="77777777" w:rsidR="00372BAA" w:rsidRPr="000D25E1" w:rsidRDefault="00372BAA" w:rsidP="009557D1">
            <w:pPr>
              <w:jc w:val="center"/>
              <w:rPr>
                <w:rFonts w:eastAsia="Arial" w:cs="Arial"/>
                <w:b/>
                <w:sz w:val="18"/>
                <w:szCs w:val="18"/>
              </w:rPr>
            </w:pPr>
            <w:r w:rsidRPr="000D25E1">
              <w:rPr>
                <w:rFonts w:eastAsia="Arial" w:cs="Arial"/>
                <w:b/>
                <w:sz w:val="18"/>
                <w:szCs w:val="18"/>
              </w:rPr>
              <w:t>II</w:t>
            </w:r>
          </w:p>
        </w:tc>
        <w:tc>
          <w:tcPr>
            <w:tcW w:w="113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5A6D680F" w14:textId="77777777" w:rsidR="00372BAA" w:rsidRPr="000D25E1" w:rsidRDefault="00372BAA" w:rsidP="009557D1">
            <w:pPr>
              <w:jc w:val="center"/>
              <w:rPr>
                <w:rFonts w:eastAsia="Arial" w:cs="Arial"/>
                <w:b/>
                <w:sz w:val="18"/>
                <w:szCs w:val="18"/>
              </w:rPr>
            </w:pPr>
            <w:r w:rsidRPr="000D25E1">
              <w:rPr>
                <w:rFonts w:eastAsia="Arial" w:cs="Arial"/>
                <w:b/>
                <w:sz w:val="18"/>
                <w:szCs w:val="18"/>
              </w:rPr>
              <w:t>III</w:t>
            </w:r>
          </w:p>
        </w:tc>
        <w:tc>
          <w:tcPr>
            <w:tcW w:w="113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323DF1C6" w14:textId="77777777" w:rsidR="00372BAA" w:rsidRPr="000D25E1" w:rsidRDefault="00372BAA" w:rsidP="009557D1">
            <w:pPr>
              <w:jc w:val="center"/>
              <w:rPr>
                <w:rFonts w:eastAsia="Arial" w:cs="Arial"/>
                <w:b/>
                <w:sz w:val="18"/>
                <w:szCs w:val="18"/>
              </w:rPr>
            </w:pPr>
            <w:r w:rsidRPr="000D25E1">
              <w:rPr>
                <w:rFonts w:eastAsia="Arial" w:cs="Arial"/>
                <w:b/>
                <w:sz w:val="18"/>
                <w:szCs w:val="18"/>
              </w:rPr>
              <w:t>IV</w:t>
            </w:r>
          </w:p>
        </w:tc>
        <w:tc>
          <w:tcPr>
            <w:tcW w:w="1134" w:type="dxa"/>
            <w:tcBorders>
              <w:top w:val="single" w:sz="4" w:space="0" w:color="000000" w:themeColor="text1"/>
              <w:left w:val="single" w:sz="4" w:space="0" w:color="000000" w:themeColor="text1"/>
            </w:tcBorders>
            <w:shd w:val="clear" w:color="auto" w:fill="DEEAF6" w:themeFill="accent5" w:themeFillTint="33"/>
            <w:vAlign w:val="center"/>
          </w:tcPr>
          <w:p w14:paraId="0D71091B" w14:textId="77777777" w:rsidR="00372BAA" w:rsidRPr="000D25E1" w:rsidRDefault="00372BAA" w:rsidP="009557D1">
            <w:pPr>
              <w:jc w:val="center"/>
              <w:rPr>
                <w:rFonts w:eastAsia="Arial" w:cs="Arial"/>
                <w:b/>
                <w:sz w:val="18"/>
                <w:szCs w:val="18"/>
              </w:rPr>
            </w:pPr>
            <w:r w:rsidRPr="000D25E1">
              <w:rPr>
                <w:rFonts w:eastAsia="Arial" w:cs="Arial"/>
                <w:b/>
                <w:sz w:val="18"/>
                <w:szCs w:val="18"/>
              </w:rPr>
              <w:t>I</w:t>
            </w:r>
          </w:p>
        </w:tc>
        <w:tc>
          <w:tcPr>
            <w:tcW w:w="851" w:type="dxa"/>
            <w:tcBorders>
              <w:top w:val="single" w:sz="4" w:space="0" w:color="000000" w:themeColor="text1"/>
              <w:left w:val="single" w:sz="4" w:space="0" w:color="000000" w:themeColor="text1"/>
            </w:tcBorders>
            <w:shd w:val="clear" w:color="auto" w:fill="DEEAF6" w:themeFill="accent5" w:themeFillTint="33"/>
          </w:tcPr>
          <w:p w14:paraId="447711EC" w14:textId="72AFA8AF" w:rsidR="00372BAA" w:rsidRPr="008D4AF7" w:rsidRDefault="00372BAA" w:rsidP="009557D1">
            <w:pPr>
              <w:jc w:val="center"/>
              <w:rPr>
                <w:rFonts w:eastAsia="Arial" w:cs="Arial"/>
                <w:b/>
                <w:sz w:val="18"/>
                <w:szCs w:val="18"/>
                <w:vertAlign w:val="superscript"/>
              </w:rPr>
            </w:pPr>
            <w:r w:rsidRPr="000D25E1">
              <w:rPr>
                <w:rFonts w:eastAsia="Arial" w:cs="Arial"/>
                <w:b/>
                <w:sz w:val="18"/>
                <w:szCs w:val="18"/>
              </w:rPr>
              <w:t>Est%</w:t>
            </w:r>
            <w:r w:rsidR="008D4AF7">
              <w:rPr>
                <w:rFonts w:eastAsia="Arial" w:cs="Arial"/>
                <w:b/>
                <w:sz w:val="18"/>
                <w:szCs w:val="18"/>
                <w:vertAlign w:val="superscript"/>
              </w:rPr>
              <w:t>1</w:t>
            </w:r>
          </w:p>
        </w:tc>
      </w:tr>
      <w:tr w:rsidR="00372BAA" w:rsidRPr="000D25E1" w14:paraId="035A8008" w14:textId="77777777" w:rsidTr="009557D1">
        <w:trPr>
          <w:trHeight w:val="254"/>
        </w:trPr>
        <w:tc>
          <w:tcPr>
            <w:tcW w:w="2972" w:type="dxa"/>
          </w:tcPr>
          <w:p w14:paraId="7AF7174A" w14:textId="77777777" w:rsidR="00372BAA" w:rsidRPr="000D25E1" w:rsidRDefault="00372BAA" w:rsidP="009557D1">
            <w:pPr>
              <w:rPr>
                <w:rFonts w:eastAsia="Arial" w:cs="Arial"/>
                <w:bCs/>
                <w:sz w:val="18"/>
                <w:szCs w:val="18"/>
              </w:rPr>
            </w:pPr>
            <w:r w:rsidRPr="000D25E1">
              <w:rPr>
                <w:rFonts w:cs="Arial"/>
                <w:sz w:val="18"/>
                <w:szCs w:val="18"/>
              </w:rPr>
              <w:t>S1. Economía interna</w:t>
            </w:r>
          </w:p>
        </w:tc>
        <w:tc>
          <w:tcPr>
            <w:tcW w:w="1134" w:type="dxa"/>
            <w:vAlign w:val="center"/>
          </w:tcPr>
          <w:p w14:paraId="74455DED" w14:textId="77777777" w:rsidR="00372BAA" w:rsidRPr="000D25E1" w:rsidRDefault="00372BAA" w:rsidP="009557D1">
            <w:pPr>
              <w:ind w:right="115"/>
              <w:jc w:val="right"/>
              <w:rPr>
                <w:rFonts w:eastAsia="Arial" w:cs="Arial"/>
                <w:bCs/>
                <w:sz w:val="18"/>
                <w:szCs w:val="18"/>
              </w:rPr>
            </w:pPr>
            <w:r w:rsidRPr="000D25E1">
              <w:rPr>
                <w:rFonts w:cs="Arial"/>
                <w:color w:val="000000"/>
                <w:sz w:val="18"/>
                <w:szCs w:val="18"/>
              </w:rPr>
              <w:t>5,832,569</w:t>
            </w:r>
          </w:p>
        </w:tc>
        <w:tc>
          <w:tcPr>
            <w:tcW w:w="1134" w:type="dxa"/>
            <w:vAlign w:val="center"/>
          </w:tcPr>
          <w:p w14:paraId="24314A9B" w14:textId="77777777" w:rsidR="00372BAA" w:rsidRPr="000D25E1" w:rsidRDefault="00372BAA" w:rsidP="009557D1">
            <w:pPr>
              <w:ind w:right="115"/>
              <w:jc w:val="right"/>
              <w:rPr>
                <w:rFonts w:cs="Arial"/>
                <w:sz w:val="18"/>
                <w:szCs w:val="18"/>
              </w:rPr>
            </w:pPr>
            <w:r w:rsidRPr="000D25E1">
              <w:rPr>
                <w:rFonts w:cs="Arial"/>
                <w:color w:val="000000"/>
                <w:sz w:val="18"/>
                <w:szCs w:val="18"/>
              </w:rPr>
              <w:t>6,099,891</w:t>
            </w:r>
          </w:p>
        </w:tc>
        <w:tc>
          <w:tcPr>
            <w:tcW w:w="1134" w:type="dxa"/>
            <w:vAlign w:val="center"/>
          </w:tcPr>
          <w:p w14:paraId="1207D961" w14:textId="77777777" w:rsidR="00372BAA" w:rsidRPr="000D25E1" w:rsidRDefault="00372BAA" w:rsidP="009557D1">
            <w:pPr>
              <w:ind w:right="115"/>
              <w:jc w:val="right"/>
              <w:rPr>
                <w:rFonts w:cs="Arial"/>
                <w:sz w:val="18"/>
                <w:szCs w:val="18"/>
              </w:rPr>
            </w:pPr>
            <w:r w:rsidRPr="000D25E1">
              <w:rPr>
                <w:rFonts w:cs="Arial"/>
                <w:color w:val="000000"/>
                <w:sz w:val="18"/>
                <w:szCs w:val="18"/>
              </w:rPr>
              <w:t>6,085,272</w:t>
            </w:r>
          </w:p>
        </w:tc>
        <w:tc>
          <w:tcPr>
            <w:tcW w:w="1134" w:type="dxa"/>
            <w:vAlign w:val="center"/>
          </w:tcPr>
          <w:p w14:paraId="522B1323" w14:textId="77777777" w:rsidR="00372BAA" w:rsidRPr="000D25E1" w:rsidRDefault="00372BAA" w:rsidP="009557D1">
            <w:pPr>
              <w:ind w:right="115"/>
              <w:jc w:val="right"/>
              <w:rPr>
                <w:rFonts w:cs="Arial"/>
                <w:sz w:val="18"/>
                <w:szCs w:val="18"/>
              </w:rPr>
            </w:pPr>
            <w:r w:rsidRPr="000D25E1">
              <w:rPr>
                <w:rFonts w:cs="Arial"/>
                <w:color w:val="000000"/>
                <w:sz w:val="18"/>
                <w:szCs w:val="18"/>
              </w:rPr>
              <w:t>6,196,123</w:t>
            </w:r>
          </w:p>
        </w:tc>
        <w:tc>
          <w:tcPr>
            <w:tcW w:w="1134" w:type="dxa"/>
            <w:vAlign w:val="center"/>
          </w:tcPr>
          <w:p w14:paraId="598A08B2" w14:textId="77777777" w:rsidR="00372BAA" w:rsidRPr="000D25E1" w:rsidRDefault="00372BAA" w:rsidP="009557D1">
            <w:pPr>
              <w:ind w:right="115"/>
              <w:jc w:val="right"/>
              <w:rPr>
                <w:rFonts w:cs="Arial"/>
                <w:sz w:val="18"/>
                <w:szCs w:val="18"/>
              </w:rPr>
            </w:pPr>
            <w:r w:rsidRPr="000D25E1">
              <w:rPr>
                <w:rFonts w:cs="Arial"/>
                <w:color w:val="000000"/>
                <w:sz w:val="18"/>
                <w:szCs w:val="18"/>
              </w:rPr>
              <w:t>6,013,132</w:t>
            </w:r>
          </w:p>
        </w:tc>
        <w:tc>
          <w:tcPr>
            <w:tcW w:w="851" w:type="dxa"/>
            <w:vAlign w:val="bottom"/>
          </w:tcPr>
          <w:p w14:paraId="1F7C6C7B" w14:textId="77777777" w:rsidR="00372BAA" w:rsidRPr="000D25E1" w:rsidRDefault="00372BAA" w:rsidP="009557D1">
            <w:pPr>
              <w:ind w:right="115"/>
              <w:jc w:val="right"/>
              <w:rPr>
                <w:rFonts w:cs="Arial"/>
                <w:color w:val="000000"/>
                <w:sz w:val="18"/>
                <w:szCs w:val="18"/>
              </w:rPr>
            </w:pPr>
            <w:r w:rsidRPr="000D25E1">
              <w:rPr>
                <w:rFonts w:cs="Arial"/>
                <w:color w:val="000000"/>
                <w:sz w:val="18"/>
                <w:szCs w:val="18"/>
              </w:rPr>
              <w:t>100.0</w:t>
            </w:r>
          </w:p>
        </w:tc>
      </w:tr>
      <w:tr w:rsidR="00372BAA" w:rsidRPr="000D25E1" w14:paraId="009950D5" w14:textId="77777777" w:rsidTr="009557D1">
        <w:trPr>
          <w:trHeight w:val="254"/>
        </w:trPr>
        <w:tc>
          <w:tcPr>
            <w:tcW w:w="2972" w:type="dxa"/>
            <w:shd w:val="clear" w:color="auto" w:fill="DEEAF6" w:themeFill="accent5" w:themeFillTint="33"/>
          </w:tcPr>
          <w:p w14:paraId="41EE621C" w14:textId="77777777" w:rsidR="00372BAA" w:rsidRPr="000D25E1" w:rsidRDefault="00372BAA" w:rsidP="009557D1">
            <w:pPr>
              <w:rPr>
                <w:rFonts w:eastAsia="Arial" w:cs="Arial"/>
                <w:bCs/>
                <w:sz w:val="18"/>
                <w:szCs w:val="18"/>
              </w:rPr>
            </w:pPr>
            <w:r w:rsidRPr="000D25E1">
              <w:rPr>
                <w:rFonts w:cs="Arial"/>
                <w:sz w:val="18"/>
                <w:szCs w:val="18"/>
              </w:rPr>
              <w:t>S.11.Sociedades no financieras</w:t>
            </w:r>
          </w:p>
        </w:tc>
        <w:tc>
          <w:tcPr>
            <w:tcW w:w="1134" w:type="dxa"/>
            <w:shd w:val="clear" w:color="auto" w:fill="DEEAF6" w:themeFill="accent5" w:themeFillTint="33"/>
            <w:vAlign w:val="center"/>
          </w:tcPr>
          <w:p w14:paraId="7136B6A4" w14:textId="77777777" w:rsidR="00372BAA" w:rsidRPr="000D25E1" w:rsidRDefault="00372BAA" w:rsidP="009557D1">
            <w:pPr>
              <w:ind w:right="115"/>
              <w:jc w:val="right"/>
              <w:rPr>
                <w:rFonts w:eastAsia="Arial" w:cs="Arial"/>
                <w:bCs/>
                <w:sz w:val="18"/>
                <w:szCs w:val="18"/>
              </w:rPr>
            </w:pPr>
            <w:r w:rsidRPr="000D25E1">
              <w:rPr>
                <w:rFonts w:cs="Arial"/>
                <w:color w:val="000000"/>
                <w:sz w:val="18"/>
                <w:szCs w:val="18"/>
              </w:rPr>
              <w:t>362,798</w:t>
            </w:r>
          </w:p>
        </w:tc>
        <w:tc>
          <w:tcPr>
            <w:tcW w:w="1134" w:type="dxa"/>
            <w:shd w:val="clear" w:color="auto" w:fill="DEEAF6" w:themeFill="accent5" w:themeFillTint="33"/>
            <w:vAlign w:val="center"/>
          </w:tcPr>
          <w:p w14:paraId="5B09B60D" w14:textId="77777777" w:rsidR="00372BAA" w:rsidRPr="000D25E1" w:rsidRDefault="00372BAA" w:rsidP="009557D1">
            <w:pPr>
              <w:ind w:right="115"/>
              <w:jc w:val="right"/>
              <w:rPr>
                <w:rFonts w:cs="Arial"/>
                <w:sz w:val="18"/>
                <w:szCs w:val="18"/>
              </w:rPr>
            </w:pPr>
            <w:r w:rsidRPr="000D25E1">
              <w:rPr>
                <w:rFonts w:cs="Arial"/>
                <w:color w:val="000000"/>
                <w:sz w:val="18"/>
                <w:szCs w:val="18"/>
              </w:rPr>
              <w:t>597,167</w:t>
            </w:r>
          </w:p>
        </w:tc>
        <w:tc>
          <w:tcPr>
            <w:tcW w:w="1134" w:type="dxa"/>
            <w:shd w:val="clear" w:color="auto" w:fill="DEEAF6" w:themeFill="accent5" w:themeFillTint="33"/>
            <w:vAlign w:val="center"/>
          </w:tcPr>
          <w:p w14:paraId="1E99EFF5" w14:textId="77777777" w:rsidR="00372BAA" w:rsidRPr="000D25E1" w:rsidRDefault="00372BAA" w:rsidP="009557D1">
            <w:pPr>
              <w:ind w:right="115"/>
              <w:jc w:val="right"/>
              <w:rPr>
                <w:rFonts w:cs="Arial"/>
                <w:sz w:val="18"/>
                <w:szCs w:val="18"/>
              </w:rPr>
            </w:pPr>
            <w:r w:rsidRPr="000D25E1">
              <w:rPr>
                <w:rFonts w:cs="Arial"/>
                <w:color w:val="000000"/>
                <w:sz w:val="18"/>
                <w:szCs w:val="18"/>
              </w:rPr>
              <w:t>565,618</w:t>
            </w:r>
          </w:p>
        </w:tc>
        <w:tc>
          <w:tcPr>
            <w:tcW w:w="1134" w:type="dxa"/>
            <w:shd w:val="clear" w:color="auto" w:fill="DEEAF6" w:themeFill="accent5" w:themeFillTint="33"/>
            <w:vAlign w:val="center"/>
          </w:tcPr>
          <w:p w14:paraId="12975EAD" w14:textId="77777777" w:rsidR="00372BAA" w:rsidRPr="000D25E1" w:rsidRDefault="00372BAA" w:rsidP="009557D1">
            <w:pPr>
              <w:ind w:right="115"/>
              <w:jc w:val="right"/>
              <w:rPr>
                <w:rFonts w:cs="Arial"/>
                <w:sz w:val="18"/>
                <w:szCs w:val="18"/>
              </w:rPr>
            </w:pPr>
            <w:r w:rsidRPr="000D25E1">
              <w:rPr>
                <w:rFonts w:cs="Arial"/>
                <w:color w:val="000000"/>
                <w:sz w:val="18"/>
                <w:szCs w:val="18"/>
              </w:rPr>
              <w:t>667,120</w:t>
            </w:r>
          </w:p>
        </w:tc>
        <w:tc>
          <w:tcPr>
            <w:tcW w:w="1134" w:type="dxa"/>
            <w:shd w:val="clear" w:color="auto" w:fill="DEEAF6" w:themeFill="accent5" w:themeFillTint="33"/>
            <w:vAlign w:val="center"/>
          </w:tcPr>
          <w:p w14:paraId="5417D010" w14:textId="77777777" w:rsidR="00372BAA" w:rsidRPr="000D25E1" w:rsidRDefault="00372BAA" w:rsidP="009557D1">
            <w:pPr>
              <w:ind w:right="115"/>
              <w:jc w:val="right"/>
              <w:rPr>
                <w:rFonts w:cs="Arial"/>
                <w:sz w:val="18"/>
                <w:szCs w:val="18"/>
              </w:rPr>
            </w:pPr>
            <w:r w:rsidRPr="000D25E1">
              <w:rPr>
                <w:rFonts w:cs="Arial"/>
                <w:color w:val="000000"/>
                <w:sz w:val="18"/>
                <w:szCs w:val="18"/>
              </w:rPr>
              <w:t>392,792</w:t>
            </w:r>
          </w:p>
        </w:tc>
        <w:tc>
          <w:tcPr>
            <w:tcW w:w="851" w:type="dxa"/>
            <w:shd w:val="clear" w:color="auto" w:fill="DEEAF6" w:themeFill="accent5" w:themeFillTint="33"/>
            <w:vAlign w:val="bottom"/>
          </w:tcPr>
          <w:p w14:paraId="3095DF03" w14:textId="77777777" w:rsidR="00372BAA" w:rsidRPr="000D25E1" w:rsidRDefault="00372BAA" w:rsidP="009557D1">
            <w:pPr>
              <w:ind w:right="115"/>
              <w:jc w:val="right"/>
              <w:rPr>
                <w:rFonts w:cs="Arial"/>
                <w:color w:val="000000"/>
                <w:sz w:val="18"/>
                <w:szCs w:val="18"/>
              </w:rPr>
            </w:pPr>
            <w:r w:rsidRPr="000D25E1">
              <w:rPr>
                <w:rFonts w:cs="Arial"/>
                <w:color w:val="000000"/>
                <w:sz w:val="18"/>
                <w:szCs w:val="18"/>
              </w:rPr>
              <w:t>6.5</w:t>
            </w:r>
          </w:p>
        </w:tc>
      </w:tr>
      <w:tr w:rsidR="00372BAA" w:rsidRPr="000D25E1" w14:paraId="56A12880" w14:textId="77777777" w:rsidTr="009557D1">
        <w:trPr>
          <w:trHeight w:val="254"/>
        </w:trPr>
        <w:tc>
          <w:tcPr>
            <w:tcW w:w="2972" w:type="dxa"/>
          </w:tcPr>
          <w:p w14:paraId="14BEAD95" w14:textId="77777777" w:rsidR="00372BAA" w:rsidRPr="000D25E1" w:rsidRDefault="00372BAA" w:rsidP="009557D1">
            <w:pPr>
              <w:rPr>
                <w:rFonts w:eastAsia="Arial" w:cs="Arial"/>
                <w:bCs/>
                <w:sz w:val="18"/>
                <w:szCs w:val="18"/>
              </w:rPr>
            </w:pPr>
            <w:r w:rsidRPr="000D25E1">
              <w:rPr>
                <w:rFonts w:cs="Arial"/>
                <w:sz w:val="18"/>
                <w:szCs w:val="18"/>
              </w:rPr>
              <w:t>S.12. Sociedades financieras</w:t>
            </w:r>
          </w:p>
        </w:tc>
        <w:tc>
          <w:tcPr>
            <w:tcW w:w="1134" w:type="dxa"/>
            <w:vAlign w:val="center"/>
          </w:tcPr>
          <w:p w14:paraId="7215FB6D" w14:textId="77777777" w:rsidR="00372BAA" w:rsidRPr="000D25E1" w:rsidRDefault="00372BAA" w:rsidP="009557D1">
            <w:pPr>
              <w:ind w:right="115"/>
              <w:jc w:val="right"/>
              <w:rPr>
                <w:rFonts w:eastAsia="Arial" w:cs="Arial"/>
                <w:bCs/>
                <w:sz w:val="18"/>
                <w:szCs w:val="18"/>
              </w:rPr>
            </w:pPr>
            <w:r w:rsidRPr="000D25E1">
              <w:rPr>
                <w:rFonts w:cs="Arial"/>
                <w:color w:val="000000"/>
                <w:sz w:val="18"/>
                <w:szCs w:val="18"/>
              </w:rPr>
              <w:t>374,893</w:t>
            </w:r>
          </w:p>
        </w:tc>
        <w:tc>
          <w:tcPr>
            <w:tcW w:w="1134" w:type="dxa"/>
            <w:vAlign w:val="center"/>
          </w:tcPr>
          <w:p w14:paraId="505B892F" w14:textId="77777777" w:rsidR="00372BAA" w:rsidRPr="000D25E1" w:rsidRDefault="00372BAA" w:rsidP="009557D1">
            <w:pPr>
              <w:ind w:right="115"/>
              <w:jc w:val="right"/>
              <w:rPr>
                <w:rFonts w:cs="Arial"/>
                <w:sz w:val="18"/>
                <w:szCs w:val="18"/>
              </w:rPr>
            </w:pPr>
            <w:r w:rsidRPr="000D25E1">
              <w:rPr>
                <w:rFonts w:cs="Arial"/>
                <w:color w:val="000000"/>
                <w:sz w:val="18"/>
                <w:szCs w:val="18"/>
              </w:rPr>
              <w:t>339,597</w:t>
            </w:r>
          </w:p>
        </w:tc>
        <w:tc>
          <w:tcPr>
            <w:tcW w:w="1134" w:type="dxa"/>
            <w:vAlign w:val="center"/>
          </w:tcPr>
          <w:p w14:paraId="62AAA69D" w14:textId="77777777" w:rsidR="00372BAA" w:rsidRPr="000D25E1" w:rsidRDefault="00372BAA" w:rsidP="009557D1">
            <w:pPr>
              <w:ind w:right="115"/>
              <w:jc w:val="right"/>
              <w:rPr>
                <w:rFonts w:cs="Arial"/>
                <w:sz w:val="18"/>
                <w:szCs w:val="18"/>
              </w:rPr>
            </w:pPr>
            <w:r w:rsidRPr="000D25E1">
              <w:rPr>
                <w:rFonts w:cs="Arial"/>
                <w:color w:val="000000"/>
                <w:sz w:val="18"/>
                <w:szCs w:val="18"/>
              </w:rPr>
              <w:t>346,545</w:t>
            </w:r>
          </w:p>
        </w:tc>
        <w:tc>
          <w:tcPr>
            <w:tcW w:w="1134" w:type="dxa"/>
            <w:vAlign w:val="center"/>
          </w:tcPr>
          <w:p w14:paraId="47C6CD5F" w14:textId="77777777" w:rsidR="00372BAA" w:rsidRPr="000D25E1" w:rsidRDefault="00372BAA" w:rsidP="009557D1">
            <w:pPr>
              <w:ind w:right="115"/>
              <w:jc w:val="right"/>
              <w:rPr>
                <w:rFonts w:cs="Arial"/>
                <w:sz w:val="18"/>
                <w:szCs w:val="18"/>
              </w:rPr>
            </w:pPr>
            <w:r w:rsidRPr="000D25E1">
              <w:rPr>
                <w:rFonts w:cs="Arial"/>
                <w:color w:val="000000"/>
                <w:sz w:val="18"/>
                <w:szCs w:val="18"/>
              </w:rPr>
              <w:t>315,586</w:t>
            </w:r>
          </w:p>
        </w:tc>
        <w:tc>
          <w:tcPr>
            <w:tcW w:w="1134" w:type="dxa"/>
            <w:vAlign w:val="center"/>
          </w:tcPr>
          <w:p w14:paraId="30C1846A" w14:textId="77777777" w:rsidR="00372BAA" w:rsidRPr="000D25E1" w:rsidRDefault="00372BAA" w:rsidP="009557D1">
            <w:pPr>
              <w:ind w:right="115"/>
              <w:jc w:val="right"/>
              <w:rPr>
                <w:rFonts w:cs="Arial"/>
                <w:sz w:val="18"/>
                <w:szCs w:val="18"/>
              </w:rPr>
            </w:pPr>
            <w:r w:rsidRPr="000D25E1">
              <w:rPr>
                <w:rFonts w:cs="Arial"/>
                <w:color w:val="000000"/>
                <w:sz w:val="18"/>
                <w:szCs w:val="18"/>
              </w:rPr>
              <w:t>340,343</w:t>
            </w:r>
          </w:p>
        </w:tc>
        <w:tc>
          <w:tcPr>
            <w:tcW w:w="851" w:type="dxa"/>
            <w:vAlign w:val="bottom"/>
          </w:tcPr>
          <w:p w14:paraId="0B019441" w14:textId="77777777" w:rsidR="00372BAA" w:rsidRPr="000D25E1" w:rsidRDefault="00372BAA" w:rsidP="009557D1">
            <w:pPr>
              <w:ind w:right="115"/>
              <w:jc w:val="right"/>
              <w:rPr>
                <w:rFonts w:cs="Arial"/>
                <w:color w:val="000000"/>
                <w:sz w:val="18"/>
                <w:szCs w:val="18"/>
              </w:rPr>
            </w:pPr>
            <w:r w:rsidRPr="000D25E1">
              <w:rPr>
                <w:rFonts w:cs="Arial"/>
                <w:color w:val="000000"/>
                <w:sz w:val="18"/>
                <w:szCs w:val="18"/>
              </w:rPr>
              <w:t>5.7</w:t>
            </w:r>
          </w:p>
        </w:tc>
      </w:tr>
      <w:tr w:rsidR="00372BAA" w:rsidRPr="000D25E1" w14:paraId="77A704C2" w14:textId="77777777" w:rsidTr="009557D1">
        <w:trPr>
          <w:trHeight w:val="254"/>
        </w:trPr>
        <w:tc>
          <w:tcPr>
            <w:tcW w:w="2972" w:type="dxa"/>
            <w:shd w:val="clear" w:color="auto" w:fill="DEEAF6" w:themeFill="accent5" w:themeFillTint="33"/>
          </w:tcPr>
          <w:p w14:paraId="7F9B9AC0" w14:textId="77777777" w:rsidR="00372BAA" w:rsidRPr="000D25E1" w:rsidRDefault="00372BAA" w:rsidP="009557D1">
            <w:pPr>
              <w:rPr>
                <w:rFonts w:eastAsia="Arial" w:cs="Arial"/>
                <w:bCs/>
                <w:sz w:val="18"/>
                <w:szCs w:val="18"/>
              </w:rPr>
            </w:pPr>
            <w:r w:rsidRPr="000D25E1">
              <w:rPr>
                <w:rFonts w:cs="Arial"/>
                <w:sz w:val="18"/>
                <w:szCs w:val="18"/>
              </w:rPr>
              <w:t>S.13. Gobierno general</w:t>
            </w:r>
          </w:p>
        </w:tc>
        <w:tc>
          <w:tcPr>
            <w:tcW w:w="1134" w:type="dxa"/>
            <w:shd w:val="clear" w:color="auto" w:fill="DEEAF6" w:themeFill="accent5" w:themeFillTint="33"/>
            <w:vAlign w:val="center"/>
          </w:tcPr>
          <w:p w14:paraId="0F8CB94E" w14:textId="77777777" w:rsidR="00372BAA" w:rsidRPr="000D25E1" w:rsidRDefault="00372BAA" w:rsidP="009557D1">
            <w:pPr>
              <w:ind w:right="115"/>
              <w:jc w:val="right"/>
              <w:rPr>
                <w:rFonts w:eastAsia="Arial" w:cs="Arial"/>
                <w:bCs/>
                <w:sz w:val="18"/>
                <w:szCs w:val="18"/>
              </w:rPr>
            </w:pPr>
            <w:r w:rsidRPr="000D25E1">
              <w:rPr>
                <w:rFonts w:cs="Arial"/>
                <w:color w:val="000000"/>
                <w:sz w:val="18"/>
                <w:szCs w:val="18"/>
              </w:rPr>
              <w:t>626,866</w:t>
            </w:r>
          </w:p>
        </w:tc>
        <w:tc>
          <w:tcPr>
            <w:tcW w:w="1134" w:type="dxa"/>
            <w:shd w:val="clear" w:color="auto" w:fill="DEEAF6" w:themeFill="accent5" w:themeFillTint="33"/>
            <w:vAlign w:val="center"/>
          </w:tcPr>
          <w:p w14:paraId="24AD9B10" w14:textId="77777777" w:rsidR="00372BAA" w:rsidRPr="000D25E1" w:rsidRDefault="00372BAA" w:rsidP="009557D1">
            <w:pPr>
              <w:ind w:right="115"/>
              <w:jc w:val="right"/>
              <w:rPr>
                <w:rFonts w:cs="Arial"/>
                <w:sz w:val="18"/>
                <w:szCs w:val="18"/>
              </w:rPr>
            </w:pPr>
            <w:r w:rsidRPr="000D25E1">
              <w:rPr>
                <w:rFonts w:cs="Arial"/>
                <w:color w:val="000000"/>
                <w:sz w:val="18"/>
                <w:szCs w:val="18"/>
              </w:rPr>
              <w:t>494,207</w:t>
            </w:r>
          </w:p>
        </w:tc>
        <w:tc>
          <w:tcPr>
            <w:tcW w:w="1134" w:type="dxa"/>
            <w:shd w:val="clear" w:color="auto" w:fill="DEEAF6" w:themeFill="accent5" w:themeFillTint="33"/>
            <w:vAlign w:val="center"/>
          </w:tcPr>
          <w:p w14:paraId="3322715B" w14:textId="77777777" w:rsidR="00372BAA" w:rsidRPr="000D25E1" w:rsidRDefault="00372BAA" w:rsidP="009557D1">
            <w:pPr>
              <w:ind w:right="115"/>
              <w:jc w:val="right"/>
              <w:rPr>
                <w:rFonts w:cs="Arial"/>
                <w:sz w:val="18"/>
                <w:szCs w:val="18"/>
              </w:rPr>
            </w:pPr>
            <w:r w:rsidRPr="000D25E1">
              <w:rPr>
                <w:rFonts w:cs="Arial"/>
                <w:color w:val="000000"/>
                <w:sz w:val="18"/>
                <w:szCs w:val="18"/>
              </w:rPr>
              <w:t>493,594</w:t>
            </w:r>
          </w:p>
        </w:tc>
        <w:tc>
          <w:tcPr>
            <w:tcW w:w="1134" w:type="dxa"/>
            <w:shd w:val="clear" w:color="auto" w:fill="DEEAF6" w:themeFill="accent5" w:themeFillTint="33"/>
            <w:vAlign w:val="center"/>
          </w:tcPr>
          <w:p w14:paraId="4B6380E8" w14:textId="77777777" w:rsidR="00372BAA" w:rsidRPr="000D25E1" w:rsidRDefault="00372BAA" w:rsidP="009557D1">
            <w:pPr>
              <w:ind w:right="115"/>
              <w:jc w:val="right"/>
              <w:rPr>
                <w:rFonts w:cs="Arial"/>
                <w:sz w:val="18"/>
                <w:szCs w:val="18"/>
              </w:rPr>
            </w:pPr>
            <w:r w:rsidRPr="000D25E1">
              <w:rPr>
                <w:rFonts w:cs="Arial"/>
                <w:color w:val="000000"/>
                <w:sz w:val="18"/>
                <w:szCs w:val="18"/>
              </w:rPr>
              <w:t>470,950</w:t>
            </w:r>
          </w:p>
        </w:tc>
        <w:tc>
          <w:tcPr>
            <w:tcW w:w="1134" w:type="dxa"/>
            <w:shd w:val="clear" w:color="auto" w:fill="DEEAF6" w:themeFill="accent5" w:themeFillTint="33"/>
            <w:vAlign w:val="center"/>
          </w:tcPr>
          <w:p w14:paraId="43551DBF" w14:textId="77777777" w:rsidR="00372BAA" w:rsidRPr="000D25E1" w:rsidRDefault="00372BAA" w:rsidP="009557D1">
            <w:pPr>
              <w:ind w:right="115"/>
              <w:jc w:val="right"/>
              <w:rPr>
                <w:rFonts w:cs="Arial"/>
                <w:sz w:val="18"/>
                <w:szCs w:val="18"/>
              </w:rPr>
            </w:pPr>
            <w:r w:rsidRPr="000D25E1">
              <w:rPr>
                <w:rFonts w:cs="Arial"/>
                <w:color w:val="000000"/>
                <w:sz w:val="18"/>
                <w:szCs w:val="18"/>
              </w:rPr>
              <w:t>725,774</w:t>
            </w:r>
          </w:p>
        </w:tc>
        <w:tc>
          <w:tcPr>
            <w:tcW w:w="851" w:type="dxa"/>
            <w:shd w:val="clear" w:color="auto" w:fill="DEEAF6" w:themeFill="accent5" w:themeFillTint="33"/>
            <w:vAlign w:val="bottom"/>
          </w:tcPr>
          <w:p w14:paraId="3362FD95" w14:textId="77777777" w:rsidR="00372BAA" w:rsidRPr="000D25E1" w:rsidRDefault="00372BAA" w:rsidP="009557D1">
            <w:pPr>
              <w:ind w:right="115"/>
              <w:jc w:val="right"/>
              <w:rPr>
                <w:rFonts w:cs="Arial"/>
                <w:color w:val="000000"/>
                <w:sz w:val="18"/>
                <w:szCs w:val="18"/>
              </w:rPr>
            </w:pPr>
            <w:r w:rsidRPr="000D25E1">
              <w:rPr>
                <w:rFonts w:cs="Arial"/>
                <w:color w:val="000000"/>
                <w:sz w:val="18"/>
                <w:szCs w:val="18"/>
              </w:rPr>
              <w:t>12.1</w:t>
            </w:r>
          </w:p>
        </w:tc>
      </w:tr>
      <w:tr w:rsidR="00372BAA" w:rsidRPr="000D25E1" w14:paraId="15E1C46B" w14:textId="77777777" w:rsidTr="009557D1">
        <w:trPr>
          <w:trHeight w:val="254"/>
        </w:trPr>
        <w:tc>
          <w:tcPr>
            <w:tcW w:w="2972" w:type="dxa"/>
          </w:tcPr>
          <w:p w14:paraId="5D6E7931" w14:textId="77777777" w:rsidR="00372BAA" w:rsidRPr="000D25E1" w:rsidRDefault="00372BAA" w:rsidP="009557D1">
            <w:pPr>
              <w:rPr>
                <w:rFonts w:eastAsia="Arial" w:cs="Arial"/>
                <w:bCs/>
                <w:sz w:val="18"/>
                <w:szCs w:val="18"/>
              </w:rPr>
            </w:pPr>
            <w:r w:rsidRPr="000D25E1">
              <w:rPr>
                <w:rFonts w:cs="Arial"/>
                <w:sz w:val="18"/>
                <w:szCs w:val="18"/>
              </w:rPr>
              <w:t>S.14. Hogares</w:t>
            </w:r>
          </w:p>
        </w:tc>
        <w:tc>
          <w:tcPr>
            <w:tcW w:w="1134" w:type="dxa"/>
            <w:vAlign w:val="center"/>
          </w:tcPr>
          <w:p w14:paraId="722C2A3C" w14:textId="77777777" w:rsidR="00372BAA" w:rsidRPr="000D25E1" w:rsidRDefault="00372BAA" w:rsidP="009557D1">
            <w:pPr>
              <w:ind w:right="115"/>
              <w:jc w:val="right"/>
              <w:rPr>
                <w:rFonts w:eastAsia="Arial" w:cs="Arial"/>
                <w:bCs/>
                <w:sz w:val="18"/>
                <w:szCs w:val="18"/>
              </w:rPr>
            </w:pPr>
            <w:r w:rsidRPr="000D25E1">
              <w:rPr>
                <w:rFonts w:cs="Arial"/>
                <w:color w:val="000000"/>
                <w:sz w:val="18"/>
                <w:szCs w:val="18"/>
              </w:rPr>
              <w:t>4,314,553</w:t>
            </w:r>
          </w:p>
        </w:tc>
        <w:tc>
          <w:tcPr>
            <w:tcW w:w="1134" w:type="dxa"/>
            <w:vAlign w:val="center"/>
          </w:tcPr>
          <w:p w14:paraId="235D2D0B" w14:textId="77777777" w:rsidR="00372BAA" w:rsidRPr="000D25E1" w:rsidRDefault="00372BAA" w:rsidP="009557D1">
            <w:pPr>
              <w:ind w:right="115"/>
              <w:jc w:val="right"/>
              <w:rPr>
                <w:rFonts w:cs="Arial"/>
                <w:sz w:val="18"/>
                <w:szCs w:val="18"/>
              </w:rPr>
            </w:pPr>
            <w:r w:rsidRPr="000D25E1">
              <w:rPr>
                <w:rFonts w:cs="Arial"/>
                <w:color w:val="000000"/>
                <w:sz w:val="18"/>
                <w:szCs w:val="18"/>
              </w:rPr>
              <w:t>4,510,933</w:t>
            </w:r>
          </w:p>
        </w:tc>
        <w:tc>
          <w:tcPr>
            <w:tcW w:w="1134" w:type="dxa"/>
            <w:vAlign w:val="center"/>
          </w:tcPr>
          <w:p w14:paraId="4895D28A" w14:textId="77777777" w:rsidR="00372BAA" w:rsidRPr="000D25E1" w:rsidRDefault="00372BAA" w:rsidP="009557D1">
            <w:pPr>
              <w:ind w:right="115"/>
              <w:jc w:val="right"/>
              <w:rPr>
                <w:rFonts w:cs="Arial"/>
                <w:sz w:val="18"/>
                <w:szCs w:val="18"/>
              </w:rPr>
            </w:pPr>
            <w:r w:rsidRPr="000D25E1">
              <w:rPr>
                <w:rFonts w:cs="Arial"/>
                <w:color w:val="000000"/>
                <w:sz w:val="18"/>
                <w:szCs w:val="18"/>
              </w:rPr>
              <w:t>4,505,969</w:t>
            </w:r>
          </w:p>
        </w:tc>
        <w:tc>
          <w:tcPr>
            <w:tcW w:w="1134" w:type="dxa"/>
            <w:vAlign w:val="center"/>
          </w:tcPr>
          <w:p w14:paraId="36BAE647" w14:textId="77777777" w:rsidR="00372BAA" w:rsidRPr="000D25E1" w:rsidRDefault="00372BAA" w:rsidP="009557D1">
            <w:pPr>
              <w:ind w:right="115"/>
              <w:jc w:val="right"/>
              <w:rPr>
                <w:rFonts w:cs="Arial"/>
                <w:sz w:val="18"/>
                <w:szCs w:val="18"/>
              </w:rPr>
            </w:pPr>
            <w:r w:rsidRPr="000D25E1">
              <w:rPr>
                <w:rFonts w:cs="Arial"/>
                <w:color w:val="000000"/>
                <w:sz w:val="18"/>
                <w:szCs w:val="18"/>
              </w:rPr>
              <w:t>4,569,793</w:t>
            </w:r>
          </w:p>
        </w:tc>
        <w:tc>
          <w:tcPr>
            <w:tcW w:w="1134" w:type="dxa"/>
            <w:vAlign w:val="center"/>
          </w:tcPr>
          <w:p w14:paraId="3B210C15" w14:textId="77777777" w:rsidR="00372BAA" w:rsidRPr="000D25E1" w:rsidRDefault="00372BAA" w:rsidP="009557D1">
            <w:pPr>
              <w:ind w:right="115"/>
              <w:jc w:val="right"/>
              <w:rPr>
                <w:rFonts w:cs="Arial"/>
                <w:sz w:val="18"/>
                <w:szCs w:val="18"/>
              </w:rPr>
            </w:pPr>
            <w:r w:rsidRPr="000D25E1">
              <w:rPr>
                <w:rFonts w:cs="Arial"/>
                <w:color w:val="000000"/>
                <w:sz w:val="18"/>
                <w:szCs w:val="18"/>
              </w:rPr>
              <w:t>4,381,351</w:t>
            </w:r>
          </w:p>
        </w:tc>
        <w:tc>
          <w:tcPr>
            <w:tcW w:w="851" w:type="dxa"/>
            <w:vAlign w:val="bottom"/>
          </w:tcPr>
          <w:p w14:paraId="7DD956BE" w14:textId="77777777" w:rsidR="00372BAA" w:rsidRPr="000D25E1" w:rsidRDefault="00372BAA" w:rsidP="009557D1">
            <w:pPr>
              <w:ind w:right="115"/>
              <w:jc w:val="right"/>
              <w:rPr>
                <w:rFonts w:cs="Arial"/>
                <w:color w:val="000000"/>
                <w:sz w:val="18"/>
                <w:szCs w:val="18"/>
              </w:rPr>
            </w:pPr>
            <w:r w:rsidRPr="000D25E1">
              <w:rPr>
                <w:rFonts w:cs="Arial"/>
                <w:color w:val="000000"/>
                <w:sz w:val="18"/>
                <w:szCs w:val="18"/>
              </w:rPr>
              <w:t>72.9</w:t>
            </w:r>
          </w:p>
        </w:tc>
      </w:tr>
      <w:tr w:rsidR="00372BAA" w:rsidRPr="000D25E1" w14:paraId="67B558FB" w14:textId="77777777" w:rsidTr="009557D1">
        <w:trPr>
          <w:trHeight w:val="254"/>
        </w:trPr>
        <w:tc>
          <w:tcPr>
            <w:tcW w:w="2972" w:type="dxa"/>
            <w:shd w:val="clear" w:color="auto" w:fill="DEEAF6" w:themeFill="accent5" w:themeFillTint="33"/>
          </w:tcPr>
          <w:p w14:paraId="1138E70F" w14:textId="14E134B9" w:rsidR="00372BAA" w:rsidRPr="000D25E1" w:rsidRDefault="00372BAA" w:rsidP="009557D1">
            <w:pPr>
              <w:rPr>
                <w:rFonts w:eastAsia="Arial" w:cs="Arial"/>
                <w:bCs/>
                <w:sz w:val="18"/>
                <w:szCs w:val="18"/>
              </w:rPr>
            </w:pPr>
            <w:r w:rsidRPr="000D25E1">
              <w:rPr>
                <w:rFonts w:cs="Arial"/>
                <w:sz w:val="18"/>
                <w:szCs w:val="18"/>
              </w:rPr>
              <w:t>S.15. ISFLSH</w:t>
            </w:r>
            <w:r w:rsidR="008D4AF7">
              <w:rPr>
                <w:rFonts w:cs="Arial"/>
                <w:sz w:val="18"/>
                <w:szCs w:val="18"/>
              </w:rPr>
              <w:t>*</w:t>
            </w:r>
          </w:p>
        </w:tc>
        <w:tc>
          <w:tcPr>
            <w:tcW w:w="1134" w:type="dxa"/>
            <w:shd w:val="clear" w:color="auto" w:fill="DEEAF6" w:themeFill="accent5" w:themeFillTint="33"/>
            <w:vAlign w:val="center"/>
          </w:tcPr>
          <w:p w14:paraId="4F04E80A" w14:textId="77777777" w:rsidR="00372BAA" w:rsidRPr="000D25E1" w:rsidRDefault="00372BAA" w:rsidP="009557D1">
            <w:pPr>
              <w:ind w:right="115"/>
              <w:jc w:val="right"/>
              <w:rPr>
                <w:rFonts w:eastAsia="Arial" w:cs="Arial"/>
                <w:bCs/>
                <w:sz w:val="18"/>
                <w:szCs w:val="18"/>
              </w:rPr>
            </w:pPr>
            <w:r w:rsidRPr="000D25E1">
              <w:rPr>
                <w:rFonts w:cs="Arial"/>
                <w:color w:val="000000"/>
                <w:sz w:val="18"/>
                <w:szCs w:val="18"/>
              </w:rPr>
              <w:t>153,460</w:t>
            </w:r>
          </w:p>
        </w:tc>
        <w:tc>
          <w:tcPr>
            <w:tcW w:w="1134" w:type="dxa"/>
            <w:shd w:val="clear" w:color="auto" w:fill="DEEAF6" w:themeFill="accent5" w:themeFillTint="33"/>
            <w:vAlign w:val="center"/>
          </w:tcPr>
          <w:p w14:paraId="0A46AD50" w14:textId="77777777" w:rsidR="00372BAA" w:rsidRPr="000D25E1" w:rsidRDefault="00372BAA" w:rsidP="009557D1">
            <w:pPr>
              <w:ind w:right="115"/>
              <w:jc w:val="right"/>
              <w:rPr>
                <w:rFonts w:cs="Arial"/>
                <w:sz w:val="18"/>
                <w:szCs w:val="18"/>
              </w:rPr>
            </w:pPr>
            <w:r w:rsidRPr="000D25E1">
              <w:rPr>
                <w:rFonts w:cs="Arial"/>
                <w:color w:val="000000"/>
                <w:sz w:val="18"/>
                <w:szCs w:val="18"/>
              </w:rPr>
              <w:t>157,988</w:t>
            </w:r>
          </w:p>
        </w:tc>
        <w:tc>
          <w:tcPr>
            <w:tcW w:w="1134" w:type="dxa"/>
            <w:shd w:val="clear" w:color="auto" w:fill="DEEAF6" w:themeFill="accent5" w:themeFillTint="33"/>
            <w:vAlign w:val="center"/>
          </w:tcPr>
          <w:p w14:paraId="54739C32" w14:textId="77777777" w:rsidR="00372BAA" w:rsidRPr="000D25E1" w:rsidRDefault="00372BAA" w:rsidP="009557D1">
            <w:pPr>
              <w:ind w:right="115"/>
              <w:jc w:val="right"/>
              <w:rPr>
                <w:rFonts w:cs="Arial"/>
                <w:sz w:val="18"/>
                <w:szCs w:val="18"/>
              </w:rPr>
            </w:pPr>
            <w:r w:rsidRPr="000D25E1">
              <w:rPr>
                <w:rFonts w:cs="Arial"/>
                <w:color w:val="000000"/>
                <w:sz w:val="18"/>
                <w:szCs w:val="18"/>
              </w:rPr>
              <w:t>173,546</w:t>
            </w:r>
          </w:p>
        </w:tc>
        <w:tc>
          <w:tcPr>
            <w:tcW w:w="1134" w:type="dxa"/>
            <w:shd w:val="clear" w:color="auto" w:fill="DEEAF6" w:themeFill="accent5" w:themeFillTint="33"/>
            <w:vAlign w:val="center"/>
          </w:tcPr>
          <w:p w14:paraId="723C049A" w14:textId="77777777" w:rsidR="00372BAA" w:rsidRPr="000D25E1" w:rsidRDefault="00372BAA" w:rsidP="009557D1">
            <w:pPr>
              <w:ind w:right="115"/>
              <w:jc w:val="right"/>
              <w:rPr>
                <w:rFonts w:cs="Arial"/>
                <w:sz w:val="18"/>
                <w:szCs w:val="18"/>
              </w:rPr>
            </w:pPr>
            <w:r w:rsidRPr="000D25E1">
              <w:rPr>
                <w:rFonts w:cs="Arial"/>
                <w:color w:val="000000"/>
                <w:sz w:val="18"/>
                <w:szCs w:val="18"/>
              </w:rPr>
              <w:t>172,674</w:t>
            </w:r>
          </w:p>
        </w:tc>
        <w:tc>
          <w:tcPr>
            <w:tcW w:w="1134" w:type="dxa"/>
            <w:shd w:val="clear" w:color="auto" w:fill="DEEAF6" w:themeFill="accent5" w:themeFillTint="33"/>
            <w:vAlign w:val="center"/>
          </w:tcPr>
          <w:p w14:paraId="03896B01" w14:textId="77777777" w:rsidR="00372BAA" w:rsidRPr="000D25E1" w:rsidRDefault="00372BAA" w:rsidP="009557D1">
            <w:pPr>
              <w:ind w:right="115"/>
              <w:jc w:val="right"/>
              <w:rPr>
                <w:rFonts w:cs="Arial"/>
                <w:sz w:val="18"/>
                <w:szCs w:val="18"/>
              </w:rPr>
            </w:pPr>
            <w:r w:rsidRPr="000D25E1">
              <w:rPr>
                <w:rFonts w:cs="Arial"/>
                <w:color w:val="000000"/>
                <w:sz w:val="18"/>
                <w:szCs w:val="18"/>
              </w:rPr>
              <w:t>172,872</w:t>
            </w:r>
          </w:p>
        </w:tc>
        <w:tc>
          <w:tcPr>
            <w:tcW w:w="851" w:type="dxa"/>
            <w:shd w:val="clear" w:color="auto" w:fill="DEEAF6" w:themeFill="accent5" w:themeFillTint="33"/>
            <w:vAlign w:val="bottom"/>
          </w:tcPr>
          <w:p w14:paraId="49DABDEF" w14:textId="77777777" w:rsidR="00372BAA" w:rsidRPr="000D25E1" w:rsidRDefault="00372BAA" w:rsidP="009557D1">
            <w:pPr>
              <w:ind w:right="115"/>
              <w:jc w:val="right"/>
              <w:rPr>
                <w:rFonts w:cs="Arial"/>
                <w:color w:val="000000"/>
                <w:sz w:val="18"/>
                <w:szCs w:val="18"/>
              </w:rPr>
            </w:pPr>
            <w:r w:rsidRPr="000D25E1">
              <w:rPr>
                <w:rFonts w:cs="Arial"/>
                <w:color w:val="000000"/>
                <w:sz w:val="18"/>
                <w:szCs w:val="18"/>
              </w:rPr>
              <w:t>2.9</w:t>
            </w:r>
          </w:p>
        </w:tc>
      </w:tr>
    </w:tbl>
    <w:p w14:paraId="5D788FC4" w14:textId="77777777" w:rsidR="008D4AF7" w:rsidRDefault="008D4AF7" w:rsidP="008D4AF7">
      <w:pPr>
        <w:ind w:left="142"/>
        <w:rPr>
          <w:rFonts w:eastAsia="Arial" w:cs="Arial"/>
          <w:noProof/>
          <w:sz w:val="16"/>
          <w:szCs w:val="16"/>
          <w:lang w:val="es-MX" w:eastAsia="es-MX"/>
        </w:rPr>
      </w:pPr>
      <w:r>
        <w:rPr>
          <w:rFonts w:eastAsia="Arial" w:cs="Arial"/>
          <w:noProof/>
          <w:sz w:val="16"/>
          <w:szCs w:val="16"/>
          <w:lang w:val="es-MX" w:eastAsia="es-MX"/>
        </w:rPr>
        <w:t xml:space="preserve">Nota: </w:t>
      </w:r>
      <w:r>
        <w:rPr>
          <w:rFonts w:eastAsia="Arial" w:cs="Arial"/>
          <w:sz w:val="16"/>
          <w:szCs w:val="16"/>
        </w:rPr>
        <w:t>La suma o resta de los parciales pueden no coincidir con los totales debido al redondeo</w:t>
      </w:r>
    </w:p>
    <w:p w14:paraId="4D9927FB" w14:textId="77777777" w:rsidR="008D4AF7" w:rsidRDefault="008D4AF7" w:rsidP="00372BAA">
      <w:pPr>
        <w:ind w:left="142"/>
        <w:rPr>
          <w:rFonts w:eastAsia="Arial" w:cs="Arial"/>
          <w:noProof/>
          <w:sz w:val="16"/>
          <w:szCs w:val="16"/>
          <w:lang w:val="es-MX" w:eastAsia="es-MX"/>
        </w:rPr>
      </w:pPr>
      <w:r w:rsidRPr="008D4AF7">
        <w:rPr>
          <w:rFonts w:eastAsia="Arial" w:cs="Arial"/>
          <w:noProof/>
          <w:sz w:val="16"/>
          <w:szCs w:val="16"/>
          <w:lang w:val="es-MX" w:eastAsia="es-MX"/>
        </w:rPr>
        <w:t>1/ Est%: Estructura porcentual</w:t>
      </w:r>
    </w:p>
    <w:p w14:paraId="57606DC1" w14:textId="295F71B0" w:rsidR="008D4AF7" w:rsidRDefault="008D4AF7" w:rsidP="00372BAA">
      <w:pPr>
        <w:ind w:left="142"/>
        <w:rPr>
          <w:rFonts w:eastAsia="Arial" w:cs="Arial"/>
          <w:noProof/>
          <w:sz w:val="16"/>
          <w:szCs w:val="16"/>
          <w:lang w:val="es-MX" w:eastAsia="es-MX"/>
        </w:rPr>
      </w:pPr>
      <w:r w:rsidRPr="008D4AF7">
        <w:rPr>
          <w:rFonts w:eastAsia="Arial" w:cs="Arial"/>
          <w:noProof/>
          <w:sz w:val="16"/>
          <w:szCs w:val="16"/>
          <w:lang w:val="es-MX" w:eastAsia="es-MX"/>
        </w:rPr>
        <w:t>* ISFLSH: Instituciones sin fines de lucro que sirven a los hogares</w:t>
      </w:r>
    </w:p>
    <w:p w14:paraId="5D5CEC51" w14:textId="6DFE7F24" w:rsidR="00372BAA" w:rsidRPr="00D676FE" w:rsidRDefault="00372BAA" w:rsidP="00372BAA">
      <w:pPr>
        <w:ind w:left="142"/>
        <w:rPr>
          <w:rFonts w:eastAsia="Arial" w:cs="Arial"/>
          <w:bCs/>
          <w:sz w:val="16"/>
          <w:szCs w:val="16"/>
        </w:rPr>
      </w:pPr>
      <w:r w:rsidRPr="00D676FE">
        <w:rPr>
          <w:rFonts w:eastAsia="Arial" w:cs="Arial"/>
          <w:noProof/>
          <w:sz w:val="16"/>
          <w:szCs w:val="16"/>
          <w:lang w:val="es-MX" w:eastAsia="es-MX"/>
        </w:rPr>
        <w:t>Fuente:INEGI</w:t>
      </w:r>
    </w:p>
    <w:p w14:paraId="50E2BDC3" w14:textId="3FC5CE6D" w:rsidR="00372BAA" w:rsidRPr="00070D37" w:rsidRDefault="00372BAA" w:rsidP="00070D37">
      <w:pPr>
        <w:autoSpaceDE w:val="0"/>
        <w:autoSpaceDN w:val="0"/>
        <w:adjustRightInd w:val="0"/>
        <w:spacing w:before="120"/>
        <w:ind w:left="-142" w:right="-286"/>
        <w:jc w:val="both"/>
        <w:rPr>
          <w:rFonts w:eastAsia="Arial" w:cs="Arial"/>
          <w:sz w:val="22"/>
          <w:szCs w:val="22"/>
          <w:lang w:val="es-ES_tradnl"/>
        </w:rPr>
      </w:pPr>
      <w:r w:rsidRPr="00070D37">
        <w:rPr>
          <w:rFonts w:eastAsia="Arial" w:cs="Arial"/>
          <w:sz w:val="22"/>
          <w:szCs w:val="22"/>
          <w:lang w:val="es-ES_tradnl"/>
        </w:rPr>
        <w:t xml:space="preserve">El Ingreso Disponible Bruto (IDB) se conforma por los ingresos obtenidos en la economía interna, por las empresas y los hogares, que se refleja en el Excedente </w:t>
      </w:r>
      <w:r w:rsidR="00F05D03" w:rsidRPr="00070D37">
        <w:rPr>
          <w:rFonts w:eastAsia="Arial" w:cs="Arial"/>
          <w:sz w:val="22"/>
          <w:szCs w:val="22"/>
          <w:lang w:val="es-ES_tradnl"/>
        </w:rPr>
        <w:t xml:space="preserve">bruto de operación </w:t>
      </w:r>
      <w:r w:rsidRPr="00070D37">
        <w:rPr>
          <w:rFonts w:eastAsia="Arial" w:cs="Arial"/>
          <w:sz w:val="22"/>
          <w:szCs w:val="22"/>
          <w:lang w:val="es-ES_tradnl"/>
        </w:rPr>
        <w:t xml:space="preserve">y el Ingreso mixto, las </w:t>
      </w:r>
      <w:r w:rsidR="00F05D03" w:rsidRPr="00070D37">
        <w:rPr>
          <w:rFonts w:eastAsia="Arial" w:cs="Arial"/>
          <w:sz w:val="22"/>
          <w:szCs w:val="22"/>
          <w:lang w:val="es-ES_tradnl"/>
        </w:rPr>
        <w:t>R</w:t>
      </w:r>
      <w:r w:rsidRPr="00070D37">
        <w:rPr>
          <w:rFonts w:eastAsia="Arial" w:cs="Arial"/>
          <w:sz w:val="22"/>
          <w:szCs w:val="22"/>
          <w:lang w:val="es-ES_tradnl"/>
        </w:rPr>
        <w:t xml:space="preserve">emuneraciones de los asalariados, así como las </w:t>
      </w:r>
      <w:r w:rsidR="00F05D03" w:rsidRPr="00070D37">
        <w:rPr>
          <w:rFonts w:eastAsia="Arial" w:cs="Arial"/>
          <w:sz w:val="22"/>
          <w:szCs w:val="22"/>
          <w:lang w:val="es-ES_tradnl"/>
        </w:rPr>
        <w:t>R</w:t>
      </w:r>
      <w:r w:rsidRPr="00070D37">
        <w:rPr>
          <w:rFonts w:eastAsia="Arial" w:cs="Arial"/>
          <w:sz w:val="22"/>
          <w:szCs w:val="22"/>
          <w:lang w:val="es-ES_tradnl"/>
        </w:rPr>
        <w:t xml:space="preserve">entas de la propiedad netas y las </w:t>
      </w:r>
      <w:r w:rsidR="00F05D03" w:rsidRPr="00070D37">
        <w:rPr>
          <w:rFonts w:eastAsia="Arial" w:cs="Arial"/>
          <w:sz w:val="22"/>
          <w:szCs w:val="22"/>
          <w:lang w:val="es-ES_tradnl"/>
        </w:rPr>
        <w:t>T</w:t>
      </w:r>
      <w:r w:rsidRPr="00070D37">
        <w:rPr>
          <w:rFonts w:eastAsia="Arial" w:cs="Arial"/>
          <w:sz w:val="22"/>
          <w:szCs w:val="22"/>
          <w:lang w:val="es-ES_tradnl"/>
        </w:rPr>
        <w:t>ransferencias corrientes netas con el exterior.</w:t>
      </w:r>
    </w:p>
    <w:p w14:paraId="2596AF9E" w14:textId="5C5631B7" w:rsidR="00372BAA" w:rsidRPr="00070D37" w:rsidRDefault="00372BAA" w:rsidP="00070D37">
      <w:pPr>
        <w:autoSpaceDE w:val="0"/>
        <w:autoSpaceDN w:val="0"/>
        <w:adjustRightInd w:val="0"/>
        <w:spacing w:before="120"/>
        <w:ind w:left="-142" w:right="-286"/>
        <w:jc w:val="both"/>
        <w:rPr>
          <w:rFonts w:eastAsia="Arial" w:cs="Arial"/>
          <w:sz w:val="22"/>
          <w:szCs w:val="22"/>
          <w:lang w:val="es-ES_tradnl"/>
        </w:rPr>
      </w:pPr>
      <w:r w:rsidRPr="00070D37">
        <w:rPr>
          <w:rFonts w:eastAsia="Arial" w:cs="Arial"/>
          <w:sz w:val="22"/>
          <w:szCs w:val="22"/>
          <w:lang w:val="es-ES_tradnl"/>
        </w:rPr>
        <w:lastRenderedPageBreak/>
        <w:t xml:space="preserve">El elemento que muestra la mayor participación sobre el IDB es el Excedente </w:t>
      </w:r>
      <w:r w:rsidR="00ED7AE3">
        <w:rPr>
          <w:rFonts w:eastAsia="Arial" w:cs="Arial"/>
          <w:sz w:val="22"/>
          <w:szCs w:val="22"/>
          <w:lang w:val="es-ES_tradnl"/>
        </w:rPr>
        <w:t>b</w:t>
      </w:r>
      <w:r w:rsidRPr="00070D37">
        <w:rPr>
          <w:rFonts w:eastAsia="Arial" w:cs="Arial"/>
          <w:sz w:val="22"/>
          <w:szCs w:val="22"/>
          <w:lang w:val="es-ES_tradnl"/>
        </w:rPr>
        <w:t xml:space="preserve">ruto de </w:t>
      </w:r>
      <w:r w:rsidR="00ED7AE3">
        <w:rPr>
          <w:rFonts w:eastAsia="Arial" w:cs="Arial"/>
          <w:sz w:val="22"/>
          <w:szCs w:val="22"/>
          <w:lang w:val="es-ES_tradnl"/>
        </w:rPr>
        <w:t>o</w:t>
      </w:r>
      <w:r w:rsidRPr="00070D37">
        <w:rPr>
          <w:rFonts w:eastAsia="Arial" w:cs="Arial"/>
          <w:sz w:val="22"/>
          <w:szCs w:val="22"/>
          <w:lang w:val="es-ES_tradnl"/>
        </w:rPr>
        <w:t>peración con un</w:t>
      </w:r>
      <w:r w:rsidR="00ED7AE3">
        <w:rPr>
          <w:rFonts w:eastAsia="Arial" w:cs="Arial"/>
          <w:sz w:val="22"/>
          <w:szCs w:val="22"/>
          <w:lang w:val="es-ES_tradnl"/>
        </w:rPr>
        <w:t xml:space="preserve">a </w:t>
      </w:r>
      <w:r w:rsidRPr="00070D37">
        <w:rPr>
          <w:rFonts w:eastAsia="Arial" w:cs="Arial"/>
          <w:sz w:val="22"/>
          <w:szCs w:val="22"/>
          <w:lang w:val="es-ES_tradnl"/>
        </w:rPr>
        <w:t xml:space="preserve">participación del 42.4% sobre el PIB en el primer trimestre de 2020, seguido de las Remuneraciones de los </w:t>
      </w:r>
      <w:r w:rsidR="00ED7AE3">
        <w:rPr>
          <w:rFonts w:eastAsia="Arial" w:cs="Arial"/>
          <w:sz w:val="22"/>
          <w:szCs w:val="22"/>
          <w:lang w:val="es-ES_tradnl"/>
        </w:rPr>
        <w:t>a</w:t>
      </w:r>
      <w:r w:rsidRPr="00070D37">
        <w:rPr>
          <w:rFonts w:eastAsia="Arial" w:cs="Arial"/>
          <w:sz w:val="22"/>
          <w:szCs w:val="22"/>
          <w:lang w:val="es-ES_tradnl"/>
        </w:rPr>
        <w:t xml:space="preserve">salariados con un 27.3%, para el mismo periodo, por su parte el Ingreso </w:t>
      </w:r>
      <w:r w:rsidR="00ED7AE3">
        <w:rPr>
          <w:rFonts w:eastAsia="Arial" w:cs="Arial"/>
          <w:sz w:val="22"/>
          <w:szCs w:val="22"/>
          <w:lang w:val="es-ES_tradnl"/>
        </w:rPr>
        <w:t>m</w:t>
      </w:r>
      <w:r w:rsidRPr="00070D37">
        <w:rPr>
          <w:rFonts w:eastAsia="Arial" w:cs="Arial"/>
          <w:sz w:val="22"/>
          <w:szCs w:val="22"/>
          <w:lang w:val="es-ES_tradnl"/>
        </w:rPr>
        <w:t xml:space="preserve">ixto </w:t>
      </w:r>
      <w:r w:rsidR="00ED7AE3">
        <w:rPr>
          <w:rFonts w:eastAsia="Arial" w:cs="Arial"/>
          <w:sz w:val="22"/>
          <w:szCs w:val="22"/>
          <w:lang w:val="es-ES_tradnl"/>
        </w:rPr>
        <w:t>b</w:t>
      </w:r>
      <w:r w:rsidRPr="00070D37">
        <w:rPr>
          <w:rFonts w:eastAsia="Arial" w:cs="Arial"/>
          <w:sz w:val="22"/>
          <w:szCs w:val="22"/>
          <w:lang w:val="es-ES_tradnl"/>
        </w:rPr>
        <w:t>ruto tuvo una participación del 21.8 por ciento.</w:t>
      </w:r>
    </w:p>
    <w:p w14:paraId="20DC08B5" w14:textId="620D046B" w:rsidR="00372BAA" w:rsidRPr="00070D37" w:rsidRDefault="00372BAA" w:rsidP="00070D37">
      <w:pPr>
        <w:autoSpaceDE w:val="0"/>
        <w:autoSpaceDN w:val="0"/>
        <w:adjustRightInd w:val="0"/>
        <w:spacing w:before="120"/>
        <w:ind w:left="-142" w:right="-286"/>
        <w:jc w:val="both"/>
        <w:rPr>
          <w:rFonts w:eastAsia="Arial" w:cs="Arial"/>
          <w:sz w:val="22"/>
          <w:szCs w:val="22"/>
          <w:lang w:val="es-ES_tradnl"/>
        </w:rPr>
      </w:pPr>
      <w:r w:rsidRPr="00070D37">
        <w:rPr>
          <w:rFonts w:eastAsia="Arial" w:cs="Arial"/>
          <w:sz w:val="22"/>
          <w:szCs w:val="22"/>
          <w:lang w:val="es-ES_tradnl"/>
        </w:rPr>
        <w:t>Las rentas de la propiedad netas con el exterior están compuestas por los intereses, dividendos y utilidades reinvertidas de la inversión extranjera, provenientes de Balanza de pagos.</w:t>
      </w:r>
    </w:p>
    <w:p w14:paraId="286F5C42" w14:textId="77777777" w:rsidR="00372BAA" w:rsidRPr="00070D37" w:rsidRDefault="00372BAA" w:rsidP="00834AD2">
      <w:pPr>
        <w:autoSpaceDE w:val="0"/>
        <w:autoSpaceDN w:val="0"/>
        <w:adjustRightInd w:val="0"/>
        <w:ind w:left="-142" w:right="-284"/>
        <w:jc w:val="both"/>
        <w:rPr>
          <w:rFonts w:eastAsia="Arial" w:cs="Arial"/>
          <w:sz w:val="22"/>
          <w:szCs w:val="22"/>
          <w:lang w:val="es-ES_tradnl"/>
        </w:rPr>
      </w:pPr>
    </w:p>
    <w:p w14:paraId="71877FFF" w14:textId="66B44278" w:rsidR="00372BAA" w:rsidRPr="00B305F9" w:rsidRDefault="00B305F9" w:rsidP="00070D37">
      <w:pPr>
        <w:pStyle w:val="Textodebloque1"/>
        <w:spacing w:before="120"/>
        <w:ind w:left="-142" w:right="-286" w:firstLine="0"/>
        <w:rPr>
          <w:rFonts w:eastAsia="Arial" w:cs="Arial"/>
          <w:szCs w:val="22"/>
        </w:rPr>
      </w:pPr>
      <w:r w:rsidRPr="00B305F9">
        <w:rPr>
          <w:rFonts w:eastAsia="Arial" w:cs="Arial"/>
          <w:szCs w:val="22"/>
        </w:rPr>
        <w:t>PRÉSTAMO/ENDEUDAMIENTO NETO</w:t>
      </w:r>
    </w:p>
    <w:p w14:paraId="7646441B" w14:textId="274946D4" w:rsidR="00372BAA" w:rsidRPr="00070D37" w:rsidRDefault="00372BAA" w:rsidP="00070D37">
      <w:pPr>
        <w:autoSpaceDE w:val="0"/>
        <w:autoSpaceDN w:val="0"/>
        <w:adjustRightInd w:val="0"/>
        <w:spacing w:before="120"/>
        <w:ind w:left="-142" w:right="-286"/>
        <w:jc w:val="both"/>
        <w:rPr>
          <w:rFonts w:eastAsia="Arial" w:cs="Arial"/>
          <w:bCs/>
          <w:sz w:val="22"/>
          <w:szCs w:val="22"/>
          <w:lang w:val="es-ES_tradnl"/>
        </w:rPr>
      </w:pPr>
      <w:r w:rsidRPr="00070D37">
        <w:rPr>
          <w:rFonts w:eastAsia="Arial" w:cs="Arial"/>
          <w:bCs/>
          <w:sz w:val="22"/>
          <w:szCs w:val="22"/>
          <w:lang w:val="es-ES_tradnl"/>
        </w:rPr>
        <w:t>Algunos sectores son prestamistas netos mientras otros son prestatarios netos. Cuando las unidades institucionales realizan transacciones financieras entre sí, el excedente de recursos de un sector se puede poner a disposición de los restantes sectores. Como se observa en el siguiente cuadro, las Sociedades no financieras presentan un endeudamiento de 431,715 millones de pesos. Por su parte los hogares muestran una disminución, que, en comparación con el mismo trimestre del año anterior.</w:t>
      </w:r>
    </w:p>
    <w:p w14:paraId="00AFC45C" w14:textId="77777777" w:rsidR="00372BAA" w:rsidRPr="00785514" w:rsidRDefault="00372BAA" w:rsidP="00372BAA">
      <w:pPr>
        <w:spacing w:before="120"/>
        <w:jc w:val="center"/>
        <w:rPr>
          <w:rFonts w:eastAsia="Arial" w:cs="Arial"/>
          <w:bCs/>
          <w:lang w:val="es-ES_tradnl"/>
        </w:rPr>
      </w:pPr>
      <w:r w:rsidRPr="00682EF0">
        <w:rPr>
          <w:rFonts w:eastAsia="Arial" w:cs="Arial"/>
          <w:bCs/>
          <w:sz w:val="20"/>
          <w:szCs w:val="20"/>
          <w:lang w:val="es-ES_tradnl"/>
        </w:rPr>
        <w:t xml:space="preserve">Cuadro </w:t>
      </w:r>
      <w:r>
        <w:rPr>
          <w:rFonts w:eastAsia="Arial" w:cs="Arial"/>
          <w:bCs/>
          <w:sz w:val="20"/>
          <w:szCs w:val="20"/>
          <w:lang w:val="es-ES_tradnl"/>
        </w:rPr>
        <w:t>5</w:t>
      </w:r>
    </w:p>
    <w:p w14:paraId="720CBD55" w14:textId="77777777" w:rsidR="00372BAA" w:rsidRPr="00A048B2" w:rsidRDefault="00372BAA" w:rsidP="00372BAA">
      <w:pPr>
        <w:jc w:val="center"/>
        <w:rPr>
          <w:rFonts w:eastAsia="Arial" w:cs="Arial"/>
          <w:b/>
          <w:bCs/>
          <w:sz w:val="22"/>
          <w:szCs w:val="22"/>
          <w:lang w:val="es-ES_tradnl"/>
        </w:rPr>
      </w:pPr>
      <w:r w:rsidRPr="00A048B2">
        <w:rPr>
          <w:rFonts w:eastAsia="Arial" w:cs="Arial"/>
          <w:b/>
          <w:bCs/>
          <w:sz w:val="22"/>
          <w:szCs w:val="22"/>
          <w:lang w:val="es-ES_tradnl"/>
        </w:rPr>
        <w:t xml:space="preserve">PRÉSTAMO O ENDEUDAMIENTO NETO POR SECTOR INSTITUCIONAL </w:t>
      </w:r>
    </w:p>
    <w:p w14:paraId="6DC863C2" w14:textId="77777777" w:rsidR="00372BAA" w:rsidRPr="00A048B2" w:rsidRDefault="00372BAA" w:rsidP="00372BAA">
      <w:pPr>
        <w:jc w:val="center"/>
        <w:rPr>
          <w:rFonts w:eastAsia="Arial" w:cs="Arial"/>
          <w:b/>
          <w:bCs/>
          <w:sz w:val="22"/>
          <w:szCs w:val="22"/>
          <w:lang w:val="es-ES_tradnl"/>
        </w:rPr>
      </w:pPr>
      <w:r w:rsidRPr="00A048B2">
        <w:rPr>
          <w:rFonts w:eastAsia="Arial" w:cs="Arial"/>
          <w:b/>
          <w:bCs/>
          <w:sz w:val="22"/>
          <w:szCs w:val="22"/>
          <w:lang w:val="es-ES_tradnl"/>
        </w:rPr>
        <w:t>PRIMER TRIMESTRE DE 2020</w:t>
      </w:r>
    </w:p>
    <w:p w14:paraId="3BA7F4D9" w14:textId="77777777" w:rsidR="00372BAA" w:rsidRPr="00A048B2" w:rsidRDefault="00372BAA" w:rsidP="00372BAA">
      <w:pPr>
        <w:jc w:val="center"/>
        <w:rPr>
          <w:rFonts w:eastAsia="Arial" w:cs="Arial"/>
          <w:bCs/>
          <w:sz w:val="18"/>
          <w:szCs w:val="18"/>
        </w:rPr>
      </w:pPr>
      <w:r w:rsidRPr="00A048B2">
        <w:rPr>
          <w:rFonts w:eastAsia="Arial" w:cs="Arial"/>
          <w:bCs/>
          <w:sz w:val="18"/>
          <w:szCs w:val="18"/>
        </w:rPr>
        <w:t>(Millones de pesos)</w:t>
      </w:r>
    </w:p>
    <w:tbl>
      <w:tblPr>
        <w:tblStyle w:val="Tablaconcuadrcula"/>
        <w:tblW w:w="9493" w:type="dxa"/>
        <w:tblLook w:val="04A0" w:firstRow="1" w:lastRow="0" w:firstColumn="1" w:lastColumn="0" w:noHBand="0" w:noVBand="1"/>
      </w:tblPr>
      <w:tblGrid>
        <w:gridCol w:w="2850"/>
        <w:gridCol w:w="1328"/>
        <w:gridCol w:w="1329"/>
        <w:gridCol w:w="1328"/>
        <w:gridCol w:w="1329"/>
        <w:gridCol w:w="1329"/>
      </w:tblGrid>
      <w:tr w:rsidR="00372BAA" w:rsidRPr="00D72C59" w14:paraId="1DCBA760" w14:textId="77777777" w:rsidTr="009557D1">
        <w:trPr>
          <w:trHeight w:val="254"/>
        </w:trPr>
        <w:tc>
          <w:tcPr>
            <w:tcW w:w="2850" w:type="dxa"/>
            <w:vMerge w:val="restart"/>
            <w:tcBorders>
              <w:bottom w:val="single" w:sz="4" w:space="0" w:color="000000" w:themeColor="text1"/>
              <w:right w:val="single" w:sz="4" w:space="0" w:color="000000" w:themeColor="text1"/>
            </w:tcBorders>
            <w:shd w:val="clear" w:color="auto" w:fill="DEEAF6" w:themeFill="accent5" w:themeFillTint="33"/>
            <w:vAlign w:val="center"/>
          </w:tcPr>
          <w:p w14:paraId="35690DE9" w14:textId="77777777" w:rsidR="00372BAA" w:rsidRPr="00D72C59" w:rsidRDefault="00372BAA" w:rsidP="009557D1">
            <w:pPr>
              <w:jc w:val="center"/>
              <w:rPr>
                <w:rFonts w:eastAsia="Arial" w:cs="Arial"/>
                <w:b/>
                <w:sz w:val="18"/>
                <w:szCs w:val="18"/>
              </w:rPr>
            </w:pPr>
            <w:r w:rsidRPr="00D72C59">
              <w:rPr>
                <w:rFonts w:eastAsia="Arial" w:cs="Arial"/>
                <w:b/>
                <w:sz w:val="18"/>
                <w:szCs w:val="18"/>
              </w:rPr>
              <w:t xml:space="preserve">Denominación </w:t>
            </w:r>
          </w:p>
        </w:tc>
        <w:tc>
          <w:tcPr>
            <w:tcW w:w="5314" w:type="dxa"/>
            <w:gridSpan w:val="4"/>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A477EC3" w14:textId="77777777" w:rsidR="00372BAA" w:rsidRPr="00D72C59" w:rsidRDefault="00372BAA" w:rsidP="009557D1">
            <w:pPr>
              <w:jc w:val="center"/>
              <w:rPr>
                <w:rFonts w:eastAsia="Arial" w:cs="Arial"/>
                <w:b/>
                <w:sz w:val="18"/>
                <w:szCs w:val="18"/>
              </w:rPr>
            </w:pPr>
            <w:r w:rsidRPr="00D72C59">
              <w:rPr>
                <w:rFonts w:eastAsia="Arial" w:cs="Arial"/>
                <w:b/>
                <w:sz w:val="18"/>
                <w:szCs w:val="18"/>
              </w:rPr>
              <w:t>2019</w:t>
            </w:r>
          </w:p>
        </w:tc>
        <w:tc>
          <w:tcPr>
            <w:tcW w:w="1329" w:type="dxa"/>
            <w:tcBorders>
              <w:left w:val="single" w:sz="4" w:space="0" w:color="000000" w:themeColor="text1"/>
              <w:bottom w:val="single" w:sz="4" w:space="0" w:color="000000" w:themeColor="text1"/>
            </w:tcBorders>
            <w:shd w:val="clear" w:color="auto" w:fill="DEEAF6" w:themeFill="accent5" w:themeFillTint="33"/>
            <w:vAlign w:val="center"/>
          </w:tcPr>
          <w:p w14:paraId="43D6AD85" w14:textId="77777777" w:rsidR="00372BAA" w:rsidRPr="00D72C59" w:rsidRDefault="00372BAA" w:rsidP="009557D1">
            <w:pPr>
              <w:jc w:val="center"/>
              <w:rPr>
                <w:rFonts w:eastAsia="Arial" w:cs="Arial"/>
                <w:b/>
                <w:sz w:val="18"/>
                <w:szCs w:val="18"/>
              </w:rPr>
            </w:pPr>
            <w:r w:rsidRPr="00D72C59">
              <w:rPr>
                <w:rFonts w:eastAsia="Arial" w:cs="Arial"/>
                <w:b/>
                <w:sz w:val="18"/>
                <w:szCs w:val="18"/>
              </w:rPr>
              <w:t>2020</w:t>
            </w:r>
          </w:p>
        </w:tc>
      </w:tr>
      <w:tr w:rsidR="00372BAA" w:rsidRPr="00D72C59" w14:paraId="7474D9CE" w14:textId="77777777" w:rsidTr="009557D1">
        <w:trPr>
          <w:trHeight w:val="254"/>
        </w:trPr>
        <w:tc>
          <w:tcPr>
            <w:tcW w:w="2850" w:type="dxa"/>
            <w:vMerge/>
            <w:tcBorders>
              <w:top w:val="single" w:sz="4" w:space="0" w:color="000000" w:themeColor="text1"/>
              <w:right w:val="single" w:sz="4" w:space="0" w:color="000000" w:themeColor="text1"/>
            </w:tcBorders>
            <w:shd w:val="clear" w:color="auto" w:fill="DEEAF6" w:themeFill="accent5" w:themeFillTint="33"/>
            <w:vAlign w:val="center"/>
          </w:tcPr>
          <w:p w14:paraId="28E0E279" w14:textId="77777777" w:rsidR="00372BAA" w:rsidRPr="00D72C59" w:rsidRDefault="00372BAA" w:rsidP="009557D1">
            <w:pPr>
              <w:jc w:val="center"/>
              <w:rPr>
                <w:rFonts w:eastAsia="Arial" w:cs="Arial"/>
                <w:b/>
                <w:sz w:val="18"/>
                <w:szCs w:val="18"/>
              </w:rPr>
            </w:pPr>
          </w:p>
        </w:tc>
        <w:tc>
          <w:tcPr>
            <w:tcW w:w="1328"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565CF234" w14:textId="77777777" w:rsidR="00372BAA" w:rsidRPr="00D72C59" w:rsidRDefault="00372BAA" w:rsidP="009557D1">
            <w:pPr>
              <w:jc w:val="center"/>
              <w:rPr>
                <w:rFonts w:eastAsia="Arial" w:cs="Arial"/>
                <w:b/>
                <w:sz w:val="18"/>
                <w:szCs w:val="18"/>
              </w:rPr>
            </w:pPr>
            <w:r w:rsidRPr="00D72C59">
              <w:rPr>
                <w:rFonts w:eastAsia="Arial" w:cs="Arial"/>
                <w:b/>
                <w:sz w:val="18"/>
                <w:szCs w:val="18"/>
              </w:rPr>
              <w:t>I</w:t>
            </w:r>
          </w:p>
        </w:tc>
        <w:tc>
          <w:tcPr>
            <w:tcW w:w="1329"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46C4A236" w14:textId="77777777" w:rsidR="00372BAA" w:rsidRPr="00D72C59" w:rsidRDefault="00372BAA" w:rsidP="009557D1">
            <w:pPr>
              <w:jc w:val="center"/>
              <w:rPr>
                <w:rFonts w:eastAsia="Arial" w:cs="Arial"/>
                <w:b/>
                <w:sz w:val="18"/>
                <w:szCs w:val="18"/>
              </w:rPr>
            </w:pPr>
            <w:r w:rsidRPr="00D72C59">
              <w:rPr>
                <w:rFonts w:eastAsia="Arial" w:cs="Arial"/>
                <w:b/>
                <w:sz w:val="18"/>
                <w:szCs w:val="18"/>
              </w:rPr>
              <w:t>II</w:t>
            </w:r>
          </w:p>
        </w:tc>
        <w:tc>
          <w:tcPr>
            <w:tcW w:w="1328"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008FCBFC" w14:textId="77777777" w:rsidR="00372BAA" w:rsidRPr="00D72C59" w:rsidRDefault="00372BAA" w:rsidP="009557D1">
            <w:pPr>
              <w:jc w:val="center"/>
              <w:rPr>
                <w:rFonts w:eastAsia="Arial" w:cs="Arial"/>
                <w:b/>
                <w:sz w:val="18"/>
                <w:szCs w:val="18"/>
              </w:rPr>
            </w:pPr>
            <w:r w:rsidRPr="00D72C59">
              <w:rPr>
                <w:rFonts w:eastAsia="Arial" w:cs="Arial"/>
                <w:b/>
                <w:sz w:val="18"/>
                <w:szCs w:val="18"/>
              </w:rPr>
              <w:t>III</w:t>
            </w:r>
          </w:p>
        </w:tc>
        <w:tc>
          <w:tcPr>
            <w:tcW w:w="1329"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27913846" w14:textId="77777777" w:rsidR="00372BAA" w:rsidRPr="00D72C59" w:rsidRDefault="00372BAA" w:rsidP="009557D1">
            <w:pPr>
              <w:jc w:val="center"/>
              <w:rPr>
                <w:rFonts w:eastAsia="Arial" w:cs="Arial"/>
                <w:b/>
                <w:sz w:val="18"/>
                <w:szCs w:val="18"/>
              </w:rPr>
            </w:pPr>
            <w:r w:rsidRPr="00D72C59">
              <w:rPr>
                <w:rFonts w:eastAsia="Arial" w:cs="Arial"/>
                <w:b/>
                <w:sz w:val="18"/>
                <w:szCs w:val="18"/>
              </w:rPr>
              <w:t>IV</w:t>
            </w:r>
          </w:p>
        </w:tc>
        <w:tc>
          <w:tcPr>
            <w:tcW w:w="1329" w:type="dxa"/>
            <w:tcBorders>
              <w:top w:val="single" w:sz="4" w:space="0" w:color="000000" w:themeColor="text1"/>
              <w:left w:val="single" w:sz="4" w:space="0" w:color="000000" w:themeColor="text1"/>
            </w:tcBorders>
            <w:shd w:val="clear" w:color="auto" w:fill="DEEAF6" w:themeFill="accent5" w:themeFillTint="33"/>
            <w:vAlign w:val="center"/>
          </w:tcPr>
          <w:p w14:paraId="092891FA" w14:textId="77777777" w:rsidR="00372BAA" w:rsidRPr="00D72C59" w:rsidRDefault="00372BAA" w:rsidP="009557D1">
            <w:pPr>
              <w:jc w:val="center"/>
              <w:rPr>
                <w:rFonts w:eastAsia="Arial" w:cs="Arial"/>
                <w:b/>
                <w:sz w:val="18"/>
                <w:szCs w:val="18"/>
              </w:rPr>
            </w:pPr>
            <w:r w:rsidRPr="00D72C59">
              <w:rPr>
                <w:rFonts w:eastAsia="Arial" w:cs="Arial"/>
                <w:b/>
                <w:sz w:val="18"/>
                <w:szCs w:val="18"/>
              </w:rPr>
              <w:t>I</w:t>
            </w:r>
          </w:p>
        </w:tc>
      </w:tr>
      <w:tr w:rsidR="00372BAA" w:rsidRPr="00D72C59" w14:paraId="7EB68D04" w14:textId="77777777" w:rsidTr="009557D1">
        <w:trPr>
          <w:trHeight w:val="254"/>
        </w:trPr>
        <w:tc>
          <w:tcPr>
            <w:tcW w:w="2850" w:type="dxa"/>
          </w:tcPr>
          <w:p w14:paraId="41D49BF3" w14:textId="77777777" w:rsidR="00372BAA" w:rsidRPr="00D72C59" w:rsidRDefault="00372BAA" w:rsidP="009557D1">
            <w:pPr>
              <w:rPr>
                <w:rFonts w:eastAsia="Arial" w:cs="Arial"/>
                <w:bCs/>
                <w:sz w:val="18"/>
                <w:szCs w:val="18"/>
              </w:rPr>
            </w:pPr>
            <w:r w:rsidRPr="00D72C59">
              <w:rPr>
                <w:rFonts w:cs="Arial"/>
                <w:sz w:val="18"/>
                <w:szCs w:val="18"/>
              </w:rPr>
              <w:t>S1. Economía interna</w:t>
            </w:r>
          </w:p>
        </w:tc>
        <w:tc>
          <w:tcPr>
            <w:tcW w:w="1328" w:type="dxa"/>
            <w:vAlign w:val="center"/>
          </w:tcPr>
          <w:p w14:paraId="146F8EEC" w14:textId="77777777" w:rsidR="00372BAA" w:rsidRPr="00D72C59" w:rsidRDefault="00372BAA" w:rsidP="009557D1">
            <w:pPr>
              <w:jc w:val="right"/>
              <w:rPr>
                <w:rFonts w:eastAsia="Arial" w:cs="Arial"/>
                <w:bCs/>
                <w:sz w:val="18"/>
                <w:szCs w:val="18"/>
              </w:rPr>
            </w:pPr>
            <w:r w:rsidRPr="00D72C59">
              <w:rPr>
                <w:rFonts w:cs="Arial"/>
                <w:color w:val="000000"/>
                <w:sz w:val="18"/>
                <w:szCs w:val="18"/>
              </w:rPr>
              <w:t>-204,487</w:t>
            </w:r>
          </w:p>
        </w:tc>
        <w:tc>
          <w:tcPr>
            <w:tcW w:w="1329" w:type="dxa"/>
            <w:vAlign w:val="center"/>
          </w:tcPr>
          <w:p w14:paraId="16CABED1" w14:textId="77777777" w:rsidR="00372BAA" w:rsidRPr="00D72C59" w:rsidRDefault="00372BAA" w:rsidP="009557D1">
            <w:pPr>
              <w:ind w:right="40"/>
              <w:jc w:val="right"/>
              <w:rPr>
                <w:rFonts w:cs="Arial"/>
                <w:sz w:val="18"/>
                <w:szCs w:val="18"/>
              </w:rPr>
            </w:pPr>
            <w:r w:rsidRPr="00D72C59">
              <w:rPr>
                <w:rFonts w:cs="Arial"/>
                <w:color w:val="000000"/>
                <w:sz w:val="18"/>
                <w:szCs w:val="18"/>
              </w:rPr>
              <w:t>86,301</w:t>
            </w:r>
          </w:p>
        </w:tc>
        <w:tc>
          <w:tcPr>
            <w:tcW w:w="1328" w:type="dxa"/>
            <w:vAlign w:val="center"/>
          </w:tcPr>
          <w:p w14:paraId="7B070B8C" w14:textId="77777777" w:rsidR="00372BAA" w:rsidRPr="00D72C59" w:rsidRDefault="00372BAA" w:rsidP="009557D1">
            <w:pPr>
              <w:jc w:val="right"/>
              <w:rPr>
                <w:rFonts w:cs="Arial"/>
                <w:sz w:val="18"/>
                <w:szCs w:val="18"/>
              </w:rPr>
            </w:pPr>
            <w:r w:rsidRPr="00D72C59">
              <w:rPr>
                <w:rFonts w:cs="Arial"/>
                <w:color w:val="000000"/>
                <w:sz w:val="18"/>
                <w:szCs w:val="18"/>
              </w:rPr>
              <w:t>19,526</w:t>
            </w:r>
          </w:p>
        </w:tc>
        <w:tc>
          <w:tcPr>
            <w:tcW w:w="1329" w:type="dxa"/>
            <w:vAlign w:val="center"/>
          </w:tcPr>
          <w:p w14:paraId="5852FFD4" w14:textId="77777777" w:rsidR="00372BAA" w:rsidRPr="00D72C59" w:rsidRDefault="00372BAA" w:rsidP="009557D1">
            <w:pPr>
              <w:ind w:right="32"/>
              <w:jc w:val="right"/>
              <w:rPr>
                <w:rFonts w:cs="Arial"/>
                <w:sz w:val="18"/>
                <w:szCs w:val="18"/>
              </w:rPr>
            </w:pPr>
            <w:r w:rsidRPr="00D72C59">
              <w:rPr>
                <w:rFonts w:cs="Arial"/>
                <w:color w:val="000000"/>
                <w:sz w:val="18"/>
                <w:szCs w:val="18"/>
              </w:rPr>
              <w:t>69,448</w:t>
            </w:r>
          </w:p>
        </w:tc>
        <w:tc>
          <w:tcPr>
            <w:tcW w:w="1329" w:type="dxa"/>
            <w:vAlign w:val="center"/>
          </w:tcPr>
          <w:p w14:paraId="032D5F88" w14:textId="77777777" w:rsidR="00372BAA" w:rsidRPr="00D72C59" w:rsidRDefault="00372BAA" w:rsidP="009557D1">
            <w:pPr>
              <w:jc w:val="right"/>
              <w:rPr>
                <w:rFonts w:cs="Arial"/>
                <w:sz w:val="18"/>
                <w:szCs w:val="18"/>
              </w:rPr>
            </w:pPr>
            <w:r w:rsidRPr="00D72C59">
              <w:rPr>
                <w:rFonts w:cs="Arial"/>
                <w:color w:val="000000"/>
                <w:sz w:val="18"/>
                <w:szCs w:val="18"/>
              </w:rPr>
              <w:t>3,102</w:t>
            </w:r>
          </w:p>
        </w:tc>
      </w:tr>
      <w:tr w:rsidR="00372BAA" w:rsidRPr="00D72C59" w14:paraId="098AAB60" w14:textId="77777777" w:rsidTr="009557D1">
        <w:trPr>
          <w:trHeight w:val="254"/>
        </w:trPr>
        <w:tc>
          <w:tcPr>
            <w:tcW w:w="2850" w:type="dxa"/>
            <w:shd w:val="clear" w:color="auto" w:fill="DEEAF6" w:themeFill="accent5" w:themeFillTint="33"/>
          </w:tcPr>
          <w:p w14:paraId="3C4CBD87" w14:textId="77777777" w:rsidR="00372BAA" w:rsidRPr="00D72C59" w:rsidRDefault="00372BAA" w:rsidP="009557D1">
            <w:pPr>
              <w:rPr>
                <w:rFonts w:eastAsia="Arial" w:cs="Arial"/>
                <w:bCs/>
                <w:sz w:val="18"/>
                <w:szCs w:val="18"/>
              </w:rPr>
            </w:pPr>
            <w:r w:rsidRPr="00D72C59">
              <w:rPr>
                <w:rFonts w:cs="Arial"/>
                <w:sz w:val="18"/>
                <w:szCs w:val="18"/>
              </w:rPr>
              <w:t xml:space="preserve">  S.11.Sociedades no financieras</w:t>
            </w:r>
          </w:p>
        </w:tc>
        <w:tc>
          <w:tcPr>
            <w:tcW w:w="1328" w:type="dxa"/>
            <w:shd w:val="clear" w:color="auto" w:fill="DEEAF6" w:themeFill="accent5" w:themeFillTint="33"/>
            <w:vAlign w:val="center"/>
          </w:tcPr>
          <w:p w14:paraId="670FC42D" w14:textId="77777777" w:rsidR="00372BAA" w:rsidRPr="00D72C59" w:rsidRDefault="00372BAA" w:rsidP="009557D1">
            <w:pPr>
              <w:jc w:val="right"/>
              <w:rPr>
                <w:rFonts w:eastAsia="Arial" w:cs="Arial"/>
                <w:bCs/>
                <w:sz w:val="18"/>
                <w:szCs w:val="18"/>
              </w:rPr>
            </w:pPr>
            <w:r w:rsidRPr="00D72C59">
              <w:rPr>
                <w:rFonts w:cs="Arial"/>
                <w:color w:val="000000"/>
                <w:sz w:val="18"/>
                <w:szCs w:val="18"/>
              </w:rPr>
              <w:t>-623,378</w:t>
            </w:r>
          </w:p>
        </w:tc>
        <w:tc>
          <w:tcPr>
            <w:tcW w:w="1329" w:type="dxa"/>
            <w:shd w:val="clear" w:color="auto" w:fill="DEEAF6" w:themeFill="accent5" w:themeFillTint="33"/>
            <w:vAlign w:val="center"/>
          </w:tcPr>
          <w:p w14:paraId="62E5CDE9" w14:textId="77777777" w:rsidR="00372BAA" w:rsidRPr="00D72C59" w:rsidRDefault="00372BAA" w:rsidP="009557D1">
            <w:pPr>
              <w:ind w:right="40"/>
              <w:jc w:val="right"/>
              <w:rPr>
                <w:rFonts w:cs="Arial"/>
                <w:sz w:val="18"/>
                <w:szCs w:val="18"/>
              </w:rPr>
            </w:pPr>
            <w:r w:rsidRPr="00D72C59">
              <w:rPr>
                <w:rFonts w:cs="Arial"/>
                <w:color w:val="000000"/>
                <w:sz w:val="18"/>
                <w:szCs w:val="18"/>
              </w:rPr>
              <w:t>-260,377</w:t>
            </w:r>
          </w:p>
        </w:tc>
        <w:tc>
          <w:tcPr>
            <w:tcW w:w="1328" w:type="dxa"/>
            <w:shd w:val="clear" w:color="auto" w:fill="DEEAF6" w:themeFill="accent5" w:themeFillTint="33"/>
            <w:vAlign w:val="center"/>
          </w:tcPr>
          <w:p w14:paraId="25193C23" w14:textId="77777777" w:rsidR="00372BAA" w:rsidRPr="00D72C59" w:rsidRDefault="00372BAA" w:rsidP="009557D1">
            <w:pPr>
              <w:jc w:val="right"/>
              <w:rPr>
                <w:rFonts w:cs="Arial"/>
                <w:sz w:val="18"/>
                <w:szCs w:val="18"/>
              </w:rPr>
            </w:pPr>
            <w:r w:rsidRPr="00D72C59">
              <w:rPr>
                <w:rFonts w:cs="Arial"/>
                <w:color w:val="000000"/>
                <w:sz w:val="18"/>
                <w:szCs w:val="18"/>
              </w:rPr>
              <w:t>-314,330</w:t>
            </w:r>
          </w:p>
        </w:tc>
        <w:tc>
          <w:tcPr>
            <w:tcW w:w="1329" w:type="dxa"/>
            <w:shd w:val="clear" w:color="auto" w:fill="DEEAF6" w:themeFill="accent5" w:themeFillTint="33"/>
            <w:vAlign w:val="center"/>
          </w:tcPr>
          <w:p w14:paraId="5424D20C" w14:textId="77777777" w:rsidR="00372BAA" w:rsidRPr="00D72C59" w:rsidRDefault="00372BAA" w:rsidP="009557D1">
            <w:pPr>
              <w:ind w:right="32"/>
              <w:jc w:val="right"/>
              <w:rPr>
                <w:rFonts w:cs="Arial"/>
                <w:sz w:val="18"/>
                <w:szCs w:val="18"/>
              </w:rPr>
            </w:pPr>
            <w:r w:rsidRPr="00D72C59">
              <w:rPr>
                <w:rFonts w:cs="Arial"/>
                <w:color w:val="000000"/>
                <w:sz w:val="18"/>
                <w:szCs w:val="18"/>
              </w:rPr>
              <w:t>-132,558</w:t>
            </w:r>
          </w:p>
        </w:tc>
        <w:tc>
          <w:tcPr>
            <w:tcW w:w="1329" w:type="dxa"/>
            <w:shd w:val="clear" w:color="auto" w:fill="DEEAF6" w:themeFill="accent5" w:themeFillTint="33"/>
            <w:vAlign w:val="center"/>
          </w:tcPr>
          <w:p w14:paraId="239AED34" w14:textId="77777777" w:rsidR="00372BAA" w:rsidRPr="00D72C59" w:rsidRDefault="00372BAA" w:rsidP="009557D1">
            <w:pPr>
              <w:jc w:val="right"/>
              <w:rPr>
                <w:rFonts w:cs="Arial"/>
                <w:sz w:val="18"/>
                <w:szCs w:val="18"/>
              </w:rPr>
            </w:pPr>
            <w:r w:rsidRPr="00D72C59">
              <w:rPr>
                <w:rFonts w:cs="Arial"/>
                <w:color w:val="000000"/>
                <w:sz w:val="18"/>
                <w:szCs w:val="18"/>
              </w:rPr>
              <w:t>-431,715</w:t>
            </w:r>
          </w:p>
        </w:tc>
      </w:tr>
      <w:tr w:rsidR="00372BAA" w:rsidRPr="00D72C59" w14:paraId="70AA5BCA" w14:textId="77777777" w:rsidTr="009557D1">
        <w:trPr>
          <w:trHeight w:val="254"/>
        </w:trPr>
        <w:tc>
          <w:tcPr>
            <w:tcW w:w="2850" w:type="dxa"/>
          </w:tcPr>
          <w:p w14:paraId="27DD404B" w14:textId="77777777" w:rsidR="00372BAA" w:rsidRPr="00D72C59" w:rsidRDefault="00372BAA" w:rsidP="009557D1">
            <w:pPr>
              <w:rPr>
                <w:rFonts w:eastAsia="Arial" w:cs="Arial"/>
                <w:bCs/>
                <w:sz w:val="18"/>
                <w:szCs w:val="18"/>
              </w:rPr>
            </w:pPr>
            <w:r w:rsidRPr="00D72C59">
              <w:rPr>
                <w:rFonts w:cs="Arial"/>
                <w:sz w:val="18"/>
                <w:szCs w:val="18"/>
              </w:rPr>
              <w:t xml:space="preserve">  S.12. Sociedades financieras</w:t>
            </w:r>
          </w:p>
        </w:tc>
        <w:tc>
          <w:tcPr>
            <w:tcW w:w="1328" w:type="dxa"/>
            <w:vAlign w:val="center"/>
          </w:tcPr>
          <w:p w14:paraId="6DF83C7C" w14:textId="77777777" w:rsidR="00372BAA" w:rsidRPr="00D72C59" w:rsidRDefault="00372BAA" w:rsidP="009557D1">
            <w:pPr>
              <w:jc w:val="right"/>
              <w:rPr>
                <w:rFonts w:eastAsia="Arial" w:cs="Arial"/>
                <w:bCs/>
                <w:sz w:val="18"/>
                <w:szCs w:val="18"/>
              </w:rPr>
            </w:pPr>
            <w:r w:rsidRPr="00D72C59">
              <w:rPr>
                <w:rFonts w:cs="Arial"/>
                <w:color w:val="000000"/>
                <w:sz w:val="18"/>
                <w:szCs w:val="18"/>
              </w:rPr>
              <w:t>105,188</w:t>
            </w:r>
          </w:p>
        </w:tc>
        <w:tc>
          <w:tcPr>
            <w:tcW w:w="1329" w:type="dxa"/>
            <w:vAlign w:val="center"/>
          </w:tcPr>
          <w:p w14:paraId="67354693" w14:textId="77777777" w:rsidR="00372BAA" w:rsidRPr="00D72C59" w:rsidRDefault="00372BAA" w:rsidP="009557D1">
            <w:pPr>
              <w:ind w:right="40"/>
              <w:jc w:val="right"/>
              <w:rPr>
                <w:rFonts w:cs="Arial"/>
                <w:sz w:val="18"/>
                <w:szCs w:val="18"/>
              </w:rPr>
            </w:pPr>
            <w:r w:rsidRPr="00D72C59">
              <w:rPr>
                <w:rFonts w:cs="Arial"/>
                <w:color w:val="000000"/>
                <w:sz w:val="18"/>
                <w:szCs w:val="18"/>
              </w:rPr>
              <w:t>147,405</w:t>
            </w:r>
          </w:p>
        </w:tc>
        <w:tc>
          <w:tcPr>
            <w:tcW w:w="1328" w:type="dxa"/>
            <w:vAlign w:val="center"/>
          </w:tcPr>
          <w:p w14:paraId="01E1540A" w14:textId="77777777" w:rsidR="00372BAA" w:rsidRPr="00D72C59" w:rsidRDefault="00372BAA" w:rsidP="009557D1">
            <w:pPr>
              <w:jc w:val="right"/>
              <w:rPr>
                <w:rFonts w:cs="Arial"/>
                <w:sz w:val="18"/>
                <w:szCs w:val="18"/>
              </w:rPr>
            </w:pPr>
            <w:r w:rsidRPr="00D72C59">
              <w:rPr>
                <w:rFonts w:cs="Arial"/>
                <w:color w:val="000000"/>
                <w:sz w:val="18"/>
                <w:szCs w:val="18"/>
              </w:rPr>
              <w:t>124,564</w:t>
            </w:r>
          </w:p>
        </w:tc>
        <w:tc>
          <w:tcPr>
            <w:tcW w:w="1329" w:type="dxa"/>
            <w:vAlign w:val="center"/>
          </w:tcPr>
          <w:p w14:paraId="3C61C6EB" w14:textId="77777777" w:rsidR="00372BAA" w:rsidRPr="00D72C59" w:rsidRDefault="00372BAA" w:rsidP="009557D1">
            <w:pPr>
              <w:ind w:right="32"/>
              <w:jc w:val="right"/>
              <w:rPr>
                <w:rFonts w:cs="Arial"/>
                <w:sz w:val="18"/>
                <w:szCs w:val="18"/>
              </w:rPr>
            </w:pPr>
            <w:r w:rsidRPr="00D72C59">
              <w:rPr>
                <w:rFonts w:cs="Arial"/>
                <w:color w:val="000000"/>
                <w:sz w:val="18"/>
                <w:szCs w:val="18"/>
              </w:rPr>
              <w:t>143,239</w:t>
            </w:r>
          </w:p>
        </w:tc>
        <w:tc>
          <w:tcPr>
            <w:tcW w:w="1329" w:type="dxa"/>
            <w:vAlign w:val="center"/>
          </w:tcPr>
          <w:p w14:paraId="0E190390" w14:textId="77777777" w:rsidR="00372BAA" w:rsidRPr="00D72C59" w:rsidRDefault="00372BAA" w:rsidP="009557D1">
            <w:pPr>
              <w:jc w:val="right"/>
              <w:rPr>
                <w:rFonts w:cs="Arial"/>
                <w:sz w:val="18"/>
                <w:szCs w:val="18"/>
              </w:rPr>
            </w:pPr>
            <w:r w:rsidRPr="00D72C59">
              <w:rPr>
                <w:rFonts w:cs="Arial"/>
                <w:color w:val="000000"/>
                <w:sz w:val="18"/>
                <w:szCs w:val="18"/>
              </w:rPr>
              <w:t>355,738</w:t>
            </w:r>
          </w:p>
        </w:tc>
      </w:tr>
      <w:tr w:rsidR="00372BAA" w:rsidRPr="00D72C59" w14:paraId="7EF4C74C" w14:textId="77777777" w:rsidTr="009557D1">
        <w:trPr>
          <w:trHeight w:val="254"/>
        </w:trPr>
        <w:tc>
          <w:tcPr>
            <w:tcW w:w="2850" w:type="dxa"/>
            <w:shd w:val="clear" w:color="auto" w:fill="DEEAF6" w:themeFill="accent5" w:themeFillTint="33"/>
          </w:tcPr>
          <w:p w14:paraId="5290423A" w14:textId="77777777" w:rsidR="00372BAA" w:rsidRPr="00D72C59" w:rsidRDefault="00372BAA" w:rsidP="009557D1">
            <w:pPr>
              <w:rPr>
                <w:rFonts w:eastAsia="Arial" w:cs="Arial"/>
                <w:bCs/>
                <w:sz w:val="18"/>
                <w:szCs w:val="18"/>
              </w:rPr>
            </w:pPr>
            <w:r w:rsidRPr="00D72C59">
              <w:rPr>
                <w:rFonts w:cs="Arial"/>
                <w:sz w:val="18"/>
                <w:szCs w:val="18"/>
              </w:rPr>
              <w:t xml:space="preserve">  S.13. Gobierno general</w:t>
            </w:r>
          </w:p>
        </w:tc>
        <w:tc>
          <w:tcPr>
            <w:tcW w:w="1328" w:type="dxa"/>
            <w:shd w:val="clear" w:color="auto" w:fill="DEEAF6" w:themeFill="accent5" w:themeFillTint="33"/>
            <w:vAlign w:val="center"/>
          </w:tcPr>
          <w:p w14:paraId="03499001" w14:textId="77777777" w:rsidR="00372BAA" w:rsidRPr="00D72C59" w:rsidRDefault="00372BAA" w:rsidP="009557D1">
            <w:pPr>
              <w:jc w:val="right"/>
              <w:rPr>
                <w:rFonts w:eastAsia="Arial" w:cs="Arial"/>
                <w:bCs/>
                <w:sz w:val="18"/>
                <w:szCs w:val="18"/>
              </w:rPr>
            </w:pPr>
            <w:r w:rsidRPr="00D72C59">
              <w:rPr>
                <w:rFonts w:cs="Arial"/>
                <w:color w:val="000000"/>
                <w:sz w:val="18"/>
                <w:szCs w:val="18"/>
              </w:rPr>
              <w:t>-173,867</w:t>
            </w:r>
          </w:p>
        </w:tc>
        <w:tc>
          <w:tcPr>
            <w:tcW w:w="1329" w:type="dxa"/>
            <w:shd w:val="clear" w:color="auto" w:fill="DEEAF6" w:themeFill="accent5" w:themeFillTint="33"/>
            <w:vAlign w:val="center"/>
          </w:tcPr>
          <w:p w14:paraId="38261D2D" w14:textId="77777777" w:rsidR="00372BAA" w:rsidRPr="00D72C59" w:rsidRDefault="00372BAA" w:rsidP="009557D1">
            <w:pPr>
              <w:ind w:right="40"/>
              <w:jc w:val="right"/>
              <w:rPr>
                <w:rFonts w:cs="Arial"/>
                <w:sz w:val="18"/>
                <w:szCs w:val="18"/>
              </w:rPr>
            </w:pPr>
            <w:r w:rsidRPr="00D72C59">
              <w:rPr>
                <w:rFonts w:cs="Arial"/>
                <w:color w:val="000000"/>
                <w:sz w:val="18"/>
                <w:szCs w:val="18"/>
              </w:rPr>
              <w:t>-319,326</w:t>
            </w:r>
          </w:p>
        </w:tc>
        <w:tc>
          <w:tcPr>
            <w:tcW w:w="1328" w:type="dxa"/>
            <w:shd w:val="clear" w:color="auto" w:fill="DEEAF6" w:themeFill="accent5" w:themeFillTint="33"/>
            <w:vAlign w:val="center"/>
          </w:tcPr>
          <w:p w14:paraId="293A24A3" w14:textId="77777777" w:rsidR="00372BAA" w:rsidRPr="00D72C59" w:rsidRDefault="00372BAA" w:rsidP="009557D1">
            <w:pPr>
              <w:jc w:val="right"/>
              <w:rPr>
                <w:rFonts w:cs="Arial"/>
                <w:sz w:val="18"/>
                <w:szCs w:val="18"/>
              </w:rPr>
            </w:pPr>
            <w:r w:rsidRPr="00D72C59">
              <w:rPr>
                <w:rFonts w:cs="Arial"/>
                <w:color w:val="000000"/>
                <w:sz w:val="18"/>
                <w:szCs w:val="18"/>
              </w:rPr>
              <w:t>-288,862</w:t>
            </w:r>
          </w:p>
        </w:tc>
        <w:tc>
          <w:tcPr>
            <w:tcW w:w="1329" w:type="dxa"/>
            <w:shd w:val="clear" w:color="auto" w:fill="DEEAF6" w:themeFill="accent5" w:themeFillTint="33"/>
            <w:vAlign w:val="center"/>
          </w:tcPr>
          <w:p w14:paraId="369C512A" w14:textId="77777777" w:rsidR="00372BAA" w:rsidRPr="00D72C59" w:rsidRDefault="00372BAA" w:rsidP="009557D1">
            <w:pPr>
              <w:ind w:right="32"/>
              <w:jc w:val="right"/>
              <w:rPr>
                <w:rFonts w:cs="Arial"/>
                <w:sz w:val="18"/>
                <w:szCs w:val="18"/>
              </w:rPr>
            </w:pPr>
            <w:r w:rsidRPr="00D72C59">
              <w:rPr>
                <w:rFonts w:cs="Arial"/>
                <w:color w:val="000000"/>
                <w:sz w:val="18"/>
                <w:szCs w:val="18"/>
              </w:rPr>
              <w:t>-373,699</w:t>
            </w:r>
          </w:p>
        </w:tc>
        <w:tc>
          <w:tcPr>
            <w:tcW w:w="1329" w:type="dxa"/>
            <w:shd w:val="clear" w:color="auto" w:fill="DEEAF6" w:themeFill="accent5" w:themeFillTint="33"/>
            <w:vAlign w:val="center"/>
          </w:tcPr>
          <w:p w14:paraId="25E28AD5" w14:textId="77777777" w:rsidR="00372BAA" w:rsidRPr="00D72C59" w:rsidRDefault="00372BAA" w:rsidP="009557D1">
            <w:pPr>
              <w:jc w:val="right"/>
              <w:rPr>
                <w:rFonts w:cs="Arial"/>
                <w:sz w:val="18"/>
                <w:szCs w:val="18"/>
              </w:rPr>
            </w:pPr>
            <w:r w:rsidRPr="00D72C59">
              <w:rPr>
                <w:rFonts w:cs="Arial"/>
                <w:color w:val="000000"/>
                <w:sz w:val="18"/>
                <w:szCs w:val="18"/>
              </w:rPr>
              <w:t>-128,438</w:t>
            </w:r>
          </w:p>
        </w:tc>
      </w:tr>
      <w:tr w:rsidR="00372BAA" w:rsidRPr="00D72C59" w14:paraId="09E44C2B" w14:textId="77777777" w:rsidTr="009557D1">
        <w:trPr>
          <w:trHeight w:val="254"/>
        </w:trPr>
        <w:tc>
          <w:tcPr>
            <w:tcW w:w="2850" w:type="dxa"/>
          </w:tcPr>
          <w:p w14:paraId="0F8E981D" w14:textId="77777777" w:rsidR="00372BAA" w:rsidRPr="00D72C59" w:rsidRDefault="00372BAA" w:rsidP="009557D1">
            <w:pPr>
              <w:rPr>
                <w:rFonts w:eastAsia="Arial" w:cs="Arial"/>
                <w:bCs/>
                <w:sz w:val="18"/>
                <w:szCs w:val="18"/>
              </w:rPr>
            </w:pPr>
            <w:r w:rsidRPr="00D72C59">
              <w:rPr>
                <w:rFonts w:cs="Arial"/>
                <w:sz w:val="18"/>
                <w:szCs w:val="18"/>
              </w:rPr>
              <w:t xml:space="preserve">  S.14. Hogares</w:t>
            </w:r>
          </w:p>
        </w:tc>
        <w:tc>
          <w:tcPr>
            <w:tcW w:w="1328" w:type="dxa"/>
            <w:vAlign w:val="center"/>
          </w:tcPr>
          <w:p w14:paraId="6C6E3A6B" w14:textId="77777777" w:rsidR="00372BAA" w:rsidRPr="00D72C59" w:rsidRDefault="00372BAA" w:rsidP="009557D1">
            <w:pPr>
              <w:jc w:val="right"/>
              <w:rPr>
                <w:rFonts w:eastAsia="Arial" w:cs="Arial"/>
                <w:bCs/>
                <w:sz w:val="18"/>
                <w:szCs w:val="18"/>
              </w:rPr>
            </w:pPr>
            <w:r w:rsidRPr="00D72C59">
              <w:rPr>
                <w:rFonts w:cs="Arial"/>
                <w:color w:val="000000"/>
                <w:sz w:val="18"/>
                <w:szCs w:val="18"/>
              </w:rPr>
              <w:t>404,884</w:t>
            </w:r>
          </w:p>
        </w:tc>
        <w:tc>
          <w:tcPr>
            <w:tcW w:w="1329" w:type="dxa"/>
            <w:vAlign w:val="center"/>
          </w:tcPr>
          <w:p w14:paraId="5BC40950" w14:textId="77777777" w:rsidR="00372BAA" w:rsidRPr="00D72C59" w:rsidRDefault="00372BAA" w:rsidP="009557D1">
            <w:pPr>
              <w:ind w:right="40"/>
              <w:jc w:val="right"/>
              <w:rPr>
                <w:rFonts w:cs="Arial"/>
                <w:sz w:val="18"/>
                <w:szCs w:val="18"/>
              </w:rPr>
            </w:pPr>
            <w:r w:rsidRPr="00D72C59">
              <w:rPr>
                <w:rFonts w:cs="Arial"/>
                <w:color w:val="000000"/>
                <w:sz w:val="18"/>
                <w:szCs w:val="18"/>
              </w:rPr>
              <w:t>440,851</w:t>
            </w:r>
          </w:p>
        </w:tc>
        <w:tc>
          <w:tcPr>
            <w:tcW w:w="1328" w:type="dxa"/>
            <w:vAlign w:val="center"/>
          </w:tcPr>
          <w:p w14:paraId="0AA63861" w14:textId="77777777" w:rsidR="00372BAA" w:rsidRPr="00D72C59" w:rsidRDefault="00372BAA" w:rsidP="009557D1">
            <w:pPr>
              <w:jc w:val="right"/>
              <w:rPr>
                <w:rFonts w:cs="Arial"/>
                <w:sz w:val="18"/>
                <w:szCs w:val="18"/>
              </w:rPr>
            </w:pPr>
            <w:r w:rsidRPr="00D72C59">
              <w:rPr>
                <w:rFonts w:cs="Arial"/>
                <w:color w:val="000000"/>
                <w:sz w:val="18"/>
                <w:szCs w:val="18"/>
              </w:rPr>
              <w:t>404,036</w:t>
            </w:r>
          </w:p>
        </w:tc>
        <w:tc>
          <w:tcPr>
            <w:tcW w:w="1329" w:type="dxa"/>
            <w:vAlign w:val="center"/>
          </w:tcPr>
          <w:p w14:paraId="25CD8D73" w14:textId="77777777" w:rsidR="00372BAA" w:rsidRPr="00D72C59" w:rsidRDefault="00372BAA" w:rsidP="009557D1">
            <w:pPr>
              <w:ind w:right="32"/>
              <w:jc w:val="right"/>
              <w:rPr>
                <w:rFonts w:cs="Arial"/>
                <w:sz w:val="18"/>
                <w:szCs w:val="18"/>
              </w:rPr>
            </w:pPr>
            <w:r w:rsidRPr="00D72C59">
              <w:rPr>
                <w:rFonts w:cs="Arial"/>
                <w:color w:val="000000"/>
                <w:sz w:val="18"/>
                <w:szCs w:val="18"/>
              </w:rPr>
              <w:t>338,513</w:t>
            </w:r>
          </w:p>
        </w:tc>
        <w:tc>
          <w:tcPr>
            <w:tcW w:w="1329" w:type="dxa"/>
            <w:vAlign w:val="center"/>
          </w:tcPr>
          <w:p w14:paraId="59B82EB2" w14:textId="77777777" w:rsidR="00372BAA" w:rsidRPr="00D72C59" w:rsidRDefault="00372BAA" w:rsidP="009557D1">
            <w:pPr>
              <w:jc w:val="right"/>
              <w:rPr>
                <w:rFonts w:cs="Arial"/>
                <w:sz w:val="18"/>
                <w:szCs w:val="18"/>
              </w:rPr>
            </w:pPr>
            <w:r w:rsidRPr="00D72C59">
              <w:rPr>
                <w:rFonts w:cs="Arial"/>
                <w:color w:val="000000"/>
                <w:sz w:val="18"/>
                <w:szCs w:val="18"/>
              </w:rPr>
              <w:t>109,434</w:t>
            </w:r>
          </w:p>
        </w:tc>
      </w:tr>
      <w:tr w:rsidR="00372BAA" w:rsidRPr="00D72C59" w14:paraId="49A11FEB" w14:textId="77777777" w:rsidTr="009557D1">
        <w:trPr>
          <w:trHeight w:val="254"/>
        </w:trPr>
        <w:tc>
          <w:tcPr>
            <w:tcW w:w="2850" w:type="dxa"/>
            <w:shd w:val="clear" w:color="auto" w:fill="DEEAF6" w:themeFill="accent5" w:themeFillTint="33"/>
          </w:tcPr>
          <w:p w14:paraId="164AB782" w14:textId="37A6CBB2" w:rsidR="00372BAA" w:rsidRPr="00D72C59" w:rsidRDefault="00372BAA" w:rsidP="009557D1">
            <w:pPr>
              <w:rPr>
                <w:rFonts w:eastAsia="Arial" w:cs="Arial"/>
                <w:bCs/>
                <w:sz w:val="18"/>
                <w:szCs w:val="18"/>
              </w:rPr>
            </w:pPr>
            <w:r w:rsidRPr="00D72C59">
              <w:rPr>
                <w:rFonts w:cs="Arial"/>
                <w:sz w:val="18"/>
                <w:szCs w:val="18"/>
              </w:rPr>
              <w:t xml:space="preserve">  S.15. ISFLSH</w:t>
            </w:r>
            <w:r w:rsidR="008D4AF7">
              <w:rPr>
                <w:rFonts w:cs="Arial"/>
                <w:sz w:val="18"/>
                <w:szCs w:val="18"/>
              </w:rPr>
              <w:t>*</w:t>
            </w:r>
          </w:p>
        </w:tc>
        <w:tc>
          <w:tcPr>
            <w:tcW w:w="1328" w:type="dxa"/>
            <w:shd w:val="clear" w:color="auto" w:fill="DEEAF6" w:themeFill="accent5" w:themeFillTint="33"/>
            <w:vAlign w:val="center"/>
          </w:tcPr>
          <w:p w14:paraId="4B6EBE4F" w14:textId="77777777" w:rsidR="00372BAA" w:rsidRPr="00D72C59" w:rsidRDefault="00372BAA" w:rsidP="009557D1">
            <w:pPr>
              <w:jc w:val="right"/>
              <w:rPr>
                <w:rFonts w:eastAsia="Arial" w:cs="Arial"/>
                <w:bCs/>
                <w:sz w:val="18"/>
                <w:szCs w:val="18"/>
              </w:rPr>
            </w:pPr>
            <w:r w:rsidRPr="00D72C59">
              <w:rPr>
                <w:rFonts w:cs="Arial"/>
                <w:color w:val="000000"/>
                <w:sz w:val="18"/>
                <w:szCs w:val="18"/>
              </w:rPr>
              <w:t>82,685</w:t>
            </w:r>
          </w:p>
        </w:tc>
        <w:tc>
          <w:tcPr>
            <w:tcW w:w="1329" w:type="dxa"/>
            <w:shd w:val="clear" w:color="auto" w:fill="DEEAF6" w:themeFill="accent5" w:themeFillTint="33"/>
            <w:vAlign w:val="center"/>
          </w:tcPr>
          <w:p w14:paraId="7287AC7F" w14:textId="77777777" w:rsidR="00372BAA" w:rsidRPr="00D72C59" w:rsidRDefault="00372BAA" w:rsidP="009557D1">
            <w:pPr>
              <w:ind w:right="40"/>
              <w:jc w:val="right"/>
              <w:rPr>
                <w:rFonts w:cs="Arial"/>
                <w:sz w:val="18"/>
                <w:szCs w:val="18"/>
              </w:rPr>
            </w:pPr>
            <w:r w:rsidRPr="00D72C59">
              <w:rPr>
                <w:rFonts w:cs="Arial"/>
                <w:color w:val="000000"/>
                <w:sz w:val="18"/>
                <w:szCs w:val="18"/>
              </w:rPr>
              <w:t>77,748</w:t>
            </w:r>
          </w:p>
        </w:tc>
        <w:tc>
          <w:tcPr>
            <w:tcW w:w="1328" w:type="dxa"/>
            <w:shd w:val="clear" w:color="auto" w:fill="DEEAF6" w:themeFill="accent5" w:themeFillTint="33"/>
            <w:vAlign w:val="center"/>
          </w:tcPr>
          <w:p w14:paraId="59F16F22" w14:textId="77777777" w:rsidR="00372BAA" w:rsidRPr="00D72C59" w:rsidRDefault="00372BAA" w:rsidP="009557D1">
            <w:pPr>
              <w:jc w:val="right"/>
              <w:rPr>
                <w:rFonts w:cs="Arial"/>
                <w:sz w:val="18"/>
                <w:szCs w:val="18"/>
              </w:rPr>
            </w:pPr>
            <w:r w:rsidRPr="00D72C59">
              <w:rPr>
                <w:rFonts w:cs="Arial"/>
                <w:color w:val="000000"/>
                <w:sz w:val="18"/>
                <w:szCs w:val="18"/>
              </w:rPr>
              <w:t>94,117</w:t>
            </w:r>
          </w:p>
        </w:tc>
        <w:tc>
          <w:tcPr>
            <w:tcW w:w="1329" w:type="dxa"/>
            <w:shd w:val="clear" w:color="auto" w:fill="DEEAF6" w:themeFill="accent5" w:themeFillTint="33"/>
            <w:vAlign w:val="center"/>
          </w:tcPr>
          <w:p w14:paraId="1E4153E1" w14:textId="77777777" w:rsidR="00372BAA" w:rsidRPr="00D72C59" w:rsidRDefault="00372BAA" w:rsidP="009557D1">
            <w:pPr>
              <w:ind w:right="32"/>
              <w:jc w:val="right"/>
              <w:rPr>
                <w:rFonts w:cs="Arial"/>
                <w:sz w:val="18"/>
                <w:szCs w:val="18"/>
              </w:rPr>
            </w:pPr>
            <w:r w:rsidRPr="00D72C59">
              <w:rPr>
                <w:rFonts w:cs="Arial"/>
                <w:color w:val="000000"/>
                <w:sz w:val="18"/>
                <w:szCs w:val="18"/>
              </w:rPr>
              <w:t>93,952</w:t>
            </w:r>
          </w:p>
        </w:tc>
        <w:tc>
          <w:tcPr>
            <w:tcW w:w="1329" w:type="dxa"/>
            <w:shd w:val="clear" w:color="auto" w:fill="DEEAF6" w:themeFill="accent5" w:themeFillTint="33"/>
            <w:vAlign w:val="center"/>
          </w:tcPr>
          <w:p w14:paraId="4B3BA120" w14:textId="77777777" w:rsidR="00372BAA" w:rsidRPr="00D72C59" w:rsidRDefault="00372BAA" w:rsidP="009557D1">
            <w:pPr>
              <w:jc w:val="right"/>
              <w:rPr>
                <w:rFonts w:cs="Arial"/>
                <w:sz w:val="18"/>
                <w:szCs w:val="18"/>
              </w:rPr>
            </w:pPr>
            <w:r w:rsidRPr="00D72C59">
              <w:rPr>
                <w:rFonts w:cs="Arial"/>
                <w:color w:val="000000"/>
                <w:sz w:val="18"/>
                <w:szCs w:val="18"/>
              </w:rPr>
              <w:t>98,084</w:t>
            </w:r>
          </w:p>
        </w:tc>
      </w:tr>
      <w:tr w:rsidR="00372BAA" w:rsidRPr="00D72C59" w14:paraId="25052DCB" w14:textId="77777777" w:rsidTr="009557D1">
        <w:trPr>
          <w:trHeight w:val="254"/>
        </w:trPr>
        <w:tc>
          <w:tcPr>
            <w:tcW w:w="2850" w:type="dxa"/>
            <w:shd w:val="clear" w:color="auto" w:fill="FFFFFF" w:themeFill="background1"/>
          </w:tcPr>
          <w:p w14:paraId="4552454D" w14:textId="77777777" w:rsidR="00372BAA" w:rsidRPr="00D72C59" w:rsidRDefault="00372BAA" w:rsidP="009557D1">
            <w:pPr>
              <w:rPr>
                <w:rFonts w:cs="Arial"/>
                <w:sz w:val="18"/>
                <w:szCs w:val="18"/>
              </w:rPr>
            </w:pPr>
            <w:r w:rsidRPr="00D72C59">
              <w:rPr>
                <w:rFonts w:cs="Arial"/>
                <w:sz w:val="18"/>
                <w:szCs w:val="18"/>
              </w:rPr>
              <w:t>S2. Resto del Mundo</w:t>
            </w:r>
          </w:p>
        </w:tc>
        <w:tc>
          <w:tcPr>
            <w:tcW w:w="1328" w:type="dxa"/>
            <w:shd w:val="clear" w:color="auto" w:fill="FFFFFF" w:themeFill="background1"/>
            <w:vAlign w:val="center"/>
          </w:tcPr>
          <w:p w14:paraId="00396707" w14:textId="77777777" w:rsidR="00372BAA" w:rsidRPr="00D72C59" w:rsidRDefault="00372BAA" w:rsidP="009557D1">
            <w:pPr>
              <w:jc w:val="right"/>
              <w:rPr>
                <w:rFonts w:cs="Arial"/>
                <w:color w:val="000000"/>
                <w:sz w:val="18"/>
                <w:szCs w:val="18"/>
              </w:rPr>
            </w:pPr>
            <w:r w:rsidRPr="00D72C59">
              <w:rPr>
                <w:rFonts w:cs="Arial"/>
                <w:color w:val="000000"/>
                <w:sz w:val="18"/>
                <w:szCs w:val="18"/>
              </w:rPr>
              <w:t>204,487</w:t>
            </w:r>
          </w:p>
        </w:tc>
        <w:tc>
          <w:tcPr>
            <w:tcW w:w="1329" w:type="dxa"/>
            <w:shd w:val="clear" w:color="auto" w:fill="FFFFFF" w:themeFill="background1"/>
            <w:vAlign w:val="center"/>
          </w:tcPr>
          <w:p w14:paraId="35323908" w14:textId="77777777" w:rsidR="00372BAA" w:rsidRPr="00D72C59" w:rsidRDefault="00372BAA" w:rsidP="009557D1">
            <w:pPr>
              <w:ind w:right="40"/>
              <w:jc w:val="right"/>
              <w:rPr>
                <w:rFonts w:cs="Arial"/>
                <w:color w:val="000000"/>
                <w:sz w:val="18"/>
                <w:szCs w:val="18"/>
              </w:rPr>
            </w:pPr>
            <w:r w:rsidRPr="00D72C59">
              <w:rPr>
                <w:rFonts w:cs="Arial"/>
                <w:color w:val="000000"/>
                <w:sz w:val="18"/>
                <w:szCs w:val="18"/>
              </w:rPr>
              <w:t>-86,301</w:t>
            </w:r>
          </w:p>
        </w:tc>
        <w:tc>
          <w:tcPr>
            <w:tcW w:w="1328" w:type="dxa"/>
            <w:shd w:val="clear" w:color="auto" w:fill="FFFFFF" w:themeFill="background1"/>
            <w:vAlign w:val="center"/>
          </w:tcPr>
          <w:p w14:paraId="62C2B84E" w14:textId="77777777" w:rsidR="00372BAA" w:rsidRPr="00D72C59" w:rsidRDefault="00372BAA" w:rsidP="009557D1">
            <w:pPr>
              <w:jc w:val="right"/>
              <w:rPr>
                <w:rFonts w:cs="Arial"/>
                <w:color w:val="000000"/>
                <w:sz w:val="18"/>
                <w:szCs w:val="18"/>
              </w:rPr>
            </w:pPr>
            <w:r w:rsidRPr="00D72C59">
              <w:rPr>
                <w:rFonts w:cs="Arial"/>
                <w:color w:val="000000"/>
                <w:sz w:val="18"/>
                <w:szCs w:val="18"/>
              </w:rPr>
              <w:t>-19,526</w:t>
            </w:r>
          </w:p>
        </w:tc>
        <w:tc>
          <w:tcPr>
            <w:tcW w:w="1329" w:type="dxa"/>
            <w:shd w:val="clear" w:color="auto" w:fill="FFFFFF" w:themeFill="background1"/>
            <w:vAlign w:val="center"/>
          </w:tcPr>
          <w:p w14:paraId="63256CBD" w14:textId="77777777" w:rsidR="00372BAA" w:rsidRPr="00D72C59" w:rsidRDefault="00372BAA" w:rsidP="009557D1">
            <w:pPr>
              <w:ind w:right="32"/>
              <w:jc w:val="right"/>
              <w:rPr>
                <w:rFonts w:cs="Arial"/>
                <w:color w:val="000000"/>
                <w:sz w:val="18"/>
                <w:szCs w:val="18"/>
              </w:rPr>
            </w:pPr>
            <w:r w:rsidRPr="00D72C59">
              <w:rPr>
                <w:rFonts w:cs="Arial"/>
                <w:color w:val="000000"/>
                <w:sz w:val="18"/>
                <w:szCs w:val="18"/>
              </w:rPr>
              <w:t>-69,448</w:t>
            </w:r>
          </w:p>
        </w:tc>
        <w:tc>
          <w:tcPr>
            <w:tcW w:w="1329" w:type="dxa"/>
            <w:shd w:val="clear" w:color="auto" w:fill="FFFFFF" w:themeFill="background1"/>
            <w:vAlign w:val="center"/>
          </w:tcPr>
          <w:p w14:paraId="2DC977C9" w14:textId="77777777" w:rsidR="00372BAA" w:rsidRPr="00D72C59" w:rsidRDefault="00372BAA" w:rsidP="009557D1">
            <w:pPr>
              <w:jc w:val="right"/>
              <w:rPr>
                <w:rFonts w:cs="Arial"/>
                <w:color w:val="000000"/>
                <w:sz w:val="18"/>
                <w:szCs w:val="18"/>
              </w:rPr>
            </w:pPr>
            <w:r w:rsidRPr="00D72C59">
              <w:rPr>
                <w:rFonts w:cs="Arial"/>
                <w:color w:val="000000"/>
                <w:sz w:val="18"/>
                <w:szCs w:val="18"/>
              </w:rPr>
              <w:t>-3,102</w:t>
            </w:r>
          </w:p>
        </w:tc>
      </w:tr>
    </w:tbl>
    <w:p w14:paraId="50A66136" w14:textId="77777777" w:rsidR="008D4AF7" w:rsidRDefault="008D4AF7" w:rsidP="008D4AF7">
      <w:pPr>
        <w:ind w:left="142"/>
        <w:rPr>
          <w:rFonts w:eastAsia="Arial" w:cs="Arial"/>
          <w:noProof/>
          <w:sz w:val="16"/>
          <w:szCs w:val="16"/>
          <w:lang w:val="es-MX" w:eastAsia="es-MX"/>
        </w:rPr>
      </w:pPr>
      <w:r>
        <w:rPr>
          <w:rFonts w:eastAsia="Arial" w:cs="Arial"/>
          <w:noProof/>
          <w:sz w:val="16"/>
          <w:szCs w:val="16"/>
          <w:lang w:val="es-MX" w:eastAsia="es-MX"/>
        </w:rPr>
        <w:t xml:space="preserve">Nota: </w:t>
      </w:r>
      <w:r>
        <w:rPr>
          <w:rFonts w:eastAsia="Arial" w:cs="Arial"/>
          <w:sz w:val="16"/>
          <w:szCs w:val="16"/>
        </w:rPr>
        <w:t>La suma o resta de los parciales pueden no coincidir con los totales debido al redondeo</w:t>
      </w:r>
    </w:p>
    <w:p w14:paraId="52BA7B11" w14:textId="321C3DEA" w:rsidR="00372BAA" w:rsidRPr="00104E17" w:rsidRDefault="008D4AF7" w:rsidP="00372BAA">
      <w:pPr>
        <w:ind w:left="142"/>
        <w:rPr>
          <w:rFonts w:eastAsia="Arial" w:cs="Arial"/>
          <w:noProof/>
          <w:sz w:val="16"/>
          <w:szCs w:val="16"/>
          <w:lang w:val="es-MX" w:eastAsia="es-MX"/>
        </w:rPr>
      </w:pPr>
      <w:r w:rsidRPr="008D4AF7">
        <w:rPr>
          <w:rFonts w:eastAsia="Arial" w:cs="Arial"/>
          <w:noProof/>
          <w:sz w:val="16"/>
          <w:szCs w:val="16"/>
          <w:lang w:val="es-MX" w:eastAsia="es-MX"/>
        </w:rPr>
        <w:t>* ISFLSH: Instituciones sin fines de lucro que sirven a los hogares</w:t>
      </w:r>
    </w:p>
    <w:p w14:paraId="57102F77" w14:textId="77777777" w:rsidR="00372BAA" w:rsidRPr="00104E17" w:rsidRDefault="00372BAA" w:rsidP="00372BAA">
      <w:pPr>
        <w:ind w:left="142"/>
        <w:rPr>
          <w:rFonts w:eastAsia="Arial" w:cs="Arial"/>
          <w:b/>
          <w:bCs/>
          <w:sz w:val="16"/>
          <w:szCs w:val="16"/>
          <w:lang w:val="es-ES_tradnl"/>
        </w:rPr>
      </w:pPr>
      <w:r w:rsidRPr="00104E17">
        <w:rPr>
          <w:rFonts w:eastAsia="Arial" w:cs="Arial"/>
          <w:noProof/>
          <w:sz w:val="16"/>
          <w:szCs w:val="16"/>
          <w:lang w:val="es-MX" w:eastAsia="es-MX"/>
        </w:rPr>
        <w:t>Fuente:INEGI</w:t>
      </w:r>
    </w:p>
    <w:p w14:paraId="67DE7451" w14:textId="43D8C9C4" w:rsidR="00ED322E" w:rsidRPr="00B305F9" w:rsidRDefault="00B305F9" w:rsidP="00070D37">
      <w:pPr>
        <w:pStyle w:val="p0"/>
        <w:spacing w:before="120"/>
        <w:ind w:left="-142" w:right="-286"/>
        <w:rPr>
          <w:rFonts w:cs="Arial"/>
          <w:b/>
          <w:iCs/>
          <w:color w:val="auto"/>
          <w:sz w:val="22"/>
          <w:szCs w:val="22"/>
        </w:rPr>
      </w:pPr>
      <w:r w:rsidRPr="00B305F9">
        <w:rPr>
          <w:rFonts w:cs="Arial"/>
          <w:b/>
          <w:iCs/>
          <w:color w:val="auto"/>
          <w:sz w:val="22"/>
          <w:szCs w:val="22"/>
        </w:rPr>
        <w:t>NOTA AL USUARIO</w:t>
      </w:r>
    </w:p>
    <w:p w14:paraId="5C213AE4" w14:textId="5E9A2861" w:rsidR="00ED322E" w:rsidRPr="00070D37" w:rsidRDefault="00ED322E" w:rsidP="00070D37">
      <w:pPr>
        <w:pStyle w:val="Default"/>
        <w:spacing w:before="120"/>
        <w:ind w:left="-142" w:right="-286"/>
        <w:jc w:val="both"/>
        <w:rPr>
          <w:rFonts w:eastAsia="Times New Roman"/>
          <w:snapToGrid w:val="0"/>
          <w:color w:val="auto"/>
          <w:sz w:val="22"/>
          <w:szCs w:val="22"/>
          <w:lang w:val="es-ES_tradnl"/>
        </w:rPr>
      </w:pPr>
      <w:r w:rsidRPr="00070D37">
        <w:rPr>
          <w:rFonts w:eastAsia="Times New Roman"/>
          <w:snapToGrid w:val="0"/>
          <w:color w:val="auto"/>
          <w:sz w:val="22"/>
          <w:szCs w:val="22"/>
          <w:lang w:val="es-ES_tradnl"/>
        </w:rPr>
        <w:t xml:space="preserve">De acuerdo con lo publicado por el INEGI en su Comunicado de </w:t>
      </w:r>
      <w:r w:rsidR="00D67128">
        <w:rPr>
          <w:rFonts w:eastAsia="Times New Roman"/>
          <w:snapToGrid w:val="0"/>
          <w:color w:val="auto"/>
          <w:sz w:val="22"/>
          <w:szCs w:val="22"/>
          <w:lang w:val="es-ES_tradnl"/>
        </w:rPr>
        <w:t>p</w:t>
      </w:r>
      <w:r w:rsidRPr="00070D37">
        <w:rPr>
          <w:rFonts w:eastAsia="Times New Roman"/>
          <w:snapToGrid w:val="0"/>
          <w:color w:val="auto"/>
          <w:sz w:val="22"/>
          <w:szCs w:val="22"/>
          <w:lang w:val="es-ES_tradnl"/>
        </w:rPr>
        <w:t xml:space="preserve">rensa del 31 de marzo de 2020, en el </w:t>
      </w:r>
      <w:r w:rsidR="00D67128">
        <w:rPr>
          <w:rFonts w:eastAsia="Times New Roman"/>
          <w:snapToGrid w:val="0"/>
          <w:color w:val="auto"/>
          <w:sz w:val="22"/>
          <w:szCs w:val="22"/>
          <w:lang w:val="es-ES_tradnl"/>
        </w:rPr>
        <w:t>que</w:t>
      </w:r>
      <w:r w:rsidRPr="00070D37">
        <w:rPr>
          <w:rFonts w:eastAsia="Times New Roman"/>
          <w:snapToGrid w:val="0"/>
          <w:color w:val="auto"/>
          <w:sz w:val="22"/>
          <w:szCs w:val="22"/>
          <w:lang w:val="es-ES_tradnl"/>
        </w:rPr>
        <w:t xml:space="preserve"> se dieron a conocer las medidas extraordinarias que tomó el Instituto por el estado de emergencia sanitaria originada por el SARS CoV-2, la captación de las Encuestas Económicas, que se consideraron para la integración de las</w:t>
      </w:r>
      <w:r w:rsidR="00D67128">
        <w:rPr>
          <w:rFonts w:eastAsia="Times New Roman"/>
          <w:snapToGrid w:val="0"/>
          <w:color w:val="auto"/>
          <w:sz w:val="22"/>
          <w:szCs w:val="22"/>
          <w:lang w:val="es-ES_tradnl"/>
        </w:rPr>
        <w:t xml:space="preserve"> </w:t>
      </w:r>
      <w:r w:rsidRPr="00070D37">
        <w:rPr>
          <w:rFonts w:eastAsia="Times New Roman"/>
          <w:snapToGrid w:val="0"/>
          <w:color w:val="auto"/>
          <w:sz w:val="22"/>
          <w:szCs w:val="22"/>
          <w:lang w:val="es-ES_tradnl"/>
        </w:rPr>
        <w:t>CSIT correspondiente al primer trimestre de 2020, se realizó en los tiempos establecidos mediante Internet y asistencia telefónica con el fin de evitar el contacto presencial.</w:t>
      </w:r>
    </w:p>
    <w:p w14:paraId="3122A26A" w14:textId="5B0C0BF8" w:rsidR="00ED322E" w:rsidRPr="00070D37" w:rsidRDefault="00ED322E" w:rsidP="00070D37">
      <w:pPr>
        <w:pStyle w:val="Default"/>
        <w:spacing w:before="120"/>
        <w:ind w:left="-142" w:right="-286"/>
        <w:jc w:val="both"/>
        <w:rPr>
          <w:rFonts w:eastAsia="Times New Roman"/>
          <w:snapToGrid w:val="0"/>
          <w:color w:val="auto"/>
          <w:sz w:val="22"/>
          <w:szCs w:val="22"/>
          <w:lang w:val="es-ES_tradnl"/>
        </w:rPr>
      </w:pPr>
      <w:r w:rsidRPr="00070D37">
        <w:rPr>
          <w:rFonts w:eastAsia="Times New Roman"/>
          <w:snapToGrid w:val="0"/>
          <w:color w:val="auto"/>
          <w:sz w:val="22"/>
          <w:szCs w:val="22"/>
          <w:lang w:val="es-ES_tradnl"/>
        </w:rPr>
        <w:t xml:space="preserve">En este contexto la Tasa de No Respuesta de las encuestas mencionadas en el </w:t>
      </w:r>
      <w:r w:rsidR="00ED6A4D" w:rsidRPr="00070D37">
        <w:rPr>
          <w:rFonts w:eastAsia="Times New Roman"/>
          <w:snapToGrid w:val="0"/>
          <w:color w:val="auto"/>
          <w:sz w:val="22"/>
          <w:szCs w:val="22"/>
          <w:lang w:val="es-ES_tradnl"/>
        </w:rPr>
        <w:t>primer</w:t>
      </w:r>
      <w:r w:rsidRPr="00070D37">
        <w:rPr>
          <w:rFonts w:eastAsia="Times New Roman"/>
          <w:snapToGrid w:val="0"/>
          <w:color w:val="auto"/>
          <w:sz w:val="22"/>
          <w:szCs w:val="22"/>
          <w:lang w:val="es-ES_tradnl"/>
        </w:rPr>
        <w:t xml:space="preserve"> trimestre de 2020 registró porcentajes apropiados de acuerdo con los parámetros del diseño estadístico de la muestra, lo que permitió la generación de estadísticas con niveles altos de cobertura y precisión; para</w:t>
      </w:r>
      <w:r w:rsidR="00BF3DC7" w:rsidRPr="00070D37">
        <w:rPr>
          <w:rFonts w:eastAsia="Times New Roman"/>
          <w:snapToGrid w:val="0"/>
          <w:color w:val="auto"/>
          <w:sz w:val="22"/>
          <w:szCs w:val="22"/>
          <w:lang w:val="es-ES_tradnl"/>
        </w:rPr>
        <w:t xml:space="preserve"> los sectores institucionales </w:t>
      </w:r>
      <w:r w:rsidRPr="00070D37">
        <w:rPr>
          <w:rFonts w:eastAsia="Times New Roman"/>
          <w:snapToGrid w:val="0"/>
          <w:color w:val="auto"/>
          <w:sz w:val="22"/>
          <w:szCs w:val="22"/>
          <w:lang w:val="es-ES_tradnl"/>
        </w:rPr>
        <w:t>se complementaron con registros administrativos provenientes de las Unidades del Estado</w:t>
      </w:r>
      <w:r w:rsidR="00BF3DC7" w:rsidRPr="00070D37">
        <w:rPr>
          <w:rFonts w:eastAsia="Times New Roman"/>
          <w:snapToGrid w:val="0"/>
          <w:color w:val="auto"/>
          <w:sz w:val="22"/>
          <w:szCs w:val="22"/>
          <w:lang w:val="es-ES_tradnl"/>
        </w:rPr>
        <w:t>, de las Empresas que cotizan en la bolsa, Banco de México, Comisión Nacional Bancaria y de Valores, entre otros</w:t>
      </w:r>
      <w:r w:rsidRPr="00070D37">
        <w:rPr>
          <w:rFonts w:eastAsia="Times New Roman"/>
          <w:snapToGrid w:val="0"/>
          <w:color w:val="auto"/>
          <w:sz w:val="22"/>
          <w:szCs w:val="22"/>
          <w:lang w:val="es-ES_tradnl"/>
        </w:rPr>
        <w:t xml:space="preserve"> que se recibieron oportunamente </w:t>
      </w:r>
      <w:r w:rsidR="00BF3DC7" w:rsidRPr="00070D37">
        <w:rPr>
          <w:rFonts w:eastAsia="Times New Roman"/>
          <w:snapToGrid w:val="0"/>
          <w:color w:val="auto"/>
          <w:sz w:val="22"/>
          <w:szCs w:val="22"/>
          <w:lang w:val="es-ES_tradnl"/>
        </w:rPr>
        <w:t>por medios</w:t>
      </w:r>
      <w:r w:rsidRPr="00070D37">
        <w:rPr>
          <w:rFonts w:eastAsia="Times New Roman"/>
          <w:snapToGrid w:val="0"/>
          <w:color w:val="auto"/>
          <w:sz w:val="22"/>
          <w:szCs w:val="22"/>
          <w:lang w:val="es-ES_tradnl"/>
        </w:rPr>
        <w:t xml:space="preserve"> electrónico</w:t>
      </w:r>
      <w:r w:rsidR="00BF3DC7" w:rsidRPr="00070D37">
        <w:rPr>
          <w:rFonts w:eastAsia="Times New Roman"/>
          <w:snapToGrid w:val="0"/>
          <w:color w:val="auto"/>
          <w:sz w:val="22"/>
          <w:szCs w:val="22"/>
          <w:lang w:val="es-ES_tradnl"/>
        </w:rPr>
        <w:t>s, es decir</w:t>
      </w:r>
      <w:r w:rsidR="00BF3DC7" w:rsidRPr="00070D37">
        <w:rPr>
          <w:sz w:val="22"/>
          <w:szCs w:val="22"/>
        </w:rPr>
        <w:t xml:space="preserve"> </w:t>
      </w:r>
      <w:r w:rsidR="00BF3DC7" w:rsidRPr="00070D37">
        <w:rPr>
          <w:rFonts w:eastAsia="Times New Roman"/>
          <w:snapToGrid w:val="0"/>
          <w:color w:val="auto"/>
          <w:sz w:val="22"/>
          <w:szCs w:val="22"/>
          <w:lang w:val="es-ES_tradnl"/>
        </w:rPr>
        <w:t xml:space="preserve">vía correo electrónico, captación por Internet, consulta a las bases de datos, </w:t>
      </w:r>
      <w:r w:rsidR="00F05D03" w:rsidRPr="00070D37">
        <w:rPr>
          <w:rFonts w:eastAsia="Times New Roman"/>
          <w:snapToGrid w:val="0"/>
          <w:color w:val="auto"/>
          <w:sz w:val="22"/>
          <w:szCs w:val="22"/>
          <w:lang w:val="es-ES_tradnl"/>
        </w:rPr>
        <w:t>etcétera</w:t>
      </w:r>
      <w:r w:rsidR="00BF3DC7" w:rsidRPr="00070D37">
        <w:rPr>
          <w:rFonts w:eastAsia="Times New Roman"/>
          <w:snapToGrid w:val="0"/>
          <w:color w:val="auto"/>
          <w:sz w:val="22"/>
          <w:szCs w:val="22"/>
          <w:lang w:val="es-ES_tradnl"/>
        </w:rPr>
        <w:t>,</w:t>
      </w:r>
      <w:r w:rsidRPr="00070D37">
        <w:rPr>
          <w:rFonts w:eastAsia="Times New Roman"/>
          <w:snapToGrid w:val="0"/>
          <w:color w:val="auto"/>
          <w:sz w:val="22"/>
          <w:szCs w:val="22"/>
          <w:lang w:val="es-ES_tradnl"/>
        </w:rPr>
        <w:t xml:space="preserve"> lo que posibilitó la generación de resultados apropiados de</w:t>
      </w:r>
      <w:r w:rsidR="00ED6A4D" w:rsidRPr="00070D37">
        <w:rPr>
          <w:rFonts w:eastAsia="Times New Roman"/>
          <w:snapToGrid w:val="0"/>
          <w:color w:val="auto"/>
          <w:sz w:val="22"/>
          <w:szCs w:val="22"/>
          <w:lang w:val="es-ES_tradnl"/>
        </w:rPr>
        <w:t xml:space="preserve"> las CSI</w:t>
      </w:r>
      <w:r w:rsidRPr="00070D37">
        <w:rPr>
          <w:rFonts w:eastAsia="Times New Roman"/>
          <w:snapToGrid w:val="0"/>
          <w:color w:val="auto"/>
          <w:sz w:val="22"/>
          <w:szCs w:val="22"/>
          <w:lang w:val="es-ES_tradnl"/>
        </w:rPr>
        <w:t>T</w:t>
      </w:r>
      <w:r w:rsidR="00ED6A4D" w:rsidRPr="00070D37">
        <w:rPr>
          <w:rFonts w:eastAsia="Times New Roman"/>
          <w:snapToGrid w:val="0"/>
          <w:color w:val="auto"/>
          <w:sz w:val="22"/>
          <w:szCs w:val="22"/>
          <w:lang w:val="es-ES_tradnl"/>
        </w:rPr>
        <w:t xml:space="preserve"> </w:t>
      </w:r>
      <w:r w:rsidRPr="00070D37">
        <w:rPr>
          <w:rFonts w:eastAsia="Times New Roman"/>
          <w:snapToGrid w:val="0"/>
          <w:color w:val="auto"/>
          <w:sz w:val="22"/>
          <w:szCs w:val="22"/>
          <w:lang w:val="es-ES_tradnl"/>
        </w:rPr>
        <w:t>en el periodo de referencia.</w:t>
      </w:r>
    </w:p>
    <w:p w14:paraId="1E935555" w14:textId="2B00BA23" w:rsidR="00ED322E" w:rsidRPr="00B305F9" w:rsidRDefault="00ED322E" w:rsidP="00785514">
      <w:pPr>
        <w:pStyle w:val="p01"/>
        <w:keepLines w:val="0"/>
        <w:tabs>
          <w:tab w:val="left" w:pos="3261"/>
        </w:tabs>
        <w:spacing w:before="120"/>
        <w:jc w:val="center"/>
        <w:outlineLvl w:val="0"/>
        <w:rPr>
          <w:rFonts w:ascii="Arial" w:hAnsi="Arial" w:cs="Arial"/>
          <w:b/>
          <w:color w:val="000000"/>
          <w:sz w:val="22"/>
          <w:szCs w:val="22"/>
        </w:rPr>
      </w:pPr>
      <w:r w:rsidRPr="00B305F9">
        <w:rPr>
          <w:rFonts w:ascii="Arial" w:hAnsi="Arial" w:cs="Arial"/>
          <w:b/>
          <w:color w:val="000000"/>
          <w:sz w:val="22"/>
          <w:szCs w:val="22"/>
        </w:rPr>
        <w:t>Se anexa Nota Técnica</w:t>
      </w:r>
    </w:p>
    <w:p w14:paraId="448B2C43" w14:textId="77777777" w:rsidR="00ED322E" w:rsidRPr="00785514" w:rsidRDefault="00ED322E" w:rsidP="00785514">
      <w:pPr>
        <w:pStyle w:val="NormalWeb"/>
        <w:spacing w:before="120" w:beforeAutospacing="0" w:after="0" w:afterAutospacing="0"/>
        <w:contextualSpacing/>
        <w:jc w:val="center"/>
        <w:rPr>
          <w:sz w:val="22"/>
          <w:szCs w:val="22"/>
        </w:rPr>
      </w:pPr>
      <w:r w:rsidRPr="00785514">
        <w:rPr>
          <w:sz w:val="22"/>
          <w:szCs w:val="22"/>
        </w:rPr>
        <w:t xml:space="preserve">Para consultas de medios y periodistas, contactar a: </w:t>
      </w:r>
      <w:hyperlink r:id="rId12" w:history="1">
        <w:r w:rsidRPr="00785514">
          <w:rPr>
            <w:rStyle w:val="Hipervnculo"/>
            <w:sz w:val="22"/>
            <w:szCs w:val="22"/>
          </w:rPr>
          <w:t>comunicacionsocial@inegi.org.mx</w:t>
        </w:r>
      </w:hyperlink>
      <w:r w:rsidRPr="00785514">
        <w:rPr>
          <w:sz w:val="22"/>
          <w:szCs w:val="22"/>
        </w:rPr>
        <w:t xml:space="preserve"> </w:t>
      </w:r>
    </w:p>
    <w:p w14:paraId="2D696D76" w14:textId="77777777" w:rsidR="00270E84" w:rsidRDefault="00ED322E" w:rsidP="00270E84">
      <w:pPr>
        <w:pStyle w:val="NormalWeb"/>
        <w:spacing w:before="120" w:beforeAutospacing="0" w:after="0" w:afterAutospacing="0"/>
        <w:contextualSpacing/>
        <w:jc w:val="center"/>
        <w:rPr>
          <w:sz w:val="22"/>
          <w:szCs w:val="22"/>
        </w:rPr>
      </w:pPr>
      <w:r w:rsidRPr="00785514">
        <w:rPr>
          <w:sz w:val="22"/>
          <w:szCs w:val="22"/>
        </w:rPr>
        <w:t xml:space="preserve">o llamar al teléfono (55) 52-78-10-00, </w:t>
      </w:r>
      <w:proofErr w:type="spellStart"/>
      <w:r w:rsidRPr="00785514">
        <w:rPr>
          <w:sz w:val="22"/>
          <w:szCs w:val="22"/>
        </w:rPr>
        <w:t>exts</w:t>
      </w:r>
      <w:proofErr w:type="spellEnd"/>
      <w:r w:rsidRPr="00785514">
        <w:rPr>
          <w:sz w:val="22"/>
          <w:szCs w:val="22"/>
        </w:rPr>
        <w:t>. 1134, 1260 y 1241.</w:t>
      </w:r>
    </w:p>
    <w:p w14:paraId="27325C9C" w14:textId="47681ABB" w:rsidR="00ED322E" w:rsidRPr="00785514" w:rsidRDefault="00ED322E" w:rsidP="00B305F9">
      <w:pPr>
        <w:pStyle w:val="NormalWeb"/>
        <w:spacing w:before="120" w:beforeAutospacing="0" w:after="0" w:afterAutospacing="0"/>
        <w:contextualSpacing/>
        <w:jc w:val="center"/>
        <w:sectPr w:rsidR="00ED322E" w:rsidRPr="00785514" w:rsidSect="00B305F9">
          <w:headerReference w:type="default" r:id="rId13"/>
          <w:footerReference w:type="default" r:id="rId14"/>
          <w:pgSz w:w="12240" w:h="15840" w:code="1"/>
          <w:pgMar w:top="1701" w:right="1469" w:bottom="851" w:left="1276" w:header="426" w:footer="510" w:gutter="0"/>
          <w:cols w:space="720"/>
          <w:docGrid w:linePitch="272"/>
        </w:sectPr>
      </w:pPr>
      <w:r w:rsidRPr="00785514">
        <w:rPr>
          <w:sz w:val="22"/>
          <w:szCs w:val="22"/>
        </w:rPr>
        <w:t xml:space="preserve">Dirección de Atención a Medios / Dirección General Adjunta de Comunicación </w:t>
      </w:r>
      <w:r w:rsidRPr="00785514">
        <w:rPr>
          <w:noProof/>
          <w:lang w:eastAsia="es-MX"/>
        </w:rPr>
        <w:t xml:space="preserve">     </w:t>
      </w:r>
      <w:r w:rsidRPr="00785514">
        <w:t xml:space="preserve"> </w:t>
      </w:r>
    </w:p>
    <w:p w14:paraId="6BB2D6EE" w14:textId="77777777" w:rsidR="00ED322E" w:rsidRPr="00B305F9" w:rsidRDefault="00ED322E" w:rsidP="00785514">
      <w:pPr>
        <w:tabs>
          <w:tab w:val="left" w:pos="8789"/>
        </w:tabs>
        <w:spacing w:before="120"/>
        <w:contextualSpacing/>
        <w:jc w:val="center"/>
        <w:rPr>
          <w:rFonts w:cs="Arial"/>
          <w:b/>
        </w:rPr>
      </w:pPr>
      <w:r w:rsidRPr="00B305F9">
        <w:rPr>
          <w:rFonts w:cs="Arial"/>
          <w:b/>
        </w:rPr>
        <w:lastRenderedPageBreak/>
        <w:t>NOTA TÉCNICA</w:t>
      </w:r>
    </w:p>
    <w:p w14:paraId="46EC581B" w14:textId="77777777" w:rsidR="00ED322E" w:rsidRPr="00B305F9" w:rsidRDefault="00ED322E" w:rsidP="00785514">
      <w:pPr>
        <w:tabs>
          <w:tab w:val="left" w:pos="8789"/>
        </w:tabs>
        <w:spacing w:before="120"/>
        <w:contextualSpacing/>
        <w:jc w:val="center"/>
        <w:rPr>
          <w:rFonts w:cs="Arial"/>
          <w:bCs/>
        </w:rPr>
      </w:pPr>
    </w:p>
    <w:p w14:paraId="46CBF02E" w14:textId="77777777" w:rsidR="00D173E4" w:rsidRPr="00B305F9" w:rsidRDefault="00D173E4" w:rsidP="00FC6F39">
      <w:pPr>
        <w:widowControl w:val="0"/>
        <w:jc w:val="center"/>
        <w:outlineLvl w:val="1"/>
        <w:rPr>
          <w:rFonts w:eastAsia="Arial" w:cs="Arial"/>
          <w:b/>
          <w:bCs/>
        </w:rPr>
      </w:pPr>
      <w:r w:rsidRPr="00B305F9">
        <w:rPr>
          <w:rFonts w:eastAsia="Arial" w:cs="Arial"/>
          <w:b/>
          <w:bCs/>
        </w:rPr>
        <w:t>CUENTAS POR SECTORES INSTITUCIONALES</w:t>
      </w:r>
      <w:r w:rsidRPr="00B305F9">
        <w:rPr>
          <w:rStyle w:val="Refdenotaalpie"/>
          <w:rFonts w:cs="Arial"/>
          <w:b/>
        </w:rPr>
        <w:footnoteReference w:id="3"/>
      </w:r>
      <w:r w:rsidRPr="00B305F9">
        <w:rPr>
          <w:rFonts w:cs="Arial"/>
        </w:rPr>
        <w:t xml:space="preserve"> </w:t>
      </w:r>
      <w:r w:rsidRPr="00B305F9">
        <w:rPr>
          <w:rFonts w:eastAsia="Arial" w:cs="Arial"/>
          <w:b/>
          <w:bCs/>
        </w:rPr>
        <w:t>DE MÉXICO</w:t>
      </w:r>
    </w:p>
    <w:p w14:paraId="18C9FB71" w14:textId="2604AE80" w:rsidR="00D173E4" w:rsidRPr="00B305F9" w:rsidRDefault="00D173E4" w:rsidP="00FC6F39">
      <w:pPr>
        <w:pStyle w:val="Ttulo2"/>
        <w:spacing w:before="0"/>
        <w:rPr>
          <w:rFonts w:cs="Arial"/>
          <w:color w:val="auto"/>
          <w:sz w:val="24"/>
          <w:szCs w:val="24"/>
        </w:rPr>
      </w:pPr>
      <w:r w:rsidRPr="00B305F9">
        <w:rPr>
          <w:rFonts w:cs="Arial"/>
          <w:color w:val="auto"/>
          <w:sz w:val="24"/>
          <w:szCs w:val="24"/>
        </w:rPr>
        <w:t>DURANTE EL PRIMER TRIMESTRE DE 2020</w:t>
      </w:r>
    </w:p>
    <w:p w14:paraId="24C34831" w14:textId="77777777" w:rsidR="00FC6F39" w:rsidRDefault="00FC6F39" w:rsidP="009A7981">
      <w:pPr>
        <w:rPr>
          <w:lang w:val="es-ES_tradnl"/>
        </w:rPr>
      </w:pPr>
    </w:p>
    <w:p w14:paraId="76FD6019" w14:textId="4E77124B" w:rsidR="00CB7D94" w:rsidRPr="00CB7D94" w:rsidRDefault="00CB7D94" w:rsidP="00CB7D94">
      <w:pPr>
        <w:pStyle w:val="Textodebloque1"/>
        <w:spacing w:before="120"/>
        <w:ind w:left="0" w:right="-3" w:firstLine="0"/>
        <w:rPr>
          <w:rFonts w:eastAsia="Arial" w:cs="Arial"/>
          <w:b w:val="0"/>
          <w:bCs/>
          <w:sz w:val="24"/>
          <w:szCs w:val="24"/>
        </w:rPr>
      </w:pPr>
      <w:r w:rsidRPr="00CB7D94">
        <w:rPr>
          <w:rFonts w:eastAsia="Arial" w:cs="Arial"/>
          <w:b w:val="0"/>
          <w:bCs/>
          <w:sz w:val="24"/>
          <w:szCs w:val="24"/>
        </w:rPr>
        <w:t xml:space="preserve">El INEGI presenta por primera vez los resultados de las Cuentas por Sectores Institucionales Trimestrales (CSIT) del primer trimestre de 2008 al primer trimestre de 2020. Las cifras se publicarán, en promedio 155 días después de concluido el trimestre de referencia. </w:t>
      </w:r>
    </w:p>
    <w:p w14:paraId="715C8DE6" w14:textId="0C3715DA" w:rsidR="00CB7D94" w:rsidRPr="00CB7D94" w:rsidRDefault="00CB7D94" w:rsidP="00CB7D94">
      <w:pPr>
        <w:pStyle w:val="Textodebloque1"/>
        <w:spacing w:before="120"/>
        <w:ind w:left="0" w:right="-3" w:firstLine="0"/>
        <w:rPr>
          <w:rFonts w:eastAsia="Arial" w:cs="Arial"/>
          <w:b w:val="0"/>
          <w:bCs/>
          <w:sz w:val="24"/>
          <w:szCs w:val="24"/>
        </w:rPr>
      </w:pPr>
      <w:r w:rsidRPr="00CB7D94">
        <w:rPr>
          <w:rFonts w:eastAsia="Arial" w:cs="Arial"/>
          <w:b w:val="0"/>
          <w:bCs/>
          <w:sz w:val="24"/>
          <w:szCs w:val="24"/>
        </w:rPr>
        <w:t>La metodología seguida permite, en el corto plazo, incluir de manera sistemática toda la información disponible en el país de forma consistente con la del Sistema de Cuentas Nacionales de México (SCNM) con base en los Manuales de Sistema de Cuentas Nacionales 20</w:t>
      </w:r>
      <w:r w:rsidR="00F05D03">
        <w:rPr>
          <w:rFonts w:eastAsia="Arial" w:cs="Arial"/>
          <w:b w:val="0"/>
          <w:bCs/>
          <w:sz w:val="24"/>
          <w:szCs w:val="24"/>
        </w:rPr>
        <w:t>0</w:t>
      </w:r>
      <w:r w:rsidRPr="00CB7D94">
        <w:rPr>
          <w:rFonts w:eastAsia="Arial" w:cs="Arial"/>
          <w:b w:val="0"/>
          <w:bCs/>
          <w:sz w:val="24"/>
          <w:szCs w:val="24"/>
        </w:rPr>
        <w:t>8 de Naciones Unidas (SCN2</w:t>
      </w:r>
      <w:r w:rsidR="00F05D03">
        <w:rPr>
          <w:rFonts w:eastAsia="Arial" w:cs="Arial"/>
          <w:b w:val="0"/>
          <w:bCs/>
          <w:sz w:val="24"/>
          <w:szCs w:val="24"/>
        </w:rPr>
        <w:t>0</w:t>
      </w:r>
      <w:r w:rsidRPr="00CB7D94">
        <w:rPr>
          <w:rFonts w:eastAsia="Arial" w:cs="Arial"/>
          <w:b w:val="0"/>
          <w:bCs/>
          <w:sz w:val="24"/>
          <w:szCs w:val="24"/>
        </w:rPr>
        <w:t xml:space="preserve">08) y del Manual de Cuentas Nacionales Trimestrales del Fondo Monetario Internacional (FMI). </w:t>
      </w:r>
    </w:p>
    <w:p w14:paraId="06BCA346" w14:textId="40ED1A42" w:rsidR="00CB7D94" w:rsidRPr="00CB7D94" w:rsidRDefault="00CB7D94" w:rsidP="00CB7D94">
      <w:pPr>
        <w:pStyle w:val="Textodebloque1"/>
        <w:spacing w:before="120"/>
        <w:ind w:left="0" w:right="-3" w:firstLine="0"/>
        <w:rPr>
          <w:rFonts w:eastAsia="Arial" w:cs="Arial"/>
          <w:b w:val="0"/>
          <w:bCs/>
          <w:sz w:val="24"/>
          <w:szCs w:val="24"/>
        </w:rPr>
      </w:pPr>
      <w:r w:rsidRPr="00CB7D94">
        <w:rPr>
          <w:rFonts w:eastAsia="Arial" w:cs="Arial"/>
          <w:b w:val="0"/>
          <w:bCs/>
          <w:sz w:val="24"/>
          <w:szCs w:val="24"/>
        </w:rPr>
        <w:t xml:space="preserve">Las Cuentas por Sectores Institucionales proporcionan información sobre las transacciones reales y financieras que realizan los distintos sectores entre sí y con el resto del mundo, así como del balance de activos y pasivos al inicio y al cierre del año, </w:t>
      </w:r>
      <w:r w:rsidR="00AF1F43" w:rsidRPr="00AF1F43">
        <w:rPr>
          <w:rFonts w:eastAsia="Arial" w:cs="Arial"/>
          <w:b w:val="0"/>
          <w:bCs/>
          <w:sz w:val="24"/>
          <w:szCs w:val="24"/>
        </w:rPr>
        <w:t xml:space="preserve">las </w:t>
      </w:r>
      <w:r w:rsidR="00AF1F43">
        <w:rPr>
          <w:rFonts w:eastAsia="Arial" w:cs="Arial"/>
          <w:b w:val="0"/>
          <w:bCs/>
          <w:sz w:val="24"/>
          <w:szCs w:val="24"/>
        </w:rPr>
        <w:t>r</w:t>
      </w:r>
      <w:r w:rsidR="00AF1F43" w:rsidRPr="00AF1F43">
        <w:rPr>
          <w:rFonts w:eastAsia="Arial" w:cs="Arial"/>
          <w:b w:val="0"/>
          <w:bCs/>
          <w:sz w:val="24"/>
          <w:szCs w:val="24"/>
        </w:rPr>
        <w:t>elaciones intersectoriales quien a quien por sector institucional y para la economía en su conjunto</w:t>
      </w:r>
      <w:r w:rsidRPr="00CB7D94">
        <w:rPr>
          <w:rFonts w:eastAsia="Arial" w:cs="Arial"/>
          <w:b w:val="0"/>
          <w:bCs/>
          <w:sz w:val="24"/>
          <w:szCs w:val="24"/>
        </w:rPr>
        <w:t>, siendo esta la primera vez que se ofrecen mediciones de este tipo dentro del marco contable del SCNM, aportándole una mayor congruencia a las transacciones que se registran o calculan como flujos y como saldos.</w:t>
      </w:r>
    </w:p>
    <w:p w14:paraId="6E955065" w14:textId="13F21BF7" w:rsidR="004C4810" w:rsidRPr="00785514" w:rsidRDefault="009A7981" w:rsidP="00785514">
      <w:pPr>
        <w:pStyle w:val="Textodebloque1"/>
        <w:spacing w:before="120"/>
        <w:ind w:left="0" w:right="0" w:firstLine="0"/>
        <w:rPr>
          <w:rFonts w:eastAsia="Arial" w:cs="Arial"/>
          <w:b w:val="0"/>
          <w:bCs/>
          <w:sz w:val="24"/>
          <w:szCs w:val="24"/>
        </w:rPr>
      </w:pPr>
      <w:r>
        <w:rPr>
          <w:rFonts w:eastAsia="Arial" w:cs="Arial"/>
          <w:b w:val="0"/>
          <w:bCs/>
          <w:sz w:val="24"/>
          <w:szCs w:val="24"/>
        </w:rPr>
        <w:t>El</w:t>
      </w:r>
      <w:r w:rsidR="004C4810" w:rsidRPr="00785514">
        <w:rPr>
          <w:rFonts w:eastAsia="Arial" w:cs="Arial"/>
          <w:b w:val="0"/>
          <w:bCs/>
          <w:sz w:val="24"/>
          <w:szCs w:val="24"/>
        </w:rPr>
        <w:t xml:space="preserve"> </w:t>
      </w:r>
      <w:r>
        <w:rPr>
          <w:rFonts w:eastAsia="Arial" w:cs="Arial"/>
          <w:b w:val="0"/>
          <w:bCs/>
          <w:sz w:val="24"/>
          <w:szCs w:val="24"/>
        </w:rPr>
        <w:t>FMI</w:t>
      </w:r>
      <w:r w:rsidR="004C4810" w:rsidRPr="00785514">
        <w:rPr>
          <w:rFonts w:eastAsia="Arial" w:cs="Arial"/>
          <w:b w:val="0"/>
          <w:bCs/>
          <w:sz w:val="24"/>
          <w:szCs w:val="24"/>
        </w:rPr>
        <w:t xml:space="preserve"> y la Junta de Estabilidad Financiera (FSB) </w:t>
      </w:r>
      <w:r w:rsidR="00A4769A" w:rsidRPr="00785514">
        <w:rPr>
          <w:rFonts w:eastAsia="Arial" w:cs="Arial"/>
          <w:b w:val="0"/>
          <w:bCs/>
          <w:sz w:val="24"/>
          <w:szCs w:val="24"/>
        </w:rPr>
        <w:t>identificaron lagunas de datos, necesari</w:t>
      </w:r>
      <w:r w:rsidR="00B37F81" w:rsidRPr="00785514">
        <w:rPr>
          <w:rFonts w:eastAsia="Arial" w:cs="Arial"/>
          <w:b w:val="0"/>
          <w:bCs/>
          <w:sz w:val="24"/>
          <w:szCs w:val="24"/>
        </w:rPr>
        <w:t>o</w:t>
      </w:r>
      <w:r w:rsidR="00A4769A" w:rsidRPr="00785514">
        <w:rPr>
          <w:rFonts w:eastAsia="Arial" w:cs="Arial"/>
          <w:b w:val="0"/>
          <w:bCs/>
          <w:sz w:val="24"/>
          <w:szCs w:val="24"/>
        </w:rPr>
        <w:t xml:space="preserve">s para enfrentar los desafíos </w:t>
      </w:r>
      <w:r w:rsidR="00BF3DC7">
        <w:rPr>
          <w:rFonts w:eastAsia="Arial" w:cs="Arial"/>
          <w:b w:val="0"/>
          <w:bCs/>
          <w:sz w:val="24"/>
          <w:szCs w:val="24"/>
        </w:rPr>
        <w:t xml:space="preserve">de las contracciones económicas </w:t>
      </w:r>
      <w:r w:rsidR="003A613B">
        <w:rPr>
          <w:rFonts w:eastAsia="Arial" w:cs="Arial"/>
          <w:b w:val="0"/>
          <w:bCs/>
          <w:sz w:val="24"/>
          <w:szCs w:val="24"/>
        </w:rPr>
        <w:t xml:space="preserve">globales </w:t>
      </w:r>
      <w:r w:rsidR="00BF3DC7">
        <w:rPr>
          <w:rFonts w:eastAsia="Arial" w:cs="Arial"/>
          <w:b w:val="0"/>
          <w:bCs/>
          <w:sz w:val="24"/>
          <w:szCs w:val="24"/>
        </w:rPr>
        <w:t>de 2008 y 2009, así como los retos f</w:t>
      </w:r>
      <w:r w:rsidR="00A4769A" w:rsidRPr="00785514">
        <w:rPr>
          <w:rFonts w:eastAsia="Arial" w:cs="Arial"/>
          <w:b w:val="0"/>
          <w:bCs/>
          <w:sz w:val="24"/>
          <w:szCs w:val="24"/>
        </w:rPr>
        <w:t>uturos</w:t>
      </w:r>
      <w:r w:rsidR="003A613B">
        <w:rPr>
          <w:rFonts w:eastAsia="Arial" w:cs="Arial"/>
          <w:b w:val="0"/>
          <w:bCs/>
          <w:sz w:val="24"/>
          <w:szCs w:val="24"/>
        </w:rPr>
        <w:t>,</w:t>
      </w:r>
      <w:r w:rsidR="00A4769A" w:rsidRPr="00785514">
        <w:rPr>
          <w:rFonts w:eastAsia="Arial" w:cs="Arial"/>
          <w:b w:val="0"/>
          <w:bCs/>
          <w:sz w:val="24"/>
          <w:szCs w:val="24"/>
        </w:rPr>
        <w:t xml:space="preserve"> fortalec</w:t>
      </w:r>
      <w:r w:rsidR="003A613B">
        <w:rPr>
          <w:rFonts w:eastAsia="Arial" w:cs="Arial"/>
          <w:b w:val="0"/>
          <w:bCs/>
          <w:sz w:val="24"/>
          <w:szCs w:val="24"/>
        </w:rPr>
        <w:t>i</w:t>
      </w:r>
      <w:r w:rsidR="00A4769A" w:rsidRPr="00785514">
        <w:rPr>
          <w:rFonts w:eastAsia="Arial" w:cs="Arial"/>
          <w:b w:val="0"/>
          <w:bCs/>
          <w:sz w:val="24"/>
          <w:szCs w:val="24"/>
        </w:rPr>
        <w:t>e</w:t>
      </w:r>
      <w:r w:rsidR="003A613B">
        <w:rPr>
          <w:rFonts w:eastAsia="Arial" w:cs="Arial"/>
          <w:b w:val="0"/>
          <w:bCs/>
          <w:sz w:val="24"/>
          <w:szCs w:val="24"/>
        </w:rPr>
        <w:t>ndo</w:t>
      </w:r>
      <w:r w:rsidR="00A4769A" w:rsidRPr="00785514">
        <w:rPr>
          <w:rFonts w:eastAsia="Arial" w:cs="Arial"/>
          <w:b w:val="0"/>
          <w:bCs/>
          <w:sz w:val="24"/>
          <w:szCs w:val="24"/>
        </w:rPr>
        <w:t xml:space="preserve"> l</w:t>
      </w:r>
      <w:r w:rsidR="00B37F81" w:rsidRPr="00785514">
        <w:rPr>
          <w:rFonts w:eastAsia="Arial" w:cs="Arial"/>
          <w:b w:val="0"/>
          <w:bCs/>
          <w:sz w:val="24"/>
          <w:szCs w:val="24"/>
        </w:rPr>
        <w:t>a</w:t>
      </w:r>
      <w:r w:rsidR="00A4769A" w:rsidRPr="00785514">
        <w:rPr>
          <w:rFonts w:eastAsia="Arial" w:cs="Arial"/>
          <w:b w:val="0"/>
          <w:bCs/>
          <w:sz w:val="24"/>
          <w:szCs w:val="24"/>
        </w:rPr>
        <w:t xml:space="preserve"> </w:t>
      </w:r>
      <w:r w:rsidR="00B37F81" w:rsidRPr="00785514">
        <w:rPr>
          <w:rFonts w:eastAsia="Arial" w:cs="Arial"/>
          <w:b w:val="0"/>
          <w:bCs/>
          <w:sz w:val="24"/>
          <w:szCs w:val="24"/>
        </w:rPr>
        <w:t>información</w:t>
      </w:r>
      <w:r w:rsidR="00A4769A" w:rsidRPr="00785514">
        <w:rPr>
          <w:rFonts w:eastAsia="Arial" w:cs="Arial"/>
          <w:b w:val="0"/>
          <w:bCs/>
          <w:sz w:val="24"/>
          <w:szCs w:val="24"/>
        </w:rPr>
        <w:t xml:space="preserve"> disponible, </w:t>
      </w:r>
      <w:r w:rsidR="003A613B">
        <w:rPr>
          <w:rFonts w:eastAsia="Arial" w:cs="Arial"/>
          <w:b w:val="0"/>
          <w:bCs/>
          <w:sz w:val="24"/>
          <w:szCs w:val="24"/>
        </w:rPr>
        <w:t>dando</w:t>
      </w:r>
      <w:r w:rsidR="00A4769A" w:rsidRPr="00785514">
        <w:rPr>
          <w:rFonts w:eastAsia="Arial" w:cs="Arial"/>
          <w:b w:val="0"/>
          <w:bCs/>
          <w:sz w:val="24"/>
          <w:szCs w:val="24"/>
        </w:rPr>
        <w:t xml:space="preserve"> </w:t>
      </w:r>
      <w:r w:rsidR="00B37F81" w:rsidRPr="00785514">
        <w:rPr>
          <w:rFonts w:eastAsia="Arial" w:cs="Arial"/>
          <w:b w:val="0"/>
          <w:bCs/>
          <w:sz w:val="24"/>
          <w:szCs w:val="24"/>
        </w:rPr>
        <w:t>un mejor</w:t>
      </w:r>
      <w:r w:rsidR="003A613B">
        <w:rPr>
          <w:rFonts w:eastAsia="Arial" w:cs="Arial"/>
          <w:b w:val="0"/>
          <w:bCs/>
          <w:sz w:val="24"/>
          <w:szCs w:val="24"/>
        </w:rPr>
        <w:t xml:space="preserve"> sustento para</w:t>
      </w:r>
      <w:r w:rsidR="00B37F81" w:rsidRPr="00785514">
        <w:rPr>
          <w:rFonts w:eastAsia="Arial" w:cs="Arial"/>
          <w:b w:val="0"/>
          <w:bCs/>
          <w:sz w:val="24"/>
          <w:szCs w:val="24"/>
        </w:rPr>
        <w:t xml:space="preserve"> </w:t>
      </w:r>
      <w:r w:rsidR="00A4769A" w:rsidRPr="00785514">
        <w:rPr>
          <w:rFonts w:eastAsia="Arial" w:cs="Arial"/>
          <w:b w:val="0"/>
          <w:bCs/>
          <w:sz w:val="24"/>
          <w:szCs w:val="24"/>
        </w:rPr>
        <w:t>la identificación prospectiva y específica de los riesgos para la estabilidad financiera mundial</w:t>
      </w:r>
      <w:r w:rsidR="003A613B">
        <w:rPr>
          <w:rFonts w:eastAsia="Arial" w:cs="Arial"/>
          <w:b w:val="0"/>
          <w:bCs/>
          <w:sz w:val="24"/>
          <w:szCs w:val="24"/>
        </w:rPr>
        <w:t>. Lo cual</w:t>
      </w:r>
      <w:r w:rsidR="00DD1B09" w:rsidRPr="00785514">
        <w:rPr>
          <w:rFonts w:eastAsia="Arial" w:cs="Arial"/>
          <w:b w:val="0"/>
          <w:bCs/>
          <w:sz w:val="24"/>
          <w:szCs w:val="24"/>
        </w:rPr>
        <w:t xml:space="preserve"> dio origen a la Iniciativa de vacíos de datos</w:t>
      </w:r>
      <w:r w:rsidR="00B37F81" w:rsidRPr="00785514">
        <w:rPr>
          <w:rFonts w:eastAsia="Arial" w:cs="Arial"/>
          <w:b w:val="0"/>
          <w:bCs/>
          <w:sz w:val="24"/>
          <w:szCs w:val="24"/>
        </w:rPr>
        <w:t xml:space="preserve"> del G-20</w:t>
      </w:r>
      <w:r w:rsidR="00DD1B09" w:rsidRPr="00785514">
        <w:rPr>
          <w:rFonts w:eastAsia="Arial" w:cs="Arial"/>
          <w:b w:val="0"/>
          <w:bCs/>
          <w:sz w:val="24"/>
          <w:szCs w:val="24"/>
        </w:rPr>
        <w:t xml:space="preserve"> (DGI por sus siglas en inglés)</w:t>
      </w:r>
      <w:r w:rsidR="003A613B">
        <w:rPr>
          <w:rFonts w:eastAsia="Arial" w:cs="Arial"/>
          <w:b w:val="0"/>
          <w:bCs/>
          <w:sz w:val="24"/>
          <w:szCs w:val="24"/>
        </w:rPr>
        <w:t xml:space="preserve"> en la que los países han adoptado recomendaciones emanadas de ésta</w:t>
      </w:r>
      <w:r w:rsidR="00DD1B09" w:rsidRPr="00785514">
        <w:rPr>
          <w:rFonts w:eastAsia="Arial" w:cs="Arial"/>
          <w:b w:val="0"/>
          <w:bCs/>
          <w:sz w:val="24"/>
          <w:szCs w:val="24"/>
        </w:rPr>
        <w:t>.</w:t>
      </w:r>
    </w:p>
    <w:p w14:paraId="713A3477" w14:textId="59C8714B" w:rsidR="009B2C3E" w:rsidRPr="00785514" w:rsidRDefault="009B2C3E" w:rsidP="00785514">
      <w:pPr>
        <w:pStyle w:val="Textodebloque1"/>
        <w:spacing w:before="120"/>
        <w:ind w:left="0" w:right="0" w:firstLine="0"/>
        <w:rPr>
          <w:rFonts w:eastAsia="Arial" w:cs="Arial"/>
          <w:b w:val="0"/>
          <w:bCs/>
          <w:sz w:val="24"/>
          <w:szCs w:val="24"/>
        </w:rPr>
      </w:pPr>
      <w:r w:rsidRPr="00785514">
        <w:rPr>
          <w:rFonts w:eastAsia="Arial" w:cs="Arial"/>
          <w:b w:val="0"/>
          <w:bCs/>
          <w:sz w:val="24"/>
          <w:szCs w:val="24"/>
        </w:rPr>
        <w:t xml:space="preserve">La oportunidad de la </w:t>
      </w:r>
      <w:r w:rsidR="009A7981" w:rsidRPr="00785514">
        <w:rPr>
          <w:rFonts w:eastAsia="Arial" w:cs="Arial"/>
          <w:b w:val="0"/>
          <w:bCs/>
          <w:sz w:val="24"/>
          <w:szCs w:val="24"/>
        </w:rPr>
        <w:t>información</w:t>
      </w:r>
      <w:r w:rsidRPr="00785514">
        <w:rPr>
          <w:rFonts w:eastAsia="Arial" w:cs="Arial"/>
          <w:b w:val="0"/>
          <w:bCs/>
          <w:sz w:val="24"/>
          <w:szCs w:val="24"/>
        </w:rPr>
        <w:t xml:space="preserve"> ha sido clave en las recomendaciones del G-20, lo que llev</w:t>
      </w:r>
      <w:r w:rsidR="00DD5F4C">
        <w:rPr>
          <w:rFonts w:eastAsia="Arial" w:cs="Arial"/>
          <w:b w:val="0"/>
          <w:bCs/>
          <w:sz w:val="24"/>
          <w:szCs w:val="24"/>
        </w:rPr>
        <w:t>ó</w:t>
      </w:r>
      <w:r w:rsidRPr="00785514">
        <w:rPr>
          <w:rFonts w:eastAsia="Arial" w:cs="Arial"/>
          <w:b w:val="0"/>
          <w:bCs/>
          <w:sz w:val="24"/>
          <w:szCs w:val="24"/>
        </w:rPr>
        <w:t xml:space="preserve"> a crear la segunda fase de la Iniciativa de vacíos de datos DGI-2, para solventar las necesidades de información, dando origen a las mediciones de alta frecuencia para las Cuentas Sectoriales, a través de la Recomendación II.8 Cuentas </w:t>
      </w:r>
      <w:r w:rsidR="003A613B">
        <w:rPr>
          <w:rFonts w:eastAsia="Arial" w:cs="Arial"/>
          <w:b w:val="0"/>
          <w:bCs/>
          <w:sz w:val="24"/>
          <w:szCs w:val="24"/>
        </w:rPr>
        <w:t>S</w:t>
      </w:r>
      <w:r w:rsidRPr="00785514">
        <w:rPr>
          <w:rFonts w:eastAsia="Arial" w:cs="Arial"/>
          <w:b w:val="0"/>
          <w:bCs/>
          <w:sz w:val="24"/>
          <w:szCs w:val="24"/>
        </w:rPr>
        <w:t>ectoriales</w:t>
      </w:r>
      <w:r w:rsidR="003A613B">
        <w:rPr>
          <w:rFonts w:eastAsia="Arial" w:cs="Arial"/>
          <w:b w:val="0"/>
          <w:bCs/>
          <w:sz w:val="24"/>
          <w:szCs w:val="24"/>
        </w:rPr>
        <w:t>, ahora trimestrales.</w:t>
      </w:r>
    </w:p>
    <w:p w14:paraId="21EC2E74" w14:textId="77777777" w:rsidR="00FC6F39" w:rsidRDefault="00FC6F39" w:rsidP="00FC6F39">
      <w:pPr>
        <w:pStyle w:val="Textodebloque1"/>
        <w:spacing w:before="120"/>
        <w:ind w:left="0" w:right="0" w:firstLine="0"/>
        <w:rPr>
          <w:rFonts w:eastAsia="Arial" w:cs="Arial"/>
          <w:b w:val="0"/>
          <w:bCs/>
          <w:sz w:val="24"/>
          <w:szCs w:val="24"/>
        </w:rPr>
      </w:pPr>
      <w:r w:rsidRPr="00E22371">
        <w:rPr>
          <w:rFonts w:eastAsia="Arial" w:cs="Arial"/>
          <w:b w:val="0"/>
          <w:bCs/>
          <w:sz w:val="24"/>
          <w:szCs w:val="24"/>
        </w:rPr>
        <w:t xml:space="preserve">Los resultados por sector institucional </w:t>
      </w:r>
      <w:r>
        <w:rPr>
          <w:rFonts w:eastAsia="Arial" w:cs="Arial"/>
          <w:b w:val="0"/>
          <w:bCs/>
          <w:sz w:val="24"/>
          <w:szCs w:val="24"/>
        </w:rPr>
        <w:t>son</w:t>
      </w:r>
      <w:r w:rsidRPr="00E22371">
        <w:rPr>
          <w:rFonts w:eastAsia="Arial" w:cs="Arial"/>
          <w:b w:val="0"/>
          <w:bCs/>
          <w:sz w:val="24"/>
          <w:szCs w:val="24"/>
        </w:rPr>
        <w:t xml:space="preserve"> un complemento </w:t>
      </w:r>
      <w:r>
        <w:rPr>
          <w:rFonts w:eastAsia="Arial" w:cs="Arial"/>
          <w:b w:val="0"/>
          <w:bCs/>
          <w:sz w:val="24"/>
          <w:szCs w:val="24"/>
        </w:rPr>
        <w:t>al PIB y la Oferta y Utilización Trimestral</w:t>
      </w:r>
      <w:r w:rsidRPr="00E22371">
        <w:rPr>
          <w:rFonts w:eastAsia="Arial" w:cs="Arial"/>
          <w:b w:val="0"/>
          <w:bCs/>
          <w:sz w:val="24"/>
          <w:szCs w:val="24"/>
        </w:rPr>
        <w:t xml:space="preserve"> </w:t>
      </w:r>
      <w:bookmarkStart w:id="2" w:name="_Hlk49789903"/>
      <w:r w:rsidRPr="00E22371">
        <w:rPr>
          <w:rFonts w:eastAsia="Arial" w:cs="Arial"/>
          <w:b w:val="0"/>
          <w:bCs/>
          <w:sz w:val="24"/>
          <w:szCs w:val="24"/>
        </w:rPr>
        <w:t>por sector económico de origen que publica el Instituto.</w:t>
      </w:r>
      <w:bookmarkEnd w:id="2"/>
      <w:r w:rsidRPr="00E22371">
        <w:rPr>
          <w:rFonts w:eastAsia="Arial" w:cs="Arial"/>
          <w:b w:val="0"/>
          <w:bCs/>
          <w:sz w:val="24"/>
          <w:szCs w:val="24"/>
        </w:rPr>
        <w:t xml:space="preserve"> Así, se dispone de información de manera conjunta sobre el comportamiento real por actividad económica de origen, y por sector institucional, en el que se incorpora la corriente financiera de la economía del país.</w:t>
      </w:r>
    </w:p>
    <w:p w14:paraId="7CBEDBB9" w14:textId="6AAC24F6" w:rsidR="00FC6F39" w:rsidRDefault="00FC6F39" w:rsidP="00FC6F39">
      <w:pPr>
        <w:pStyle w:val="Textodebloque1"/>
        <w:spacing w:before="120"/>
        <w:ind w:left="0" w:right="0" w:firstLine="0"/>
        <w:rPr>
          <w:rFonts w:eastAsia="Arial" w:cs="Arial"/>
          <w:b w:val="0"/>
          <w:bCs/>
          <w:sz w:val="24"/>
          <w:szCs w:val="24"/>
        </w:rPr>
      </w:pPr>
      <w:r>
        <w:rPr>
          <w:rFonts w:eastAsia="Arial" w:cs="Arial"/>
          <w:b w:val="0"/>
          <w:bCs/>
          <w:sz w:val="24"/>
          <w:szCs w:val="24"/>
        </w:rPr>
        <w:lastRenderedPageBreak/>
        <w:t>Las</w:t>
      </w:r>
      <w:r w:rsidRPr="00E22371">
        <w:rPr>
          <w:rFonts w:eastAsia="Arial" w:cs="Arial"/>
          <w:b w:val="0"/>
          <w:bCs/>
          <w:sz w:val="24"/>
          <w:szCs w:val="24"/>
        </w:rPr>
        <w:t xml:space="preserve"> sucesiones contables </w:t>
      </w:r>
      <w:r>
        <w:rPr>
          <w:rFonts w:eastAsia="Arial" w:cs="Arial"/>
          <w:b w:val="0"/>
          <w:bCs/>
          <w:sz w:val="24"/>
          <w:szCs w:val="24"/>
        </w:rPr>
        <w:t xml:space="preserve">de las </w:t>
      </w:r>
      <w:r w:rsidRPr="00E22371">
        <w:rPr>
          <w:rFonts w:eastAsia="Arial" w:cs="Arial"/>
          <w:b w:val="0"/>
          <w:bCs/>
          <w:sz w:val="24"/>
          <w:szCs w:val="24"/>
        </w:rPr>
        <w:t xml:space="preserve">Cuentas por Sectores Institucionales se presentan en cuadros </w:t>
      </w:r>
      <w:r w:rsidR="00F05D03">
        <w:rPr>
          <w:rFonts w:eastAsia="Arial" w:cs="Arial"/>
          <w:b w:val="0"/>
          <w:bCs/>
          <w:sz w:val="24"/>
          <w:szCs w:val="24"/>
        </w:rPr>
        <w:t>co</w:t>
      </w:r>
      <w:r w:rsidRPr="00E22371">
        <w:rPr>
          <w:rFonts w:eastAsia="Arial" w:cs="Arial"/>
          <w:b w:val="0"/>
          <w:bCs/>
          <w:sz w:val="24"/>
          <w:szCs w:val="24"/>
        </w:rPr>
        <w:t>n formato matricial, iniciando en la cuenta de producción, la distribución, redistribución</w:t>
      </w:r>
      <w:r>
        <w:rPr>
          <w:rFonts w:eastAsia="Arial" w:cs="Arial"/>
          <w:b w:val="0"/>
          <w:bCs/>
          <w:sz w:val="24"/>
          <w:szCs w:val="24"/>
        </w:rPr>
        <w:t xml:space="preserve"> del ingreso</w:t>
      </w:r>
      <w:r w:rsidR="00F05D03">
        <w:rPr>
          <w:rFonts w:eastAsia="Arial" w:cs="Arial"/>
          <w:b w:val="0"/>
          <w:bCs/>
          <w:sz w:val="24"/>
          <w:szCs w:val="24"/>
        </w:rPr>
        <w:t>,</w:t>
      </w:r>
      <w:r w:rsidR="00F05D03" w:rsidRPr="00F05D03">
        <w:rPr>
          <w:rFonts w:eastAsia="Arial" w:cs="Arial"/>
          <w:b w:val="0"/>
          <w:bCs/>
          <w:sz w:val="24"/>
          <w:szCs w:val="24"/>
        </w:rPr>
        <w:t xml:space="preserve"> </w:t>
      </w:r>
      <w:r w:rsidR="00F05D03">
        <w:rPr>
          <w:rFonts w:eastAsia="Arial" w:cs="Arial"/>
          <w:b w:val="0"/>
          <w:bCs/>
          <w:sz w:val="24"/>
          <w:szCs w:val="24"/>
        </w:rPr>
        <w:t>cuenta de capital y cuenta financiera</w:t>
      </w:r>
      <w:r w:rsidR="00F05D03" w:rsidRPr="00E22371">
        <w:rPr>
          <w:rFonts w:eastAsia="Arial" w:cs="Arial"/>
          <w:b w:val="0"/>
          <w:bCs/>
          <w:sz w:val="24"/>
          <w:szCs w:val="24"/>
        </w:rPr>
        <w:t>, otras variaciones de activos</w:t>
      </w:r>
      <w:r w:rsidR="00F05D03">
        <w:rPr>
          <w:rFonts w:eastAsia="Arial" w:cs="Arial"/>
          <w:b w:val="0"/>
          <w:bCs/>
          <w:sz w:val="24"/>
          <w:szCs w:val="24"/>
        </w:rPr>
        <w:t xml:space="preserve"> financieros y no financieros, pasivos</w:t>
      </w:r>
      <w:r w:rsidR="00F05D03" w:rsidRPr="00E22371">
        <w:rPr>
          <w:rFonts w:eastAsia="Arial" w:cs="Arial"/>
          <w:b w:val="0"/>
          <w:bCs/>
          <w:sz w:val="24"/>
          <w:szCs w:val="24"/>
        </w:rPr>
        <w:t xml:space="preserve"> y stocks de activos financieros y no financieros, con </w:t>
      </w:r>
      <w:r w:rsidR="00F05D03">
        <w:rPr>
          <w:rFonts w:eastAsia="Arial" w:cs="Arial"/>
          <w:b w:val="0"/>
          <w:bCs/>
          <w:sz w:val="24"/>
          <w:szCs w:val="24"/>
        </w:rPr>
        <w:t>los</w:t>
      </w:r>
      <w:r w:rsidR="00F05D03" w:rsidRPr="00E22371">
        <w:rPr>
          <w:rFonts w:eastAsia="Arial" w:cs="Arial"/>
          <w:b w:val="0"/>
          <w:bCs/>
          <w:sz w:val="24"/>
          <w:szCs w:val="24"/>
        </w:rPr>
        <w:t xml:space="preserve"> saldos contables </w:t>
      </w:r>
      <w:r w:rsidRPr="00E22371">
        <w:rPr>
          <w:rFonts w:eastAsia="Arial" w:cs="Arial"/>
          <w:b w:val="0"/>
          <w:bCs/>
          <w:sz w:val="24"/>
          <w:szCs w:val="24"/>
        </w:rPr>
        <w:t xml:space="preserve">que propone el </w:t>
      </w:r>
      <w:r w:rsidR="00DD5F4C" w:rsidRPr="00DD5F4C">
        <w:rPr>
          <w:rFonts w:eastAsia="Arial" w:cs="Arial"/>
          <w:b w:val="0"/>
          <w:bCs/>
          <w:sz w:val="24"/>
          <w:szCs w:val="24"/>
        </w:rPr>
        <w:t>Sistema de Cuentas Nacionales 2008 (SCN 2008</w:t>
      </w:r>
      <w:r w:rsidR="00DD5F4C">
        <w:rPr>
          <w:rFonts w:eastAsia="Arial" w:cs="Arial"/>
          <w:b w:val="0"/>
          <w:bCs/>
          <w:sz w:val="24"/>
          <w:szCs w:val="24"/>
        </w:rPr>
        <w:t>)</w:t>
      </w:r>
      <w:r w:rsidRPr="00E22371">
        <w:rPr>
          <w:rFonts w:eastAsia="Arial" w:cs="Arial"/>
          <w:b w:val="0"/>
          <w:bCs/>
          <w:sz w:val="24"/>
          <w:szCs w:val="24"/>
        </w:rPr>
        <w:t>, desde el PIB hasta el Valor neto</w:t>
      </w:r>
      <w:r>
        <w:rPr>
          <w:rFonts w:eastAsia="Arial" w:cs="Arial"/>
          <w:b w:val="0"/>
          <w:bCs/>
          <w:sz w:val="24"/>
          <w:szCs w:val="24"/>
        </w:rPr>
        <w:t>.</w:t>
      </w:r>
      <w:r w:rsidRPr="00E22371">
        <w:rPr>
          <w:rFonts w:eastAsia="Arial" w:cs="Arial"/>
          <w:b w:val="0"/>
          <w:bCs/>
          <w:sz w:val="24"/>
          <w:szCs w:val="24"/>
        </w:rPr>
        <w:t xml:space="preserve"> Las CSI</w:t>
      </w:r>
      <w:r>
        <w:rPr>
          <w:rFonts w:eastAsia="Arial" w:cs="Arial"/>
          <w:b w:val="0"/>
          <w:bCs/>
          <w:sz w:val="24"/>
          <w:szCs w:val="24"/>
        </w:rPr>
        <w:t>T</w:t>
      </w:r>
      <w:r w:rsidRPr="00E22371">
        <w:rPr>
          <w:rFonts w:eastAsia="Arial" w:cs="Arial"/>
          <w:b w:val="0"/>
          <w:bCs/>
          <w:sz w:val="24"/>
          <w:szCs w:val="24"/>
        </w:rPr>
        <w:t xml:space="preserve"> se desarrollan con base en los lineamientos internacionales en materia de cuentas nacionales</w:t>
      </w:r>
      <w:r>
        <w:rPr>
          <w:rFonts w:eastAsia="Arial" w:cs="Arial"/>
          <w:b w:val="0"/>
          <w:bCs/>
          <w:sz w:val="24"/>
          <w:szCs w:val="24"/>
        </w:rPr>
        <w:t xml:space="preserve"> d</w:t>
      </w:r>
      <w:r w:rsidRPr="00E22371">
        <w:rPr>
          <w:rFonts w:eastAsia="Arial" w:cs="Arial"/>
          <w:b w:val="0"/>
          <w:bCs/>
          <w:sz w:val="24"/>
          <w:szCs w:val="24"/>
        </w:rPr>
        <w:t>el SCN 2008 elaborado por la ONU, FMI, Banco Mundial, Eurostat y OCDE</w:t>
      </w:r>
      <w:r>
        <w:rPr>
          <w:rFonts w:eastAsia="Arial" w:cs="Arial"/>
          <w:b w:val="0"/>
          <w:bCs/>
          <w:sz w:val="24"/>
          <w:szCs w:val="24"/>
        </w:rPr>
        <w:t xml:space="preserve"> y el Manual de Cuentas Nacionales Trimestrales del FMI.</w:t>
      </w:r>
    </w:p>
    <w:p w14:paraId="6C116C47" w14:textId="147E14B5" w:rsidR="00FC6F39" w:rsidRDefault="00FC6F39" w:rsidP="009A7981">
      <w:pPr>
        <w:pStyle w:val="Textodebloque1"/>
        <w:spacing w:before="120"/>
        <w:ind w:left="0" w:right="0" w:firstLine="0"/>
        <w:rPr>
          <w:rFonts w:eastAsia="Arial" w:cs="Arial"/>
          <w:b w:val="0"/>
          <w:bCs/>
          <w:i/>
          <w:iCs/>
          <w:szCs w:val="22"/>
        </w:rPr>
      </w:pPr>
    </w:p>
    <w:p w14:paraId="28207113" w14:textId="4D26FEFF" w:rsidR="009A7981" w:rsidRPr="009A7981" w:rsidRDefault="009A7981" w:rsidP="009A7981">
      <w:pPr>
        <w:pStyle w:val="Textodebloque1"/>
        <w:spacing w:before="120"/>
        <w:ind w:left="0" w:right="0" w:firstLine="0"/>
        <w:rPr>
          <w:rFonts w:eastAsia="Arial" w:cs="Arial"/>
          <w:i/>
          <w:iCs/>
          <w:szCs w:val="22"/>
        </w:rPr>
      </w:pPr>
      <w:r w:rsidRPr="009A7981">
        <w:rPr>
          <w:rFonts w:eastAsia="Arial" w:cs="Arial"/>
          <w:i/>
          <w:iCs/>
          <w:szCs w:val="22"/>
        </w:rPr>
        <w:t>Principales resultados</w:t>
      </w:r>
    </w:p>
    <w:p w14:paraId="16C98CB0" w14:textId="2C9909F8" w:rsidR="00FC6F39" w:rsidRPr="00785514" w:rsidRDefault="00FC6F39" w:rsidP="00FC6F39">
      <w:pPr>
        <w:pStyle w:val="Textodebloque1"/>
        <w:spacing w:before="120"/>
        <w:ind w:left="0" w:right="0" w:firstLine="0"/>
        <w:rPr>
          <w:rFonts w:eastAsia="Arial" w:cs="Arial"/>
          <w:b w:val="0"/>
          <w:bCs/>
          <w:sz w:val="24"/>
          <w:szCs w:val="24"/>
        </w:rPr>
      </w:pPr>
      <w:r w:rsidRPr="00FC6F39">
        <w:rPr>
          <w:rFonts w:eastAsia="Arial" w:cs="Arial"/>
          <w:b w:val="0"/>
          <w:bCs/>
          <w:sz w:val="24"/>
          <w:szCs w:val="24"/>
        </w:rPr>
        <w:t>Las Cuentas por Sectores Institucionales Trimestrales se elaboraron para la serie del primer trimestre de 2008 al primer trimestre de 2020, proporcionando información referente a las transacciones reales y financieras y posiciones de stocks que realizan los sectores entre sí y con el resto del mundo, los sectores institucionales son: Sociedades no financieras, Sociedades financieras, Gobierno general, Hogares, Instituciones sin fines de lucro que sirven a los hogares (ISFLSH) y el Resto del mundo.</w:t>
      </w:r>
    </w:p>
    <w:p w14:paraId="42402838" w14:textId="72B551B2" w:rsidR="00BF3DC7" w:rsidRDefault="00BF3DC7" w:rsidP="00785514">
      <w:pPr>
        <w:pStyle w:val="Textodebloque1"/>
        <w:spacing w:before="120"/>
        <w:ind w:left="0" w:right="0" w:firstLine="0"/>
        <w:rPr>
          <w:rFonts w:eastAsia="Arial" w:cs="Arial"/>
          <w:b w:val="0"/>
          <w:bCs/>
          <w:sz w:val="24"/>
          <w:szCs w:val="24"/>
        </w:rPr>
      </w:pPr>
    </w:p>
    <w:p w14:paraId="6D04B89E" w14:textId="3F176B2F" w:rsidR="00FC6F39" w:rsidRPr="009A7981" w:rsidRDefault="00FC6F39" w:rsidP="00FC6F39">
      <w:pPr>
        <w:pStyle w:val="Textodebloque1"/>
        <w:spacing w:before="120"/>
        <w:ind w:left="0" w:right="0" w:firstLine="0"/>
        <w:rPr>
          <w:rFonts w:eastAsia="Arial" w:cs="Arial"/>
          <w:i/>
          <w:iCs/>
          <w:szCs w:val="22"/>
        </w:rPr>
      </w:pPr>
      <w:r>
        <w:rPr>
          <w:rFonts w:eastAsia="Arial" w:cs="Arial"/>
          <w:i/>
          <w:iCs/>
          <w:szCs w:val="22"/>
        </w:rPr>
        <w:t>Producto interno bruto</w:t>
      </w:r>
    </w:p>
    <w:p w14:paraId="7E74C6C9" w14:textId="0D51C703" w:rsidR="00FC6F39" w:rsidRDefault="00FC6F39" w:rsidP="00C85C7C">
      <w:pPr>
        <w:spacing w:before="120"/>
        <w:jc w:val="both"/>
        <w:rPr>
          <w:rFonts w:eastAsia="Arial" w:cs="Arial"/>
          <w:bCs/>
          <w:lang w:val="es-ES_tradnl"/>
        </w:rPr>
      </w:pPr>
      <w:r w:rsidRPr="00FC6F39">
        <w:rPr>
          <w:rFonts w:eastAsia="Arial" w:cs="Arial"/>
          <w:bCs/>
          <w:lang w:val="es-ES_tradnl"/>
        </w:rPr>
        <w:t xml:space="preserve">Las variables macroeconómicas que son presentadas en esta estadística son los componentes del Producto Interno Bruto (PIB), </w:t>
      </w:r>
      <w:r w:rsidR="00113636">
        <w:rPr>
          <w:rFonts w:eastAsia="Arial" w:cs="Arial"/>
          <w:bCs/>
          <w:lang w:val="es-ES_tradnl"/>
        </w:rPr>
        <w:t>por sector institucional y sus</w:t>
      </w:r>
      <w:r w:rsidRPr="00FC6F39">
        <w:rPr>
          <w:rFonts w:eastAsia="Arial" w:cs="Arial"/>
          <w:bCs/>
          <w:lang w:val="es-ES_tradnl"/>
        </w:rPr>
        <w:t xml:space="preserve"> tres métodos </w:t>
      </w:r>
      <w:r w:rsidR="00113636">
        <w:rPr>
          <w:rFonts w:eastAsia="Arial" w:cs="Arial"/>
          <w:bCs/>
          <w:lang w:val="es-ES_tradnl"/>
        </w:rPr>
        <w:t>de cálculo: p</w:t>
      </w:r>
      <w:r w:rsidRPr="00FC6F39">
        <w:rPr>
          <w:rFonts w:eastAsia="Arial" w:cs="Arial"/>
          <w:bCs/>
          <w:lang w:val="es-ES_tradnl"/>
        </w:rPr>
        <w:t xml:space="preserve">roducción, </w:t>
      </w:r>
      <w:r w:rsidR="00113636">
        <w:rPr>
          <w:rFonts w:eastAsia="Arial" w:cs="Arial"/>
          <w:bCs/>
          <w:lang w:val="es-ES_tradnl"/>
        </w:rPr>
        <w:t>g</w:t>
      </w:r>
      <w:r w:rsidRPr="00FC6F39">
        <w:rPr>
          <w:rFonts w:eastAsia="Arial" w:cs="Arial"/>
          <w:bCs/>
          <w:lang w:val="es-ES_tradnl"/>
        </w:rPr>
        <w:t>a</w:t>
      </w:r>
      <w:r w:rsidR="00F05D03">
        <w:rPr>
          <w:rFonts w:eastAsia="Arial" w:cs="Arial"/>
          <w:bCs/>
          <w:lang w:val="es-ES_tradnl"/>
        </w:rPr>
        <w:t>s</w:t>
      </w:r>
      <w:r w:rsidRPr="00FC6F39">
        <w:rPr>
          <w:rFonts w:eastAsia="Arial" w:cs="Arial"/>
          <w:bCs/>
          <w:lang w:val="es-ES_tradnl"/>
        </w:rPr>
        <w:t xml:space="preserve">to e </w:t>
      </w:r>
      <w:r w:rsidR="00113636">
        <w:rPr>
          <w:rFonts w:eastAsia="Arial" w:cs="Arial"/>
          <w:bCs/>
          <w:lang w:val="es-ES_tradnl"/>
        </w:rPr>
        <w:t>i</w:t>
      </w:r>
      <w:r w:rsidRPr="00FC6F39">
        <w:rPr>
          <w:rFonts w:eastAsia="Arial" w:cs="Arial"/>
          <w:bCs/>
          <w:lang w:val="es-ES_tradnl"/>
        </w:rPr>
        <w:t>ngreso.</w:t>
      </w:r>
    </w:p>
    <w:p w14:paraId="464DCEA1" w14:textId="0D43B3B0" w:rsidR="00113636" w:rsidRDefault="00113636" w:rsidP="00C85C7C">
      <w:pPr>
        <w:spacing w:before="120"/>
        <w:jc w:val="both"/>
        <w:rPr>
          <w:rFonts w:eastAsia="Arial" w:cs="Arial"/>
          <w:bCs/>
          <w:lang w:val="es-ES_tradnl"/>
        </w:rPr>
      </w:pPr>
    </w:p>
    <w:p w14:paraId="79512846" w14:textId="77777777" w:rsidR="00164C4F" w:rsidRDefault="00164C4F" w:rsidP="00C85C7C">
      <w:pPr>
        <w:spacing w:before="120"/>
        <w:jc w:val="both"/>
        <w:rPr>
          <w:rFonts w:eastAsia="Arial" w:cs="Arial"/>
          <w:bCs/>
          <w:lang w:val="es-ES_tradnl"/>
        </w:rPr>
      </w:pPr>
    </w:p>
    <w:p w14:paraId="52283AE6" w14:textId="30FE15BA" w:rsidR="00164C4F" w:rsidRPr="002069C8" w:rsidRDefault="00164C4F" w:rsidP="00164C4F">
      <w:pPr>
        <w:spacing w:before="120"/>
        <w:jc w:val="center"/>
        <w:rPr>
          <w:rFonts w:eastAsia="Arial" w:cs="Arial"/>
          <w:sz w:val="20"/>
          <w:szCs w:val="20"/>
        </w:rPr>
      </w:pPr>
      <w:r w:rsidRPr="002069C8">
        <w:rPr>
          <w:rFonts w:eastAsia="Arial" w:cs="Arial"/>
          <w:sz w:val="20"/>
          <w:szCs w:val="20"/>
        </w:rPr>
        <w:t>Gr</w:t>
      </w:r>
      <w:r w:rsidR="00F05D03">
        <w:rPr>
          <w:rFonts w:eastAsia="Arial" w:cs="Arial"/>
          <w:sz w:val="20"/>
          <w:szCs w:val="20"/>
        </w:rPr>
        <w:t>á</w:t>
      </w:r>
      <w:r w:rsidRPr="002069C8">
        <w:rPr>
          <w:rFonts w:eastAsia="Arial" w:cs="Arial"/>
          <w:sz w:val="20"/>
          <w:szCs w:val="20"/>
        </w:rPr>
        <w:t>fica 1</w:t>
      </w:r>
    </w:p>
    <w:p w14:paraId="6C687AB2" w14:textId="0BDF4BED" w:rsidR="00164C4F" w:rsidRDefault="00164C4F" w:rsidP="00164C4F">
      <w:pPr>
        <w:jc w:val="center"/>
        <w:rPr>
          <w:rFonts w:eastAsia="Arial" w:cs="Arial"/>
          <w:b/>
          <w:bCs/>
          <w:sz w:val="22"/>
          <w:szCs w:val="22"/>
        </w:rPr>
      </w:pPr>
      <w:r w:rsidRPr="002069C8">
        <w:rPr>
          <w:rFonts w:eastAsia="Arial" w:cs="Arial"/>
          <w:b/>
          <w:bCs/>
          <w:sz w:val="22"/>
          <w:szCs w:val="22"/>
        </w:rPr>
        <w:t>PIB POR SECTOR INSTITUCIONAL</w:t>
      </w:r>
    </w:p>
    <w:p w14:paraId="7F37E324" w14:textId="0990A62D" w:rsidR="00164C4F" w:rsidRPr="002069C8" w:rsidRDefault="00164C4F" w:rsidP="00164C4F">
      <w:pPr>
        <w:jc w:val="center"/>
        <w:rPr>
          <w:rFonts w:eastAsia="Arial" w:cs="Arial"/>
          <w:b/>
          <w:bCs/>
          <w:sz w:val="22"/>
          <w:szCs w:val="22"/>
        </w:rPr>
      </w:pPr>
      <w:r>
        <w:rPr>
          <w:rFonts w:eastAsia="Arial" w:cs="Arial"/>
          <w:b/>
          <w:bCs/>
          <w:sz w:val="22"/>
          <w:szCs w:val="22"/>
        </w:rPr>
        <w:t xml:space="preserve">DEL </w:t>
      </w:r>
      <w:r w:rsidRPr="002069C8">
        <w:rPr>
          <w:rFonts w:eastAsia="Arial" w:cs="Arial"/>
          <w:b/>
          <w:bCs/>
          <w:sz w:val="22"/>
          <w:szCs w:val="22"/>
        </w:rPr>
        <w:t xml:space="preserve">PRIMER TRIMESTRE DE </w:t>
      </w:r>
      <w:r>
        <w:rPr>
          <w:rFonts w:eastAsia="Arial" w:cs="Arial"/>
          <w:b/>
          <w:bCs/>
          <w:sz w:val="22"/>
          <w:szCs w:val="22"/>
        </w:rPr>
        <w:t xml:space="preserve">2008 AL PRIMER TRIMESTRE DE </w:t>
      </w:r>
      <w:r w:rsidRPr="002069C8">
        <w:rPr>
          <w:rFonts w:eastAsia="Arial" w:cs="Arial"/>
          <w:b/>
          <w:bCs/>
          <w:sz w:val="22"/>
          <w:szCs w:val="22"/>
        </w:rPr>
        <w:t>2020</w:t>
      </w:r>
    </w:p>
    <w:p w14:paraId="6717CFA7" w14:textId="1E220BA3" w:rsidR="00814735" w:rsidRDefault="00C34019" w:rsidP="00C85C7C">
      <w:pPr>
        <w:spacing w:before="120"/>
        <w:jc w:val="both"/>
        <w:rPr>
          <w:rFonts w:eastAsia="Arial" w:cs="Arial"/>
          <w:bCs/>
          <w:lang w:val="es-ES_tradnl"/>
        </w:rPr>
      </w:pPr>
      <w:r w:rsidRPr="00814735">
        <w:rPr>
          <w:rFonts w:eastAsia="Arial" w:cs="Arial"/>
          <w:bCs/>
          <w:noProof/>
        </w:rPr>
        <w:drawing>
          <wp:inline distT="0" distB="0" distL="0" distR="0" wp14:anchorId="733C15F2" wp14:editId="7D7BBBCE">
            <wp:extent cx="2880000" cy="1611587"/>
            <wp:effectExtent l="0" t="0" r="15875" b="8255"/>
            <wp:docPr id="19" name="Gráfico 19">
              <a:extLst xmlns:a="http://schemas.openxmlformats.org/drawingml/2006/main">
                <a:ext uri="{FF2B5EF4-FFF2-40B4-BE49-F238E27FC236}">
                  <a16:creationId xmlns:a16="http://schemas.microsoft.com/office/drawing/2014/main" id="{FEC9FA44-B6C4-4A6E-85AB-2E2359CAB39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13636">
        <w:rPr>
          <w:rFonts w:eastAsia="Arial" w:cs="Arial"/>
          <w:bCs/>
          <w:lang w:val="es-ES_tradnl"/>
        </w:rPr>
        <w:t xml:space="preserve">   </w:t>
      </w:r>
      <w:r w:rsidR="00814735" w:rsidRPr="00814735">
        <w:rPr>
          <w:rFonts w:eastAsia="Arial" w:cs="Arial"/>
          <w:bCs/>
          <w:noProof/>
        </w:rPr>
        <w:drawing>
          <wp:inline distT="0" distB="0" distL="0" distR="0" wp14:anchorId="37D2E34D" wp14:editId="147457F8">
            <wp:extent cx="2880000" cy="1611707"/>
            <wp:effectExtent l="0" t="0" r="15875" b="7620"/>
            <wp:docPr id="15" name="Gráfico 15">
              <a:extLst xmlns:a="http://schemas.openxmlformats.org/drawingml/2006/main">
                <a:ext uri="{FF2B5EF4-FFF2-40B4-BE49-F238E27FC236}">
                  <a16:creationId xmlns:a16="http://schemas.microsoft.com/office/drawing/2014/main" id="{9EEEFDB5-AAA8-4D7E-B0C1-EF9193E9165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4DCB24" w14:textId="3D701879" w:rsidR="00C34019" w:rsidRDefault="00814735" w:rsidP="00C85C7C">
      <w:pPr>
        <w:spacing w:before="120"/>
        <w:jc w:val="both"/>
        <w:rPr>
          <w:rFonts w:eastAsia="Arial" w:cs="Arial"/>
          <w:bCs/>
          <w:lang w:val="es-ES_tradnl"/>
        </w:rPr>
      </w:pPr>
      <w:r w:rsidRPr="00814735">
        <w:rPr>
          <w:rFonts w:eastAsia="Arial" w:cs="Arial"/>
          <w:bCs/>
          <w:noProof/>
        </w:rPr>
        <w:lastRenderedPageBreak/>
        <w:drawing>
          <wp:inline distT="0" distB="0" distL="0" distR="0" wp14:anchorId="7183F629" wp14:editId="43EF866A">
            <wp:extent cx="2880000" cy="1611707"/>
            <wp:effectExtent l="0" t="0" r="15875" b="7620"/>
            <wp:docPr id="16" name="Gráfico 16">
              <a:extLst xmlns:a="http://schemas.openxmlformats.org/drawingml/2006/main">
                <a:ext uri="{FF2B5EF4-FFF2-40B4-BE49-F238E27FC236}">
                  <a16:creationId xmlns:a16="http://schemas.microsoft.com/office/drawing/2014/main" id="{E8F795B5-BA7A-4D47-9D7D-D0DA1456162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13636">
        <w:rPr>
          <w:rFonts w:eastAsia="Arial" w:cs="Arial"/>
          <w:bCs/>
          <w:lang w:val="es-ES_tradnl"/>
        </w:rPr>
        <w:t xml:space="preserve">   </w:t>
      </w:r>
      <w:r w:rsidRPr="00814735">
        <w:rPr>
          <w:rFonts w:eastAsia="Arial" w:cs="Arial"/>
          <w:bCs/>
          <w:noProof/>
        </w:rPr>
        <w:drawing>
          <wp:inline distT="0" distB="0" distL="0" distR="0" wp14:anchorId="5BD7B4A1" wp14:editId="4F3BDCA6">
            <wp:extent cx="2880000" cy="1611707"/>
            <wp:effectExtent l="0" t="0" r="15875" b="7620"/>
            <wp:docPr id="17" name="Gráfico 17">
              <a:extLst xmlns:a="http://schemas.openxmlformats.org/drawingml/2006/main">
                <a:ext uri="{FF2B5EF4-FFF2-40B4-BE49-F238E27FC236}">
                  <a16:creationId xmlns:a16="http://schemas.microsoft.com/office/drawing/2014/main" id="{7AE06BF1-A896-45FB-80E4-D38B491AD5A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1BF9DC" w14:textId="554D44D6" w:rsidR="00C34019" w:rsidRDefault="00814735" w:rsidP="00C85C7C">
      <w:pPr>
        <w:spacing w:before="120"/>
        <w:jc w:val="both"/>
        <w:rPr>
          <w:rFonts w:eastAsia="Arial" w:cs="Arial"/>
          <w:bCs/>
          <w:lang w:val="es-ES_tradnl"/>
        </w:rPr>
      </w:pPr>
      <w:r w:rsidRPr="00814735">
        <w:rPr>
          <w:rFonts w:eastAsia="Arial" w:cs="Arial"/>
          <w:bCs/>
          <w:noProof/>
        </w:rPr>
        <w:drawing>
          <wp:inline distT="0" distB="0" distL="0" distR="0" wp14:anchorId="1E6B7C9A" wp14:editId="0598732F">
            <wp:extent cx="2880000" cy="1611707"/>
            <wp:effectExtent l="0" t="0" r="15875" b="7620"/>
            <wp:docPr id="4" name="Gráfico 4">
              <a:extLst xmlns:a="http://schemas.openxmlformats.org/drawingml/2006/main">
                <a:ext uri="{FF2B5EF4-FFF2-40B4-BE49-F238E27FC236}">
                  <a16:creationId xmlns:a16="http://schemas.microsoft.com/office/drawing/2014/main" id="{F7841C5E-1A2B-49D5-A410-AAF34902A12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113636">
        <w:rPr>
          <w:rFonts w:eastAsia="Arial" w:cs="Arial"/>
          <w:bCs/>
          <w:lang w:val="es-ES_tradnl"/>
        </w:rPr>
        <w:t xml:space="preserve">   </w:t>
      </w:r>
      <w:r w:rsidRPr="00814735">
        <w:rPr>
          <w:rFonts w:eastAsia="Arial" w:cs="Arial"/>
          <w:bCs/>
          <w:noProof/>
        </w:rPr>
        <w:drawing>
          <wp:inline distT="0" distB="0" distL="0" distR="0" wp14:anchorId="09CA0E90" wp14:editId="7FF84D90">
            <wp:extent cx="2880000" cy="1611707"/>
            <wp:effectExtent l="0" t="0" r="15875" b="7620"/>
            <wp:docPr id="18" name="Gráfico 18">
              <a:extLst xmlns:a="http://schemas.openxmlformats.org/drawingml/2006/main">
                <a:ext uri="{FF2B5EF4-FFF2-40B4-BE49-F238E27FC236}">
                  <a16:creationId xmlns:a16="http://schemas.microsoft.com/office/drawing/2014/main" id="{C09E26EE-6050-440D-8FFE-E11AD96382A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6FE7BF" w14:textId="77777777" w:rsidR="00392F2A" w:rsidRDefault="00392F2A" w:rsidP="00164C4F">
      <w:pPr>
        <w:spacing w:before="240"/>
        <w:jc w:val="both"/>
        <w:rPr>
          <w:rFonts w:eastAsia="Arial" w:cs="Arial"/>
          <w:bCs/>
          <w:lang w:val="es-ES_tradnl"/>
        </w:rPr>
      </w:pPr>
    </w:p>
    <w:p w14:paraId="102C8B18" w14:textId="74475041" w:rsidR="003E658C" w:rsidRPr="00785514" w:rsidRDefault="00C85C7C" w:rsidP="00164C4F">
      <w:pPr>
        <w:spacing w:before="240"/>
        <w:jc w:val="both"/>
        <w:rPr>
          <w:rFonts w:eastAsia="Arial" w:cs="Arial"/>
          <w:b/>
          <w:bCs/>
        </w:rPr>
      </w:pPr>
      <w:r w:rsidRPr="00C85C7C">
        <w:rPr>
          <w:rFonts w:eastAsia="Arial" w:cs="Arial"/>
          <w:bCs/>
          <w:lang w:val="es-ES_tradnl"/>
        </w:rPr>
        <w:t>Durante el primer trimestre de 2020, las Sociedades no financieras contribuyeron con el 44.6% del Producto Interno Bruto (PIB) y el 34.7% fue generado por los Hogares; les siguieron el Gobierno general con 8%, las Sociedades financieras 4.2% y las ISFLSH con 0.9 por ciento.</w:t>
      </w:r>
    </w:p>
    <w:p w14:paraId="590A0B49" w14:textId="77777777" w:rsidR="00164C4F" w:rsidRDefault="00164C4F" w:rsidP="00164C4F">
      <w:pPr>
        <w:jc w:val="center"/>
        <w:rPr>
          <w:rFonts w:eastAsia="Arial" w:cs="Arial"/>
          <w:sz w:val="20"/>
          <w:szCs w:val="20"/>
        </w:rPr>
      </w:pPr>
    </w:p>
    <w:p w14:paraId="17E0E160" w14:textId="2D38044F" w:rsidR="00590F00" w:rsidRPr="002069C8" w:rsidRDefault="002069C8" w:rsidP="00D676FE">
      <w:pPr>
        <w:spacing w:before="120"/>
        <w:jc w:val="center"/>
        <w:rPr>
          <w:rFonts w:eastAsia="Arial" w:cs="Arial"/>
          <w:sz w:val="20"/>
          <w:szCs w:val="20"/>
        </w:rPr>
      </w:pPr>
      <w:r w:rsidRPr="002069C8">
        <w:rPr>
          <w:rFonts w:eastAsia="Arial" w:cs="Arial"/>
          <w:sz w:val="20"/>
          <w:szCs w:val="20"/>
        </w:rPr>
        <w:t xml:space="preserve">Grafica </w:t>
      </w:r>
      <w:r w:rsidR="00164C4F">
        <w:rPr>
          <w:rFonts w:eastAsia="Arial" w:cs="Arial"/>
          <w:sz w:val="20"/>
          <w:szCs w:val="20"/>
        </w:rPr>
        <w:t>2</w:t>
      </w:r>
    </w:p>
    <w:p w14:paraId="00538FE5" w14:textId="74D855F2" w:rsidR="002069C8" w:rsidRDefault="003226FB" w:rsidP="002069C8">
      <w:pPr>
        <w:jc w:val="center"/>
        <w:rPr>
          <w:rFonts w:eastAsia="Arial" w:cs="Arial"/>
          <w:b/>
          <w:bCs/>
          <w:sz w:val="22"/>
          <w:szCs w:val="22"/>
        </w:rPr>
      </w:pPr>
      <w:r w:rsidRPr="002069C8">
        <w:rPr>
          <w:rFonts w:eastAsia="Arial" w:cs="Arial"/>
          <w:b/>
          <w:bCs/>
          <w:sz w:val="22"/>
          <w:szCs w:val="22"/>
        </w:rPr>
        <w:t xml:space="preserve">COMPOSICIÓN DEL </w:t>
      </w:r>
      <w:r w:rsidR="00575BC1" w:rsidRPr="002069C8">
        <w:rPr>
          <w:rFonts w:eastAsia="Arial" w:cs="Arial"/>
          <w:b/>
          <w:bCs/>
          <w:sz w:val="22"/>
          <w:szCs w:val="22"/>
        </w:rPr>
        <w:t>PIB</w:t>
      </w:r>
      <w:r w:rsidRPr="002069C8">
        <w:rPr>
          <w:rFonts w:eastAsia="Arial" w:cs="Arial"/>
          <w:b/>
          <w:bCs/>
          <w:sz w:val="22"/>
          <w:szCs w:val="22"/>
        </w:rPr>
        <w:t xml:space="preserve"> </w:t>
      </w:r>
      <w:r w:rsidR="00575BC1" w:rsidRPr="002069C8">
        <w:rPr>
          <w:rFonts w:eastAsia="Arial" w:cs="Arial"/>
          <w:b/>
          <w:bCs/>
          <w:sz w:val="22"/>
          <w:szCs w:val="22"/>
        </w:rPr>
        <w:t>POR</w:t>
      </w:r>
      <w:r w:rsidRPr="002069C8">
        <w:rPr>
          <w:rFonts w:eastAsia="Arial" w:cs="Arial"/>
          <w:b/>
          <w:bCs/>
          <w:sz w:val="22"/>
          <w:szCs w:val="22"/>
        </w:rPr>
        <w:t xml:space="preserve"> SECTOR INSTITUCIONA</w:t>
      </w:r>
      <w:r w:rsidR="00575BC1" w:rsidRPr="002069C8">
        <w:rPr>
          <w:rFonts w:eastAsia="Arial" w:cs="Arial"/>
          <w:b/>
          <w:bCs/>
          <w:sz w:val="22"/>
          <w:szCs w:val="22"/>
        </w:rPr>
        <w:t>L</w:t>
      </w:r>
    </w:p>
    <w:p w14:paraId="2932E88F" w14:textId="53A5953B" w:rsidR="003226FB" w:rsidRPr="002069C8" w:rsidRDefault="002069C8" w:rsidP="002069C8">
      <w:pPr>
        <w:jc w:val="center"/>
        <w:rPr>
          <w:rFonts w:eastAsia="Arial" w:cs="Arial"/>
          <w:b/>
          <w:bCs/>
          <w:sz w:val="22"/>
          <w:szCs w:val="22"/>
        </w:rPr>
      </w:pPr>
      <w:r w:rsidRPr="002069C8">
        <w:rPr>
          <w:rFonts w:eastAsia="Arial" w:cs="Arial"/>
          <w:b/>
          <w:bCs/>
          <w:sz w:val="22"/>
          <w:szCs w:val="22"/>
        </w:rPr>
        <w:t>PRIMER TRIMESTRE DE 2020</w:t>
      </w:r>
    </w:p>
    <w:p w14:paraId="211070C5" w14:textId="58EC7F11" w:rsidR="003226FB" w:rsidRPr="002069C8" w:rsidRDefault="003226FB" w:rsidP="002069C8">
      <w:pPr>
        <w:jc w:val="center"/>
        <w:rPr>
          <w:rFonts w:eastAsia="Arial" w:cs="Arial"/>
          <w:sz w:val="18"/>
          <w:szCs w:val="18"/>
        </w:rPr>
      </w:pPr>
      <w:r w:rsidRPr="002069C8">
        <w:rPr>
          <w:rFonts w:eastAsia="Arial" w:cs="Arial"/>
          <w:sz w:val="18"/>
          <w:szCs w:val="18"/>
        </w:rPr>
        <w:t>(Estructura Porcentual)</w:t>
      </w:r>
    </w:p>
    <w:p w14:paraId="2992816E" w14:textId="12E5504A" w:rsidR="002069C8" w:rsidRPr="002069C8" w:rsidRDefault="002069C8" w:rsidP="001A6CA7">
      <w:pPr>
        <w:jc w:val="center"/>
        <w:rPr>
          <w:rFonts w:eastAsia="Arial" w:cs="Arial"/>
          <w:bCs/>
        </w:rPr>
      </w:pPr>
      <w:r w:rsidRPr="00785514">
        <w:rPr>
          <w:rFonts w:cs="Arial"/>
          <w:noProof/>
          <w:lang w:val="en-US" w:eastAsia="en-US"/>
        </w:rPr>
        <w:drawing>
          <wp:inline distT="0" distB="0" distL="0" distR="0" wp14:anchorId="5CF7606E" wp14:editId="2889A6D5">
            <wp:extent cx="4407905" cy="2076450"/>
            <wp:effectExtent l="19050" t="19050" r="1206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4144" cy="2093521"/>
                    </a:xfrm>
                    <a:prstGeom prst="rect">
                      <a:avLst/>
                    </a:prstGeom>
                    <a:noFill/>
                    <a:ln w="6350">
                      <a:solidFill>
                        <a:schemeClr val="tx1"/>
                      </a:solidFill>
                    </a:ln>
                  </pic:spPr>
                </pic:pic>
              </a:graphicData>
            </a:graphic>
          </wp:inline>
        </w:drawing>
      </w:r>
    </w:p>
    <w:p w14:paraId="792368A3" w14:textId="042C755C" w:rsidR="002069C8" w:rsidRPr="002069C8" w:rsidRDefault="002069C8" w:rsidP="002069C8">
      <w:pPr>
        <w:ind w:left="1276" w:right="1273"/>
        <w:rPr>
          <w:rFonts w:eastAsia="Arial"/>
          <w:noProof/>
          <w:sz w:val="16"/>
          <w:szCs w:val="16"/>
          <w:lang w:val="es-MX" w:eastAsia="es-MX"/>
        </w:rPr>
      </w:pPr>
      <w:r w:rsidRPr="002069C8">
        <w:rPr>
          <w:rFonts w:eastAsia="Arial"/>
          <w:noProof/>
          <w:sz w:val="16"/>
          <w:szCs w:val="16"/>
          <w:lang w:val="es-MX" w:eastAsia="es-MX"/>
        </w:rPr>
        <w:t xml:space="preserve">Nota: S.11 Sociedades no financieras, S.12 Sociedades financieras, S.13 Gobierno General, S.14 Hogares, S.15 Instituciones sin fines de lucro </w:t>
      </w:r>
      <w:r w:rsidR="006D5F5C">
        <w:rPr>
          <w:rFonts w:eastAsia="Arial"/>
          <w:noProof/>
          <w:sz w:val="16"/>
          <w:szCs w:val="16"/>
          <w:lang w:val="es-MX" w:eastAsia="es-MX"/>
        </w:rPr>
        <w:t>que sirven a</w:t>
      </w:r>
      <w:r w:rsidRPr="002069C8">
        <w:rPr>
          <w:rFonts w:eastAsia="Arial"/>
          <w:noProof/>
          <w:sz w:val="16"/>
          <w:szCs w:val="16"/>
          <w:lang w:val="es-MX" w:eastAsia="es-MX"/>
        </w:rPr>
        <w:t xml:space="preserve"> los hogares (ISFLSH).</w:t>
      </w:r>
    </w:p>
    <w:p w14:paraId="5E7220CF" w14:textId="586763E6" w:rsidR="002069C8" w:rsidRPr="002069C8" w:rsidRDefault="002069C8" w:rsidP="002069C8">
      <w:pPr>
        <w:ind w:left="1276" w:right="1273"/>
        <w:rPr>
          <w:rFonts w:eastAsia="Arial"/>
          <w:noProof/>
          <w:sz w:val="16"/>
          <w:szCs w:val="16"/>
          <w:lang w:val="es-MX" w:eastAsia="es-MX"/>
        </w:rPr>
      </w:pPr>
      <w:r w:rsidRPr="002069C8">
        <w:rPr>
          <w:rFonts w:eastAsia="Arial"/>
          <w:noProof/>
          <w:sz w:val="16"/>
          <w:szCs w:val="16"/>
          <w:lang w:val="es-MX" w:eastAsia="es-MX"/>
        </w:rPr>
        <w:t xml:space="preserve">D.31 Impuestos </w:t>
      </w:r>
      <w:r w:rsidR="00A52544">
        <w:rPr>
          <w:rFonts w:eastAsia="Arial"/>
          <w:noProof/>
          <w:sz w:val="16"/>
          <w:szCs w:val="16"/>
          <w:lang w:val="es-MX" w:eastAsia="es-MX"/>
        </w:rPr>
        <w:t>sobre</w:t>
      </w:r>
      <w:r w:rsidRPr="002069C8">
        <w:rPr>
          <w:rFonts w:eastAsia="Arial"/>
          <w:noProof/>
          <w:sz w:val="16"/>
          <w:szCs w:val="16"/>
          <w:lang w:val="es-MX" w:eastAsia="es-MX"/>
        </w:rPr>
        <w:t xml:space="preserve"> los productos</w:t>
      </w:r>
      <w:r w:rsidR="00A52544">
        <w:rPr>
          <w:rFonts w:eastAsia="Arial"/>
          <w:noProof/>
          <w:sz w:val="16"/>
          <w:szCs w:val="16"/>
          <w:lang w:val="es-MX" w:eastAsia="es-MX"/>
        </w:rPr>
        <w:t>, netos.</w:t>
      </w:r>
    </w:p>
    <w:p w14:paraId="625DE5ED" w14:textId="21782844" w:rsidR="006E65AE" w:rsidRDefault="002069C8" w:rsidP="00D676FE">
      <w:pPr>
        <w:pStyle w:val="Textodebloque1"/>
        <w:spacing w:before="0"/>
        <w:ind w:left="1276" w:right="0" w:firstLine="0"/>
        <w:jc w:val="left"/>
        <w:rPr>
          <w:rFonts w:eastAsia="Arial" w:cs="Arial"/>
          <w:b w:val="0"/>
          <w:bCs/>
          <w:noProof/>
          <w:sz w:val="16"/>
          <w:szCs w:val="16"/>
          <w:lang w:val="es-MX" w:eastAsia="es-MX"/>
        </w:rPr>
      </w:pPr>
      <w:r w:rsidRPr="002069C8">
        <w:rPr>
          <w:rFonts w:eastAsia="Arial" w:cs="Arial"/>
          <w:b w:val="0"/>
          <w:bCs/>
          <w:noProof/>
          <w:sz w:val="16"/>
          <w:szCs w:val="16"/>
          <w:lang w:val="es-MX" w:eastAsia="es-MX"/>
        </w:rPr>
        <w:t>Fuente: INEGI</w:t>
      </w:r>
    </w:p>
    <w:p w14:paraId="7B04C1CB" w14:textId="653CEB2F" w:rsidR="00D72C59" w:rsidRPr="00D72C59" w:rsidRDefault="00D72C59" w:rsidP="00D72C59">
      <w:pPr>
        <w:spacing w:before="120"/>
        <w:jc w:val="both"/>
        <w:rPr>
          <w:rFonts w:eastAsia="Arial" w:cs="Arial"/>
          <w:bCs/>
          <w:lang w:val="es-ES_tradnl"/>
        </w:rPr>
      </w:pPr>
      <w:r w:rsidRPr="00D72C59">
        <w:rPr>
          <w:rFonts w:eastAsia="Arial" w:cs="Arial"/>
          <w:bCs/>
          <w:lang w:val="es-ES_tradnl"/>
        </w:rPr>
        <w:lastRenderedPageBreak/>
        <w:t>El principal componente del</w:t>
      </w:r>
      <w:r>
        <w:rPr>
          <w:rFonts w:eastAsia="Arial" w:cs="Arial"/>
          <w:bCs/>
          <w:lang w:val="es-ES_tradnl"/>
        </w:rPr>
        <w:t xml:space="preserve"> PIB por el método del ingreso es el </w:t>
      </w:r>
      <w:r w:rsidR="00A52544">
        <w:rPr>
          <w:rFonts w:eastAsia="Arial" w:cs="Arial"/>
          <w:bCs/>
          <w:lang w:val="es-ES_tradnl"/>
        </w:rPr>
        <w:t>E</w:t>
      </w:r>
      <w:r>
        <w:rPr>
          <w:rFonts w:eastAsia="Arial" w:cs="Arial"/>
          <w:bCs/>
          <w:lang w:val="es-ES_tradnl"/>
        </w:rPr>
        <w:t xml:space="preserve">xcedente bruto de operación con 42.4%, seguido por la </w:t>
      </w:r>
      <w:r w:rsidR="00A52544">
        <w:rPr>
          <w:rFonts w:eastAsia="Arial" w:cs="Arial"/>
          <w:bCs/>
          <w:lang w:val="es-ES_tradnl"/>
        </w:rPr>
        <w:t>R</w:t>
      </w:r>
      <w:r>
        <w:rPr>
          <w:rFonts w:eastAsia="Arial" w:cs="Arial"/>
          <w:bCs/>
          <w:lang w:val="es-ES_tradnl"/>
        </w:rPr>
        <w:t xml:space="preserve">emuneración de asalariados con 27.3%, el </w:t>
      </w:r>
      <w:r w:rsidR="00A52544">
        <w:rPr>
          <w:rFonts w:eastAsia="Arial" w:cs="Arial"/>
          <w:bCs/>
          <w:lang w:val="es-ES_tradnl"/>
        </w:rPr>
        <w:t>I</w:t>
      </w:r>
      <w:r>
        <w:rPr>
          <w:rFonts w:eastAsia="Arial" w:cs="Arial"/>
          <w:bCs/>
          <w:lang w:val="es-ES_tradnl"/>
        </w:rPr>
        <w:t xml:space="preserve">ngreso mixto bruto 21.8% y 8.6% para los </w:t>
      </w:r>
      <w:r w:rsidR="00A52544">
        <w:rPr>
          <w:rFonts w:eastAsia="Arial" w:cs="Arial"/>
          <w:bCs/>
          <w:lang w:val="es-ES_tradnl"/>
        </w:rPr>
        <w:t>I</w:t>
      </w:r>
      <w:r w:rsidRPr="00D72C59">
        <w:rPr>
          <w:rFonts w:eastAsia="Arial" w:cs="Arial"/>
          <w:bCs/>
          <w:lang w:val="es-ES_tradnl"/>
        </w:rPr>
        <w:t>mpuestos sobre la producción y las importaciones</w:t>
      </w:r>
      <w:r>
        <w:rPr>
          <w:rFonts w:eastAsia="Arial" w:cs="Arial"/>
          <w:bCs/>
          <w:lang w:val="es-ES_tradnl"/>
        </w:rPr>
        <w:t xml:space="preserve"> netos de </w:t>
      </w:r>
      <w:r w:rsidR="00A52544">
        <w:rPr>
          <w:rFonts w:eastAsia="Arial" w:cs="Arial"/>
          <w:bCs/>
          <w:lang w:val="es-ES_tradnl"/>
        </w:rPr>
        <w:t>S</w:t>
      </w:r>
      <w:r>
        <w:rPr>
          <w:rFonts w:eastAsia="Arial" w:cs="Arial"/>
          <w:bCs/>
          <w:lang w:val="es-ES_tradnl"/>
        </w:rPr>
        <w:t>ubsidios.</w:t>
      </w:r>
    </w:p>
    <w:p w14:paraId="3026400D" w14:textId="7ECC3471" w:rsidR="00164C4F" w:rsidRPr="00D676FE" w:rsidRDefault="00164C4F" w:rsidP="00D72C59">
      <w:pPr>
        <w:spacing w:before="120"/>
        <w:jc w:val="center"/>
        <w:rPr>
          <w:rFonts w:eastAsia="Arial" w:cs="Arial"/>
          <w:sz w:val="20"/>
          <w:szCs w:val="20"/>
          <w:lang w:val="es-ES_tradnl"/>
        </w:rPr>
      </w:pPr>
      <w:r w:rsidRPr="00D676FE">
        <w:rPr>
          <w:rFonts w:eastAsia="Arial" w:cs="Arial"/>
          <w:sz w:val="20"/>
          <w:szCs w:val="20"/>
          <w:lang w:val="es-ES_tradnl"/>
        </w:rPr>
        <w:t>Cuadro</w:t>
      </w:r>
      <w:r>
        <w:rPr>
          <w:rFonts w:eastAsia="Arial" w:cs="Arial"/>
          <w:sz w:val="20"/>
          <w:szCs w:val="20"/>
          <w:lang w:val="es-ES_tradnl"/>
        </w:rPr>
        <w:t xml:space="preserve"> </w:t>
      </w:r>
      <w:r w:rsidRPr="00D676FE">
        <w:rPr>
          <w:rFonts w:eastAsia="Arial" w:cs="Arial"/>
          <w:sz w:val="20"/>
          <w:szCs w:val="20"/>
          <w:lang w:val="es-ES_tradnl"/>
        </w:rPr>
        <w:t>1</w:t>
      </w:r>
    </w:p>
    <w:p w14:paraId="690DB048" w14:textId="3259289F" w:rsidR="00164C4F" w:rsidRPr="00D676FE" w:rsidRDefault="00164C4F" w:rsidP="00164C4F">
      <w:pPr>
        <w:jc w:val="center"/>
        <w:rPr>
          <w:rFonts w:eastAsia="Arial" w:cs="Arial"/>
          <w:b/>
          <w:bCs/>
          <w:sz w:val="22"/>
          <w:szCs w:val="22"/>
          <w:lang w:val="es-ES_tradnl"/>
        </w:rPr>
      </w:pPr>
      <w:r>
        <w:rPr>
          <w:rFonts w:eastAsia="Arial" w:cs="Arial"/>
          <w:b/>
          <w:bCs/>
          <w:sz w:val="22"/>
          <w:szCs w:val="22"/>
          <w:lang w:val="es-ES_tradnl"/>
        </w:rPr>
        <w:t xml:space="preserve">PIB POR EL MÉTODO DEL </w:t>
      </w:r>
      <w:r w:rsidRPr="00D676FE">
        <w:rPr>
          <w:rFonts w:eastAsia="Arial" w:cs="Arial"/>
          <w:b/>
          <w:bCs/>
          <w:sz w:val="22"/>
          <w:szCs w:val="22"/>
          <w:lang w:val="es-ES_tradnl"/>
        </w:rPr>
        <w:t xml:space="preserve">INGRESO </w:t>
      </w:r>
      <w:r>
        <w:rPr>
          <w:rFonts w:eastAsia="Arial" w:cs="Arial"/>
          <w:b/>
          <w:bCs/>
          <w:sz w:val="22"/>
          <w:szCs w:val="22"/>
          <w:lang w:val="es-ES_tradnl"/>
        </w:rPr>
        <w:t xml:space="preserve">AL </w:t>
      </w:r>
      <w:r w:rsidRPr="00D676FE">
        <w:rPr>
          <w:rFonts w:eastAsia="Arial" w:cs="Arial"/>
          <w:b/>
          <w:bCs/>
          <w:sz w:val="22"/>
          <w:szCs w:val="22"/>
          <w:lang w:val="es-ES_tradnl"/>
        </w:rPr>
        <w:t>PRIMER TRIMESTRE DE 2020</w:t>
      </w:r>
    </w:p>
    <w:p w14:paraId="4D30A514" w14:textId="77777777" w:rsidR="00164C4F" w:rsidRDefault="00164C4F" w:rsidP="00164C4F">
      <w:pPr>
        <w:jc w:val="center"/>
        <w:rPr>
          <w:rFonts w:eastAsia="Arial" w:cs="Arial"/>
          <w:bCs/>
          <w:sz w:val="18"/>
          <w:szCs w:val="18"/>
        </w:rPr>
      </w:pPr>
      <w:r w:rsidRPr="00D676FE">
        <w:rPr>
          <w:rFonts w:eastAsia="Arial" w:cs="Arial"/>
          <w:bCs/>
          <w:sz w:val="18"/>
          <w:szCs w:val="18"/>
        </w:rPr>
        <w:t>(</w:t>
      </w:r>
      <w:r>
        <w:rPr>
          <w:rFonts w:eastAsia="Arial" w:cs="Arial"/>
          <w:bCs/>
          <w:sz w:val="18"/>
          <w:szCs w:val="18"/>
        </w:rPr>
        <w:t>Millones de pesos</w:t>
      </w:r>
      <w:r w:rsidRPr="00D676FE">
        <w:rPr>
          <w:rFonts w:eastAsia="Arial" w:cs="Arial"/>
          <w:bCs/>
          <w:sz w:val="18"/>
          <w:szCs w:val="18"/>
        </w:rPr>
        <w:t>)</w:t>
      </w:r>
    </w:p>
    <w:tbl>
      <w:tblPr>
        <w:tblStyle w:val="Tablaconcuadrcula"/>
        <w:tblW w:w="9634" w:type="dxa"/>
        <w:tblLayout w:type="fixed"/>
        <w:tblLook w:val="04A0" w:firstRow="1" w:lastRow="0" w:firstColumn="1" w:lastColumn="0" w:noHBand="0" w:noVBand="1"/>
      </w:tblPr>
      <w:tblGrid>
        <w:gridCol w:w="2503"/>
        <w:gridCol w:w="1256"/>
        <w:gridCol w:w="1256"/>
        <w:gridCol w:w="1256"/>
        <w:gridCol w:w="1237"/>
        <w:gridCol w:w="1276"/>
        <w:gridCol w:w="850"/>
      </w:tblGrid>
      <w:tr w:rsidR="00E20ECC" w:rsidRPr="00E20ECC" w14:paraId="2548C7DB" w14:textId="77777777" w:rsidTr="00164C4F">
        <w:trPr>
          <w:trHeight w:val="254"/>
        </w:trPr>
        <w:tc>
          <w:tcPr>
            <w:tcW w:w="2503" w:type="dxa"/>
            <w:vMerge w:val="restart"/>
            <w:tcBorders>
              <w:bottom w:val="single" w:sz="4" w:space="0" w:color="000000" w:themeColor="text1"/>
              <w:right w:val="single" w:sz="4" w:space="0" w:color="000000" w:themeColor="text1"/>
            </w:tcBorders>
            <w:shd w:val="clear" w:color="auto" w:fill="DEEAF6" w:themeFill="accent5" w:themeFillTint="33"/>
            <w:vAlign w:val="center"/>
          </w:tcPr>
          <w:p w14:paraId="017B9C80" w14:textId="77777777" w:rsidR="00E20ECC" w:rsidRPr="00E20ECC" w:rsidRDefault="00E20ECC" w:rsidP="009557D1">
            <w:pPr>
              <w:jc w:val="center"/>
              <w:rPr>
                <w:rFonts w:eastAsia="Arial" w:cs="Arial"/>
                <w:b/>
                <w:sz w:val="18"/>
                <w:szCs w:val="18"/>
              </w:rPr>
            </w:pPr>
            <w:r w:rsidRPr="00E20ECC">
              <w:rPr>
                <w:rFonts w:eastAsia="Arial" w:cs="Arial"/>
                <w:b/>
                <w:sz w:val="18"/>
                <w:szCs w:val="18"/>
              </w:rPr>
              <w:t xml:space="preserve">Denominación </w:t>
            </w:r>
          </w:p>
        </w:tc>
        <w:tc>
          <w:tcPr>
            <w:tcW w:w="5005" w:type="dxa"/>
            <w:gridSpan w:val="4"/>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E2F8C8C" w14:textId="77777777" w:rsidR="00E20ECC" w:rsidRPr="00E20ECC" w:rsidRDefault="00E20ECC" w:rsidP="009557D1">
            <w:pPr>
              <w:jc w:val="center"/>
              <w:rPr>
                <w:rFonts w:eastAsia="Arial" w:cs="Arial"/>
                <w:b/>
                <w:sz w:val="18"/>
                <w:szCs w:val="18"/>
              </w:rPr>
            </w:pPr>
            <w:r w:rsidRPr="00E20ECC">
              <w:rPr>
                <w:rFonts w:eastAsia="Arial" w:cs="Arial"/>
                <w:b/>
                <w:sz w:val="18"/>
                <w:szCs w:val="18"/>
              </w:rPr>
              <w:t>2019</w:t>
            </w:r>
          </w:p>
        </w:tc>
        <w:tc>
          <w:tcPr>
            <w:tcW w:w="2126" w:type="dxa"/>
            <w:gridSpan w:val="2"/>
            <w:tcBorders>
              <w:left w:val="single" w:sz="4" w:space="0" w:color="000000" w:themeColor="text1"/>
              <w:bottom w:val="single" w:sz="4" w:space="0" w:color="000000" w:themeColor="text1"/>
            </w:tcBorders>
            <w:shd w:val="clear" w:color="auto" w:fill="DEEAF6" w:themeFill="accent5" w:themeFillTint="33"/>
            <w:vAlign w:val="center"/>
          </w:tcPr>
          <w:p w14:paraId="012FE3F4" w14:textId="77777777" w:rsidR="00E20ECC" w:rsidRPr="00E20ECC" w:rsidRDefault="00E20ECC" w:rsidP="009557D1">
            <w:pPr>
              <w:jc w:val="center"/>
              <w:rPr>
                <w:rFonts w:eastAsia="Arial" w:cs="Arial"/>
                <w:b/>
                <w:sz w:val="18"/>
                <w:szCs w:val="18"/>
              </w:rPr>
            </w:pPr>
            <w:r w:rsidRPr="00E20ECC">
              <w:rPr>
                <w:rFonts w:eastAsia="Arial" w:cs="Arial"/>
                <w:b/>
                <w:sz w:val="18"/>
                <w:szCs w:val="18"/>
              </w:rPr>
              <w:t>2020</w:t>
            </w:r>
          </w:p>
        </w:tc>
      </w:tr>
      <w:tr w:rsidR="00E20ECC" w:rsidRPr="00E20ECC" w14:paraId="5552F7FE" w14:textId="77777777" w:rsidTr="00164C4F">
        <w:trPr>
          <w:trHeight w:val="254"/>
        </w:trPr>
        <w:tc>
          <w:tcPr>
            <w:tcW w:w="2503" w:type="dxa"/>
            <w:vMerge/>
            <w:tcBorders>
              <w:top w:val="single" w:sz="4" w:space="0" w:color="000000" w:themeColor="text1"/>
              <w:right w:val="single" w:sz="4" w:space="0" w:color="000000" w:themeColor="text1"/>
            </w:tcBorders>
            <w:shd w:val="clear" w:color="auto" w:fill="DEEAF6" w:themeFill="accent5" w:themeFillTint="33"/>
            <w:vAlign w:val="center"/>
          </w:tcPr>
          <w:p w14:paraId="7427E995" w14:textId="77777777" w:rsidR="00E20ECC" w:rsidRPr="00E20ECC" w:rsidRDefault="00E20ECC" w:rsidP="009557D1">
            <w:pPr>
              <w:jc w:val="center"/>
              <w:rPr>
                <w:rFonts w:eastAsia="Arial" w:cs="Arial"/>
                <w:b/>
                <w:sz w:val="18"/>
                <w:szCs w:val="18"/>
              </w:rPr>
            </w:pPr>
          </w:p>
        </w:tc>
        <w:tc>
          <w:tcPr>
            <w:tcW w:w="1256"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3A38FA58" w14:textId="77777777" w:rsidR="00E20ECC" w:rsidRPr="00E20ECC" w:rsidRDefault="00E20ECC" w:rsidP="009557D1">
            <w:pPr>
              <w:jc w:val="center"/>
              <w:rPr>
                <w:rFonts w:eastAsia="Arial" w:cs="Arial"/>
                <w:b/>
                <w:sz w:val="18"/>
                <w:szCs w:val="18"/>
              </w:rPr>
            </w:pPr>
            <w:r w:rsidRPr="00E20ECC">
              <w:rPr>
                <w:rFonts w:eastAsia="Arial" w:cs="Arial"/>
                <w:b/>
                <w:sz w:val="18"/>
                <w:szCs w:val="18"/>
              </w:rPr>
              <w:t>I</w:t>
            </w:r>
          </w:p>
        </w:tc>
        <w:tc>
          <w:tcPr>
            <w:tcW w:w="1256"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36E8D1EB" w14:textId="77777777" w:rsidR="00E20ECC" w:rsidRPr="00E20ECC" w:rsidRDefault="00E20ECC" w:rsidP="009557D1">
            <w:pPr>
              <w:jc w:val="center"/>
              <w:rPr>
                <w:rFonts w:eastAsia="Arial" w:cs="Arial"/>
                <w:b/>
                <w:sz w:val="18"/>
                <w:szCs w:val="18"/>
              </w:rPr>
            </w:pPr>
            <w:r w:rsidRPr="00E20ECC">
              <w:rPr>
                <w:rFonts w:eastAsia="Arial" w:cs="Arial"/>
                <w:b/>
                <w:sz w:val="18"/>
                <w:szCs w:val="18"/>
              </w:rPr>
              <w:t>II</w:t>
            </w:r>
          </w:p>
        </w:tc>
        <w:tc>
          <w:tcPr>
            <w:tcW w:w="1256"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1CC9F6F2" w14:textId="77777777" w:rsidR="00E20ECC" w:rsidRPr="00E20ECC" w:rsidRDefault="00E20ECC" w:rsidP="009557D1">
            <w:pPr>
              <w:jc w:val="center"/>
              <w:rPr>
                <w:rFonts w:eastAsia="Arial" w:cs="Arial"/>
                <w:b/>
                <w:sz w:val="18"/>
                <w:szCs w:val="18"/>
              </w:rPr>
            </w:pPr>
            <w:r w:rsidRPr="00E20ECC">
              <w:rPr>
                <w:rFonts w:eastAsia="Arial" w:cs="Arial"/>
                <w:b/>
                <w:sz w:val="18"/>
                <w:szCs w:val="18"/>
              </w:rPr>
              <w:t>III</w:t>
            </w:r>
          </w:p>
        </w:tc>
        <w:tc>
          <w:tcPr>
            <w:tcW w:w="1237"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0B135BD6" w14:textId="77777777" w:rsidR="00E20ECC" w:rsidRPr="00E20ECC" w:rsidRDefault="00E20ECC" w:rsidP="009557D1">
            <w:pPr>
              <w:jc w:val="center"/>
              <w:rPr>
                <w:rFonts w:eastAsia="Arial" w:cs="Arial"/>
                <w:b/>
                <w:sz w:val="18"/>
                <w:szCs w:val="18"/>
              </w:rPr>
            </w:pPr>
            <w:r w:rsidRPr="00E20ECC">
              <w:rPr>
                <w:rFonts w:eastAsia="Arial" w:cs="Arial"/>
                <w:b/>
                <w:sz w:val="18"/>
                <w:szCs w:val="18"/>
              </w:rPr>
              <w:t>IV</w:t>
            </w:r>
          </w:p>
        </w:tc>
        <w:tc>
          <w:tcPr>
            <w:tcW w:w="1276" w:type="dxa"/>
            <w:tcBorders>
              <w:top w:val="single" w:sz="4" w:space="0" w:color="000000" w:themeColor="text1"/>
              <w:left w:val="single" w:sz="4" w:space="0" w:color="000000" w:themeColor="text1"/>
            </w:tcBorders>
            <w:shd w:val="clear" w:color="auto" w:fill="DEEAF6" w:themeFill="accent5" w:themeFillTint="33"/>
            <w:vAlign w:val="center"/>
          </w:tcPr>
          <w:p w14:paraId="00B6E3E2" w14:textId="77777777" w:rsidR="00E20ECC" w:rsidRPr="00E20ECC" w:rsidRDefault="00E20ECC" w:rsidP="009557D1">
            <w:pPr>
              <w:jc w:val="center"/>
              <w:rPr>
                <w:rFonts w:eastAsia="Arial" w:cs="Arial"/>
                <w:b/>
                <w:sz w:val="18"/>
                <w:szCs w:val="18"/>
              </w:rPr>
            </w:pPr>
            <w:r w:rsidRPr="00E20ECC">
              <w:rPr>
                <w:rFonts w:eastAsia="Arial" w:cs="Arial"/>
                <w:b/>
                <w:sz w:val="18"/>
                <w:szCs w:val="18"/>
              </w:rPr>
              <w:t>I</w:t>
            </w:r>
          </w:p>
        </w:tc>
        <w:tc>
          <w:tcPr>
            <w:tcW w:w="850" w:type="dxa"/>
            <w:tcBorders>
              <w:top w:val="single" w:sz="4" w:space="0" w:color="000000" w:themeColor="text1"/>
              <w:left w:val="single" w:sz="4" w:space="0" w:color="000000" w:themeColor="text1"/>
            </w:tcBorders>
            <w:shd w:val="clear" w:color="auto" w:fill="DEEAF6" w:themeFill="accent5" w:themeFillTint="33"/>
          </w:tcPr>
          <w:p w14:paraId="0350FEFE" w14:textId="68CAF52C" w:rsidR="00E20ECC" w:rsidRPr="008D4AF7" w:rsidRDefault="00E20ECC" w:rsidP="009557D1">
            <w:pPr>
              <w:jc w:val="center"/>
              <w:rPr>
                <w:rFonts w:eastAsia="Arial" w:cs="Arial"/>
                <w:b/>
                <w:sz w:val="18"/>
                <w:szCs w:val="18"/>
                <w:vertAlign w:val="superscript"/>
              </w:rPr>
            </w:pPr>
            <w:r w:rsidRPr="00E20ECC">
              <w:rPr>
                <w:rFonts w:eastAsia="Arial" w:cs="Arial"/>
                <w:b/>
                <w:sz w:val="18"/>
                <w:szCs w:val="18"/>
              </w:rPr>
              <w:t>Est%</w:t>
            </w:r>
            <w:r w:rsidR="008D4AF7">
              <w:rPr>
                <w:rFonts w:eastAsia="Arial" w:cs="Arial"/>
                <w:b/>
                <w:sz w:val="18"/>
                <w:szCs w:val="18"/>
                <w:vertAlign w:val="superscript"/>
              </w:rPr>
              <w:t>1</w:t>
            </w:r>
          </w:p>
        </w:tc>
      </w:tr>
      <w:tr w:rsidR="00164C4F" w:rsidRPr="00E20ECC" w14:paraId="6B318B59" w14:textId="77777777" w:rsidTr="00164C4F">
        <w:trPr>
          <w:trHeight w:val="254"/>
        </w:trPr>
        <w:tc>
          <w:tcPr>
            <w:tcW w:w="2503" w:type="dxa"/>
            <w:vAlign w:val="center"/>
          </w:tcPr>
          <w:p w14:paraId="6B00A692" w14:textId="41FFD237" w:rsidR="00E20ECC" w:rsidRPr="00E20ECC" w:rsidRDefault="00E20ECC" w:rsidP="00164C4F">
            <w:pPr>
              <w:rPr>
                <w:rFonts w:eastAsia="Arial" w:cs="Arial"/>
                <w:bCs/>
                <w:sz w:val="18"/>
                <w:szCs w:val="18"/>
              </w:rPr>
            </w:pPr>
            <w:r w:rsidRPr="00E20ECC">
              <w:rPr>
                <w:sz w:val="18"/>
                <w:szCs w:val="18"/>
              </w:rPr>
              <w:t>Remuneración de los asalariados (+)</w:t>
            </w:r>
          </w:p>
        </w:tc>
        <w:tc>
          <w:tcPr>
            <w:tcW w:w="1256" w:type="dxa"/>
            <w:vAlign w:val="center"/>
          </w:tcPr>
          <w:p w14:paraId="130311B9" w14:textId="4E75EF7B" w:rsidR="00E20ECC" w:rsidRPr="00E20ECC" w:rsidRDefault="00E20ECC" w:rsidP="00164C4F">
            <w:pPr>
              <w:ind w:right="115"/>
              <w:jc w:val="right"/>
              <w:rPr>
                <w:rFonts w:eastAsia="Arial" w:cs="Arial"/>
                <w:bCs/>
                <w:sz w:val="18"/>
                <w:szCs w:val="18"/>
              </w:rPr>
            </w:pPr>
            <w:r w:rsidRPr="00E20ECC">
              <w:rPr>
                <w:sz w:val="18"/>
                <w:szCs w:val="18"/>
              </w:rPr>
              <w:t>6,373,851</w:t>
            </w:r>
          </w:p>
        </w:tc>
        <w:tc>
          <w:tcPr>
            <w:tcW w:w="1256" w:type="dxa"/>
            <w:vAlign w:val="center"/>
          </w:tcPr>
          <w:p w14:paraId="77CBA239" w14:textId="1D712D48" w:rsidR="00E20ECC" w:rsidRPr="00E20ECC" w:rsidRDefault="00E20ECC" w:rsidP="00164C4F">
            <w:pPr>
              <w:ind w:right="115"/>
              <w:jc w:val="right"/>
              <w:rPr>
                <w:rFonts w:cs="Arial"/>
                <w:sz w:val="18"/>
                <w:szCs w:val="18"/>
              </w:rPr>
            </w:pPr>
            <w:r w:rsidRPr="00E20ECC">
              <w:rPr>
                <w:sz w:val="18"/>
                <w:szCs w:val="18"/>
              </w:rPr>
              <w:t>6,317,171</w:t>
            </w:r>
          </w:p>
        </w:tc>
        <w:tc>
          <w:tcPr>
            <w:tcW w:w="1256" w:type="dxa"/>
            <w:vAlign w:val="center"/>
          </w:tcPr>
          <w:p w14:paraId="5A1B5180" w14:textId="19E2F6B4" w:rsidR="00E20ECC" w:rsidRPr="00E20ECC" w:rsidRDefault="00E20ECC" w:rsidP="00164C4F">
            <w:pPr>
              <w:ind w:right="115"/>
              <w:jc w:val="right"/>
              <w:rPr>
                <w:rFonts w:cs="Arial"/>
                <w:sz w:val="18"/>
                <w:szCs w:val="18"/>
              </w:rPr>
            </w:pPr>
            <w:r w:rsidRPr="00E20ECC">
              <w:rPr>
                <w:sz w:val="18"/>
                <w:szCs w:val="18"/>
              </w:rPr>
              <w:t>6,526,677</w:t>
            </w:r>
          </w:p>
        </w:tc>
        <w:tc>
          <w:tcPr>
            <w:tcW w:w="1237" w:type="dxa"/>
            <w:vAlign w:val="center"/>
          </w:tcPr>
          <w:p w14:paraId="651291CF" w14:textId="331F1F2C" w:rsidR="00E20ECC" w:rsidRPr="00E20ECC" w:rsidRDefault="00E20ECC" w:rsidP="00164C4F">
            <w:pPr>
              <w:ind w:right="115"/>
              <w:jc w:val="right"/>
              <w:rPr>
                <w:rFonts w:cs="Arial"/>
                <w:sz w:val="18"/>
                <w:szCs w:val="18"/>
              </w:rPr>
            </w:pPr>
            <w:r w:rsidRPr="00E20ECC">
              <w:rPr>
                <w:sz w:val="18"/>
                <w:szCs w:val="18"/>
              </w:rPr>
              <w:t>6,818,722</w:t>
            </w:r>
          </w:p>
        </w:tc>
        <w:tc>
          <w:tcPr>
            <w:tcW w:w="1276" w:type="dxa"/>
            <w:vAlign w:val="center"/>
          </w:tcPr>
          <w:p w14:paraId="1470AB23" w14:textId="4BFBB546" w:rsidR="00E20ECC" w:rsidRPr="00E20ECC" w:rsidRDefault="00E20ECC" w:rsidP="00164C4F">
            <w:pPr>
              <w:ind w:right="115"/>
              <w:jc w:val="right"/>
              <w:rPr>
                <w:rFonts w:cs="Arial"/>
                <w:sz w:val="18"/>
                <w:szCs w:val="18"/>
              </w:rPr>
            </w:pPr>
            <w:r w:rsidRPr="00E20ECC">
              <w:rPr>
                <w:sz w:val="18"/>
                <w:szCs w:val="18"/>
              </w:rPr>
              <w:t>6,634,759</w:t>
            </w:r>
          </w:p>
        </w:tc>
        <w:tc>
          <w:tcPr>
            <w:tcW w:w="850" w:type="dxa"/>
            <w:vAlign w:val="center"/>
          </w:tcPr>
          <w:p w14:paraId="416217A2" w14:textId="1266138D" w:rsidR="00E20ECC" w:rsidRPr="00E20ECC" w:rsidRDefault="00E20ECC" w:rsidP="00164C4F">
            <w:pPr>
              <w:ind w:right="115"/>
              <w:jc w:val="right"/>
              <w:rPr>
                <w:rFonts w:cs="Arial"/>
                <w:color w:val="000000"/>
                <w:sz w:val="18"/>
                <w:szCs w:val="18"/>
              </w:rPr>
            </w:pPr>
            <w:r w:rsidRPr="00E20ECC">
              <w:rPr>
                <w:sz w:val="18"/>
                <w:szCs w:val="18"/>
              </w:rPr>
              <w:t>27.3</w:t>
            </w:r>
          </w:p>
        </w:tc>
      </w:tr>
      <w:tr w:rsidR="00164C4F" w:rsidRPr="00E20ECC" w14:paraId="66FC42A4" w14:textId="77777777" w:rsidTr="00164C4F">
        <w:trPr>
          <w:trHeight w:val="254"/>
        </w:trPr>
        <w:tc>
          <w:tcPr>
            <w:tcW w:w="2503" w:type="dxa"/>
            <w:shd w:val="clear" w:color="auto" w:fill="DEEAF6" w:themeFill="accent5" w:themeFillTint="33"/>
            <w:vAlign w:val="center"/>
          </w:tcPr>
          <w:p w14:paraId="66BBCBF1" w14:textId="55E16CF3" w:rsidR="00E20ECC" w:rsidRPr="00E20ECC" w:rsidRDefault="00E20ECC" w:rsidP="00164C4F">
            <w:pPr>
              <w:rPr>
                <w:rFonts w:eastAsia="Arial" w:cs="Arial"/>
                <w:bCs/>
                <w:sz w:val="18"/>
                <w:szCs w:val="18"/>
              </w:rPr>
            </w:pPr>
            <w:r w:rsidRPr="00E20ECC">
              <w:rPr>
                <w:sz w:val="18"/>
                <w:szCs w:val="18"/>
              </w:rPr>
              <w:t>Impuestos sobre la producción y las importaciones (+)</w:t>
            </w:r>
          </w:p>
        </w:tc>
        <w:tc>
          <w:tcPr>
            <w:tcW w:w="1256" w:type="dxa"/>
            <w:shd w:val="clear" w:color="auto" w:fill="DEEAF6" w:themeFill="accent5" w:themeFillTint="33"/>
            <w:vAlign w:val="center"/>
          </w:tcPr>
          <w:p w14:paraId="4D8BCB12" w14:textId="790F7CEF" w:rsidR="00E20ECC" w:rsidRPr="00E20ECC" w:rsidRDefault="00E20ECC" w:rsidP="00164C4F">
            <w:pPr>
              <w:ind w:right="115"/>
              <w:jc w:val="right"/>
              <w:rPr>
                <w:rFonts w:eastAsia="Arial" w:cs="Arial"/>
                <w:bCs/>
                <w:sz w:val="18"/>
                <w:szCs w:val="18"/>
              </w:rPr>
            </w:pPr>
            <w:r w:rsidRPr="00E20ECC">
              <w:rPr>
                <w:sz w:val="18"/>
                <w:szCs w:val="18"/>
              </w:rPr>
              <w:t>1,917,585</w:t>
            </w:r>
          </w:p>
        </w:tc>
        <w:tc>
          <w:tcPr>
            <w:tcW w:w="1256" w:type="dxa"/>
            <w:shd w:val="clear" w:color="auto" w:fill="DEEAF6" w:themeFill="accent5" w:themeFillTint="33"/>
            <w:vAlign w:val="center"/>
          </w:tcPr>
          <w:p w14:paraId="06FA484F" w14:textId="6238E052" w:rsidR="00E20ECC" w:rsidRPr="00E20ECC" w:rsidRDefault="00E20ECC" w:rsidP="00164C4F">
            <w:pPr>
              <w:ind w:right="115"/>
              <w:jc w:val="right"/>
              <w:rPr>
                <w:rFonts w:cs="Arial"/>
                <w:sz w:val="18"/>
                <w:szCs w:val="18"/>
              </w:rPr>
            </w:pPr>
            <w:r w:rsidRPr="00E20ECC">
              <w:rPr>
                <w:sz w:val="18"/>
                <w:szCs w:val="18"/>
              </w:rPr>
              <w:t>1,684,876</w:t>
            </w:r>
          </w:p>
        </w:tc>
        <w:tc>
          <w:tcPr>
            <w:tcW w:w="1256" w:type="dxa"/>
            <w:shd w:val="clear" w:color="auto" w:fill="DEEAF6" w:themeFill="accent5" w:themeFillTint="33"/>
            <w:vAlign w:val="center"/>
          </w:tcPr>
          <w:p w14:paraId="4AB4BF36" w14:textId="3B02A19A" w:rsidR="00E20ECC" w:rsidRPr="00E20ECC" w:rsidRDefault="00E20ECC" w:rsidP="00164C4F">
            <w:pPr>
              <w:ind w:right="115"/>
              <w:jc w:val="right"/>
              <w:rPr>
                <w:rFonts w:cs="Arial"/>
                <w:sz w:val="18"/>
                <w:szCs w:val="18"/>
              </w:rPr>
            </w:pPr>
            <w:r w:rsidRPr="00E20ECC">
              <w:rPr>
                <w:sz w:val="18"/>
                <w:szCs w:val="18"/>
              </w:rPr>
              <w:t>1,530,650</w:t>
            </w:r>
          </w:p>
        </w:tc>
        <w:tc>
          <w:tcPr>
            <w:tcW w:w="1237" w:type="dxa"/>
            <w:shd w:val="clear" w:color="auto" w:fill="DEEAF6" w:themeFill="accent5" w:themeFillTint="33"/>
            <w:vAlign w:val="center"/>
          </w:tcPr>
          <w:p w14:paraId="13186385" w14:textId="6EFE556D" w:rsidR="00E20ECC" w:rsidRPr="00E20ECC" w:rsidRDefault="00E20ECC" w:rsidP="00164C4F">
            <w:pPr>
              <w:ind w:right="115"/>
              <w:jc w:val="right"/>
              <w:rPr>
                <w:rFonts w:cs="Arial"/>
                <w:sz w:val="18"/>
                <w:szCs w:val="18"/>
              </w:rPr>
            </w:pPr>
            <w:r w:rsidRPr="00E20ECC">
              <w:rPr>
                <w:sz w:val="18"/>
                <w:szCs w:val="18"/>
              </w:rPr>
              <w:t>1,548,581</w:t>
            </w:r>
          </w:p>
        </w:tc>
        <w:tc>
          <w:tcPr>
            <w:tcW w:w="1276" w:type="dxa"/>
            <w:shd w:val="clear" w:color="auto" w:fill="DEEAF6" w:themeFill="accent5" w:themeFillTint="33"/>
            <w:vAlign w:val="center"/>
          </w:tcPr>
          <w:p w14:paraId="29AEA42F" w14:textId="2E20378D" w:rsidR="00E20ECC" w:rsidRPr="00E20ECC" w:rsidRDefault="00E20ECC" w:rsidP="00164C4F">
            <w:pPr>
              <w:ind w:right="115"/>
              <w:jc w:val="right"/>
              <w:rPr>
                <w:rFonts w:cs="Arial"/>
                <w:sz w:val="18"/>
                <w:szCs w:val="18"/>
              </w:rPr>
            </w:pPr>
            <w:r w:rsidRPr="00E20ECC">
              <w:rPr>
                <w:sz w:val="18"/>
                <w:szCs w:val="18"/>
              </w:rPr>
              <w:t>2,182,340</w:t>
            </w:r>
          </w:p>
        </w:tc>
        <w:tc>
          <w:tcPr>
            <w:tcW w:w="850" w:type="dxa"/>
            <w:shd w:val="clear" w:color="auto" w:fill="DEEAF6" w:themeFill="accent5" w:themeFillTint="33"/>
            <w:vAlign w:val="center"/>
          </w:tcPr>
          <w:p w14:paraId="2BDD61C3" w14:textId="24FFE6EE" w:rsidR="00E20ECC" w:rsidRPr="00E20ECC" w:rsidRDefault="00E20ECC" w:rsidP="00164C4F">
            <w:pPr>
              <w:ind w:right="115"/>
              <w:jc w:val="right"/>
              <w:rPr>
                <w:rFonts w:cs="Arial"/>
                <w:color w:val="000000"/>
                <w:sz w:val="18"/>
                <w:szCs w:val="18"/>
              </w:rPr>
            </w:pPr>
            <w:r w:rsidRPr="00E20ECC">
              <w:rPr>
                <w:sz w:val="18"/>
                <w:szCs w:val="18"/>
              </w:rPr>
              <w:t>9.0</w:t>
            </w:r>
          </w:p>
        </w:tc>
      </w:tr>
      <w:tr w:rsidR="00164C4F" w:rsidRPr="00E20ECC" w14:paraId="14B3C2F1" w14:textId="77777777" w:rsidTr="00164C4F">
        <w:trPr>
          <w:trHeight w:val="360"/>
        </w:trPr>
        <w:tc>
          <w:tcPr>
            <w:tcW w:w="2503" w:type="dxa"/>
            <w:vAlign w:val="center"/>
          </w:tcPr>
          <w:p w14:paraId="76956E62" w14:textId="4A2E8231" w:rsidR="00E20ECC" w:rsidRPr="00E20ECC" w:rsidRDefault="00E20ECC" w:rsidP="00164C4F">
            <w:pPr>
              <w:rPr>
                <w:rFonts w:eastAsia="Arial" w:cs="Arial"/>
                <w:bCs/>
                <w:sz w:val="18"/>
                <w:szCs w:val="18"/>
              </w:rPr>
            </w:pPr>
            <w:r w:rsidRPr="00E20ECC">
              <w:rPr>
                <w:sz w:val="18"/>
                <w:szCs w:val="18"/>
              </w:rPr>
              <w:t>Subsidios (-)</w:t>
            </w:r>
          </w:p>
        </w:tc>
        <w:tc>
          <w:tcPr>
            <w:tcW w:w="1256" w:type="dxa"/>
            <w:vAlign w:val="center"/>
          </w:tcPr>
          <w:p w14:paraId="5DB89984" w14:textId="3DD70186" w:rsidR="00E20ECC" w:rsidRPr="00E20ECC" w:rsidRDefault="00E20ECC" w:rsidP="00164C4F">
            <w:pPr>
              <w:ind w:right="115"/>
              <w:jc w:val="right"/>
              <w:rPr>
                <w:rFonts w:eastAsia="Arial" w:cs="Arial"/>
                <w:bCs/>
                <w:sz w:val="18"/>
                <w:szCs w:val="18"/>
              </w:rPr>
            </w:pPr>
            <w:r w:rsidRPr="00E20ECC">
              <w:rPr>
                <w:sz w:val="18"/>
                <w:szCs w:val="18"/>
              </w:rPr>
              <w:t>-96,333</w:t>
            </w:r>
          </w:p>
        </w:tc>
        <w:tc>
          <w:tcPr>
            <w:tcW w:w="1256" w:type="dxa"/>
            <w:vAlign w:val="center"/>
          </w:tcPr>
          <w:p w14:paraId="0DE636CC" w14:textId="7C6240F3" w:rsidR="00E20ECC" w:rsidRPr="00E20ECC" w:rsidRDefault="00E20ECC" w:rsidP="00164C4F">
            <w:pPr>
              <w:ind w:right="115"/>
              <w:jc w:val="right"/>
              <w:rPr>
                <w:rFonts w:cs="Arial"/>
                <w:sz w:val="18"/>
                <w:szCs w:val="18"/>
              </w:rPr>
            </w:pPr>
            <w:r w:rsidRPr="00E20ECC">
              <w:rPr>
                <w:sz w:val="18"/>
                <w:szCs w:val="18"/>
              </w:rPr>
              <w:t>-92,822</w:t>
            </w:r>
          </w:p>
        </w:tc>
        <w:tc>
          <w:tcPr>
            <w:tcW w:w="1256" w:type="dxa"/>
            <w:vAlign w:val="center"/>
          </w:tcPr>
          <w:p w14:paraId="53D0DB6B" w14:textId="6062B139" w:rsidR="00E20ECC" w:rsidRPr="00E20ECC" w:rsidRDefault="00E20ECC" w:rsidP="00164C4F">
            <w:pPr>
              <w:ind w:right="115"/>
              <w:jc w:val="right"/>
              <w:rPr>
                <w:rFonts w:cs="Arial"/>
                <w:sz w:val="18"/>
                <w:szCs w:val="18"/>
              </w:rPr>
            </w:pPr>
            <w:r w:rsidRPr="00E20ECC">
              <w:rPr>
                <w:sz w:val="18"/>
                <w:szCs w:val="18"/>
              </w:rPr>
              <w:t>-88,700</w:t>
            </w:r>
          </w:p>
        </w:tc>
        <w:tc>
          <w:tcPr>
            <w:tcW w:w="1237" w:type="dxa"/>
            <w:vAlign w:val="center"/>
          </w:tcPr>
          <w:p w14:paraId="0E7E7144" w14:textId="4535B6CB" w:rsidR="00E20ECC" w:rsidRPr="00E20ECC" w:rsidRDefault="00E20ECC" w:rsidP="00164C4F">
            <w:pPr>
              <w:ind w:right="115"/>
              <w:jc w:val="right"/>
              <w:rPr>
                <w:rFonts w:cs="Arial"/>
                <w:sz w:val="18"/>
                <w:szCs w:val="18"/>
              </w:rPr>
            </w:pPr>
            <w:r w:rsidRPr="00E20ECC">
              <w:rPr>
                <w:sz w:val="18"/>
                <w:szCs w:val="18"/>
              </w:rPr>
              <w:t>-122,551</w:t>
            </w:r>
          </w:p>
        </w:tc>
        <w:tc>
          <w:tcPr>
            <w:tcW w:w="1276" w:type="dxa"/>
            <w:vAlign w:val="center"/>
          </w:tcPr>
          <w:p w14:paraId="23CBE591" w14:textId="38B2507B" w:rsidR="00E20ECC" w:rsidRPr="00E20ECC" w:rsidRDefault="00E20ECC" w:rsidP="00164C4F">
            <w:pPr>
              <w:ind w:right="115"/>
              <w:jc w:val="right"/>
              <w:rPr>
                <w:rFonts w:cs="Arial"/>
                <w:sz w:val="18"/>
                <w:szCs w:val="18"/>
              </w:rPr>
            </w:pPr>
            <w:r w:rsidRPr="00E20ECC">
              <w:rPr>
                <w:sz w:val="18"/>
                <w:szCs w:val="18"/>
              </w:rPr>
              <w:t>-108,567</w:t>
            </w:r>
          </w:p>
        </w:tc>
        <w:tc>
          <w:tcPr>
            <w:tcW w:w="850" w:type="dxa"/>
            <w:vAlign w:val="center"/>
          </w:tcPr>
          <w:p w14:paraId="6032B76D" w14:textId="2BC64425" w:rsidR="00E20ECC" w:rsidRPr="00E20ECC" w:rsidRDefault="00E20ECC" w:rsidP="00164C4F">
            <w:pPr>
              <w:ind w:right="115"/>
              <w:jc w:val="right"/>
              <w:rPr>
                <w:rFonts w:cs="Arial"/>
                <w:color w:val="000000"/>
                <w:sz w:val="18"/>
                <w:szCs w:val="18"/>
              </w:rPr>
            </w:pPr>
            <w:r w:rsidRPr="00E20ECC">
              <w:rPr>
                <w:sz w:val="18"/>
                <w:szCs w:val="18"/>
              </w:rPr>
              <w:t>-0.4</w:t>
            </w:r>
          </w:p>
        </w:tc>
      </w:tr>
      <w:tr w:rsidR="00164C4F" w:rsidRPr="00E20ECC" w14:paraId="0111D420" w14:textId="77777777" w:rsidTr="00164C4F">
        <w:trPr>
          <w:trHeight w:val="254"/>
        </w:trPr>
        <w:tc>
          <w:tcPr>
            <w:tcW w:w="2503" w:type="dxa"/>
            <w:shd w:val="clear" w:color="auto" w:fill="DEEAF6" w:themeFill="accent5" w:themeFillTint="33"/>
            <w:vAlign w:val="center"/>
          </w:tcPr>
          <w:p w14:paraId="4F4A5212" w14:textId="5C25C66C" w:rsidR="00E20ECC" w:rsidRPr="00E20ECC" w:rsidRDefault="00E20ECC" w:rsidP="00164C4F">
            <w:pPr>
              <w:rPr>
                <w:rFonts w:eastAsia="Arial" w:cs="Arial"/>
                <w:bCs/>
                <w:sz w:val="18"/>
                <w:szCs w:val="18"/>
              </w:rPr>
            </w:pPr>
            <w:r w:rsidRPr="00E20ECC">
              <w:rPr>
                <w:sz w:val="18"/>
                <w:szCs w:val="18"/>
              </w:rPr>
              <w:t>Excedente bruto de operación (+)</w:t>
            </w:r>
          </w:p>
        </w:tc>
        <w:tc>
          <w:tcPr>
            <w:tcW w:w="1256" w:type="dxa"/>
            <w:shd w:val="clear" w:color="auto" w:fill="DEEAF6" w:themeFill="accent5" w:themeFillTint="33"/>
            <w:vAlign w:val="center"/>
          </w:tcPr>
          <w:p w14:paraId="713B510E" w14:textId="231479D4" w:rsidR="00E20ECC" w:rsidRPr="00E20ECC" w:rsidRDefault="00E20ECC" w:rsidP="00164C4F">
            <w:pPr>
              <w:ind w:right="115"/>
              <w:jc w:val="right"/>
              <w:rPr>
                <w:rFonts w:eastAsia="Arial" w:cs="Arial"/>
                <w:bCs/>
                <w:sz w:val="18"/>
                <w:szCs w:val="18"/>
              </w:rPr>
            </w:pPr>
            <w:r w:rsidRPr="00E20ECC">
              <w:rPr>
                <w:sz w:val="18"/>
                <w:szCs w:val="18"/>
              </w:rPr>
              <w:t>10,604,487</w:t>
            </w:r>
          </w:p>
        </w:tc>
        <w:tc>
          <w:tcPr>
            <w:tcW w:w="1256" w:type="dxa"/>
            <w:shd w:val="clear" w:color="auto" w:fill="DEEAF6" w:themeFill="accent5" w:themeFillTint="33"/>
            <w:vAlign w:val="center"/>
          </w:tcPr>
          <w:p w14:paraId="0BA18219" w14:textId="63926F23" w:rsidR="00E20ECC" w:rsidRPr="00E20ECC" w:rsidRDefault="00E20ECC" w:rsidP="00164C4F">
            <w:pPr>
              <w:ind w:right="115"/>
              <w:jc w:val="right"/>
              <w:rPr>
                <w:rFonts w:cs="Arial"/>
                <w:sz w:val="18"/>
                <w:szCs w:val="18"/>
              </w:rPr>
            </w:pPr>
            <w:r w:rsidRPr="00E20ECC">
              <w:rPr>
                <w:sz w:val="18"/>
                <w:szCs w:val="18"/>
              </w:rPr>
              <w:t>11,094,081</w:t>
            </w:r>
          </w:p>
        </w:tc>
        <w:tc>
          <w:tcPr>
            <w:tcW w:w="1256" w:type="dxa"/>
            <w:shd w:val="clear" w:color="auto" w:fill="DEEAF6" w:themeFill="accent5" w:themeFillTint="33"/>
            <w:vAlign w:val="center"/>
          </w:tcPr>
          <w:p w14:paraId="4E089DDF" w14:textId="03BE899B" w:rsidR="00E20ECC" w:rsidRPr="00E20ECC" w:rsidRDefault="00E20ECC" w:rsidP="00164C4F">
            <w:pPr>
              <w:ind w:right="115"/>
              <w:jc w:val="right"/>
              <w:rPr>
                <w:rFonts w:cs="Arial"/>
                <w:sz w:val="18"/>
                <w:szCs w:val="18"/>
              </w:rPr>
            </w:pPr>
            <w:r w:rsidRPr="00E20ECC">
              <w:rPr>
                <w:sz w:val="18"/>
                <w:szCs w:val="18"/>
              </w:rPr>
              <w:t>10,680,190</w:t>
            </w:r>
          </w:p>
        </w:tc>
        <w:tc>
          <w:tcPr>
            <w:tcW w:w="1237" w:type="dxa"/>
            <w:shd w:val="clear" w:color="auto" w:fill="DEEAF6" w:themeFill="accent5" w:themeFillTint="33"/>
            <w:vAlign w:val="center"/>
          </w:tcPr>
          <w:p w14:paraId="3B9D54F8" w14:textId="3FB1A466" w:rsidR="00E20ECC" w:rsidRPr="00E20ECC" w:rsidRDefault="00E20ECC" w:rsidP="00164C4F">
            <w:pPr>
              <w:ind w:right="115"/>
              <w:jc w:val="right"/>
              <w:rPr>
                <w:rFonts w:cs="Arial"/>
                <w:sz w:val="18"/>
                <w:szCs w:val="18"/>
              </w:rPr>
            </w:pPr>
            <w:r w:rsidRPr="00E20ECC">
              <w:rPr>
                <w:sz w:val="18"/>
                <w:szCs w:val="18"/>
              </w:rPr>
              <w:t>11,076,624</w:t>
            </w:r>
          </w:p>
        </w:tc>
        <w:tc>
          <w:tcPr>
            <w:tcW w:w="1276" w:type="dxa"/>
            <w:shd w:val="clear" w:color="auto" w:fill="DEEAF6" w:themeFill="accent5" w:themeFillTint="33"/>
            <w:vAlign w:val="center"/>
          </w:tcPr>
          <w:p w14:paraId="1DD18995" w14:textId="1CFCB386" w:rsidR="00E20ECC" w:rsidRPr="00E20ECC" w:rsidRDefault="00E20ECC" w:rsidP="00164C4F">
            <w:pPr>
              <w:ind w:right="115"/>
              <w:jc w:val="right"/>
              <w:rPr>
                <w:rFonts w:cs="Arial"/>
                <w:sz w:val="18"/>
                <w:szCs w:val="18"/>
              </w:rPr>
            </w:pPr>
            <w:r w:rsidRPr="00E20ECC">
              <w:rPr>
                <w:sz w:val="18"/>
                <w:szCs w:val="18"/>
              </w:rPr>
              <w:t>10,322,527</w:t>
            </w:r>
          </w:p>
        </w:tc>
        <w:tc>
          <w:tcPr>
            <w:tcW w:w="850" w:type="dxa"/>
            <w:shd w:val="clear" w:color="auto" w:fill="DEEAF6" w:themeFill="accent5" w:themeFillTint="33"/>
            <w:vAlign w:val="center"/>
          </w:tcPr>
          <w:p w14:paraId="0A97EAA8" w14:textId="257FE6AF" w:rsidR="00E20ECC" w:rsidRPr="00E20ECC" w:rsidRDefault="00E20ECC" w:rsidP="00164C4F">
            <w:pPr>
              <w:ind w:right="115"/>
              <w:jc w:val="right"/>
              <w:rPr>
                <w:rFonts w:cs="Arial"/>
                <w:color w:val="000000"/>
                <w:sz w:val="18"/>
                <w:szCs w:val="18"/>
              </w:rPr>
            </w:pPr>
            <w:r w:rsidRPr="00E20ECC">
              <w:rPr>
                <w:sz w:val="18"/>
                <w:szCs w:val="18"/>
              </w:rPr>
              <w:t>42.4</w:t>
            </w:r>
          </w:p>
        </w:tc>
      </w:tr>
      <w:tr w:rsidR="00164C4F" w:rsidRPr="00E20ECC" w14:paraId="0961E216" w14:textId="77777777" w:rsidTr="00164C4F">
        <w:trPr>
          <w:trHeight w:val="384"/>
        </w:trPr>
        <w:tc>
          <w:tcPr>
            <w:tcW w:w="2503" w:type="dxa"/>
            <w:vAlign w:val="center"/>
          </w:tcPr>
          <w:p w14:paraId="24037FBB" w14:textId="5DF64D18" w:rsidR="00E20ECC" w:rsidRPr="00E20ECC" w:rsidRDefault="00E20ECC" w:rsidP="00164C4F">
            <w:pPr>
              <w:rPr>
                <w:rFonts w:eastAsia="Arial" w:cs="Arial"/>
                <w:bCs/>
                <w:sz w:val="18"/>
                <w:szCs w:val="18"/>
              </w:rPr>
            </w:pPr>
            <w:r w:rsidRPr="00E20ECC">
              <w:rPr>
                <w:sz w:val="18"/>
                <w:szCs w:val="18"/>
              </w:rPr>
              <w:t>Ingreso mixto bruto (+)</w:t>
            </w:r>
          </w:p>
        </w:tc>
        <w:tc>
          <w:tcPr>
            <w:tcW w:w="1256" w:type="dxa"/>
            <w:vAlign w:val="center"/>
          </w:tcPr>
          <w:p w14:paraId="3547F3F0" w14:textId="3C549CF3" w:rsidR="00E20ECC" w:rsidRPr="00E20ECC" w:rsidRDefault="00E20ECC" w:rsidP="00164C4F">
            <w:pPr>
              <w:ind w:right="115"/>
              <w:jc w:val="right"/>
              <w:rPr>
                <w:rFonts w:eastAsia="Arial" w:cs="Arial"/>
                <w:bCs/>
                <w:sz w:val="18"/>
                <w:szCs w:val="18"/>
              </w:rPr>
            </w:pPr>
            <w:r w:rsidRPr="00E20ECC">
              <w:rPr>
                <w:sz w:val="18"/>
                <w:szCs w:val="18"/>
              </w:rPr>
              <w:t>5,149,968</w:t>
            </w:r>
          </w:p>
        </w:tc>
        <w:tc>
          <w:tcPr>
            <w:tcW w:w="1256" w:type="dxa"/>
            <w:vAlign w:val="center"/>
          </w:tcPr>
          <w:p w14:paraId="24661CB6" w14:textId="1515E70E" w:rsidR="00E20ECC" w:rsidRPr="00E20ECC" w:rsidRDefault="00E20ECC" w:rsidP="00164C4F">
            <w:pPr>
              <w:ind w:right="115"/>
              <w:jc w:val="right"/>
              <w:rPr>
                <w:rFonts w:cs="Arial"/>
                <w:sz w:val="18"/>
                <w:szCs w:val="18"/>
              </w:rPr>
            </w:pPr>
            <w:r w:rsidRPr="00E20ECC">
              <w:rPr>
                <w:sz w:val="18"/>
                <w:szCs w:val="18"/>
              </w:rPr>
              <w:t>5,313,787</w:t>
            </w:r>
          </w:p>
        </w:tc>
        <w:tc>
          <w:tcPr>
            <w:tcW w:w="1256" w:type="dxa"/>
            <w:vAlign w:val="center"/>
          </w:tcPr>
          <w:p w14:paraId="7C683E21" w14:textId="044DB039" w:rsidR="00E20ECC" w:rsidRPr="00E20ECC" w:rsidRDefault="00E20ECC" w:rsidP="00164C4F">
            <w:pPr>
              <w:ind w:right="115"/>
              <w:jc w:val="right"/>
              <w:rPr>
                <w:rFonts w:cs="Arial"/>
                <w:sz w:val="18"/>
                <w:szCs w:val="18"/>
              </w:rPr>
            </w:pPr>
            <w:r w:rsidRPr="00E20ECC">
              <w:rPr>
                <w:sz w:val="18"/>
                <w:szCs w:val="18"/>
              </w:rPr>
              <w:t>5,364,380</w:t>
            </w:r>
          </w:p>
        </w:tc>
        <w:tc>
          <w:tcPr>
            <w:tcW w:w="1237" w:type="dxa"/>
            <w:vAlign w:val="center"/>
          </w:tcPr>
          <w:p w14:paraId="46246F89" w14:textId="336E2DA9" w:rsidR="00E20ECC" w:rsidRPr="00E20ECC" w:rsidRDefault="00E20ECC" w:rsidP="00164C4F">
            <w:pPr>
              <w:ind w:right="115"/>
              <w:jc w:val="right"/>
              <w:rPr>
                <w:rFonts w:cs="Arial"/>
                <w:sz w:val="18"/>
                <w:szCs w:val="18"/>
              </w:rPr>
            </w:pPr>
            <w:r w:rsidRPr="00E20ECC">
              <w:rPr>
                <w:sz w:val="18"/>
                <w:szCs w:val="18"/>
              </w:rPr>
              <w:t>5,349,255</w:t>
            </w:r>
          </w:p>
        </w:tc>
        <w:tc>
          <w:tcPr>
            <w:tcW w:w="1276" w:type="dxa"/>
            <w:vAlign w:val="center"/>
          </w:tcPr>
          <w:p w14:paraId="7ED7C072" w14:textId="24DA73A7" w:rsidR="00E20ECC" w:rsidRPr="00E20ECC" w:rsidRDefault="00E20ECC" w:rsidP="00164C4F">
            <w:pPr>
              <w:ind w:right="115"/>
              <w:jc w:val="right"/>
              <w:rPr>
                <w:rFonts w:cs="Arial"/>
                <w:sz w:val="18"/>
                <w:szCs w:val="18"/>
              </w:rPr>
            </w:pPr>
            <w:r w:rsidRPr="00E20ECC">
              <w:rPr>
                <w:sz w:val="18"/>
                <w:szCs w:val="18"/>
              </w:rPr>
              <w:t>5,302,472</w:t>
            </w:r>
          </w:p>
        </w:tc>
        <w:tc>
          <w:tcPr>
            <w:tcW w:w="850" w:type="dxa"/>
            <w:vAlign w:val="center"/>
          </w:tcPr>
          <w:p w14:paraId="35FEC1E9" w14:textId="6B939D8A" w:rsidR="00E20ECC" w:rsidRPr="00E20ECC" w:rsidRDefault="00E20ECC" w:rsidP="00164C4F">
            <w:pPr>
              <w:ind w:right="115"/>
              <w:jc w:val="right"/>
              <w:rPr>
                <w:rFonts w:cs="Arial"/>
                <w:color w:val="000000"/>
                <w:sz w:val="18"/>
                <w:szCs w:val="18"/>
              </w:rPr>
            </w:pPr>
            <w:r w:rsidRPr="00E20ECC">
              <w:rPr>
                <w:sz w:val="18"/>
                <w:szCs w:val="18"/>
              </w:rPr>
              <w:t>21.8</w:t>
            </w:r>
          </w:p>
        </w:tc>
      </w:tr>
      <w:tr w:rsidR="00164C4F" w:rsidRPr="00E20ECC" w14:paraId="726D1584" w14:textId="77777777" w:rsidTr="00164C4F">
        <w:trPr>
          <w:trHeight w:val="403"/>
        </w:trPr>
        <w:tc>
          <w:tcPr>
            <w:tcW w:w="2503" w:type="dxa"/>
            <w:shd w:val="clear" w:color="auto" w:fill="DEEAF6" w:themeFill="accent5" w:themeFillTint="33"/>
            <w:vAlign w:val="center"/>
          </w:tcPr>
          <w:p w14:paraId="0B2B22B0" w14:textId="190FA91A" w:rsidR="00E20ECC" w:rsidRPr="00E20ECC" w:rsidRDefault="00E20ECC" w:rsidP="00164C4F">
            <w:pPr>
              <w:rPr>
                <w:rFonts w:eastAsia="Arial" w:cs="Arial"/>
                <w:b/>
                <w:bCs/>
                <w:sz w:val="18"/>
                <w:szCs w:val="18"/>
              </w:rPr>
            </w:pPr>
            <w:r w:rsidRPr="00E20ECC">
              <w:rPr>
                <w:b/>
                <w:bCs/>
                <w:sz w:val="18"/>
                <w:szCs w:val="18"/>
              </w:rPr>
              <w:t>Producto interno bruto</w:t>
            </w:r>
          </w:p>
        </w:tc>
        <w:tc>
          <w:tcPr>
            <w:tcW w:w="1256" w:type="dxa"/>
            <w:shd w:val="clear" w:color="auto" w:fill="DEEAF6" w:themeFill="accent5" w:themeFillTint="33"/>
            <w:vAlign w:val="center"/>
          </w:tcPr>
          <w:p w14:paraId="10DE725D" w14:textId="08D70891" w:rsidR="00E20ECC" w:rsidRPr="00E20ECC" w:rsidRDefault="00E20ECC" w:rsidP="00164C4F">
            <w:pPr>
              <w:ind w:right="115"/>
              <w:jc w:val="right"/>
              <w:rPr>
                <w:rFonts w:eastAsia="Arial" w:cs="Arial"/>
                <w:b/>
                <w:bCs/>
                <w:sz w:val="18"/>
                <w:szCs w:val="18"/>
              </w:rPr>
            </w:pPr>
            <w:r w:rsidRPr="00E20ECC">
              <w:rPr>
                <w:b/>
                <w:bCs/>
                <w:sz w:val="18"/>
                <w:szCs w:val="18"/>
              </w:rPr>
              <w:t>23,949,559</w:t>
            </w:r>
          </w:p>
        </w:tc>
        <w:tc>
          <w:tcPr>
            <w:tcW w:w="1256" w:type="dxa"/>
            <w:shd w:val="clear" w:color="auto" w:fill="DEEAF6" w:themeFill="accent5" w:themeFillTint="33"/>
            <w:vAlign w:val="center"/>
          </w:tcPr>
          <w:p w14:paraId="40D604A5" w14:textId="3C70460B" w:rsidR="00E20ECC" w:rsidRPr="00E20ECC" w:rsidRDefault="00E20ECC" w:rsidP="00164C4F">
            <w:pPr>
              <w:ind w:right="115"/>
              <w:jc w:val="right"/>
              <w:rPr>
                <w:rFonts w:cs="Arial"/>
                <w:b/>
                <w:bCs/>
                <w:sz w:val="18"/>
                <w:szCs w:val="18"/>
              </w:rPr>
            </w:pPr>
            <w:r w:rsidRPr="00E20ECC">
              <w:rPr>
                <w:b/>
                <w:bCs/>
                <w:sz w:val="18"/>
                <w:szCs w:val="18"/>
              </w:rPr>
              <w:t>24,317,093</w:t>
            </w:r>
          </w:p>
        </w:tc>
        <w:tc>
          <w:tcPr>
            <w:tcW w:w="1256" w:type="dxa"/>
            <w:shd w:val="clear" w:color="auto" w:fill="DEEAF6" w:themeFill="accent5" w:themeFillTint="33"/>
            <w:vAlign w:val="center"/>
          </w:tcPr>
          <w:p w14:paraId="6D7D03E2" w14:textId="3A3BE3A5" w:rsidR="00E20ECC" w:rsidRPr="00E20ECC" w:rsidRDefault="00E20ECC" w:rsidP="00164C4F">
            <w:pPr>
              <w:ind w:right="115"/>
              <w:jc w:val="right"/>
              <w:rPr>
                <w:rFonts w:cs="Arial"/>
                <w:b/>
                <w:bCs/>
                <w:sz w:val="18"/>
                <w:szCs w:val="18"/>
              </w:rPr>
            </w:pPr>
            <w:r w:rsidRPr="00E20ECC">
              <w:rPr>
                <w:b/>
                <w:bCs/>
                <w:sz w:val="18"/>
                <w:szCs w:val="18"/>
              </w:rPr>
              <w:t>24,013,197</w:t>
            </w:r>
          </w:p>
        </w:tc>
        <w:tc>
          <w:tcPr>
            <w:tcW w:w="1237" w:type="dxa"/>
            <w:shd w:val="clear" w:color="auto" w:fill="DEEAF6" w:themeFill="accent5" w:themeFillTint="33"/>
            <w:vAlign w:val="center"/>
          </w:tcPr>
          <w:p w14:paraId="700ADC0D" w14:textId="26990E01" w:rsidR="00E20ECC" w:rsidRPr="00E20ECC" w:rsidRDefault="00E20ECC" w:rsidP="00164C4F">
            <w:pPr>
              <w:ind w:right="115"/>
              <w:jc w:val="right"/>
              <w:rPr>
                <w:rFonts w:cs="Arial"/>
                <w:b/>
                <w:bCs/>
                <w:sz w:val="18"/>
                <w:szCs w:val="18"/>
              </w:rPr>
            </w:pPr>
            <w:r w:rsidRPr="00E20ECC">
              <w:rPr>
                <w:b/>
                <w:bCs/>
                <w:sz w:val="18"/>
                <w:szCs w:val="18"/>
              </w:rPr>
              <w:t>24,670,631</w:t>
            </w:r>
          </w:p>
        </w:tc>
        <w:tc>
          <w:tcPr>
            <w:tcW w:w="1276" w:type="dxa"/>
            <w:shd w:val="clear" w:color="auto" w:fill="DEEAF6" w:themeFill="accent5" w:themeFillTint="33"/>
            <w:vAlign w:val="center"/>
          </w:tcPr>
          <w:p w14:paraId="6BA8CEBD" w14:textId="58BB06C4" w:rsidR="00E20ECC" w:rsidRPr="00E20ECC" w:rsidRDefault="00E20ECC" w:rsidP="00164C4F">
            <w:pPr>
              <w:ind w:right="115"/>
              <w:jc w:val="right"/>
              <w:rPr>
                <w:rFonts w:cs="Arial"/>
                <w:b/>
                <w:bCs/>
                <w:sz w:val="18"/>
                <w:szCs w:val="18"/>
              </w:rPr>
            </w:pPr>
            <w:r w:rsidRPr="00E20ECC">
              <w:rPr>
                <w:b/>
                <w:bCs/>
                <w:sz w:val="18"/>
                <w:szCs w:val="18"/>
              </w:rPr>
              <w:t>24,333,531</w:t>
            </w:r>
          </w:p>
        </w:tc>
        <w:tc>
          <w:tcPr>
            <w:tcW w:w="850" w:type="dxa"/>
            <w:shd w:val="clear" w:color="auto" w:fill="DEEAF6" w:themeFill="accent5" w:themeFillTint="33"/>
            <w:vAlign w:val="center"/>
          </w:tcPr>
          <w:p w14:paraId="461017C7" w14:textId="19FF7535" w:rsidR="00E20ECC" w:rsidRPr="00E20ECC" w:rsidRDefault="00E20ECC" w:rsidP="00164C4F">
            <w:pPr>
              <w:ind w:right="115"/>
              <w:jc w:val="right"/>
              <w:rPr>
                <w:rFonts w:cs="Arial"/>
                <w:b/>
                <w:bCs/>
                <w:color w:val="000000"/>
                <w:sz w:val="18"/>
                <w:szCs w:val="18"/>
              </w:rPr>
            </w:pPr>
            <w:r w:rsidRPr="00E20ECC">
              <w:rPr>
                <w:b/>
                <w:bCs/>
                <w:sz w:val="18"/>
                <w:szCs w:val="18"/>
              </w:rPr>
              <w:t>100.0</w:t>
            </w:r>
          </w:p>
        </w:tc>
      </w:tr>
    </w:tbl>
    <w:p w14:paraId="748886F7" w14:textId="77777777" w:rsidR="00D72C59" w:rsidRPr="00084E67" w:rsidRDefault="00D72C59" w:rsidP="00D72C59">
      <w:pPr>
        <w:pStyle w:val="Textodebloque1"/>
        <w:spacing w:before="0"/>
        <w:ind w:left="284" w:right="0" w:firstLine="0"/>
        <w:jc w:val="left"/>
        <w:rPr>
          <w:rFonts w:eastAsia="Arial" w:cs="Arial"/>
          <w:b w:val="0"/>
          <w:bCs/>
          <w:sz w:val="16"/>
          <w:szCs w:val="16"/>
        </w:rPr>
      </w:pPr>
      <w:r w:rsidRPr="009C10E1">
        <w:rPr>
          <w:rFonts w:eastAsia="Arial" w:cs="Arial"/>
          <w:b w:val="0"/>
          <w:bCs/>
          <w:sz w:val="16"/>
          <w:szCs w:val="16"/>
        </w:rPr>
        <w:t>Nota: La suma o resta de los parciales pueden no coincidir con los totales debido al redondeo</w:t>
      </w:r>
    </w:p>
    <w:p w14:paraId="33152A1C" w14:textId="4AD4D36D" w:rsidR="008D4AF7" w:rsidRDefault="008D4AF7" w:rsidP="008D4AF7">
      <w:pPr>
        <w:ind w:left="284"/>
        <w:jc w:val="both"/>
        <w:rPr>
          <w:rFonts w:cs="Arial"/>
          <w:color w:val="000000"/>
          <w:sz w:val="16"/>
          <w:szCs w:val="16"/>
          <w:lang w:val="es-MX" w:eastAsia="es-MX"/>
        </w:rPr>
      </w:pPr>
      <w:r>
        <w:rPr>
          <w:rFonts w:cs="Arial"/>
          <w:color w:val="000000"/>
          <w:sz w:val="16"/>
          <w:szCs w:val="16"/>
          <w:lang w:val="es-MX" w:eastAsia="es-MX"/>
        </w:rPr>
        <w:t xml:space="preserve">1/ </w:t>
      </w:r>
      <w:proofErr w:type="spellStart"/>
      <w:r>
        <w:rPr>
          <w:rFonts w:cs="Arial"/>
          <w:color w:val="000000"/>
          <w:sz w:val="16"/>
          <w:szCs w:val="16"/>
          <w:lang w:val="es-MX" w:eastAsia="es-MX"/>
        </w:rPr>
        <w:t>Est</w:t>
      </w:r>
      <w:proofErr w:type="spellEnd"/>
      <w:r>
        <w:rPr>
          <w:rFonts w:cs="Arial"/>
          <w:color w:val="000000"/>
          <w:sz w:val="16"/>
          <w:szCs w:val="16"/>
          <w:lang w:val="es-MX" w:eastAsia="es-MX"/>
        </w:rPr>
        <w:t>% Estructura porcentual</w:t>
      </w:r>
    </w:p>
    <w:p w14:paraId="34AE99A8" w14:textId="4DFD48B1" w:rsidR="00D72C59" w:rsidRPr="009C10E1" w:rsidRDefault="00D72C59" w:rsidP="00D72C59">
      <w:pPr>
        <w:ind w:left="284"/>
        <w:jc w:val="both"/>
        <w:rPr>
          <w:rFonts w:cs="Arial"/>
          <w:color w:val="000000"/>
          <w:sz w:val="16"/>
          <w:szCs w:val="16"/>
          <w:lang w:val="es-MX" w:eastAsia="es-MX"/>
        </w:rPr>
      </w:pPr>
      <w:r w:rsidRPr="009C10E1">
        <w:rPr>
          <w:rFonts w:cs="Arial"/>
          <w:color w:val="000000"/>
          <w:sz w:val="16"/>
          <w:szCs w:val="16"/>
          <w:lang w:val="es-MX" w:eastAsia="es-MX"/>
        </w:rPr>
        <w:t>Fuente: INEGI</w:t>
      </w:r>
    </w:p>
    <w:p w14:paraId="57C6838D" w14:textId="75B1926F" w:rsidR="00E20ECC" w:rsidRPr="00E20ECC" w:rsidRDefault="00E20ECC" w:rsidP="006B760B">
      <w:pPr>
        <w:pStyle w:val="Textodebloque1"/>
        <w:spacing w:before="120"/>
        <w:ind w:left="0" w:right="0" w:firstLine="0"/>
        <w:rPr>
          <w:rFonts w:eastAsia="Arial" w:cs="Arial"/>
          <w:b w:val="0"/>
          <w:bCs/>
          <w:sz w:val="24"/>
          <w:szCs w:val="24"/>
        </w:rPr>
      </w:pPr>
    </w:p>
    <w:p w14:paraId="0E50191E" w14:textId="5013C48B" w:rsidR="006B760B" w:rsidRPr="009A7981" w:rsidRDefault="006B760B" w:rsidP="006B760B">
      <w:pPr>
        <w:pStyle w:val="Textodebloque1"/>
        <w:spacing w:before="120"/>
        <w:ind w:left="0" w:right="0" w:firstLine="0"/>
        <w:rPr>
          <w:rFonts w:eastAsia="Arial" w:cs="Arial"/>
          <w:i/>
          <w:iCs/>
          <w:szCs w:val="22"/>
        </w:rPr>
      </w:pPr>
      <w:r>
        <w:rPr>
          <w:rFonts w:eastAsia="Arial" w:cs="Arial"/>
          <w:i/>
          <w:iCs/>
          <w:szCs w:val="22"/>
        </w:rPr>
        <w:t>Ingreso nacional disponible</w:t>
      </w:r>
    </w:p>
    <w:p w14:paraId="610D3847" w14:textId="531A468E" w:rsidR="006B760B" w:rsidRDefault="00B63702" w:rsidP="00D72C59">
      <w:pPr>
        <w:pStyle w:val="Textodebloque1"/>
        <w:spacing w:before="120"/>
        <w:ind w:left="0" w:right="0" w:firstLine="0"/>
        <w:rPr>
          <w:rFonts w:eastAsia="Arial" w:cs="Arial"/>
          <w:b w:val="0"/>
          <w:bCs/>
          <w:sz w:val="24"/>
          <w:szCs w:val="24"/>
        </w:rPr>
      </w:pPr>
      <w:r w:rsidRPr="00B63702">
        <w:rPr>
          <w:rFonts w:eastAsia="Arial" w:cs="Arial"/>
          <w:b w:val="0"/>
          <w:bCs/>
          <w:sz w:val="24"/>
          <w:szCs w:val="24"/>
        </w:rPr>
        <w:t>El ingreso disponible representa uno de los saldos más importantes en las cuentas, porque muestra cuánto puede ser consumido por los sectores institucionales sin necesidad de reducir los activos o incurrir en pasivos.</w:t>
      </w:r>
      <w:r w:rsidR="00D72C59">
        <w:rPr>
          <w:rFonts w:eastAsia="Arial" w:cs="Arial"/>
          <w:b w:val="0"/>
          <w:bCs/>
          <w:sz w:val="24"/>
          <w:szCs w:val="24"/>
        </w:rPr>
        <w:t xml:space="preserve"> </w:t>
      </w:r>
      <w:r w:rsidR="006B760B" w:rsidRPr="00D72C59">
        <w:rPr>
          <w:rFonts w:eastAsia="Arial" w:cs="Arial"/>
          <w:b w:val="0"/>
          <w:bCs/>
          <w:sz w:val="24"/>
          <w:szCs w:val="24"/>
        </w:rPr>
        <w:t xml:space="preserve">En el </w:t>
      </w:r>
      <w:r w:rsidRPr="00D72C59">
        <w:rPr>
          <w:rFonts w:eastAsia="Arial" w:cs="Arial"/>
          <w:b w:val="0"/>
          <w:bCs/>
          <w:sz w:val="24"/>
          <w:szCs w:val="24"/>
        </w:rPr>
        <w:t>primer trimestre de</w:t>
      </w:r>
      <w:r w:rsidR="006B760B" w:rsidRPr="00D72C59">
        <w:rPr>
          <w:rFonts w:eastAsia="Arial" w:cs="Arial"/>
          <w:b w:val="0"/>
          <w:bCs/>
          <w:sz w:val="24"/>
          <w:szCs w:val="24"/>
        </w:rPr>
        <w:t xml:space="preserve"> 2020, el </w:t>
      </w:r>
      <w:r w:rsidR="00A52544">
        <w:rPr>
          <w:rFonts w:eastAsia="Arial" w:cs="Arial"/>
          <w:b w:val="0"/>
          <w:bCs/>
          <w:sz w:val="24"/>
          <w:szCs w:val="24"/>
        </w:rPr>
        <w:t>I</w:t>
      </w:r>
      <w:r w:rsidR="006B760B" w:rsidRPr="00D72C59">
        <w:rPr>
          <w:rFonts w:eastAsia="Arial" w:cs="Arial"/>
          <w:b w:val="0"/>
          <w:bCs/>
          <w:sz w:val="24"/>
          <w:szCs w:val="24"/>
        </w:rPr>
        <w:t xml:space="preserve">ngreso </w:t>
      </w:r>
      <w:r w:rsidR="00A52544">
        <w:rPr>
          <w:rFonts w:eastAsia="Arial" w:cs="Arial"/>
          <w:b w:val="0"/>
          <w:bCs/>
          <w:sz w:val="24"/>
          <w:szCs w:val="24"/>
        </w:rPr>
        <w:t>D</w:t>
      </w:r>
      <w:r w:rsidR="006B760B" w:rsidRPr="00D72C59">
        <w:rPr>
          <w:rFonts w:eastAsia="Arial" w:cs="Arial"/>
          <w:b w:val="0"/>
          <w:bCs/>
          <w:sz w:val="24"/>
          <w:szCs w:val="24"/>
        </w:rPr>
        <w:t xml:space="preserve">isponible </w:t>
      </w:r>
      <w:r w:rsidR="00A52544">
        <w:rPr>
          <w:rFonts w:eastAsia="Arial" w:cs="Arial"/>
          <w:b w:val="0"/>
          <w:bCs/>
          <w:sz w:val="24"/>
          <w:szCs w:val="24"/>
        </w:rPr>
        <w:t>B</w:t>
      </w:r>
      <w:r w:rsidR="006B760B" w:rsidRPr="00D72C59">
        <w:rPr>
          <w:rFonts w:eastAsia="Arial" w:cs="Arial"/>
          <w:b w:val="0"/>
          <w:bCs/>
          <w:sz w:val="24"/>
          <w:szCs w:val="24"/>
        </w:rPr>
        <w:t xml:space="preserve">ruto (IDB) se ubicó en 6,013,132 millones de pesos, donde el sector de hogares concentra </w:t>
      </w:r>
      <w:r w:rsidR="000D25E1" w:rsidRPr="00D72C59">
        <w:rPr>
          <w:rFonts w:eastAsia="Arial" w:cs="Arial"/>
          <w:b w:val="0"/>
          <w:bCs/>
          <w:sz w:val="24"/>
          <w:szCs w:val="24"/>
        </w:rPr>
        <w:t>el 72.9%</w:t>
      </w:r>
      <w:r w:rsidR="006B760B" w:rsidRPr="00D72C59">
        <w:rPr>
          <w:rFonts w:eastAsia="Arial" w:cs="Arial"/>
          <w:b w:val="0"/>
          <w:bCs/>
          <w:sz w:val="24"/>
          <w:szCs w:val="24"/>
        </w:rPr>
        <w:t>, seguido del</w:t>
      </w:r>
      <w:r w:rsidR="000D25E1" w:rsidRPr="00D72C59">
        <w:rPr>
          <w:rFonts w:eastAsia="Arial" w:cs="Arial"/>
          <w:b w:val="0"/>
          <w:bCs/>
          <w:sz w:val="24"/>
          <w:szCs w:val="24"/>
        </w:rPr>
        <w:t xml:space="preserve"> Gobierno general con 12.1%, l</w:t>
      </w:r>
      <w:r w:rsidR="006B760B" w:rsidRPr="00D72C59">
        <w:rPr>
          <w:rFonts w:eastAsia="Arial" w:cs="Arial"/>
          <w:b w:val="0"/>
          <w:bCs/>
          <w:sz w:val="24"/>
          <w:szCs w:val="24"/>
        </w:rPr>
        <w:t xml:space="preserve">as Sociedades no financieras, con </w:t>
      </w:r>
      <w:r w:rsidR="000D25E1" w:rsidRPr="00D72C59">
        <w:rPr>
          <w:rFonts w:eastAsia="Arial" w:cs="Arial"/>
          <w:b w:val="0"/>
          <w:bCs/>
          <w:sz w:val="24"/>
          <w:szCs w:val="24"/>
        </w:rPr>
        <w:t>6.5%, p</w:t>
      </w:r>
      <w:r w:rsidR="006B760B" w:rsidRPr="00D72C59">
        <w:rPr>
          <w:rFonts w:eastAsia="Arial" w:cs="Arial"/>
          <w:b w:val="0"/>
          <w:bCs/>
          <w:sz w:val="24"/>
          <w:szCs w:val="24"/>
        </w:rPr>
        <w:t>or su parte</w:t>
      </w:r>
      <w:r w:rsidR="000D25E1" w:rsidRPr="00D72C59">
        <w:rPr>
          <w:rFonts w:eastAsia="Arial" w:cs="Arial"/>
          <w:b w:val="0"/>
          <w:bCs/>
          <w:sz w:val="24"/>
          <w:szCs w:val="24"/>
        </w:rPr>
        <w:t xml:space="preserve"> las </w:t>
      </w:r>
      <w:r w:rsidR="00A52544">
        <w:rPr>
          <w:rFonts w:eastAsia="Arial" w:cs="Arial"/>
          <w:b w:val="0"/>
          <w:bCs/>
          <w:sz w:val="24"/>
          <w:szCs w:val="24"/>
        </w:rPr>
        <w:t>S</w:t>
      </w:r>
      <w:r w:rsidR="000D25E1" w:rsidRPr="00D72C59">
        <w:rPr>
          <w:rFonts w:eastAsia="Arial" w:cs="Arial"/>
          <w:b w:val="0"/>
          <w:bCs/>
          <w:sz w:val="24"/>
          <w:szCs w:val="24"/>
        </w:rPr>
        <w:t xml:space="preserve">ociedades financieras participan con </w:t>
      </w:r>
      <w:r w:rsidR="00A52544">
        <w:rPr>
          <w:rFonts w:eastAsia="Arial" w:cs="Arial"/>
          <w:b w:val="0"/>
          <w:bCs/>
          <w:sz w:val="24"/>
          <w:szCs w:val="24"/>
        </w:rPr>
        <w:t>5.7</w:t>
      </w:r>
      <w:r w:rsidR="000D25E1" w:rsidRPr="00D72C59">
        <w:rPr>
          <w:rFonts w:eastAsia="Arial" w:cs="Arial"/>
          <w:b w:val="0"/>
          <w:bCs/>
          <w:sz w:val="24"/>
          <w:szCs w:val="24"/>
        </w:rPr>
        <w:t xml:space="preserve">% y un 2.9% </w:t>
      </w:r>
      <w:r w:rsidR="00A52544">
        <w:rPr>
          <w:rFonts w:eastAsia="Arial" w:cs="Arial"/>
          <w:b w:val="0"/>
          <w:bCs/>
          <w:sz w:val="24"/>
          <w:szCs w:val="24"/>
        </w:rPr>
        <w:t>lo aportaron</w:t>
      </w:r>
      <w:r w:rsidR="000D25E1" w:rsidRPr="00D72C59">
        <w:rPr>
          <w:rFonts w:eastAsia="Arial" w:cs="Arial"/>
          <w:b w:val="0"/>
          <w:bCs/>
          <w:sz w:val="24"/>
          <w:szCs w:val="24"/>
        </w:rPr>
        <w:t xml:space="preserve"> las </w:t>
      </w:r>
      <w:r w:rsidR="006D5F5C">
        <w:rPr>
          <w:rFonts w:eastAsia="Arial" w:cs="Arial"/>
          <w:b w:val="0"/>
          <w:bCs/>
          <w:sz w:val="24"/>
          <w:szCs w:val="24"/>
        </w:rPr>
        <w:t>ISFLSH</w:t>
      </w:r>
      <w:r w:rsidR="006B760B" w:rsidRPr="00D72C59">
        <w:rPr>
          <w:rFonts w:eastAsia="Arial" w:cs="Arial"/>
          <w:b w:val="0"/>
          <w:bCs/>
          <w:sz w:val="24"/>
          <w:szCs w:val="24"/>
        </w:rPr>
        <w:t>.</w:t>
      </w:r>
    </w:p>
    <w:p w14:paraId="506E83C9" w14:textId="3626F3E1" w:rsidR="00D676FE" w:rsidRPr="00D676FE" w:rsidRDefault="00D676FE" w:rsidP="006B760B">
      <w:pPr>
        <w:spacing w:before="120"/>
        <w:jc w:val="center"/>
        <w:rPr>
          <w:rFonts w:eastAsia="Arial" w:cs="Arial"/>
          <w:sz w:val="20"/>
          <w:szCs w:val="20"/>
          <w:lang w:val="es-ES_tradnl"/>
        </w:rPr>
      </w:pPr>
      <w:r w:rsidRPr="00D676FE">
        <w:rPr>
          <w:rFonts w:eastAsia="Arial" w:cs="Arial"/>
          <w:sz w:val="20"/>
          <w:szCs w:val="20"/>
          <w:lang w:val="es-ES_tradnl"/>
        </w:rPr>
        <w:t>Cuadro</w:t>
      </w:r>
      <w:r w:rsidR="00682EF0">
        <w:rPr>
          <w:rFonts w:eastAsia="Arial" w:cs="Arial"/>
          <w:sz w:val="20"/>
          <w:szCs w:val="20"/>
          <w:lang w:val="es-ES_tradnl"/>
        </w:rPr>
        <w:t xml:space="preserve"> </w:t>
      </w:r>
      <w:r w:rsidR="00FB2348">
        <w:rPr>
          <w:rFonts w:eastAsia="Arial" w:cs="Arial"/>
          <w:sz w:val="20"/>
          <w:szCs w:val="20"/>
          <w:lang w:val="es-ES_tradnl"/>
        </w:rPr>
        <w:t>2</w:t>
      </w:r>
    </w:p>
    <w:p w14:paraId="69ABC5E1" w14:textId="17E1E72E" w:rsidR="00D676FE" w:rsidRPr="00D676FE" w:rsidRDefault="006B760B" w:rsidP="00D676FE">
      <w:pPr>
        <w:jc w:val="center"/>
        <w:rPr>
          <w:rFonts w:eastAsia="Arial" w:cs="Arial"/>
          <w:b/>
          <w:bCs/>
          <w:sz w:val="22"/>
          <w:szCs w:val="22"/>
          <w:lang w:val="es-ES_tradnl"/>
        </w:rPr>
      </w:pPr>
      <w:r w:rsidRPr="00D676FE">
        <w:rPr>
          <w:rFonts w:eastAsia="Arial" w:cs="Arial"/>
          <w:b/>
          <w:bCs/>
          <w:sz w:val="22"/>
          <w:szCs w:val="22"/>
          <w:lang w:val="es-ES_tradnl"/>
        </w:rPr>
        <w:t>INGRESO DISPONIBLE BRUTO POR SECTOR INSTITUCIONAL</w:t>
      </w:r>
    </w:p>
    <w:p w14:paraId="2D405B9F" w14:textId="4B16CCD8" w:rsidR="00D676FE" w:rsidRPr="00D676FE" w:rsidRDefault="00084E67" w:rsidP="00D676FE">
      <w:pPr>
        <w:jc w:val="center"/>
        <w:rPr>
          <w:rFonts w:eastAsia="Arial" w:cs="Arial"/>
          <w:b/>
          <w:bCs/>
          <w:sz w:val="22"/>
          <w:szCs w:val="22"/>
          <w:lang w:val="es-ES_tradnl"/>
        </w:rPr>
      </w:pPr>
      <w:r>
        <w:rPr>
          <w:rFonts w:eastAsia="Arial" w:cs="Arial"/>
          <w:b/>
          <w:bCs/>
          <w:sz w:val="22"/>
          <w:szCs w:val="22"/>
          <w:lang w:val="es-ES_tradnl"/>
        </w:rPr>
        <w:t xml:space="preserve">AL </w:t>
      </w:r>
      <w:r w:rsidR="00D676FE" w:rsidRPr="00D676FE">
        <w:rPr>
          <w:rFonts w:eastAsia="Arial" w:cs="Arial"/>
          <w:b/>
          <w:bCs/>
          <w:sz w:val="22"/>
          <w:szCs w:val="22"/>
          <w:lang w:val="es-ES_tradnl"/>
        </w:rPr>
        <w:t>PRIMER TRIMESTRE DE 2020</w:t>
      </w:r>
    </w:p>
    <w:p w14:paraId="5CE5B632" w14:textId="7D3E9117" w:rsidR="006B760B" w:rsidRDefault="006B760B" w:rsidP="00D676FE">
      <w:pPr>
        <w:jc w:val="center"/>
        <w:rPr>
          <w:rFonts w:eastAsia="Arial" w:cs="Arial"/>
          <w:bCs/>
          <w:sz w:val="18"/>
          <w:szCs w:val="18"/>
        </w:rPr>
      </w:pPr>
      <w:r w:rsidRPr="00D676FE">
        <w:rPr>
          <w:rFonts w:eastAsia="Arial" w:cs="Arial"/>
          <w:bCs/>
          <w:sz w:val="18"/>
          <w:szCs w:val="18"/>
        </w:rPr>
        <w:t>(</w:t>
      </w:r>
      <w:r w:rsidR="00B63702">
        <w:rPr>
          <w:rFonts w:eastAsia="Arial" w:cs="Arial"/>
          <w:bCs/>
          <w:sz w:val="18"/>
          <w:szCs w:val="18"/>
        </w:rPr>
        <w:t>Millones de pesos</w:t>
      </w:r>
      <w:r w:rsidRPr="00D676FE">
        <w:rPr>
          <w:rFonts w:eastAsia="Arial" w:cs="Arial"/>
          <w:bCs/>
          <w:sz w:val="18"/>
          <w:szCs w:val="18"/>
        </w:rPr>
        <w:t>)</w:t>
      </w:r>
    </w:p>
    <w:tbl>
      <w:tblPr>
        <w:tblStyle w:val="Tablaconcuadrcula"/>
        <w:tblW w:w="9493" w:type="dxa"/>
        <w:tblLook w:val="04A0" w:firstRow="1" w:lastRow="0" w:firstColumn="1" w:lastColumn="0" w:noHBand="0" w:noVBand="1"/>
      </w:tblPr>
      <w:tblGrid>
        <w:gridCol w:w="2972"/>
        <w:gridCol w:w="1134"/>
        <w:gridCol w:w="1134"/>
        <w:gridCol w:w="1134"/>
        <w:gridCol w:w="1134"/>
        <w:gridCol w:w="1134"/>
        <w:gridCol w:w="851"/>
      </w:tblGrid>
      <w:tr w:rsidR="00B63702" w:rsidRPr="000D25E1" w14:paraId="30B6A1CA" w14:textId="0F0CB1AB" w:rsidTr="003463EA">
        <w:trPr>
          <w:trHeight w:val="254"/>
        </w:trPr>
        <w:tc>
          <w:tcPr>
            <w:tcW w:w="2972" w:type="dxa"/>
            <w:vMerge w:val="restart"/>
            <w:tcBorders>
              <w:bottom w:val="single" w:sz="4" w:space="0" w:color="000000" w:themeColor="text1"/>
              <w:right w:val="single" w:sz="4" w:space="0" w:color="000000" w:themeColor="text1"/>
            </w:tcBorders>
            <w:shd w:val="clear" w:color="auto" w:fill="DEEAF6" w:themeFill="accent5" w:themeFillTint="33"/>
            <w:vAlign w:val="center"/>
          </w:tcPr>
          <w:p w14:paraId="75EE16CB" w14:textId="34096642" w:rsidR="00B63702" w:rsidRPr="000D25E1" w:rsidRDefault="00B63702" w:rsidP="00D676FE">
            <w:pPr>
              <w:jc w:val="center"/>
              <w:rPr>
                <w:rFonts w:eastAsia="Arial" w:cs="Arial"/>
                <w:b/>
                <w:sz w:val="18"/>
                <w:szCs w:val="18"/>
              </w:rPr>
            </w:pPr>
            <w:bookmarkStart w:id="3" w:name="_Hlk49738836"/>
            <w:r w:rsidRPr="000D25E1">
              <w:rPr>
                <w:rFonts w:eastAsia="Arial" w:cs="Arial"/>
                <w:b/>
                <w:sz w:val="18"/>
                <w:szCs w:val="18"/>
              </w:rPr>
              <w:t xml:space="preserve">Denominación </w:t>
            </w:r>
          </w:p>
        </w:tc>
        <w:tc>
          <w:tcPr>
            <w:tcW w:w="4536" w:type="dxa"/>
            <w:gridSpan w:val="4"/>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F037D6E" w14:textId="0835F0A1" w:rsidR="00B63702" w:rsidRPr="000D25E1" w:rsidRDefault="00B63702" w:rsidP="00D676FE">
            <w:pPr>
              <w:jc w:val="center"/>
              <w:rPr>
                <w:rFonts w:eastAsia="Arial" w:cs="Arial"/>
                <w:b/>
                <w:sz w:val="18"/>
                <w:szCs w:val="18"/>
              </w:rPr>
            </w:pPr>
            <w:r w:rsidRPr="000D25E1">
              <w:rPr>
                <w:rFonts w:eastAsia="Arial" w:cs="Arial"/>
                <w:b/>
                <w:sz w:val="18"/>
                <w:szCs w:val="18"/>
              </w:rPr>
              <w:t>2019</w:t>
            </w:r>
          </w:p>
        </w:tc>
        <w:tc>
          <w:tcPr>
            <w:tcW w:w="1985" w:type="dxa"/>
            <w:gridSpan w:val="2"/>
            <w:tcBorders>
              <w:left w:val="single" w:sz="4" w:space="0" w:color="000000" w:themeColor="text1"/>
              <w:bottom w:val="single" w:sz="4" w:space="0" w:color="000000" w:themeColor="text1"/>
            </w:tcBorders>
            <w:shd w:val="clear" w:color="auto" w:fill="DEEAF6" w:themeFill="accent5" w:themeFillTint="33"/>
            <w:vAlign w:val="center"/>
          </w:tcPr>
          <w:p w14:paraId="7508AB15" w14:textId="058D45EE" w:rsidR="00B63702" w:rsidRPr="000D25E1" w:rsidRDefault="00B63702" w:rsidP="00D676FE">
            <w:pPr>
              <w:jc w:val="center"/>
              <w:rPr>
                <w:rFonts w:eastAsia="Arial" w:cs="Arial"/>
                <w:b/>
                <w:sz w:val="18"/>
                <w:szCs w:val="18"/>
              </w:rPr>
            </w:pPr>
            <w:r w:rsidRPr="000D25E1">
              <w:rPr>
                <w:rFonts w:eastAsia="Arial" w:cs="Arial"/>
                <w:b/>
                <w:sz w:val="18"/>
                <w:szCs w:val="18"/>
              </w:rPr>
              <w:t>2020</w:t>
            </w:r>
          </w:p>
        </w:tc>
      </w:tr>
      <w:tr w:rsidR="00B63702" w:rsidRPr="000D25E1" w14:paraId="27A1C8CD" w14:textId="68984D25" w:rsidTr="003463EA">
        <w:trPr>
          <w:trHeight w:val="254"/>
        </w:trPr>
        <w:tc>
          <w:tcPr>
            <w:tcW w:w="2972" w:type="dxa"/>
            <w:vMerge/>
            <w:tcBorders>
              <w:top w:val="single" w:sz="4" w:space="0" w:color="000000" w:themeColor="text1"/>
              <w:right w:val="single" w:sz="4" w:space="0" w:color="000000" w:themeColor="text1"/>
            </w:tcBorders>
            <w:shd w:val="clear" w:color="auto" w:fill="DEEAF6" w:themeFill="accent5" w:themeFillTint="33"/>
            <w:vAlign w:val="center"/>
          </w:tcPr>
          <w:p w14:paraId="69699EB1" w14:textId="77777777" w:rsidR="00B63702" w:rsidRPr="000D25E1" w:rsidRDefault="00B63702" w:rsidP="00D676FE">
            <w:pPr>
              <w:jc w:val="center"/>
              <w:rPr>
                <w:rFonts w:eastAsia="Arial" w:cs="Arial"/>
                <w:b/>
                <w:sz w:val="18"/>
                <w:szCs w:val="18"/>
              </w:rPr>
            </w:pPr>
          </w:p>
        </w:tc>
        <w:tc>
          <w:tcPr>
            <w:tcW w:w="113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13F9E41D" w14:textId="4743951C" w:rsidR="00B63702" w:rsidRPr="000D25E1" w:rsidRDefault="00B63702" w:rsidP="00D676FE">
            <w:pPr>
              <w:jc w:val="center"/>
              <w:rPr>
                <w:rFonts w:eastAsia="Arial" w:cs="Arial"/>
                <w:b/>
                <w:sz w:val="18"/>
                <w:szCs w:val="18"/>
              </w:rPr>
            </w:pPr>
            <w:r w:rsidRPr="000D25E1">
              <w:rPr>
                <w:rFonts w:eastAsia="Arial" w:cs="Arial"/>
                <w:b/>
                <w:sz w:val="18"/>
                <w:szCs w:val="18"/>
              </w:rPr>
              <w:t>I</w:t>
            </w:r>
          </w:p>
        </w:tc>
        <w:tc>
          <w:tcPr>
            <w:tcW w:w="113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74B0F104" w14:textId="7037C64D" w:rsidR="00B63702" w:rsidRPr="000D25E1" w:rsidRDefault="00B63702" w:rsidP="00D676FE">
            <w:pPr>
              <w:jc w:val="center"/>
              <w:rPr>
                <w:rFonts w:eastAsia="Arial" w:cs="Arial"/>
                <w:b/>
                <w:sz w:val="18"/>
                <w:szCs w:val="18"/>
              </w:rPr>
            </w:pPr>
            <w:r w:rsidRPr="000D25E1">
              <w:rPr>
                <w:rFonts w:eastAsia="Arial" w:cs="Arial"/>
                <w:b/>
                <w:sz w:val="18"/>
                <w:szCs w:val="18"/>
              </w:rPr>
              <w:t>II</w:t>
            </w:r>
          </w:p>
        </w:tc>
        <w:tc>
          <w:tcPr>
            <w:tcW w:w="113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431B2768" w14:textId="0C799B05" w:rsidR="00B63702" w:rsidRPr="000D25E1" w:rsidRDefault="00B63702" w:rsidP="00D676FE">
            <w:pPr>
              <w:jc w:val="center"/>
              <w:rPr>
                <w:rFonts w:eastAsia="Arial" w:cs="Arial"/>
                <w:b/>
                <w:sz w:val="18"/>
                <w:szCs w:val="18"/>
              </w:rPr>
            </w:pPr>
            <w:r w:rsidRPr="000D25E1">
              <w:rPr>
                <w:rFonts w:eastAsia="Arial" w:cs="Arial"/>
                <w:b/>
                <w:sz w:val="18"/>
                <w:szCs w:val="18"/>
              </w:rPr>
              <w:t>III</w:t>
            </w:r>
          </w:p>
        </w:tc>
        <w:tc>
          <w:tcPr>
            <w:tcW w:w="113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03C38B7D" w14:textId="2D678EE6" w:rsidR="00B63702" w:rsidRPr="000D25E1" w:rsidRDefault="00B63702" w:rsidP="00D676FE">
            <w:pPr>
              <w:jc w:val="center"/>
              <w:rPr>
                <w:rFonts w:eastAsia="Arial" w:cs="Arial"/>
                <w:b/>
                <w:sz w:val="18"/>
                <w:szCs w:val="18"/>
              </w:rPr>
            </w:pPr>
            <w:r w:rsidRPr="000D25E1">
              <w:rPr>
                <w:rFonts w:eastAsia="Arial" w:cs="Arial"/>
                <w:b/>
                <w:sz w:val="18"/>
                <w:szCs w:val="18"/>
              </w:rPr>
              <w:t>IV</w:t>
            </w:r>
          </w:p>
        </w:tc>
        <w:tc>
          <w:tcPr>
            <w:tcW w:w="1134" w:type="dxa"/>
            <w:tcBorders>
              <w:top w:val="single" w:sz="4" w:space="0" w:color="000000" w:themeColor="text1"/>
              <w:left w:val="single" w:sz="4" w:space="0" w:color="000000" w:themeColor="text1"/>
            </w:tcBorders>
            <w:shd w:val="clear" w:color="auto" w:fill="DEEAF6" w:themeFill="accent5" w:themeFillTint="33"/>
            <w:vAlign w:val="center"/>
          </w:tcPr>
          <w:p w14:paraId="7FCAF18E" w14:textId="78E1D88E" w:rsidR="00B63702" w:rsidRPr="000D25E1" w:rsidRDefault="00B63702" w:rsidP="00D676FE">
            <w:pPr>
              <w:jc w:val="center"/>
              <w:rPr>
                <w:rFonts w:eastAsia="Arial" w:cs="Arial"/>
                <w:b/>
                <w:sz w:val="18"/>
                <w:szCs w:val="18"/>
              </w:rPr>
            </w:pPr>
            <w:r w:rsidRPr="000D25E1">
              <w:rPr>
                <w:rFonts w:eastAsia="Arial" w:cs="Arial"/>
                <w:b/>
                <w:sz w:val="18"/>
                <w:szCs w:val="18"/>
              </w:rPr>
              <w:t>I</w:t>
            </w:r>
          </w:p>
        </w:tc>
        <w:tc>
          <w:tcPr>
            <w:tcW w:w="851" w:type="dxa"/>
            <w:tcBorders>
              <w:top w:val="single" w:sz="4" w:space="0" w:color="000000" w:themeColor="text1"/>
              <w:left w:val="single" w:sz="4" w:space="0" w:color="000000" w:themeColor="text1"/>
            </w:tcBorders>
            <w:shd w:val="clear" w:color="auto" w:fill="DEEAF6" w:themeFill="accent5" w:themeFillTint="33"/>
          </w:tcPr>
          <w:p w14:paraId="35D482D9" w14:textId="15F18B1D" w:rsidR="00B63702" w:rsidRPr="008D4AF7" w:rsidRDefault="000D25E1" w:rsidP="00D676FE">
            <w:pPr>
              <w:jc w:val="center"/>
              <w:rPr>
                <w:rFonts w:eastAsia="Arial" w:cs="Arial"/>
                <w:b/>
                <w:sz w:val="18"/>
                <w:szCs w:val="18"/>
                <w:vertAlign w:val="superscript"/>
              </w:rPr>
            </w:pPr>
            <w:r w:rsidRPr="000D25E1">
              <w:rPr>
                <w:rFonts w:eastAsia="Arial" w:cs="Arial"/>
                <w:b/>
                <w:sz w:val="18"/>
                <w:szCs w:val="18"/>
              </w:rPr>
              <w:t>Est%</w:t>
            </w:r>
            <w:r w:rsidR="008D4AF7">
              <w:rPr>
                <w:rFonts w:eastAsia="Arial" w:cs="Arial"/>
                <w:b/>
                <w:sz w:val="18"/>
                <w:szCs w:val="18"/>
                <w:vertAlign w:val="superscript"/>
              </w:rPr>
              <w:t>1</w:t>
            </w:r>
          </w:p>
        </w:tc>
      </w:tr>
      <w:tr w:rsidR="000D25E1" w:rsidRPr="000D25E1" w14:paraId="5E11B52E" w14:textId="34AC82B8" w:rsidTr="003463EA">
        <w:trPr>
          <w:trHeight w:val="254"/>
        </w:trPr>
        <w:tc>
          <w:tcPr>
            <w:tcW w:w="2972" w:type="dxa"/>
          </w:tcPr>
          <w:p w14:paraId="5B29A46F" w14:textId="184DFE0E" w:rsidR="000D25E1" w:rsidRPr="000D25E1" w:rsidRDefault="000D25E1" w:rsidP="000D25E1">
            <w:pPr>
              <w:rPr>
                <w:rFonts w:eastAsia="Arial" w:cs="Arial"/>
                <w:bCs/>
                <w:sz w:val="18"/>
                <w:szCs w:val="18"/>
              </w:rPr>
            </w:pPr>
            <w:r w:rsidRPr="000D25E1">
              <w:rPr>
                <w:rFonts w:cs="Arial"/>
                <w:sz w:val="18"/>
                <w:szCs w:val="18"/>
              </w:rPr>
              <w:t>S1. Economía interna</w:t>
            </w:r>
          </w:p>
        </w:tc>
        <w:tc>
          <w:tcPr>
            <w:tcW w:w="1134" w:type="dxa"/>
            <w:vAlign w:val="center"/>
          </w:tcPr>
          <w:p w14:paraId="679614BB" w14:textId="7AF37435" w:rsidR="000D25E1" w:rsidRPr="000D25E1" w:rsidRDefault="000D25E1" w:rsidP="000D25E1">
            <w:pPr>
              <w:ind w:right="115"/>
              <w:jc w:val="right"/>
              <w:rPr>
                <w:rFonts w:eastAsia="Arial" w:cs="Arial"/>
                <w:bCs/>
                <w:sz w:val="18"/>
                <w:szCs w:val="18"/>
              </w:rPr>
            </w:pPr>
            <w:r w:rsidRPr="000D25E1">
              <w:rPr>
                <w:rFonts w:cs="Arial"/>
                <w:color w:val="000000"/>
                <w:sz w:val="18"/>
                <w:szCs w:val="18"/>
              </w:rPr>
              <w:t>5,832,569</w:t>
            </w:r>
          </w:p>
        </w:tc>
        <w:tc>
          <w:tcPr>
            <w:tcW w:w="1134" w:type="dxa"/>
            <w:vAlign w:val="center"/>
          </w:tcPr>
          <w:p w14:paraId="03A6450B" w14:textId="5C393EA1" w:rsidR="000D25E1" w:rsidRPr="000D25E1" w:rsidRDefault="000D25E1" w:rsidP="000D25E1">
            <w:pPr>
              <w:ind w:right="115"/>
              <w:jc w:val="right"/>
              <w:rPr>
                <w:rFonts w:cs="Arial"/>
                <w:sz w:val="18"/>
                <w:szCs w:val="18"/>
              </w:rPr>
            </w:pPr>
            <w:r w:rsidRPr="000D25E1">
              <w:rPr>
                <w:rFonts w:cs="Arial"/>
                <w:color w:val="000000"/>
                <w:sz w:val="18"/>
                <w:szCs w:val="18"/>
              </w:rPr>
              <w:t>6,099,891</w:t>
            </w:r>
          </w:p>
        </w:tc>
        <w:tc>
          <w:tcPr>
            <w:tcW w:w="1134" w:type="dxa"/>
            <w:vAlign w:val="center"/>
          </w:tcPr>
          <w:p w14:paraId="1CB37B2F" w14:textId="66415B4F" w:rsidR="000D25E1" w:rsidRPr="000D25E1" w:rsidRDefault="000D25E1" w:rsidP="000D25E1">
            <w:pPr>
              <w:ind w:right="115"/>
              <w:jc w:val="right"/>
              <w:rPr>
                <w:rFonts w:cs="Arial"/>
                <w:sz w:val="18"/>
                <w:szCs w:val="18"/>
              </w:rPr>
            </w:pPr>
            <w:r w:rsidRPr="000D25E1">
              <w:rPr>
                <w:rFonts w:cs="Arial"/>
                <w:color w:val="000000"/>
                <w:sz w:val="18"/>
                <w:szCs w:val="18"/>
              </w:rPr>
              <w:t>6,085,272</w:t>
            </w:r>
          </w:p>
        </w:tc>
        <w:tc>
          <w:tcPr>
            <w:tcW w:w="1134" w:type="dxa"/>
            <w:vAlign w:val="center"/>
          </w:tcPr>
          <w:p w14:paraId="2C8978CA" w14:textId="0FD2139B" w:rsidR="000D25E1" w:rsidRPr="000D25E1" w:rsidRDefault="000D25E1" w:rsidP="000D25E1">
            <w:pPr>
              <w:ind w:right="115"/>
              <w:jc w:val="right"/>
              <w:rPr>
                <w:rFonts w:cs="Arial"/>
                <w:sz w:val="18"/>
                <w:szCs w:val="18"/>
              </w:rPr>
            </w:pPr>
            <w:r w:rsidRPr="000D25E1">
              <w:rPr>
                <w:rFonts w:cs="Arial"/>
                <w:color w:val="000000"/>
                <w:sz w:val="18"/>
                <w:szCs w:val="18"/>
              </w:rPr>
              <w:t>6,196,123</w:t>
            </w:r>
          </w:p>
        </w:tc>
        <w:tc>
          <w:tcPr>
            <w:tcW w:w="1134" w:type="dxa"/>
            <w:vAlign w:val="center"/>
          </w:tcPr>
          <w:p w14:paraId="30EBB87F" w14:textId="7C1C032C" w:rsidR="000D25E1" w:rsidRPr="000D25E1" w:rsidRDefault="000D25E1" w:rsidP="000D25E1">
            <w:pPr>
              <w:ind w:right="115"/>
              <w:jc w:val="right"/>
              <w:rPr>
                <w:rFonts w:cs="Arial"/>
                <w:sz w:val="18"/>
                <w:szCs w:val="18"/>
              </w:rPr>
            </w:pPr>
            <w:r w:rsidRPr="000D25E1">
              <w:rPr>
                <w:rFonts w:cs="Arial"/>
                <w:color w:val="000000"/>
                <w:sz w:val="18"/>
                <w:szCs w:val="18"/>
              </w:rPr>
              <w:t>6,013,132</w:t>
            </w:r>
          </w:p>
        </w:tc>
        <w:tc>
          <w:tcPr>
            <w:tcW w:w="851" w:type="dxa"/>
            <w:vAlign w:val="bottom"/>
          </w:tcPr>
          <w:p w14:paraId="591F960C" w14:textId="4667D627" w:rsidR="000D25E1" w:rsidRPr="000D25E1" w:rsidRDefault="000D25E1" w:rsidP="000D25E1">
            <w:pPr>
              <w:ind w:right="115"/>
              <w:jc w:val="right"/>
              <w:rPr>
                <w:rFonts w:cs="Arial"/>
                <w:color w:val="000000"/>
                <w:sz w:val="18"/>
                <w:szCs w:val="18"/>
              </w:rPr>
            </w:pPr>
            <w:r w:rsidRPr="000D25E1">
              <w:rPr>
                <w:rFonts w:cs="Arial"/>
                <w:color w:val="000000"/>
                <w:sz w:val="18"/>
                <w:szCs w:val="18"/>
              </w:rPr>
              <w:t>100.0</w:t>
            </w:r>
          </w:p>
        </w:tc>
      </w:tr>
      <w:tr w:rsidR="000D25E1" w:rsidRPr="000D25E1" w14:paraId="1E37CE2D" w14:textId="2BCC35F5" w:rsidTr="003463EA">
        <w:trPr>
          <w:trHeight w:val="254"/>
        </w:trPr>
        <w:tc>
          <w:tcPr>
            <w:tcW w:w="2972" w:type="dxa"/>
            <w:shd w:val="clear" w:color="auto" w:fill="DEEAF6" w:themeFill="accent5" w:themeFillTint="33"/>
          </w:tcPr>
          <w:p w14:paraId="4CDD59D6" w14:textId="03180C6C" w:rsidR="000D25E1" w:rsidRPr="000D25E1" w:rsidRDefault="000D25E1" w:rsidP="000D25E1">
            <w:pPr>
              <w:rPr>
                <w:rFonts w:eastAsia="Arial" w:cs="Arial"/>
                <w:bCs/>
                <w:sz w:val="18"/>
                <w:szCs w:val="18"/>
              </w:rPr>
            </w:pPr>
            <w:r w:rsidRPr="000D25E1">
              <w:rPr>
                <w:rFonts w:cs="Arial"/>
                <w:sz w:val="18"/>
                <w:szCs w:val="18"/>
              </w:rPr>
              <w:t>S.11.Sociedades no financieras</w:t>
            </w:r>
          </w:p>
        </w:tc>
        <w:tc>
          <w:tcPr>
            <w:tcW w:w="1134" w:type="dxa"/>
            <w:shd w:val="clear" w:color="auto" w:fill="DEEAF6" w:themeFill="accent5" w:themeFillTint="33"/>
            <w:vAlign w:val="center"/>
          </w:tcPr>
          <w:p w14:paraId="62CC3797" w14:textId="371454E4" w:rsidR="000D25E1" w:rsidRPr="000D25E1" w:rsidRDefault="000D25E1" w:rsidP="000D25E1">
            <w:pPr>
              <w:ind w:right="115"/>
              <w:jc w:val="right"/>
              <w:rPr>
                <w:rFonts w:eastAsia="Arial" w:cs="Arial"/>
                <w:bCs/>
                <w:sz w:val="18"/>
                <w:szCs w:val="18"/>
              </w:rPr>
            </w:pPr>
            <w:r w:rsidRPr="000D25E1">
              <w:rPr>
                <w:rFonts w:cs="Arial"/>
                <w:color w:val="000000"/>
                <w:sz w:val="18"/>
                <w:szCs w:val="18"/>
              </w:rPr>
              <w:t>362,798</w:t>
            </w:r>
          </w:p>
        </w:tc>
        <w:tc>
          <w:tcPr>
            <w:tcW w:w="1134" w:type="dxa"/>
            <w:shd w:val="clear" w:color="auto" w:fill="DEEAF6" w:themeFill="accent5" w:themeFillTint="33"/>
            <w:vAlign w:val="center"/>
          </w:tcPr>
          <w:p w14:paraId="4F7D7552" w14:textId="6359B374" w:rsidR="000D25E1" w:rsidRPr="000D25E1" w:rsidRDefault="000D25E1" w:rsidP="000D25E1">
            <w:pPr>
              <w:ind w:right="115"/>
              <w:jc w:val="right"/>
              <w:rPr>
                <w:rFonts w:cs="Arial"/>
                <w:sz w:val="18"/>
                <w:szCs w:val="18"/>
              </w:rPr>
            </w:pPr>
            <w:r w:rsidRPr="000D25E1">
              <w:rPr>
                <w:rFonts w:cs="Arial"/>
                <w:color w:val="000000"/>
                <w:sz w:val="18"/>
                <w:szCs w:val="18"/>
              </w:rPr>
              <w:t>597,167</w:t>
            </w:r>
          </w:p>
        </w:tc>
        <w:tc>
          <w:tcPr>
            <w:tcW w:w="1134" w:type="dxa"/>
            <w:shd w:val="clear" w:color="auto" w:fill="DEEAF6" w:themeFill="accent5" w:themeFillTint="33"/>
            <w:vAlign w:val="center"/>
          </w:tcPr>
          <w:p w14:paraId="1B0A9FFC" w14:textId="3DAED8E0" w:rsidR="000D25E1" w:rsidRPr="000D25E1" w:rsidRDefault="000D25E1" w:rsidP="000D25E1">
            <w:pPr>
              <w:ind w:right="115"/>
              <w:jc w:val="right"/>
              <w:rPr>
                <w:rFonts w:cs="Arial"/>
                <w:sz w:val="18"/>
                <w:szCs w:val="18"/>
              </w:rPr>
            </w:pPr>
            <w:r w:rsidRPr="000D25E1">
              <w:rPr>
                <w:rFonts w:cs="Arial"/>
                <w:color w:val="000000"/>
                <w:sz w:val="18"/>
                <w:szCs w:val="18"/>
              </w:rPr>
              <w:t>565,618</w:t>
            </w:r>
          </w:p>
        </w:tc>
        <w:tc>
          <w:tcPr>
            <w:tcW w:w="1134" w:type="dxa"/>
            <w:shd w:val="clear" w:color="auto" w:fill="DEEAF6" w:themeFill="accent5" w:themeFillTint="33"/>
            <w:vAlign w:val="center"/>
          </w:tcPr>
          <w:p w14:paraId="01A84E2F" w14:textId="0B59F4BC" w:rsidR="000D25E1" w:rsidRPr="000D25E1" w:rsidRDefault="000D25E1" w:rsidP="000D25E1">
            <w:pPr>
              <w:ind w:right="115"/>
              <w:jc w:val="right"/>
              <w:rPr>
                <w:rFonts w:cs="Arial"/>
                <w:sz w:val="18"/>
                <w:szCs w:val="18"/>
              </w:rPr>
            </w:pPr>
            <w:r w:rsidRPr="000D25E1">
              <w:rPr>
                <w:rFonts w:cs="Arial"/>
                <w:color w:val="000000"/>
                <w:sz w:val="18"/>
                <w:szCs w:val="18"/>
              </w:rPr>
              <w:t>667,120</w:t>
            </w:r>
          </w:p>
        </w:tc>
        <w:tc>
          <w:tcPr>
            <w:tcW w:w="1134" w:type="dxa"/>
            <w:shd w:val="clear" w:color="auto" w:fill="DEEAF6" w:themeFill="accent5" w:themeFillTint="33"/>
            <w:vAlign w:val="center"/>
          </w:tcPr>
          <w:p w14:paraId="30CC0710" w14:textId="6ADBFDD6" w:rsidR="000D25E1" w:rsidRPr="000D25E1" w:rsidRDefault="000D25E1" w:rsidP="000D25E1">
            <w:pPr>
              <w:ind w:right="115"/>
              <w:jc w:val="right"/>
              <w:rPr>
                <w:rFonts w:cs="Arial"/>
                <w:sz w:val="18"/>
                <w:szCs w:val="18"/>
              </w:rPr>
            </w:pPr>
            <w:r w:rsidRPr="000D25E1">
              <w:rPr>
                <w:rFonts w:cs="Arial"/>
                <w:color w:val="000000"/>
                <w:sz w:val="18"/>
                <w:szCs w:val="18"/>
              </w:rPr>
              <w:t>392,792</w:t>
            </w:r>
          </w:p>
        </w:tc>
        <w:tc>
          <w:tcPr>
            <w:tcW w:w="851" w:type="dxa"/>
            <w:shd w:val="clear" w:color="auto" w:fill="DEEAF6" w:themeFill="accent5" w:themeFillTint="33"/>
            <w:vAlign w:val="bottom"/>
          </w:tcPr>
          <w:p w14:paraId="543ECB8C" w14:textId="188F5E1A" w:rsidR="000D25E1" w:rsidRPr="000D25E1" w:rsidRDefault="000D25E1" w:rsidP="000D25E1">
            <w:pPr>
              <w:ind w:right="115"/>
              <w:jc w:val="right"/>
              <w:rPr>
                <w:rFonts w:cs="Arial"/>
                <w:color w:val="000000"/>
                <w:sz w:val="18"/>
                <w:szCs w:val="18"/>
              </w:rPr>
            </w:pPr>
            <w:r w:rsidRPr="000D25E1">
              <w:rPr>
                <w:rFonts w:cs="Arial"/>
                <w:color w:val="000000"/>
                <w:sz w:val="18"/>
                <w:szCs w:val="18"/>
              </w:rPr>
              <w:t>6.5</w:t>
            </w:r>
          </w:p>
        </w:tc>
      </w:tr>
      <w:tr w:rsidR="000D25E1" w:rsidRPr="000D25E1" w14:paraId="1C8E9E56" w14:textId="0813A802" w:rsidTr="003463EA">
        <w:trPr>
          <w:trHeight w:val="254"/>
        </w:trPr>
        <w:tc>
          <w:tcPr>
            <w:tcW w:w="2972" w:type="dxa"/>
          </w:tcPr>
          <w:p w14:paraId="300EED04" w14:textId="4CA13A97" w:rsidR="000D25E1" w:rsidRPr="000D25E1" w:rsidRDefault="000D25E1" w:rsidP="000D25E1">
            <w:pPr>
              <w:rPr>
                <w:rFonts w:eastAsia="Arial" w:cs="Arial"/>
                <w:bCs/>
                <w:sz w:val="18"/>
                <w:szCs w:val="18"/>
              </w:rPr>
            </w:pPr>
            <w:r w:rsidRPr="000D25E1">
              <w:rPr>
                <w:rFonts w:cs="Arial"/>
                <w:sz w:val="18"/>
                <w:szCs w:val="18"/>
              </w:rPr>
              <w:t>S.12. Sociedades financieras</w:t>
            </w:r>
          </w:p>
        </w:tc>
        <w:tc>
          <w:tcPr>
            <w:tcW w:w="1134" w:type="dxa"/>
            <w:vAlign w:val="center"/>
          </w:tcPr>
          <w:p w14:paraId="47A78357" w14:textId="3F11A23B" w:rsidR="000D25E1" w:rsidRPr="000D25E1" w:rsidRDefault="000D25E1" w:rsidP="000D25E1">
            <w:pPr>
              <w:ind w:right="115"/>
              <w:jc w:val="right"/>
              <w:rPr>
                <w:rFonts w:eastAsia="Arial" w:cs="Arial"/>
                <w:bCs/>
                <w:sz w:val="18"/>
                <w:szCs w:val="18"/>
              </w:rPr>
            </w:pPr>
            <w:r w:rsidRPr="000D25E1">
              <w:rPr>
                <w:rFonts w:cs="Arial"/>
                <w:color w:val="000000"/>
                <w:sz w:val="18"/>
                <w:szCs w:val="18"/>
              </w:rPr>
              <w:t>374,893</w:t>
            </w:r>
          </w:p>
        </w:tc>
        <w:tc>
          <w:tcPr>
            <w:tcW w:w="1134" w:type="dxa"/>
            <w:vAlign w:val="center"/>
          </w:tcPr>
          <w:p w14:paraId="00666A60" w14:textId="0FB9C4BD" w:rsidR="000D25E1" w:rsidRPr="000D25E1" w:rsidRDefault="000D25E1" w:rsidP="000D25E1">
            <w:pPr>
              <w:ind w:right="115"/>
              <w:jc w:val="right"/>
              <w:rPr>
                <w:rFonts w:cs="Arial"/>
                <w:sz w:val="18"/>
                <w:szCs w:val="18"/>
              </w:rPr>
            </w:pPr>
            <w:r w:rsidRPr="000D25E1">
              <w:rPr>
                <w:rFonts w:cs="Arial"/>
                <w:color w:val="000000"/>
                <w:sz w:val="18"/>
                <w:szCs w:val="18"/>
              </w:rPr>
              <w:t>339,597</w:t>
            </w:r>
          </w:p>
        </w:tc>
        <w:tc>
          <w:tcPr>
            <w:tcW w:w="1134" w:type="dxa"/>
            <w:vAlign w:val="center"/>
          </w:tcPr>
          <w:p w14:paraId="740BA4DC" w14:textId="4932D07C" w:rsidR="000D25E1" w:rsidRPr="000D25E1" w:rsidRDefault="000D25E1" w:rsidP="000D25E1">
            <w:pPr>
              <w:ind w:right="115"/>
              <w:jc w:val="right"/>
              <w:rPr>
                <w:rFonts w:cs="Arial"/>
                <w:sz w:val="18"/>
                <w:szCs w:val="18"/>
              </w:rPr>
            </w:pPr>
            <w:r w:rsidRPr="000D25E1">
              <w:rPr>
                <w:rFonts w:cs="Arial"/>
                <w:color w:val="000000"/>
                <w:sz w:val="18"/>
                <w:szCs w:val="18"/>
              </w:rPr>
              <w:t>346,545</w:t>
            </w:r>
          </w:p>
        </w:tc>
        <w:tc>
          <w:tcPr>
            <w:tcW w:w="1134" w:type="dxa"/>
            <w:vAlign w:val="center"/>
          </w:tcPr>
          <w:p w14:paraId="7DC090C5" w14:textId="4AA5902F" w:rsidR="000D25E1" w:rsidRPr="000D25E1" w:rsidRDefault="000D25E1" w:rsidP="000D25E1">
            <w:pPr>
              <w:ind w:right="115"/>
              <w:jc w:val="right"/>
              <w:rPr>
                <w:rFonts w:cs="Arial"/>
                <w:sz w:val="18"/>
                <w:szCs w:val="18"/>
              </w:rPr>
            </w:pPr>
            <w:r w:rsidRPr="000D25E1">
              <w:rPr>
                <w:rFonts w:cs="Arial"/>
                <w:color w:val="000000"/>
                <w:sz w:val="18"/>
                <w:szCs w:val="18"/>
              </w:rPr>
              <w:t>315,586</w:t>
            </w:r>
          </w:p>
        </w:tc>
        <w:tc>
          <w:tcPr>
            <w:tcW w:w="1134" w:type="dxa"/>
            <w:vAlign w:val="center"/>
          </w:tcPr>
          <w:p w14:paraId="5F7EBFBD" w14:textId="2A7BFE9B" w:rsidR="000D25E1" w:rsidRPr="000D25E1" w:rsidRDefault="000D25E1" w:rsidP="000D25E1">
            <w:pPr>
              <w:ind w:right="115"/>
              <w:jc w:val="right"/>
              <w:rPr>
                <w:rFonts w:cs="Arial"/>
                <w:sz w:val="18"/>
                <w:szCs w:val="18"/>
              </w:rPr>
            </w:pPr>
            <w:r w:rsidRPr="000D25E1">
              <w:rPr>
                <w:rFonts w:cs="Arial"/>
                <w:color w:val="000000"/>
                <w:sz w:val="18"/>
                <w:szCs w:val="18"/>
              </w:rPr>
              <w:t>340,343</w:t>
            </w:r>
          </w:p>
        </w:tc>
        <w:tc>
          <w:tcPr>
            <w:tcW w:w="851" w:type="dxa"/>
            <w:vAlign w:val="bottom"/>
          </w:tcPr>
          <w:p w14:paraId="752108A6" w14:textId="4F19CD4F" w:rsidR="000D25E1" w:rsidRPr="000D25E1" w:rsidRDefault="000D25E1" w:rsidP="000D25E1">
            <w:pPr>
              <w:ind w:right="115"/>
              <w:jc w:val="right"/>
              <w:rPr>
                <w:rFonts w:cs="Arial"/>
                <w:color w:val="000000"/>
                <w:sz w:val="18"/>
                <w:szCs w:val="18"/>
              </w:rPr>
            </w:pPr>
            <w:r w:rsidRPr="000D25E1">
              <w:rPr>
                <w:rFonts w:cs="Arial"/>
                <w:color w:val="000000"/>
                <w:sz w:val="18"/>
                <w:szCs w:val="18"/>
              </w:rPr>
              <w:t>5.7</w:t>
            </w:r>
          </w:p>
        </w:tc>
      </w:tr>
      <w:tr w:rsidR="000D25E1" w:rsidRPr="000D25E1" w14:paraId="23EBD8FC" w14:textId="0F55C3CA" w:rsidTr="003463EA">
        <w:trPr>
          <w:trHeight w:val="254"/>
        </w:trPr>
        <w:tc>
          <w:tcPr>
            <w:tcW w:w="2972" w:type="dxa"/>
            <w:shd w:val="clear" w:color="auto" w:fill="DEEAF6" w:themeFill="accent5" w:themeFillTint="33"/>
          </w:tcPr>
          <w:p w14:paraId="7E0A31AD" w14:textId="605184E7" w:rsidR="000D25E1" w:rsidRPr="000D25E1" w:rsidRDefault="000D25E1" w:rsidP="000D25E1">
            <w:pPr>
              <w:rPr>
                <w:rFonts w:eastAsia="Arial" w:cs="Arial"/>
                <w:bCs/>
                <w:sz w:val="18"/>
                <w:szCs w:val="18"/>
              </w:rPr>
            </w:pPr>
            <w:r w:rsidRPr="000D25E1">
              <w:rPr>
                <w:rFonts w:cs="Arial"/>
                <w:sz w:val="18"/>
                <w:szCs w:val="18"/>
              </w:rPr>
              <w:t>S.13. Gobierno general</w:t>
            </w:r>
          </w:p>
        </w:tc>
        <w:tc>
          <w:tcPr>
            <w:tcW w:w="1134" w:type="dxa"/>
            <w:shd w:val="clear" w:color="auto" w:fill="DEEAF6" w:themeFill="accent5" w:themeFillTint="33"/>
            <w:vAlign w:val="center"/>
          </w:tcPr>
          <w:p w14:paraId="6820BFE4" w14:textId="393A1EA9" w:rsidR="000D25E1" w:rsidRPr="000D25E1" w:rsidRDefault="000D25E1" w:rsidP="000D25E1">
            <w:pPr>
              <w:ind w:right="115"/>
              <w:jc w:val="right"/>
              <w:rPr>
                <w:rFonts w:eastAsia="Arial" w:cs="Arial"/>
                <w:bCs/>
                <w:sz w:val="18"/>
                <w:szCs w:val="18"/>
              </w:rPr>
            </w:pPr>
            <w:r w:rsidRPr="000D25E1">
              <w:rPr>
                <w:rFonts w:cs="Arial"/>
                <w:color w:val="000000"/>
                <w:sz w:val="18"/>
                <w:szCs w:val="18"/>
              </w:rPr>
              <w:t>626,866</w:t>
            </w:r>
          </w:p>
        </w:tc>
        <w:tc>
          <w:tcPr>
            <w:tcW w:w="1134" w:type="dxa"/>
            <w:shd w:val="clear" w:color="auto" w:fill="DEEAF6" w:themeFill="accent5" w:themeFillTint="33"/>
            <w:vAlign w:val="center"/>
          </w:tcPr>
          <w:p w14:paraId="4B6E8C62" w14:textId="59364FD1" w:rsidR="000D25E1" w:rsidRPr="000D25E1" w:rsidRDefault="000D25E1" w:rsidP="000D25E1">
            <w:pPr>
              <w:ind w:right="115"/>
              <w:jc w:val="right"/>
              <w:rPr>
                <w:rFonts w:cs="Arial"/>
                <w:sz w:val="18"/>
                <w:szCs w:val="18"/>
              </w:rPr>
            </w:pPr>
            <w:r w:rsidRPr="000D25E1">
              <w:rPr>
                <w:rFonts w:cs="Arial"/>
                <w:color w:val="000000"/>
                <w:sz w:val="18"/>
                <w:szCs w:val="18"/>
              </w:rPr>
              <w:t>494,207</w:t>
            </w:r>
          </w:p>
        </w:tc>
        <w:tc>
          <w:tcPr>
            <w:tcW w:w="1134" w:type="dxa"/>
            <w:shd w:val="clear" w:color="auto" w:fill="DEEAF6" w:themeFill="accent5" w:themeFillTint="33"/>
            <w:vAlign w:val="center"/>
          </w:tcPr>
          <w:p w14:paraId="6B0C5D6C" w14:textId="1DCE1408" w:rsidR="000D25E1" w:rsidRPr="000D25E1" w:rsidRDefault="000D25E1" w:rsidP="000D25E1">
            <w:pPr>
              <w:ind w:right="115"/>
              <w:jc w:val="right"/>
              <w:rPr>
                <w:rFonts w:cs="Arial"/>
                <w:sz w:val="18"/>
                <w:szCs w:val="18"/>
              </w:rPr>
            </w:pPr>
            <w:r w:rsidRPr="000D25E1">
              <w:rPr>
                <w:rFonts w:cs="Arial"/>
                <w:color w:val="000000"/>
                <w:sz w:val="18"/>
                <w:szCs w:val="18"/>
              </w:rPr>
              <w:t>493,594</w:t>
            </w:r>
          </w:p>
        </w:tc>
        <w:tc>
          <w:tcPr>
            <w:tcW w:w="1134" w:type="dxa"/>
            <w:shd w:val="clear" w:color="auto" w:fill="DEEAF6" w:themeFill="accent5" w:themeFillTint="33"/>
            <w:vAlign w:val="center"/>
          </w:tcPr>
          <w:p w14:paraId="5468DF8F" w14:textId="7A7599E3" w:rsidR="000D25E1" w:rsidRPr="000D25E1" w:rsidRDefault="000D25E1" w:rsidP="000D25E1">
            <w:pPr>
              <w:ind w:right="115"/>
              <w:jc w:val="right"/>
              <w:rPr>
                <w:rFonts w:cs="Arial"/>
                <w:sz w:val="18"/>
                <w:szCs w:val="18"/>
              </w:rPr>
            </w:pPr>
            <w:r w:rsidRPr="000D25E1">
              <w:rPr>
                <w:rFonts w:cs="Arial"/>
                <w:color w:val="000000"/>
                <w:sz w:val="18"/>
                <w:szCs w:val="18"/>
              </w:rPr>
              <w:t>470,950</w:t>
            </w:r>
          </w:p>
        </w:tc>
        <w:tc>
          <w:tcPr>
            <w:tcW w:w="1134" w:type="dxa"/>
            <w:shd w:val="clear" w:color="auto" w:fill="DEEAF6" w:themeFill="accent5" w:themeFillTint="33"/>
            <w:vAlign w:val="center"/>
          </w:tcPr>
          <w:p w14:paraId="56555D5F" w14:textId="12E3E07A" w:rsidR="000D25E1" w:rsidRPr="000D25E1" w:rsidRDefault="000D25E1" w:rsidP="000D25E1">
            <w:pPr>
              <w:ind w:right="115"/>
              <w:jc w:val="right"/>
              <w:rPr>
                <w:rFonts w:cs="Arial"/>
                <w:sz w:val="18"/>
                <w:szCs w:val="18"/>
              </w:rPr>
            </w:pPr>
            <w:r w:rsidRPr="000D25E1">
              <w:rPr>
                <w:rFonts w:cs="Arial"/>
                <w:color w:val="000000"/>
                <w:sz w:val="18"/>
                <w:szCs w:val="18"/>
              </w:rPr>
              <w:t>725,774</w:t>
            </w:r>
          </w:p>
        </w:tc>
        <w:tc>
          <w:tcPr>
            <w:tcW w:w="851" w:type="dxa"/>
            <w:shd w:val="clear" w:color="auto" w:fill="DEEAF6" w:themeFill="accent5" w:themeFillTint="33"/>
            <w:vAlign w:val="bottom"/>
          </w:tcPr>
          <w:p w14:paraId="6844DD0B" w14:textId="2BE61C94" w:rsidR="000D25E1" w:rsidRPr="000D25E1" w:rsidRDefault="000D25E1" w:rsidP="000D25E1">
            <w:pPr>
              <w:ind w:right="115"/>
              <w:jc w:val="right"/>
              <w:rPr>
                <w:rFonts w:cs="Arial"/>
                <w:color w:val="000000"/>
                <w:sz w:val="18"/>
                <w:szCs w:val="18"/>
              </w:rPr>
            </w:pPr>
            <w:r w:rsidRPr="000D25E1">
              <w:rPr>
                <w:rFonts w:cs="Arial"/>
                <w:color w:val="000000"/>
                <w:sz w:val="18"/>
                <w:szCs w:val="18"/>
              </w:rPr>
              <w:t>12.1</w:t>
            </w:r>
          </w:p>
        </w:tc>
      </w:tr>
      <w:tr w:rsidR="000D25E1" w:rsidRPr="000D25E1" w14:paraId="08F97DE4" w14:textId="34E0E5D5" w:rsidTr="003463EA">
        <w:trPr>
          <w:trHeight w:val="254"/>
        </w:trPr>
        <w:tc>
          <w:tcPr>
            <w:tcW w:w="2972" w:type="dxa"/>
          </w:tcPr>
          <w:p w14:paraId="444E2B9A" w14:textId="32647ECA" w:rsidR="000D25E1" w:rsidRPr="000D25E1" w:rsidRDefault="000D25E1" w:rsidP="000D25E1">
            <w:pPr>
              <w:rPr>
                <w:rFonts w:eastAsia="Arial" w:cs="Arial"/>
                <w:bCs/>
                <w:sz w:val="18"/>
                <w:szCs w:val="18"/>
              </w:rPr>
            </w:pPr>
            <w:r w:rsidRPr="000D25E1">
              <w:rPr>
                <w:rFonts w:cs="Arial"/>
                <w:sz w:val="18"/>
                <w:szCs w:val="18"/>
              </w:rPr>
              <w:t>S.14. Hogares</w:t>
            </w:r>
          </w:p>
        </w:tc>
        <w:tc>
          <w:tcPr>
            <w:tcW w:w="1134" w:type="dxa"/>
            <w:vAlign w:val="center"/>
          </w:tcPr>
          <w:p w14:paraId="05EB9674" w14:textId="428035AF" w:rsidR="000D25E1" w:rsidRPr="000D25E1" w:rsidRDefault="000D25E1" w:rsidP="000D25E1">
            <w:pPr>
              <w:ind w:right="115"/>
              <w:jc w:val="right"/>
              <w:rPr>
                <w:rFonts w:eastAsia="Arial" w:cs="Arial"/>
                <w:bCs/>
                <w:sz w:val="18"/>
                <w:szCs w:val="18"/>
              </w:rPr>
            </w:pPr>
            <w:r w:rsidRPr="000D25E1">
              <w:rPr>
                <w:rFonts w:cs="Arial"/>
                <w:color w:val="000000"/>
                <w:sz w:val="18"/>
                <w:szCs w:val="18"/>
              </w:rPr>
              <w:t>4,314,553</w:t>
            </w:r>
          </w:p>
        </w:tc>
        <w:tc>
          <w:tcPr>
            <w:tcW w:w="1134" w:type="dxa"/>
            <w:vAlign w:val="center"/>
          </w:tcPr>
          <w:p w14:paraId="39F79C02" w14:textId="2CDFE435" w:rsidR="000D25E1" w:rsidRPr="000D25E1" w:rsidRDefault="000D25E1" w:rsidP="000D25E1">
            <w:pPr>
              <w:ind w:right="115"/>
              <w:jc w:val="right"/>
              <w:rPr>
                <w:rFonts w:cs="Arial"/>
                <w:sz w:val="18"/>
                <w:szCs w:val="18"/>
              </w:rPr>
            </w:pPr>
            <w:r w:rsidRPr="000D25E1">
              <w:rPr>
                <w:rFonts w:cs="Arial"/>
                <w:color w:val="000000"/>
                <w:sz w:val="18"/>
                <w:szCs w:val="18"/>
              </w:rPr>
              <w:t>4,510,933</w:t>
            </w:r>
          </w:p>
        </w:tc>
        <w:tc>
          <w:tcPr>
            <w:tcW w:w="1134" w:type="dxa"/>
            <w:vAlign w:val="center"/>
          </w:tcPr>
          <w:p w14:paraId="6B28D795" w14:textId="2ABE8ED1" w:rsidR="000D25E1" w:rsidRPr="000D25E1" w:rsidRDefault="000D25E1" w:rsidP="000D25E1">
            <w:pPr>
              <w:ind w:right="115"/>
              <w:jc w:val="right"/>
              <w:rPr>
                <w:rFonts w:cs="Arial"/>
                <w:sz w:val="18"/>
                <w:szCs w:val="18"/>
              </w:rPr>
            </w:pPr>
            <w:r w:rsidRPr="000D25E1">
              <w:rPr>
                <w:rFonts w:cs="Arial"/>
                <w:color w:val="000000"/>
                <w:sz w:val="18"/>
                <w:szCs w:val="18"/>
              </w:rPr>
              <w:t>4,505,969</w:t>
            </w:r>
          </w:p>
        </w:tc>
        <w:tc>
          <w:tcPr>
            <w:tcW w:w="1134" w:type="dxa"/>
            <w:vAlign w:val="center"/>
          </w:tcPr>
          <w:p w14:paraId="18E36DAF" w14:textId="3445A4D7" w:rsidR="000D25E1" w:rsidRPr="000D25E1" w:rsidRDefault="000D25E1" w:rsidP="000D25E1">
            <w:pPr>
              <w:ind w:right="115"/>
              <w:jc w:val="right"/>
              <w:rPr>
                <w:rFonts w:cs="Arial"/>
                <w:sz w:val="18"/>
                <w:szCs w:val="18"/>
              </w:rPr>
            </w:pPr>
            <w:r w:rsidRPr="000D25E1">
              <w:rPr>
                <w:rFonts w:cs="Arial"/>
                <w:color w:val="000000"/>
                <w:sz w:val="18"/>
                <w:szCs w:val="18"/>
              </w:rPr>
              <w:t>4,569,793</w:t>
            </w:r>
          </w:p>
        </w:tc>
        <w:tc>
          <w:tcPr>
            <w:tcW w:w="1134" w:type="dxa"/>
            <w:vAlign w:val="center"/>
          </w:tcPr>
          <w:p w14:paraId="67F3A478" w14:textId="79CCDE1F" w:rsidR="000D25E1" w:rsidRPr="000D25E1" w:rsidRDefault="000D25E1" w:rsidP="000D25E1">
            <w:pPr>
              <w:ind w:right="115"/>
              <w:jc w:val="right"/>
              <w:rPr>
                <w:rFonts w:cs="Arial"/>
                <w:sz w:val="18"/>
                <w:szCs w:val="18"/>
              </w:rPr>
            </w:pPr>
            <w:r w:rsidRPr="000D25E1">
              <w:rPr>
                <w:rFonts w:cs="Arial"/>
                <w:color w:val="000000"/>
                <w:sz w:val="18"/>
                <w:szCs w:val="18"/>
              </w:rPr>
              <w:t>4,381,351</w:t>
            </w:r>
          </w:p>
        </w:tc>
        <w:tc>
          <w:tcPr>
            <w:tcW w:w="851" w:type="dxa"/>
            <w:vAlign w:val="bottom"/>
          </w:tcPr>
          <w:p w14:paraId="32DDF95E" w14:textId="35E31B2E" w:rsidR="000D25E1" w:rsidRPr="000D25E1" w:rsidRDefault="000D25E1" w:rsidP="000D25E1">
            <w:pPr>
              <w:ind w:right="115"/>
              <w:jc w:val="right"/>
              <w:rPr>
                <w:rFonts w:cs="Arial"/>
                <w:color w:val="000000"/>
                <w:sz w:val="18"/>
                <w:szCs w:val="18"/>
              </w:rPr>
            </w:pPr>
            <w:r w:rsidRPr="000D25E1">
              <w:rPr>
                <w:rFonts w:cs="Arial"/>
                <w:color w:val="000000"/>
                <w:sz w:val="18"/>
                <w:szCs w:val="18"/>
              </w:rPr>
              <w:t>72.9</w:t>
            </w:r>
          </w:p>
        </w:tc>
      </w:tr>
      <w:tr w:rsidR="000D25E1" w:rsidRPr="000D25E1" w14:paraId="59991EAE" w14:textId="08B44E96" w:rsidTr="003463EA">
        <w:trPr>
          <w:trHeight w:val="254"/>
        </w:trPr>
        <w:tc>
          <w:tcPr>
            <w:tcW w:w="2972" w:type="dxa"/>
            <w:shd w:val="clear" w:color="auto" w:fill="DEEAF6" w:themeFill="accent5" w:themeFillTint="33"/>
          </w:tcPr>
          <w:p w14:paraId="6105A664" w14:textId="796986DB" w:rsidR="000D25E1" w:rsidRPr="008D4AF7" w:rsidRDefault="000D25E1" w:rsidP="000D25E1">
            <w:pPr>
              <w:rPr>
                <w:rFonts w:eastAsia="Arial" w:cs="Arial"/>
                <w:bCs/>
                <w:sz w:val="18"/>
                <w:szCs w:val="18"/>
                <w:vertAlign w:val="superscript"/>
              </w:rPr>
            </w:pPr>
            <w:r w:rsidRPr="000D25E1">
              <w:rPr>
                <w:rFonts w:cs="Arial"/>
                <w:sz w:val="18"/>
                <w:szCs w:val="18"/>
              </w:rPr>
              <w:t>S.15. ISFLSH</w:t>
            </w:r>
            <w:r w:rsidR="008D4AF7">
              <w:rPr>
                <w:rFonts w:cs="Arial"/>
                <w:sz w:val="18"/>
                <w:szCs w:val="18"/>
              </w:rPr>
              <w:t xml:space="preserve"> *</w:t>
            </w:r>
          </w:p>
        </w:tc>
        <w:tc>
          <w:tcPr>
            <w:tcW w:w="1134" w:type="dxa"/>
            <w:shd w:val="clear" w:color="auto" w:fill="DEEAF6" w:themeFill="accent5" w:themeFillTint="33"/>
            <w:vAlign w:val="center"/>
          </w:tcPr>
          <w:p w14:paraId="30CD2D16" w14:textId="101F8480" w:rsidR="000D25E1" w:rsidRPr="000D25E1" w:rsidRDefault="000D25E1" w:rsidP="000D25E1">
            <w:pPr>
              <w:ind w:right="115"/>
              <w:jc w:val="right"/>
              <w:rPr>
                <w:rFonts w:eastAsia="Arial" w:cs="Arial"/>
                <w:bCs/>
                <w:sz w:val="18"/>
                <w:szCs w:val="18"/>
              </w:rPr>
            </w:pPr>
            <w:r w:rsidRPr="000D25E1">
              <w:rPr>
                <w:rFonts w:cs="Arial"/>
                <w:color w:val="000000"/>
                <w:sz w:val="18"/>
                <w:szCs w:val="18"/>
              </w:rPr>
              <w:t>153,460</w:t>
            </w:r>
          </w:p>
        </w:tc>
        <w:tc>
          <w:tcPr>
            <w:tcW w:w="1134" w:type="dxa"/>
            <w:shd w:val="clear" w:color="auto" w:fill="DEEAF6" w:themeFill="accent5" w:themeFillTint="33"/>
            <w:vAlign w:val="center"/>
          </w:tcPr>
          <w:p w14:paraId="4A4767E7" w14:textId="1D5F26F7" w:rsidR="000D25E1" w:rsidRPr="000D25E1" w:rsidRDefault="000D25E1" w:rsidP="000D25E1">
            <w:pPr>
              <w:ind w:right="115"/>
              <w:jc w:val="right"/>
              <w:rPr>
                <w:rFonts w:cs="Arial"/>
                <w:sz w:val="18"/>
                <w:szCs w:val="18"/>
              </w:rPr>
            </w:pPr>
            <w:r w:rsidRPr="000D25E1">
              <w:rPr>
                <w:rFonts w:cs="Arial"/>
                <w:color w:val="000000"/>
                <w:sz w:val="18"/>
                <w:szCs w:val="18"/>
              </w:rPr>
              <w:t>157,988</w:t>
            </w:r>
          </w:p>
        </w:tc>
        <w:tc>
          <w:tcPr>
            <w:tcW w:w="1134" w:type="dxa"/>
            <w:shd w:val="clear" w:color="auto" w:fill="DEEAF6" w:themeFill="accent5" w:themeFillTint="33"/>
            <w:vAlign w:val="center"/>
          </w:tcPr>
          <w:p w14:paraId="3069EAA0" w14:textId="07D45FA0" w:rsidR="000D25E1" w:rsidRPr="000D25E1" w:rsidRDefault="000D25E1" w:rsidP="000D25E1">
            <w:pPr>
              <w:ind w:right="115"/>
              <w:jc w:val="right"/>
              <w:rPr>
                <w:rFonts w:cs="Arial"/>
                <w:sz w:val="18"/>
                <w:szCs w:val="18"/>
              </w:rPr>
            </w:pPr>
            <w:r w:rsidRPr="000D25E1">
              <w:rPr>
                <w:rFonts w:cs="Arial"/>
                <w:color w:val="000000"/>
                <w:sz w:val="18"/>
                <w:szCs w:val="18"/>
              </w:rPr>
              <w:t>173,546</w:t>
            </w:r>
          </w:p>
        </w:tc>
        <w:tc>
          <w:tcPr>
            <w:tcW w:w="1134" w:type="dxa"/>
            <w:shd w:val="clear" w:color="auto" w:fill="DEEAF6" w:themeFill="accent5" w:themeFillTint="33"/>
            <w:vAlign w:val="center"/>
          </w:tcPr>
          <w:p w14:paraId="6A5AD091" w14:textId="3ABB6D78" w:rsidR="000D25E1" w:rsidRPr="000D25E1" w:rsidRDefault="000D25E1" w:rsidP="000D25E1">
            <w:pPr>
              <w:ind w:right="115"/>
              <w:jc w:val="right"/>
              <w:rPr>
                <w:rFonts w:cs="Arial"/>
                <w:sz w:val="18"/>
                <w:szCs w:val="18"/>
              </w:rPr>
            </w:pPr>
            <w:r w:rsidRPr="000D25E1">
              <w:rPr>
                <w:rFonts w:cs="Arial"/>
                <w:color w:val="000000"/>
                <w:sz w:val="18"/>
                <w:szCs w:val="18"/>
              </w:rPr>
              <w:t>172,674</w:t>
            </w:r>
          </w:p>
        </w:tc>
        <w:tc>
          <w:tcPr>
            <w:tcW w:w="1134" w:type="dxa"/>
            <w:shd w:val="clear" w:color="auto" w:fill="DEEAF6" w:themeFill="accent5" w:themeFillTint="33"/>
            <w:vAlign w:val="center"/>
          </w:tcPr>
          <w:p w14:paraId="39003FB7" w14:textId="59D81B40" w:rsidR="000D25E1" w:rsidRPr="000D25E1" w:rsidRDefault="000D25E1" w:rsidP="000D25E1">
            <w:pPr>
              <w:ind w:right="115"/>
              <w:jc w:val="right"/>
              <w:rPr>
                <w:rFonts w:cs="Arial"/>
                <w:sz w:val="18"/>
                <w:szCs w:val="18"/>
              </w:rPr>
            </w:pPr>
            <w:r w:rsidRPr="000D25E1">
              <w:rPr>
                <w:rFonts w:cs="Arial"/>
                <w:color w:val="000000"/>
                <w:sz w:val="18"/>
                <w:szCs w:val="18"/>
              </w:rPr>
              <w:t>172,872</w:t>
            </w:r>
          </w:p>
        </w:tc>
        <w:tc>
          <w:tcPr>
            <w:tcW w:w="851" w:type="dxa"/>
            <w:shd w:val="clear" w:color="auto" w:fill="DEEAF6" w:themeFill="accent5" w:themeFillTint="33"/>
            <w:vAlign w:val="bottom"/>
          </w:tcPr>
          <w:p w14:paraId="08379641" w14:textId="64967D24" w:rsidR="000D25E1" w:rsidRPr="000D25E1" w:rsidRDefault="000D25E1" w:rsidP="000D25E1">
            <w:pPr>
              <w:ind w:right="115"/>
              <w:jc w:val="right"/>
              <w:rPr>
                <w:rFonts w:cs="Arial"/>
                <w:color w:val="000000"/>
                <w:sz w:val="18"/>
                <w:szCs w:val="18"/>
              </w:rPr>
            </w:pPr>
            <w:r w:rsidRPr="000D25E1">
              <w:rPr>
                <w:rFonts w:cs="Arial"/>
                <w:color w:val="000000"/>
                <w:sz w:val="18"/>
                <w:szCs w:val="18"/>
              </w:rPr>
              <w:t>2.9</w:t>
            </w:r>
          </w:p>
        </w:tc>
      </w:tr>
    </w:tbl>
    <w:bookmarkEnd w:id="3"/>
    <w:p w14:paraId="757F8CAD" w14:textId="0E8F7EF6" w:rsidR="008D4AF7" w:rsidRPr="008D4AF7" w:rsidRDefault="006B760B" w:rsidP="003463EA">
      <w:pPr>
        <w:ind w:left="142"/>
        <w:rPr>
          <w:rFonts w:eastAsia="Arial" w:cs="Arial"/>
          <w:noProof/>
          <w:sz w:val="16"/>
          <w:szCs w:val="16"/>
          <w:lang w:val="es-MX" w:eastAsia="es-MX"/>
        </w:rPr>
      </w:pPr>
      <w:r w:rsidRPr="00D676FE">
        <w:rPr>
          <w:rFonts w:eastAsia="Arial" w:cs="Arial"/>
          <w:noProof/>
          <w:sz w:val="16"/>
          <w:szCs w:val="16"/>
          <w:lang w:val="es-MX" w:eastAsia="es-MX"/>
        </w:rPr>
        <w:t xml:space="preserve">Nota: </w:t>
      </w:r>
      <w:r w:rsidR="008D4AF7" w:rsidRPr="008D4AF7">
        <w:rPr>
          <w:rFonts w:eastAsia="Arial" w:cs="Arial"/>
          <w:sz w:val="16"/>
          <w:szCs w:val="16"/>
        </w:rPr>
        <w:t>La suma o resta de los parciales pueden no coincidir con los totales debido al redondeo</w:t>
      </w:r>
    </w:p>
    <w:p w14:paraId="67F87D91" w14:textId="373687AE" w:rsidR="008D4AF7" w:rsidRDefault="008D4AF7" w:rsidP="008D4AF7">
      <w:pPr>
        <w:ind w:left="142"/>
        <w:jc w:val="both"/>
        <w:rPr>
          <w:rFonts w:cs="Arial"/>
          <w:color w:val="000000"/>
          <w:sz w:val="16"/>
          <w:szCs w:val="16"/>
          <w:lang w:val="es-MX" w:eastAsia="es-MX"/>
        </w:rPr>
      </w:pPr>
      <w:r>
        <w:rPr>
          <w:rFonts w:cs="Arial"/>
          <w:color w:val="000000"/>
          <w:sz w:val="16"/>
          <w:szCs w:val="16"/>
          <w:lang w:val="es-MX" w:eastAsia="es-MX"/>
        </w:rPr>
        <w:t xml:space="preserve">1/ </w:t>
      </w:r>
      <w:proofErr w:type="spellStart"/>
      <w:r>
        <w:rPr>
          <w:rFonts w:cs="Arial"/>
          <w:color w:val="000000"/>
          <w:sz w:val="16"/>
          <w:szCs w:val="16"/>
          <w:lang w:val="es-MX" w:eastAsia="es-MX"/>
        </w:rPr>
        <w:t>Est</w:t>
      </w:r>
      <w:proofErr w:type="spellEnd"/>
      <w:r>
        <w:rPr>
          <w:rFonts w:cs="Arial"/>
          <w:color w:val="000000"/>
          <w:sz w:val="16"/>
          <w:szCs w:val="16"/>
          <w:lang w:val="es-MX" w:eastAsia="es-MX"/>
        </w:rPr>
        <w:t>%: Estructura porcentual</w:t>
      </w:r>
    </w:p>
    <w:p w14:paraId="4BBE8D8E" w14:textId="5873C443" w:rsidR="006B760B" w:rsidRDefault="008D4AF7" w:rsidP="003463EA">
      <w:pPr>
        <w:ind w:left="142"/>
        <w:rPr>
          <w:rFonts w:eastAsia="Arial" w:cs="Arial"/>
          <w:noProof/>
          <w:sz w:val="16"/>
          <w:szCs w:val="16"/>
          <w:lang w:val="es-MX" w:eastAsia="es-MX"/>
        </w:rPr>
      </w:pPr>
      <w:r>
        <w:rPr>
          <w:rFonts w:eastAsia="Arial" w:cs="Arial"/>
          <w:noProof/>
          <w:sz w:val="16"/>
          <w:szCs w:val="16"/>
          <w:lang w:val="es-MX" w:eastAsia="es-MX"/>
        </w:rPr>
        <w:t xml:space="preserve">* </w:t>
      </w:r>
      <w:r w:rsidR="006B760B" w:rsidRPr="00D676FE">
        <w:rPr>
          <w:rFonts w:eastAsia="Arial" w:cs="Arial"/>
          <w:noProof/>
          <w:sz w:val="16"/>
          <w:szCs w:val="16"/>
          <w:lang w:val="es-MX" w:eastAsia="es-MX"/>
        </w:rPr>
        <w:t>ISFLSH</w:t>
      </w:r>
      <w:r>
        <w:rPr>
          <w:rFonts w:eastAsia="Arial" w:cs="Arial"/>
          <w:noProof/>
          <w:sz w:val="16"/>
          <w:szCs w:val="16"/>
          <w:lang w:val="es-MX" w:eastAsia="es-MX"/>
        </w:rPr>
        <w:t>:</w:t>
      </w:r>
      <w:r w:rsidR="006B760B" w:rsidRPr="00D676FE">
        <w:rPr>
          <w:rFonts w:eastAsia="Arial" w:cs="Arial"/>
          <w:noProof/>
          <w:sz w:val="16"/>
          <w:szCs w:val="16"/>
          <w:lang w:val="es-MX" w:eastAsia="es-MX"/>
        </w:rPr>
        <w:t xml:space="preserve"> Instituciones sin fines de lucro </w:t>
      </w:r>
      <w:r w:rsidR="006D5F5C">
        <w:rPr>
          <w:rFonts w:eastAsia="Arial" w:cs="Arial"/>
          <w:noProof/>
          <w:sz w:val="16"/>
          <w:szCs w:val="16"/>
          <w:lang w:val="es-MX" w:eastAsia="es-MX"/>
        </w:rPr>
        <w:t>que sirven a</w:t>
      </w:r>
      <w:r w:rsidR="006B760B" w:rsidRPr="00D676FE">
        <w:rPr>
          <w:rFonts w:eastAsia="Arial" w:cs="Arial"/>
          <w:noProof/>
          <w:sz w:val="16"/>
          <w:szCs w:val="16"/>
          <w:lang w:val="es-MX" w:eastAsia="es-MX"/>
        </w:rPr>
        <w:t xml:space="preserve"> los hogares</w:t>
      </w:r>
    </w:p>
    <w:p w14:paraId="68496882" w14:textId="77777777" w:rsidR="006B760B" w:rsidRPr="00D676FE" w:rsidRDefault="006B760B" w:rsidP="003463EA">
      <w:pPr>
        <w:ind w:left="142"/>
        <w:rPr>
          <w:rFonts w:eastAsia="Arial" w:cs="Arial"/>
          <w:bCs/>
          <w:sz w:val="16"/>
          <w:szCs w:val="16"/>
        </w:rPr>
      </w:pPr>
      <w:r w:rsidRPr="00D676FE">
        <w:rPr>
          <w:rFonts w:eastAsia="Arial" w:cs="Arial"/>
          <w:noProof/>
          <w:sz w:val="16"/>
          <w:szCs w:val="16"/>
          <w:lang w:val="es-MX" w:eastAsia="es-MX"/>
        </w:rPr>
        <w:t>Fuente:INEGI</w:t>
      </w:r>
    </w:p>
    <w:p w14:paraId="6C9ADBCE" w14:textId="0F059A20" w:rsidR="00BF3D60" w:rsidRPr="00BF3D60" w:rsidRDefault="00BF3D60" w:rsidP="00BF3D60">
      <w:pPr>
        <w:autoSpaceDE w:val="0"/>
        <w:autoSpaceDN w:val="0"/>
        <w:adjustRightInd w:val="0"/>
        <w:spacing w:before="120"/>
        <w:jc w:val="both"/>
        <w:rPr>
          <w:rFonts w:eastAsia="Arial" w:cs="Arial"/>
          <w:lang w:val="es-ES_tradnl"/>
        </w:rPr>
      </w:pPr>
      <w:r w:rsidRPr="00BF3D60">
        <w:rPr>
          <w:rFonts w:eastAsia="Arial" w:cs="Arial"/>
          <w:lang w:val="es-ES_tradnl"/>
        </w:rPr>
        <w:lastRenderedPageBreak/>
        <w:t xml:space="preserve">El Ingreso Disponible Bruto (IDB) se conforma por los ingresos obtenidos en la economía interna, por las empresas y los hogares, que se refleja en el Excedente </w:t>
      </w:r>
      <w:r w:rsidR="00A52544" w:rsidRPr="00BF3D60">
        <w:rPr>
          <w:rFonts w:eastAsia="Arial" w:cs="Arial"/>
          <w:lang w:val="es-ES_tradnl"/>
        </w:rPr>
        <w:t xml:space="preserve">bruto de operación </w:t>
      </w:r>
      <w:r w:rsidRPr="00BF3D60">
        <w:rPr>
          <w:rFonts w:eastAsia="Arial" w:cs="Arial"/>
          <w:lang w:val="es-ES_tradnl"/>
        </w:rPr>
        <w:t xml:space="preserve">y el Ingreso mixto, las </w:t>
      </w:r>
      <w:r w:rsidR="00A52544">
        <w:rPr>
          <w:rFonts w:eastAsia="Arial" w:cs="Arial"/>
          <w:lang w:val="es-ES_tradnl"/>
        </w:rPr>
        <w:t>R</w:t>
      </w:r>
      <w:r w:rsidRPr="00BF3D60">
        <w:rPr>
          <w:rFonts w:eastAsia="Arial" w:cs="Arial"/>
          <w:lang w:val="es-ES_tradnl"/>
        </w:rPr>
        <w:t xml:space="preserve">emuneraciones de los asalariados, así como las </w:t>
      </w:r>
      <w:r w:rsidR="00A52544">
        <w:rPr>
          <w:rFonts w:eastAsia="Arial" w:cs="Arial"/>
          <w:lang w:val="es-ES_tradnl"/>
        </w:rPr>
        <w:t>R</w:t>
      </w:r>
      <w:r w:rsidRPr="00BF3D60">
        <w:rPr>
          <w:rFonts w:eastAsia="Arial" w:cs="Arial"/>
          <w:lang w:val="es-ES_tradnl"/>
        </w:rPr>
        <w:t xml:space="preserve">entas de la propiedad netas y las </w:t>
      </w:r>
      <w:r w:rsidR="00A52544">
        <w:rPr>
          <w:rFonts w:eastAsia="Arial" w:cs="Arial"/>
          <w:lang w:val="es-ES_tradnl"/>
        </w:rPr>
        <w:t>T</w:t>
      </w:r>
      <w:r w:rsidRPr="00BF3D60">
        <w:rPr>
          <w:rFonts w:eastAsia="Arial" w:cs="Arial"/>
          <w:lang w:val="es-ES_tradnl"/>
        </w:rPr>
        <w:t>ransferencias corrientes</w:t>
      </w:r>
      <w:r>
        <w:rPr>
          <w:rFonts w:eastAsia="Arial" w:cs="Arial"/>
          <w:lang w:val="es-ES_tradnl"/>
        </w:rPr>
        <w:t xml:space="preserve"> netas con el exterior</w:t>
      </w:r>
      <w:r w:rsidRPr="00BF3D60">
        <w:rPr>
          <w:rFonts w:eastAsia="Arial" w:cs="Arial"/>
          <w:lang w:val="es-ES_tradnl"/>
        </w:rPr>
        <w:t>.</w:t>
      </w:r>
    </w:p>
    <w:p w14:paraId="162E17AC" w14:textId="77777777" w:rsidR="00A4541D" w:rsidRDefault="00A4541D" w:rsidP="00BF3D60">
      <w:pPr>
        <w:autoSpaceDE w:val="0"/>
        <w:autoSpaceDN w:val="0"/>
        <w:adjustRightInd w:val="0"/>
        <w:spacing w:before="120"/>
        <w:jc w:val="both"/>
        <w:rPr>
          <w:rFonts w:eastAsia="Arial" w:cs="Arial"/>
          <w:lang w:val="es-ES_tradnl"/>
        </w:rPr>
      </w:pPr>
    </w:p>
    <w:p w14:paraId="0BEF602E" w14:textId="495152CB" w:rsidR="00BF3D60" w:rsidRPr="00BF3D60" w:rsidRDefault="00BF3D60" w:rsidP="00BF3D60">
      <w:pPr>
        <w:autoSpaceDE w:val="0"/>
        <w:autoSpaceDN w:val="0"/>
        <w:adjustRightInd w:val="0"/>
        <w:spacing w:before="120"/>
        <w:jc w:val="both"/>
        <w:rPr>
          <w:rFonts w:eastAsia="Arial" w:cs="Arial"/>
          <w:lang w:val="es-ES_tradnl"/>
        </w:rPr>
      </w:pPr>
      <w:r w:rsidRPr="00BF3D60">
        <w:rPr>
          <w:rFonts w:eastAsia="Arial" w:cs="Arial"/>
          <w:lang w:val="es-ES_tradnl"/>
        </w:rPr>
        <w:t xml:space="preserve">El elemento que muestra la mayor participación sobre el IDB es el Excedente </w:t>
      </w:r>
      <w:r w:rsidR="00A52544" w:rsidRPr="00BF3D60">
        <w:rPr>
          <w:rFonts w:eastAsia="Arial" w:cs="Arial"/>
          <w:lang w:val="es-ES_tradnl"/>
        </w:rPr>
        <w:t>bruto de operación con un</w:t>
      </w:r>
      <w:r w:rsidR="00DE3D99">
        <w:rPr>
          <w:rFonts w:eastAsia="Arial" w:cs="Arial"/>
          <w:lang w:val="es-ES_tradnl"/>
        </w:rPr>
        <w:t xml:space="preserve">a </w:t>
      </w:r>
      <w:r w:rsidR="00A52544" w:rsidRPr="00BF3D60">
        <w:rPr>
          <w:rFonts w:eastAsia="Arial" w:cs="Arial"/>
          <w:lang w:val="es-ES_tradnl"/>
        </w:rPr>
        <w:t xml:space="preserve">participación del </w:t>
      </w:r>
      <w:r w:rsidR="00A52544">
        <w:rPr>
          <w:rFonts w:eastAsia="Arial" w:cs="Arial"/>
          <w:lang w:val="es-ES_tradnl"/>
        </w:rPr>
        <w:t>42.4%</w:t>
      </w:r>
      <w:r w:rsidR="00A52544" w:rsidRPr="00BF3D60">
        <w:rPr>
          <w:rFonts w:eastAsia="Arial" w:cs="Arial"/>
          <w:lang w:val="es-ES_tradnl"/>
        </w:rPr>
        <w:t xml:space="preserve"> sobre el </w:t>
      </w:r>
      <w:r w:rsidR="00CE024E">
        <w:rPr>
          <w:rFonts w:eastAsia="Arial" w:cs="Arial"/>
          <w:lang w:val="es-ES_tradnl"/>
        </w:rPr>
        <w:t>PIB</w:t>
      </w:r>
      <w:r w:rsidR="00A52544" w:rsidRPr="00BF3D60">
        <w:rPr>
          <w:rFonts w:eastAsia="Arial" w:cs="Arial"/>
          <w:lang w:val="es-ES_tradnl"/>
        </w:rPr>
        <w:t xml:space="preserve"> en </w:t>
      </w:r>
      <w:r w:rsidR="00A52544">
        <w:rPr>
          <w:rFonts w:eastAsia="Arial" w:cs="Arial"/>
          <w:lang w:val="es-ES_tradnl"/>
        </w:rPr>
        <w:t>el primer</w:t>
      </w:r>
      <w:r w:rsidR="00A52544" w:rsidRPr="00BF3D60">
        <w:rPr>
          <w:rFonts w:eastAsia="Arial" w:cs="Arial"/>
          <w:lang w:val="es-ES_tradnl"/>
        </w:rPr>
        <w:t xml:space="preserve"> t</w:t>
      </w:r>
      <w:r w:rsidRPr="00BF3D60">
        <w:rPr>
          <w:rFonts w:eastAsia="Arial" w:cs="Arial"/>
          <w:lang w:val="es-ES_tradnl"/>
        </w:rPr>
        <w:t>rimestre</w:t>
      </w:r>
      <w:r>
        <w:rPr>
          <w:rFonts w:eastAsia="Arial" w:cs="Arial"/>
          <w:lang w:val="es-ES_tradnl"/>
        </w:rPr>
        <w:t xml:space="preserve"> de 2020</w:t>
      </w:r>
      <w:r w:rsidRPr="00BF3D60">
        <w:rPr>
          <w:rFonts w:eastAsia="Arial" w:cs="Arial"/>
          <w:lang w:val="es-ES_tradnl"/>
        </w:rPr>
        <w:t xml:space="preserve">, seguido de las Remuneraciones de los </w:t>
      </w:r>
      <w:r w:rsidR="00A52544" w:rsidRPr="00BF3D60">
        <w:rPr>
          <w:rFonts w:eastAsia="Arial" w:cs="Arial"/>
          <w:lang w:val="es-ES_tradnl"/>
        </w:rPr>
        <w:t>as</w:t>
      </w:r>
      <w:r w:rsidRPr="00BF3D60">
        <w:rPr>
          <w:rFonts w:eastAsia="Arial" w:cs="Arial"/>
          <w:lang w:val="es-ES_tradnl"/>
        </w:rPr>
        <w:t xml:space="preserve">alariados con un </w:t>
      </w:r>
      <w:r>
        <w:rPr>
          <w:rFonts w:eastAsia="Arial" w:cs="Arial"/>
          <w:lang w:val="es-ES_tradnl"/>
        </w:rPr>
        <w:t>27.3%,</w:t>
      </w:r>
      <w:r w:rsidRPr="00BF3D60">
        <w:rPr>
          <w:rFonts w:eastAsia="Arial" w:cs="Arial"/>
          <w:lang w:val="es-ES_tradnl"/>
        </w:rPr>
        <w:t xml:space="preserve"> para el mismo periodo, por su parte el Ingreso </w:t>
      </w:r>
      <w:r w:rsidR="00A52544" w:rsidRPr="00BF3D60">
        <w:rPr>
          <w:rFonts w:eastAsia="Arial" w:cs="Arial"/>
          <w:lang w:val="es-ES_tradnl"/>
        </w:rPr>
        <w:t xml:space="preserve">mixto bruto tuvo </w:t>
      </w:r>
      <w:r w:rsidRPr="00BF3D60">
        <w:rPr>
          <w:rFonts w:eastAsia="Arial" w:cs="Arial"/>
          <w:lang w:val="es-ES_tradnl"/>
        </w:rPr>
        <w:t>una participación del 21.8 por ciento.</w:t>
      </w:r>
    </w:p>
    <w:p w14:paraId="1D00DA52" w14:textId="77777777" w:rsidR="00D72C59" w:rsidRPr="00BF3D60" w:rsidRDefault="00D72C59" w:rsidP="00BF3D60">
      <w:pPr>
        <w:autoSpaceDE w:val="0"/>
        <w:autoSpaceDN w:val="0"/>
        <w:adjustRightInd w:val="0"/>
        <w:spacing w:before="120"/>
        <w:jc w:val="both"/>
        <w:rPr>
          <w:rFonts w:eastAsia="Arial" w:cs="Arial"/>
          <w:lang w:val="es-ES_tradnl"/>
        </w:rPr>
      </w:pPr>
    </w:p>
    <w:p w14:paraId="7DCBB74E" w14:textId="76C080BF" w:rsidR="00084E67" w:rsidRPr="00D676FE" w:rsidRDefault="00084E67" w:rsidP="00BF3D60">
      <w:pPr>
        <w:jc w:val="center"/>
        <w:rPr>
          <w:rFonts w:eastAsia="Arial" w:cs="Arial"/>
          <w:sz w:val="20"/>
          <w:szCs w:val="20"/>
          <w:lang w:val="es-ES_tradnl"/>
        </w:rPr>
      </w:pPr>
      <w:bookmarkStart w:id="4" w:name="_Hlk49740900"/>
      <w:r w:rsidRPr="00D676FE">
        <w:rPr>
          <w:rFonts w:eastAsia="Arial" w:cs="Arial"/>
          <w:sz w:val="20"/>
          <w:szCs w:val="20"/>
          <w:lang w:val="es-ES_tradnl"/>
        </w:rPr>
        <w:t>Cuadro</w:t>
      </w:r>
      <w:r w:rsidR="00682EF0">
        <w:rPr>
          <w:rFonts w:eastAsia="Arial" w:cs="Arial"/>
          <w:sz w:val="20"/>
          <w:szCs w:val="20"/>
          <w:lang w:val="es-ES_tradnl"/>
        </w:rPr>
        <w:t xml:space="preserve"> </w:t>
      </w:r>
      <w:r w:rsidR="00FB2348">
        <w:rPr>
          <w:rFonts w:eastAsia="Arial" w:cs="Arial"/>
          <w:sz w:val="20"/>
          <w:szCs w:val="20"/>
          <w:lang w:val="es-ES_tradnl"/>
        </w:rPr>
        <w:t>3</w:t>
      </w:r>
    </w:p>
    <w:bookmarkEnd w:id="4"/>
    <w:p w14:paraId="5BEE6E4E" w14:textId="71F2BF64" w:rsidR="00084E67" w:rsidRPr="00D676FE" w:rsidRDefault="006B760B" w:rsidP="00084E67">
      <w:pPr>
        <w:jc w:val="center"/>
        <w:rPr>
          <w:rFonts w:eastAsia="Arial" w:cs="Arial"/>
          <w:b/>
          <w:bCs/>
          <w:sz w:val="22"/>
          <w:szCs w:val="22"/>
          <w:lang w:val="es-ES_tradnl"/>
        </w:rPr>
      </w:pPr>
      <w:r w:rsidRPr="00084E67">
        <w:rPr>
          <w:rFonts w:eastAsia="Arial" w:cs="Arial"/>
          <w:b/>
          <w:bCs/>
          <w:sz w:val="22"/>
          <w:szCs w:val="22"/>
          <w:lang w:val="es-ES_tradnl"/>
        </w:rPr>
        <w:t>INGRESO DISPONIBLE BRUTO</w:t>
      </w:r>
      <w:r w:rsidR="00084E67">
        <w:rPr>
          <w:rFonts w:eastAsia="Arial" w:cs="Arial"/>
          <w:b/>
          <w:bCs/>
          <w:sz w:val="22"/>
          <w:szCs w:val="22"/>
          <w:lang w:val="es-ES_tradnl"/>
        </w:rPr>
        <w:t xml:space="preserve"> AL </w:t>
      </w:r>
      <w:r w:rsidR="00084E67" w:rsidRPr="00D676FE">
        <w:rPr>
          <w:rFonts w:eastAsia="Arial" w:cs="Arial"/>
          <w:b/>
          <w:bCs/>
          <w:sz w:val="22"/>
          <w:szCs w:val="22"/>
          <w:lang w:val="es-ES_tradnl"/>
        </w:rPr>
        <w:t>PRIMER TRIMESTRE DE 2020</w:t>
      </w:r>
    </w:p>
    <w:p w14:paraId="53CC8CC8" w14:textId="77777777" w:rsidR="006B760B" w:rsidRPr="00084E67" w:rsidRDefault="006B760B" w:rsidP="00084E67">
      <w:pPr>
        <w:jc w:val="center"/>
        <w:rPr>
          <w:rFonts w:eastAsia="Arial" w:cs="Arial"/>
          <w:sz w:val="18"/>
          <w:szCs w:val="18"/>
          <w:lang w:val="es-ES_tradnl"/>
        </w:rPr>
      </w:pPr>
      <w:r w:rsidRPr="00084E67">
        <w:rPr>
          <w:rFonts w:eastAsia="Arial" w:cs="Arial"/>
          <w:sz w:val="18"/>
          <w:szCs w:val="18"/>
          <w:lang w:val="es-ES_tradnl"/>
        </w:rPr>
        <w:t>(Participación porcentual respecto al PIB)</w:t>
      </w:r>
    </w:p>
    <w:tbl>
      <w:tblPr>
        <w:tblStyle w:val="Tablaconcuadrcula"/>
        <w:tblW w:w="9493" w:type="dxa"/>
        <w:tblLayout w:type="fixed"/>
        <w:tblLook w:val="04A0" w:firstRow="1" w:lastRow="0" w:firstColumn="1" w:lastColumn="0" w:noHBand="0" w:noVBand="1"/>
      </w:tblPr>
      <w:tblGrid>
        <w:gridCol w:w="4673"/>
        <w:gridCol w:w="964"/>
        <w:gridCol w:w="964"/>
        <w:gridCol w:w="964"/>
        <w:gridCol w:w="935"/>
        <w:gridCol w:w="993"/>
      </w:tblGrid>
      <w:tr w:rsidR="00084E67" w:rsidRPr="00084E67" w14:paraId="4BCA391E" w14:textId="77777777" w:rsidTr="00AF1F43">
        <w:trPr>
          <w:trHeight w:val="405"/>
        </w:trPr>
        <w:tc>
          <w:tcPr>
            <w:tcW w:w="4673" w:type="dxa"/>
            <w:vMerge w:val="restart"/>
            <w:tcBorders>
              <w:bottom w:val="single" w:sz="4" w:space="0" w:color="000000" w:themeColor="text1"/>
              <w:right w:val="single" w:sz="4" w:space="0" w:color="000000" w:themeColor="text1"/>
            </w:tcBorders>
            <w:shd w:val="clear" w:color="auto" w:fill="DEEAF6" w:themeFill="accent5" w:themeFillTint="33"/>
            <w:vAlign w:val="center"/>
          </w:tcPr>
          <w:p w14:paraId="34CB520F" w14:textId="77777777" w:rsidR="00084E67" w:rsidRPr="00084E67" w:rsidRDefault="00084E67" w:rsidP="00AE3941">
            <w:pPr>
              <w:jc w:val="center"/>
              <w:rPr>
                <w:rFonts w:eastAsia="Arial" w:cs="Arial"/>
                <w:b/>
                <w:sz w:val="18"/>
                <w:szCs w:val="18"/>
              </w:rPr>
            </w:pPr>
            <w:r w:rsidRPr="00084E67">
              <w:rPr>
                <w:rFonts w:eastAsia="Arial" w:cs="Arial"/>
                <w:b/>
                <w:sz w:val="18"/>
                <w:szCs w:val="18"/>
              </w:rPr>
              <w:t xml:space="preserve">Denominación </w:t>
            </w:r>
          </w:p>
        </w:tc>
        <w:tc>
          <w:tcPr>
            <w:tcW w:w="3827" w:type="dxa"/>
            <w:gridSpan w:val="4"/>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717D4E6" w14:textId="77777777" w:rsidR="00084E67" w:rsidRPr="00084E67" w:rsidRDefault="00084E67" w:rsidP="00AE3941">
            <w:pPr>
              <w:jc w:val="center"/>
              <w:rPr>
                <w:rFonts w:eastAsia="Arial" w:cs="Arial"/>
                <w:b/>
                <w:sz w:val="18"/>
                <w:szCs w:val="18"/>
              </w:rPr>
            </w:pPr>
            <w:r w:rsidRPr="00084E67">
              <w:rPr>
                <w:rFonts w:eastAsia="Arial" w:cs="Arial"/>
                <w:b/>
                <w:sz w:val="18"/>
                <w:szCs w:val="18"/>
              </w:rPr>
              <w:t>2019</w:t>
            </w:r>
          </w:p>
        </w:tc>
        <w:tc>
          <w:tcPr>
            <w:tcW w:w="993" w:type="dxa"/>
            <w:tcBorders>
              <w:left w:val="single" w:sz="4" w:space="0" w:color="000000" w:themeColor="text1"/>
              <w:bottom w:val="single" w:sz="4" w:space="0" w:color="000000" w:themeColor="text1"/>
            </w:tcBorders>
            <w:shd w:val="clear" w:color="auto" w:fill="DEEAF6" w:themeFill="accent5" w:themeFillTint="33"/>
            <w:vAlign w:val="center"/>
          </w:tcPr>
          <w:p w14:paraId="21082863" w14:textId="77777777" w:rsidR="00084E67" w:rsidRPr="00084E67" w:rsidRDefault="00084E67" w:rsidP="00AE3941">
            <w:pPr>
              <w:jc w:val="center"/>
              <w:rPr>
                <w:rFonts w:eastAsia="Arial" w:cs="Arial"/>
                <w:b/>
                <w:sz w:val="18"/>
                <w:szCs w:val="18"/>
              </w:rPr>
            </w:pPr>
            <w:r w:rsidRPr="00084E67">
              <w:rPr>
                <w:rFonts w:eastAsia="Arial" w:cs="Arial"/>
                <w:b/>
                <w:sz w:val="18"/>
                <w:szCs w:val="18"/>
              </w:rPr>
              <w:t>2020</w:t>
            </w:r>
          </w:p>
        </w:tc>
      </w:tr>
      <w:tr w:rsidR="00084E67" w:rsidRPr="00084E67" w14:paraId="080D98D2" w14:textId="77777777" w:rsidTr="00AF1F43">
        <w:trPr>
          <w:trHeight w:val="405"/>
        </w:trPr>
        <w:tc>
          <w:tcPr>
            <w:tcW w:w="4673" w:type="dxa"/>
            <w:vMerge/>
            <w:tcBorders>
              <w:top w:val="single" w:sz="4" w:space="0" w:color="000000" w:themeColor="text1"/>
              <w:right w:val="single" w:sz="4" w:space="0" w:color="000000" w:themeColor="text1"/>
            </w:tcBorders>
            <w:shd w:val="clear" w:color="auto" w:fill="DEEAF6" w:themeFill="accent5" w:themeFillTint="33"/>
            <w:vAlign w:val="center"/>
          </w:tcPr>
          <w:p w14:paraId="27FE14DC" w14:textId="77777777" w:rsidR="00084E67" w:rsidRPr="00084E67" w:rsidRDefault="00084E67" w:rsidP="00AE3941">
            <w:pPr>
              <w:jc w:val="center"/>
              <w:rPr>
                <w:rFonts w:eastAsia="Arial" w:cs="Arial"/>
                <w:b/>
                <w:sz w:val="18"/>
                <w:szCs w:val="18"/>
              </w:rPr>
            </w:pPr>
          </w:p>
        </w:tc>
        <w:tc>
          <w:tcPr>
            <w:tcW w:w="96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5972F10B" w14:textId="77777777" w:rsidR="00084E67" w:rsidRPr="00084E67" w:rsidRDefault="00084E67" w:rsidP="00AE3941">
            <w:pPr>
              <w:jc w:val="center"/>
              <w:rPr>
                <w:rFonts w:eastAsia="Arial" w:cs="Arial"/>
                <w:b/>
                <w:sz w:val="18"/>
                <w:szCs w:val="18"/>
              </w:rPr>
            </w:pPr>
            <w:r w:rsidRPr="00084E67">
              <w:rPr>
                <w:rFonts w:eastAsia="Arial" w:cs="Arial"/>
                <w:b/>
                <w:sz w:val="18"/>
                <w:szCs w:val="18"/>
              </w:rPr>
              <w:t>I</w:t>
            </w:r>
          </w:p>
        </w:tc>
        <w:tc>
          <w:tcPr>
            <w:tcW w:w="96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29962AE2" w14:textId="77777777" w:rsidR="00084E67" w:rsidRPr="00084E67" w:rsidRDefault="00084E67" w:rsidP="00AE3941">
            <w:pPr>
              <w:jc w:val="center"/>
              <w:rPr>
                <w:rFonts w:eastAsia="Arial" w:cs="Arial"/>
                <w:b/>
                <w:sz w:val="18"/>
                <w:szCs w:val="18"/>
              </w:rPr>
            </w:pPr>
            <w:r w:rsidRPr="00084E67">
              <w:rPr>
                <w:rFonts w:eastAsia="Arial" w:cs="Arial"/>
                <w:b/>
                <w:sz w:val="18"/>
                <w:szCs w:val="18"/>
              </w:rPr>
              <w:t>II</w:t>
            </w:r>
          </w:p>
        </w:tc>
        <w:tc>
          <w:tcPr>
            <w:tcW w:w="964"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00F7EB8F" w14:textId="06203C59" w:rsidR="00084E67" w:rsidRPr="00084E67" w:rsidRDefault="00084E67" w:rsidP="00AE3941">
            <w:pPr>
              <w:jc w:val="center"/>
              <w:rPr>
                <w:rFonts w:eastAsia="Arial" w:cs="Arial"/>
                <w:b/>
                <w:sz w:val="18"/>
                <w:szCs w:val="18"/>
              </w:rPr>
            </w:pPr>
            <w:r w:rsidRPr="00084E67">
              <w:rPr>
                <w:rFonts w:eastAsia="Arial" w:cs="Arial"/>
                <w:b/>
                <w:sz w:val="18"/>
                <w:szCs w:val="18"/>
              </w:rPr>
              <w:t>III</w:t>
            </w:r>
          </w:p>
        </w:tc>
        <w:tc>
          <w:tcPr>
            <w:tcW w:w="935"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42147D0E" w14:textId="77777777" w:rsidR="00084E67" w:rsidRPr="00084E67" w:rsidRDefault="00084E67" w:rsidP="00AE3941">
            <w:pPr>
              <w:jc w:val="center"/>
              <w:rPr>
                <w:rFonts w:eastAsia="Arial" w:cs="Arial"/>
                <w:b/>
                <w:sz w:val="18"/>
                <w:szCs w:val="18"/>
              </w:rPr>
            </w:pPr>
            <w:r w:rsidRPr="00084E67">
              <w:rPr>
                <w:rFonts w:eastAsia="Arial" w:cs="Arial"/>
                <w:b/>
                <w:sz w:val="18"/>
                <w:szCs w:val="18"/>
              </w:rPr>
              <w:t>IV</w:t>
            </w:r>
          </w:p>
        </w:tc>
        <w:tc>
          <w:tcPr>
            <w:tcW w:w="993" w:type="dxa"/>
            <w:tcBorders>
              <w:top w:val="single" w:sz="4" w:space="0" w:color="000000" w:themeColor="text1"/>
              <w:left w:val="single" w:sz="4" w:space="0" w:color="000000" w:themeColor="text1"/>
            </w:tcBorders>
            <w:shd w:val="clear" w:color="auto" w:fill="DEEAF6" w:themeFill="accent5" w:themeFillTint="33"/>
            <w:vAlign w:val="center"/>
          </w:tcPr>
          <w:p w14:paraId="270E4D18" w14:textId="77777777" w:rsidR="00084E67" w:rsidRPr="00084E67" w:rsidRDefault="00084E67" w:rsidP="00AE3941">
            <w:pPr>
              <w:jc w:val="center"/>
              <w:rPr>
                <w:rFonts w:eastAsia="Arial" w:cs="Arial"/>
                <w:b/>
                <w:sz w:val="18"/>
                <w:szCs w:val="18"/>
              </w:rPr>
            </w:pPr>
            <w:r w:rsidRPr="00084E67">
              <w:rPr>
                <w:rFonts w:eastAsia="Arial" w:cs="Arial"/>
                <w:b/>
                <w:sz w:val="18"/>
                <w:szCs w:val="18"/>
              </w:rPr>
              <w:t>I</w:t>
            </w:r>
          </w:p>
        </w:tc>
      </w:tr>
      <w:tr w:rsidR="00084E67" w:rsidRPr="00084E67" w14:paraId="1F275391" w14:textId="77777777" w:rsidTr="00AF1F43">
        <w:trPr>
          <w:trHeight w:val="405"/>
        </w:trPr>
        <w:tc>
          <w:tcPr>
            <w:tcW w:w="4673" w:type="dxa"/>
          </w:tcPr>
          <w:p w14:paraId="0CAC705B" w14:textId="5BD816C9" w:rsidR="00084E67" w:rsidRPr="00084E67" w:rsidRDefault="00084E67" w:rsidP="00084E67">
            <w:pPr>
              <w:rPr>
                <w:rFonts w:eastAsia="Arial" w:cs="Arial"/>
                <w:bCs/>
                <w:sz w:val="18"/>
                <w:szCs w:val="18"/>
              </w:rPr>
            </w:pPr>
            <w:r w:rsidRPr="00084E67">
              <w:rPr>
                <w:rFonts w:cs="Arial"/>
                <w:sz w:val="18"/>
                <w:szCs w:val="18"/>
              </w:rPr>
              <w:t xml:space="preserve">  </w:t>
            </w:r>
            <w:r>
              <w:rPr>
                <w:rFonts w:cs="Arial"/>
                <w:sz w:val="18"/>
                <w:szCs w:val="18"/>
              </w:rPr>
              <w:t xml:space="preserve">  </w:t>
            </w:r>
            <w:r w:rsidRPr="00084E67">
              <w:rPr>
                <w:rFonts w:cs="Arial"/>
                <w:sz w:val="18"/>
                <w:szCs w:val="18"/>
              </w:rPr>
              <w:t>(+</w:t>
            </w:r>
            <w:proofErr w:type="gramStart"/>
            <w:r w:rsidRPr="00084E67">
              <w:rPr>
                <w:rFonts w:cs="Arial"/>
                <w:sz w:val="18"/>
                <w:szCs w:val="18"/>
              </w:rPr>
              <w:t>)  Remuneración</w:t>
            </w:r>
            <w:proofErr w:type="gramEnd"/>
            <w:r w:rsidRPr="00084E67">
              <w:rPr>
                <w:rFonts w:cs="Arial"/>
                <w:sz w:val="18"/>
                <w:szCs w:val="18"/>
              </w:rPr>
              <w:t xml:space="preserve"> de los asalariados</w:t>
            </w:r>
          </w:p>
        </w:tc>
        <w:tc>
          <w:tcPr>
            <w:tcW w:w="964" w:type="dxa"/>
          </w:tcPr>
          <w:p w14:paraId="4E5F1226" w14:textId="2E00BE21" w:rsidR="00084E67" w:rsidRPr="00084E67" w:rsidRDefault="00084E67" w:rsidP="00084E67">
            <w:pPr>
              <w:ind w:right="115"/>
              <w:jc w:val="right"/>
              <w:rPr>
                <w:rFonts w:eastAsia="Arial" w:cs="Arial"/>
                <w:bCs/>
                <w:sz w:val="18"/>
                <w:szCs w:val="18"/>
              </w:rPr>
            </w:pPr>
            <w:r w:rsidRPr="00084E67">
              <w:rPr>
                <w:rFonts w:cs="Arial"/>
                <w:sz w:val="18"/>
                <w:szCs w:val="18"/>
              </w:rPr>
              <w:t>26.6</w:t>
            </w:r>
          </w:p>
        </w:tc>
        <w:tc>
          <w:tcPr>
            <w:tcW w:w="964" w:type="dxa"/>
          </w:tcPr>
          <w:p w14:paraId="30481366" w14:textId="6D8AC131" w:rsidR="00084E67" w:rsidRPr="00084E67" w:rsidRDefault="00084E67" w:rsidP="00084E67">
            <w:pPr>
              <w:ind w:right="115"/>
              <w:jc w:val="right"/>
              <w:rPr>
                <w:rFonts w:cs="Arial"/>
                <w:sz w:val="18"/>
                <w:szCs w:val="18"/>
              </w:rPr>
            </w:pPr>
            <w:r w:rsidRPr="00084E67">
              <w:rPr>
                <w:rFonts w:cs="Arial"/>
                <w:sz w:val="18"/>
                <w:szCs w:val="18"/>
              </w:rPr>
              <w:t>26.0</w:t>
            </w:r>
          </w:p>
        </w:tc>
        <w:tc>
          <w:tcPr>
            <w:tcW w:w="964" w:type="dxa"/>
          </w:tcPr>
          <w:p w14:paraId="581CF07E" w14:textId="7F226065" w:rsidR="00084E67" w:rsidRPr="00084E67" w:rsidRDefault="00084E67" w:rsidP="00084E67">
            <w:pPr>
              <w:ind w:right="115"/>
              <w:jc w:val="right"/>
              <w:rPr>
                <w:rFonts w:cs="Arial"/>
                <w:sz w:val="18"/>
                <w:szCs w:val="18"/>
              </w:rPr>
            </w:pPr>
            <w:r w:rsidRPr="00084E67">
              <w:rPr>
                <w:rFonts w:cs="Arial"/>
                <w:sz w:val="18"/>
                <w:szCs w:val="18"/>
              </w:rPr>
              <w:t>27.2</w:t>
            </w:r>
          </w:p>
        </w:tc>
        <w:tc>
          <w:tcPr>
            <w:tcW w:w="935" w:type="dxa"/>
          </w:tcPr>
          <w:p w14:paraId="6942F3B4" w14:textId="64D8FC99" w:rsidR="00084E67" w:rsidRPr="00084E67" w:rsidRDefault="00084E67" w:rsidP="00084E67">
            <w:pPr>
              <w:ind w:right="115"/>
              <w:jc w:val="right"/>
              <w:rPr>
                <w:rFonts w:cs="Arial"/>
                <w:sz w:val="18"/>
                <w:szCs w:val="18"/>
              </w:rPr>
            </w:pPr>
            <w:r w:rsidRPr="00084E67">
              <w:rPr>
                <w:rFonts w:cs="Arial"/>
                <w:sz w:val="18"/>
                <w:szCs w:val="18"/>
              </w:rPr>
              <w:t>27.6</w:t>
            </w:r>
          </w:p>
        </w:tc>
        <w:tc>
          <w:tcPr>
            <w:tcW w:w="993" w:type="dxa"/>
          </w:tcPr>
          <w:p w14:paraId="488C29BD" w14:textId="735F67CC" w:rsidR="00084E67" w:rsidRPr="00084E67" w:rsidRDefault="00084E67" w:rsidP="00084E67">
            <w:pPr>
              <w:ind w:right="115"/>
              <w:jc w:val="right"/>
              <w:rPr>
                <w:rFonts w:cs="Arial"/>
                <w:sz w:val="18"/>
                <w:szCs w:val="18"/>
              </w:rPr>
            </w:pPr>
            <w:r w:rsidRPr="00084E67">
              <w:rPr>
                <w:rFonts w:cs="Arial"/>
                <w:sz w:val="18"/>
                <w:szCs w:val="18"/>
              </w:rPr>
              <w:t>27.3</w:t>
            </w:r>
          </w:p>
        </w:tc>
      </w:tr>
      <w:tr w:rsidR="00084E67" w:rsidRPr="00084E67" w14:paraId="0211348F" w14:textId="77777777" w:rsidTr="00AF1F43">
        <w:trPr>
          <w:trHeight w:val="405"/>
        </w:trPr>
        <w:tc>
          <w:tcPr>
            <w:tcW w:w="4673" w:type="dxa"/>
            <w:shd w:val="clear" w:color="auto" w:fill="DEEAF6" w:themeFill="accent5" w:themeFillTint="33"/>
          </w:tcPr>
          <w:p w14:paraId="42BDB0BA" w14:textId="6B1C3519" w:rsidR="00084E67" w:rsidRPr="00084E67" w:rsidRDefault="00084E67" w:rsidP="00084E67">
            <w:pPr>
              <w:rPr>
                <w:rFonts w:eastAsia="Arial" w:cs="Arial"/>
                <w:bCs/>
                <w:sz w:val="18"/>
                <w:szCs w:val="18"/>
              </w:rPr>
            </w:pPr>
            <w:r w:rsidRPr="00084E67">
              <w:rPr>
                <w:rFonts w:cs="Arial"/>
                <w:sz w:val="18"/>
                <w:szCs w:val="18"/>
              </w:rPr>
              <w:t xml:space="preserve">  </w:t>
            </w:r>
            <w:r>
              <w:rPr>
                <w:rFonts w:cs="Arial"/>
                <w:sz w:val="18"/>
                <w:szCs w:val="18"/>
              </w:rPr>
              <w:t xml:space="preserve">  </w:t>
            </w:r>
            <w:r w:rsidRPr="00084E67">
              <w:rPr>
                <w:rFonts w:cs="Arial"/>
                <w:sz w:val="18"/>
                <w:szCs w:val="18"/>
              </w:rPr>
              <w:t>(+</w:t>
            </w:r>
            <w:proofErr w:type="gramStart"/>
            <w:r w:rsidRPr="00084E67">
              <w:rPr>
                <w:rFonts w:cs="Arial"/>
                <w:sz w:val="18"/>
                <w:szCs w:val="18"/>
              </w:rPr>
              <w:t>)  Excedente</w:t>
            </w:r>
            <w:proofErr w:type="gramEnd"/>
            <w:r w:rsidRPr="00084E67">
              <w:rPr>
                <w:rFonts w:cs="Arial"/>
                <w:sz w:val="18"/>
                <w:szCs w:val="18"/>
              </w:rPr>
              <w:t xml:space="preserve"> bruto de operación</w:t>
            </w:r>
          </w:p>
        </w:tc>
        <w:tc>
          <w:tcPr>
            <w:tcW w:w="964" w:type="dxa"/>
            <w:shd w:val="clear" w:color="auto" w:fill="DEEAF6" w:themeFill="accent5" w:themeFillTint="33"/>
          </w:tcPr>
          <w:p w14:paraId="02319B41" w14:textId="6355339A" w:rsidR="00084E67" w:rsidRPr="00084E67" w:rsidRDefault="00084E67" w:rsidP="00084E67">
            <w:pPr>
              <w:ind w:right="115"/>
              <w:jc w:val="right"/>
              <w:rPr>
                <w:rFonts w:eastAsia="Arial" w:cs="Arial"/>
                <w:bCs/>
                <w:sz w:val="18"/>
                <w:szCs w:val="18"/>
              </w:rPr>
            </w:pPr>
            <w:r w:rsidRPr="00084E67">
              <w:rPr>
                <w:rFonts w:cs="Arial"/>
                <w:sz w:val="18"/>
                <w:szCs w:val="18"/>
              </w:rPr>
              <w:t>44.3</w:t>
            </w:r>
          </w:p>
        </w:tc>
        <w:tc>
          <w:tcPr>
            <w:tcW w:w="964" w:type="dxa"/>
            <w:shd w:val="clear" w:color="auto" w:fill="DEEAF6" w:themeFill="accent5" w:themeFillTint="33"/>
          </w:tcPr>
          <w:p w14:paraId="441DAB42" w14:textId="56A98604" w:rsidR="00084E67" w:rsidRPr="00084E67" w:rsidRDefault="00084E67" w:rsidP="00084E67">
            <w:pPr>
              <w:ind w:right="115"/>
              <w:jc w:val="right"/>
              <w:rPr>
                <w:rFonts w:cs="Arial"/>
                <w:sz w:val="18"/>
                <w:szCs w:val="18"/>
              </w:rPr>
            </w:pPr>
            <w:r w:rsidRPr="00084E67">
              <w:rPr>
                <w:rFonts w:cs="Arial"/>
                <w:sz w:val="18"/>
                <w:szCs w:val="18"/>
              </w:rPr>
              <w:t>45.6</w:t>
            </w:r>
          </w:p>
        </w:tc>
        <w:tc>
          <w:tcPr>
            <w:tcW w:w="964" w:type="dxa"/>
            <w:shd w:val="clear" w:color="auto" w:fill="DEEAF6" w:themeFill="accent5" w:themeFillTint="33"/>
          </w:tcPr>
          <w:p w14:paraId="413FE7FC" w14:textId="408736F2" w:rsidR="00084E67" w:rsidRPr="00084E67" w:rsidRDefault="00084E67" w:rsidP="00084E67">
            <w:pPr>
              <w:ind w:right="115"/>
              <w:jc w:val="right"/>
              <w:rPr>
                <w:rFonts w:cs="Arial"/>
                <w:sz w:val="18"/>
                <w:szCs w:val="18"/>
              </w:rPr>
            </w:pPr>
            <w:r w:rsidRPr="00084E67">
              <w:rPr>
                <w:rFonts w:cs="Arial"/>
                <w:sz w:val="18"/>
                <w:szCs w:val="18"/>
              </w:rPr>
              <w:t>44.5</w:t>
            </w:r>
          </w:p>
        </w:tc>
        <w:tc>
          <w:tcPr>
            <w:tcW w:w="935" w:type="dxa"/>
            <w:shd w:val="clear" w:color="auto" w:fill="DEEAF6" w:themeFill="accent5" w:themeFillTint="33"/>
          </w:tcPr>
          <w:p w14:paraId="4BB37355" w14:textId="1E53C68C" w:rsidR="00084E67" w:rsidRPr="00084E67" w:rsidRDefault="00084E67" w:rsidP="00084E67">
            <w:pPr>
              <w:ind w:right="115"/>
              <w:jc w:val="right"/>
              <w:rPr>
                <w:rFonts w:cs="Arial"/>
                <w:sz w:val="18"/>
                <w:szCs w:val="18"/>
              </w:rPr>
            </w:pPr>
            <w:r w:rsidRPr="00084E67">
              <w:rPr>
                <w:rFonts w:cs="Arial"/>
                <w:sz w:val="18"/>
                <w:szCs w:val="18"/>
              </w:rPr>
              <w:t>44.9</w:t>
            </w:r>
          </w:p>
        </w:tc>
        <w:tc>
          <w:tcPr>
            <w:tcW w:w="993" w:type="dxa"/>
            <w:shd w:val="clear" w:color="auto" w:fill="DEEAF6" w:themeFill="accent5" w:themeFillTint="33"/>
          </w:tcPr>
          <w:p w14:paraId="3E5C53FA" w14:textId="0EF49A2A" w:rsidR="00084E67" w:rsidRPr="00084E67" w:rsidRDefault="00084E67" w:rsidP="00084E67">
            <w:pPr>
              <w:ind w:right="115"/>
              <w:jc w:val="right"/>
              <w:rPr>
                <w:rFonts w:cs="Arial"/>
                <w:sz w:val="18"/>
                <w:szCs w:val="18"/>
              </w:rPr>
            </w:pPr>
            <w:r w:rsidRPr="00084E67">
              <w:rPr>
                <w:rFonts w:cs="Arial"/>
                <w:sz w:val="18"/>
                <w:szCs w:val="18"/>
              </w:rPr>
              <w:t>42.4</w:t>
            </w:r>
          </w:p>
        </w:tc>
      </w:tr>
      <w:tr w:rsidR="00084E67" w:rsidRPr="00084E67" w14:paraId="3ECB1624" w14:textId="77777777" w:rsidTr="00AF1F43">
        <w:trPr>
          <w:trHeight w:val="405"/>
        </w:trPr>
        <w:tc>
          <w:tcPr>
            <w:tcW w:w="4673" w:type="dxa"/>
          </w:tcPr>
          <w:p w14:paraId="691A15E8" w14:textId="2A79E975" w:rsidR="00084E67" w:rsidRPr="00084E67" w:rsidRDefault="00084E67" w:rsidP="00084E67">
            <w:pPr>
              <w:rPr>
                <w:rFonts w:eastAsia="Arial" w:cs="Arial"/>
                <w:bCs/>
                <w:sz w:val="18"/>
                <w:szCs w:val="18"/>
              </w:rPr>
            </w:pPr>
            <w:r w:rsidRPr="00084E67">
              <w:rPr>
                <w:rFonts w:cs="Arial"/>
                <w:sz w:val="18"/>
                <w:szCs w:val="18"/>
              </w:rPr>
              <w:t xml:space="preserve">  </w:t>
            </w:r>
            <w:r>
              <w:rPr>
                <w:rFonts w:cs="Arial"/>
                <w:sz w:val="18"/>
                <w:szCs w:val="18"/>
              </w:rPr>
              <w:t xml:space="preserve">  </w:t>
            </w:r>
            <w:r w:rsidRPr="00084E67">
              <w:rPr>
                <w:rFonts w:cs="Arial"/>
                <w:sz w:val="18"/>
                <w:szCs w:val="18"/>
              </w:rPr>
              <w:t>(+</w:t>
            </w:r>
            <w:proofErr w:type="gramStart"/>
            <w:r w:rsidRPr="00084E67">
              <w:rPr>
                <w:rFonts w:cs="Arial"/>
                <w:sz w:val="18"/>
                <w:szCs w:val="18"/>
              </w:rPr>
              <w:t>)  Ingreso</w:t>
            </w:r>
            <w:proofErr w:type="gramEnd"/>
            <w:r w:rsidRPr="00084E67">
              <w:rPr>
                <w:rFonts w:cs="Arial"/>
                <w:sz w:val="18"/>
                <w:szCs w:val="18"/>
              </w:rPr>
              <w:t xml:space="preserve"> mixto bruto</w:t>
            </w:r>
          </w:p>
        </w:tc>
        <w:tc>
          <w:tcPr>
            <w:tcW w:w="964" w:type="dxa"/>
          </w:tcPr>
          <w:p w14:paraId="28C75BD2" w14:textId="3E546366" w:rsidR="00084E67" w:rsidRPr="00084E67" w:rsidRDefault="00084E67" w:rsidP="00084E67">
            <w:pPr>
              <w:ind w:right="115"/>
              <w:jc w:val="right"/>
              <w:rPr>
                <w:rFonts w:eastAsia="Arial" w:cs="Arial"/>
                <w:bCs/>
                <w:sz w:val="18"/>
                <w:szCs w:val="18"/>
              </w:rPr>
            </w:pPr>
            <w:r w:rsidRPr="00084E67">
              <w:rPr>
                <w:rFonts w:cs="Arial"/>
                <w:sz w:val="18"/>
                <w:szCs w:val="18"/>
              </w:rPr>
              <w:t>21.5</w:t>
            </w:r>
          </w:p>
        </w:tc>
        <w:tc>
          <w:tcPr>
            <w:tcW w:w="964" w:type="dxa"/>
          </w:tcPr>
          <w:p w14:paraId="031A5F69" w14:textId="46762548" w:rsidR="00084E67" w:rsidRPr="00084E67" w:rsidRDefault="00084E67" w:rsidP="00084E67">
            <w:pPr>
              <w:ind w:right="115"/>
              <w:jc w:val="right"/>
              <w:rPr>
                <w:rFonts w:cs="Arial"/>
                <w:sz w:val="18"/>
                <w:szCs w:val="18"/>
              </w:rPr>
            </w:pPr>
            <w:r w:rsidRPr="00084E67">
              <w:rPr>
                <w:rFonts w:cs="Arial"/>
                <w:sz w:val="18"/>
                <w:szCs w:val="18"/>
              </w:rPr>
              <w:t>21.9</w:t>
            </w:r>
          </w:p>
        </w:tc>
        <w:tc>
          <w:tcPr>
            <w:tcW w:w="964" w:type="dxa"/>
          </w:tcPr>
          <w:p w14:paraId="25CAE3A3" w14:textId="3D812435" w:rsidR="00084E67" w:rsidRPr="00084E67" w:rsidRDefault="00084E67" w:rsidP="00084E67">
            <w:pPr>
              <w:ind w:right="115"/>
              <w:jc w:val="right"/>
              <w:rPr>
                <w:rFonts w:cs="Arial"/>
                <w:sz w:val="18"/>
                <w:szCs w:val="18"/>
              </w:rPr>
            </w:pPr>
            <w:r w:rsidRPr="00084E67">
              <w:rPr>
                <w:rFonts w:cs="Arial"/>
                <w:sz w:val="18"/>
                <w:szCs w:val="18"/>
              </w:rPr>
              <w:t>22.3</w:t>
            </w:r>
          </w:p>
        </w:tc>
        <w:tc>
          <w:tcPr>
            <w:tcW w:w="935" w:type="dxa"/>
          </w:tcPr>
          <w:p w14:paraId="738BA94C" w14:textId="1E56D20F" w:rsidR="00084E67" w:rsidRPr="00084E67" w:rsidRDefault="00084E67" w:rsidP="00084E67">
            <w:pPr>
              <w:ind w:right="115"/>
              <w:jc w:val="right"/>
              <w:rPr>
                <w:rFonts w:cs="Arial"/>
                <w:sz w:val="18"/>
                <w:szCs w:val="18"/>
              </w:rPr>
            </w:pPr>
            <w:r w:rsidRPr="00084E67">
              <w:rPr>
                <w:rFonts w:cs="Arial"/>
                <w:sz w:val="18"/>
                <w:szCs w:val="18"/>
              </w:rPr>
              <w:t>21.7</w:t>
            </w:r>
          </w:p>
        </w:tc>
        <w:tc>
          <w:tcPr>
            <w:tcW w:w="993" w:type="dxa"/>
          </w:tcPr>
          <w:p w14:paraId="4FEACB95" w14:textId="03C543E6" w:rsidR="00084E67" w:rsidRPr="00084E67" w:rsidRDefault="00084E67" w:rsidP="00084E67">
            <w:pPr>
              <w:ind w:right="115"/>
              <w:jc w:val="right"/>
              <w:rPr>
                <w:rFonts w:cs="Arial"/>
                <w:sz w:val="18"/>
                <w:szCs w:val="18"/>
              </w:rPr>
            </w:pPr>
            <w:r w:rsidRPr="00084E67">
              <w:rPr>
                <w:rFonts w:cs="Arial"/>
                <w:sz w:val="18"/>
                <w:szCs w:val="18"/>
              </w:rPr>
              <w:t>21.8</w:t>
            </w:r>
          </w:p>
        </w:tc>
      </w:tr>
      <w:tr w:rsidR="00084E67" w:rsidRPr="00084E67" w14:paraId="2C9E0EF7" w14:textId="77777777" w:rsidTr="00AF1F43">
        <w:trPr>
          <w:trHeight w:val="405"/>
        </w:trPr>
        <w:tc>
          <w:tcPr>
            <w:tcW w:w="4673" w:type="dxa"/>
            <w:shd w:val="clear" w:color="auto" w:fill="DEEAF6" w:themeFill="accent5" w:themeFillTint="33"/>
          </w:tcPr>
          <w:p w14:paraId="101D3F51" w14:textId="289AB615" w:rsidR="00084E67" w:rsidRPr="00084E67" w:rsidRDefault="00084E67" w:rsidP="00084E67">
            <w:pPr>
              <w:rPr>
                <w:rFonts w:eastAsia="Arial" w:cs="Arial"/>
                <w:bCs/>
                <w:sz w:val="18"/>
                <w:szCs w:val="18"/>
              </w:rPr>
            </w:pPr>
            <w:r w:rsidRPr="00084E67">
              <w:rPr>
                <w:rFonts w:cs="Arial"/>
                <w:sz w:val="18"/>
                <w:szCs w:val="18"/>
              </w:rPr>
              <w:t xml:space="preserve">  </w:t>
            </w:r>
            <w:r>
              <w:rPr>
                <w:rFonts w:cs="Arial"/>
                <w:sz w:val="18"/>
                <w:szCs w:val="18"/>
              </w:rPr>
              <w:t xml:space="preserve">  </w:t>
            </w:r>
            <w:r w:rsidRPr="00084E67">
              <w:rPr>
                <w:rFonts w:cs="Arial"/>
                <w:sz w:val="18"/>
                <w:szCs w:val="18"/>
              </w:rPr>
              <w:t>(+</w:t>
            </w:r>
            <w:proofErr w:type="gramStart"/>
            <w:r w:rsidRPr="00084E67">
              <w:rPr>
                <w:rFonts w:cs="Arial"/>
                <w:sz w:val="18"/>
                <w:szCs w:val="18"/>
              </w:rPr>
              <w:t>)  Otros</w:t>
            </w:r>
            <w:proofErr w:type="gramEnd"/>
            <w:r w:rsidRPr="00084E67">
              <w:rPr>
                <w:rFonts w:cs="Arial"/>
                <w:sz w:val="18"/>
                <w:szCs w:val="18"/>
              </w:rPr>
              <w:t xml:space="preserve"> impuestos sobre la producción</w:t>
            </w:r>
          </w:p>
        </w:tc>
        <w:tc>
          <w:tcPr>
            <w:tcW w:w="964" w:type="dxa"/>
            <w:shd w:val="clear" w:color="auto" w:fill="DEEAF6" w:themeFill="accent5" w:themeFillTint="33"/>
          </w:tcPr>
          <w:p w14:paraId="4D12D0E7" w14:textId="06B0B717" w:rsidR="00084E67" w:rsidRPr="00084E67" w:rsidRDefault="00084E67" w:rsidP="00084E67">
            <w:pPr>
              <w:ind w:right="115"/>
              <w:jc w:val="right"/>
              <w:rPr>
                <w:rFonts w:eastAsia="Arial" w:cs="Arial"/>
                <w:bCs/>
                <w:sz w:val="18"/>
                <w:szCs w:val="18"/>
              </w:rPr>
            </w:pPr>
            <w:r w:rsidRPr="00084E67">
              <w:rPr>
                <w:rFonts w:cs="Arial"/>
                <w:sz w:val="18"/>
                <w:szCs w:val="18"/>
              </w:rPr>
              <w:t>1.0</w:t>
            </w:r>
          </w:p>
        </w:tc>
        <w:tc>
          <w:tcPr>
            <w:tcW w:w="964" w:type="dxa"/>
            <w:shd w:val="clear" w:color="auto" w:fill="DEEAF6" w:themeFill="accent5" w:themeFillTint="33"/>
          </w:tcPr>
          <w:p w14:paraId="65E51CE3" w14:textId="446CA481" w:rsidR="00084E67" w:rsidRPr="00084E67" w:rsidRDefault="00084E67" w:rsidP="00084E67">
            <w:pPr>
              <w:ind w:right="115"/>
              <w:jc w:val="right"/>
              <w:rPr>
                <w:rFonts w:cs="Arial"/>
                <w:sz w:val="18"/>
                <w:szCs w:val="18"/>
              </w:rPr>
            </w:pPr>
            <w:r w:rsidRPr="00084E67">
              <w:rPr>
                <w:rFonts w:cs="Arial"/>
                <w:sz w:val="18"/>
                <w:szCs w:val="18"/>
              </w:rPr>
              <w:t>0.5</w:t>
            </w:r>
          </w:p>
        </w:tc>
        <w:tc>
          <w:tcPr>
            <w:tcW w:w="964" w:type="dxa"/>
            <w:shd w:val="clear" w:color="auto" w:fill="DEEAF6" w:themeFill="accent5" w:themeFillTint="33"/>
          </w:tcPr>
          <w:p w14:paraId="21920AAE" w14:textId="16EFB6B7" w:rsidR="00084E67" w:rsidRPr="00084E67" w:rsidRDefault="00084E67" w:rsidP="00084E67">
            <w:pPr>
              <w:ind w:right="115"/>
              <w:jc w:val="right"/>
              <w:rPr>
                <w:rFonts w:cs="Arial"/>
                <w:sz w:val="18"/>
                <w:szCs w:val="18"/>
              </w:rPr>
            </w:pPr>
            <w:r w:rsidRPr="00084E67">
              <w:rPr>
                <w:rFonts w:cs="Arial"/>
                <w:sz w:val="18"/>
                <w:szCs w:val="18"/>
              </w:rPr>
              <w:t>0.5</w:t>
            </w:r>
          </w:p>
        </w:tc>
        <w:tc>
          <w:tcPr>
            <w:tcW w:w="935" w:type="dxa"/>
            <w:shd w:val="clear" w:color="auto" w:fill="DEEAF6" w:themeFill="accent5" w:themeFillTint="33"/>
          </w:tcPr>
          <w:p w14:paraId="7AB0835C" w14:textId="054159C2" w:rsidR="00084E67" w:rsidRPr="00084E67" w:rsidRDefault="00084E67" w:rsidP="00084E67">
            <w:pPr>
              <w:ind w:right="115"/>
              <w:jc w:val="right"/>
              <w:rPr>
                <w:rFonts w:cs="Arial"/>
                <w:sz w:val="18"/>
                <w:szCs w:val="18"/>
              </w:rPr>
            </w:pPr>
            <w:r w:rsidRPr="00084E67">
              <w:rPr>
                <w:rFonts w:cs="Arial"/>
                <w:sz w:val="18"/>
                <w:szCs w:val="18"/>
              </w:rPr>
              <w:t>0.5</w:t>
            </w:r>
          </w:p>
        </w:tc>
        <w:tc>
          <w:tcPr>
            <w:tcW w:w="993" w:type="dxa"/>
            <w:shd w:val="clear" w:color="auto" w:fill="DEEAF6" w:themeFill="accent5" w:themeFillTint="33"/>
          </w:tcPr>
          <w:p w14:paraId="60AC4B91" w14:textId="371D21B2" w:rsidR="00084E67" w:rsidRPr="00084E67" w:rsidRDefault="00084E67" w:rsidP="00084E67">
            <w:pPr>
              <w:ind w:right="115"/>
              <w:jc w:val="right"/>
              <w:rPr>
                <w:rFonts w:cs="Arial"/>
                <w:sz w:val="18"/>
                <w:szCs w:val="18"/>
              </w:rPr>
            </w:pPr>
            <w:r w:rsidRPr="00084E67">
              <w:rPr>
                <w:rFonts w:cs="Arial"/>
                <w:sz w:val="18"/>
                <w:szCs w:val="18"/>
              </w:rPr>
              <w:t>1.0</w:t>
            </w:r>
          </w:p>
        </w:tc>
      </w:tr>
      <w:tr w:rsidR="00084E67" w:rsidRPr="00084E67" w14:paraId="2269B2C3" w14:textId="77777777" w:rsidTr="00AF1F43">
        <w:trPr>
          <w:trHeight w:val="405"/>
        </w:trPr>
        <w:tc>
          <w:tcPr>
            <w:tcW w:w="4673" w:type="dxa"/>
          </w:tcPr>
          <w:p w14:paraId="46B0E987" w14:textId="3D62149D" w:rsidR="00084E67" w:rsidRPr="00084E67" w:rsidRDefault="00084E67" w:rsidP="00084E67">
            <w:pPr>
              <w:rPr>
                <w:rFonts w:eastAsia="Arial" w:cs="Arial"/>
                <w:b/>
                <w:bCs/>
                <w:sz w:val="18"/>
                <w:szCs w:val="18"/>
              </w:rPr>
            </w:pPr>
            <w:r w:rsidRPr="00084E67">
              <w:rPr>
                <w:rFonts w:cs="Arial"/>
                <w:b/>
                <w:bCs/>
                <w:sz w:val="18"/>
                <w:szCs w:val="18"/>
              </w:rPr>
              <w:t>(</w:t>
            </w:r>
            <w:proofErr w:type="gramStart"/>
            <w:r w:rsidRPr="00084E67">
              <w:rPr>
                <w:rFonts w:cs="Arial"/>
                <w:b/>
                <w:bCs/>
                <w:sz w:val="18"/>
                <w:szCs w:val="18"/>
              </w:rPr>
              <w:t>=)  Valor</w:t>
            </w:r>
            <w:proofErr w:type="gramEnd"/>
            <w:r w:rsidRPr="00084E67">
              <w:rPr>
                <w:rFonts w:cs="Arial"/>
                <w:b/>
                <w:bCs/>
                <w:sz w:val="18"/>
                <w:szCs w:val="18"/>
              </w:rPr>
              <w:t xml:space="preserve"> Agregado Bruto</w:t>
            </w:r>
          </w:p>
        </w:tc>
        <w:tc>
          <w:tcPr>
            <w:tcW w:w="964" w:type="dxa"/>
          </w:tcPr>
          <w:p w14:paraId="0BFBCB0B" w14:textId="76BD94B0" w:rsidR="00084E67" w:rsidRPr="00084E67" w:rsidRDefault="00084E67" w:rsidP="00084E67">
            <w:pPr>
              <w:ind w:right="115"/>
              <w:jc w:val="right"/>
              <w:rPr>
                <w:rFonts w:eastAsia="Arial" w:cs="Arial"/>
                <w:b/>
                <w:bCs/>
                <w:sz w:val="18"/>
                <w:szCs w:val="18"/>
              </w:rPr>
            </w:pPr>
            <w:r w:rsidRPr="00084E67">
              <w:rPr>
                <w:rFonts w:cs="Arial"/>
                <w:b/>
                <w:bCs/>
                <w:sz w:val="18"/>
                <w:szCs w:val="18"/>
              </w:rPr>
              <w:t>93.4</w:t>
            </w:r>
          </w:p>
        </w:tc>
        <w:tc>
          <w:tcPr>
            <w:tcW w:w="964" w:type="dxa"/>
          </w:tcPr>
          <w:p w14:paraId="55A92728" w14:textId="61FE12FB" w:rsidR="00084E67" w:rsidRPr="00084E67" w:rsidRDefault="00084E67" w:rsidP="00084E67">
            <w:pPr>
              <w:ind w:right="115"/>
              <w:jc w:val="right"/>
              <w:rPr>
                <w:rFonts w:cs="Arial"/>
                <w:b/>
                <w:bCs/>
                <w:sz w:val="18"/>
                <w:szCs w:val="18"/>
              </w:rPr>
            </w:pPr>
            <w:r w:rsidRPr="00084E67">
              <w:rPr>
                <w:rFonts w:cs="Arial"/>
                <w:b/>
                <w:bCs/>
                <w:sz w:val="18"/>
                <w:szCs w:val="18"/>
              </w:rPr>
              <w:t>93.9</w:t>
            </w:r>
          </w:p>
        </w:tc>
        <w:tc>
          <w:tcPr>
            <w:tcW w:w="964" w:type="dxa"/>
          </w:tcPr>
          <w:p w14:paraId="55501248" w14:textId="6B2B0883" w:rsidR="00084E67" w:rsidRPr="00084E67" w:rsidRDefault="00084E67" w:rsidP="00084E67">
            <w:pPr>
              <w:ind w:right="115"/>
              <w:jc w:val="right"/>
              <w:rPr>
                <w:rFonts w:cs="Arial"/>
                <w:b/>
                <w:bCs/>
                <w:sz w:val="18"/>
                <w:szCs w:val="18"/>
              </w:rPr>
            </w:pPr>
            <w:r w:rsidRPr="00084E67">
              <w:rPr>
                <w:rFonts w:cs="Arial"/>
                <w:b/>
                <w:bCs/>
                <w:sz w:val="18"/>
                <w:szCs w:val="18"/>
              </w:rPr>
              <w:t>94.5</w:t>
            </w:r>
          </w:p>
        </w:tc>
        <w:tc>
          <w:tcPr>
            <w:tcW w:w="935" w:type="dxa"/>
          </w:tcPr>
          <w:p w14:paraId="7BDA2B72" w14:textId="6CF287EB" w:rsidR="00084E67" w:rsidRPr="00084E67" w:rsidRDefault="00084E67" w:rsidP="00084E67">
            <w:pPr>
              <w:ind w:right="115"/>
              <w:jc w:val="right"/>
              <w:rPr>
                <w:rFonts w:cs="Arial"/>
                <w:b/>
                <w:bCs/>
                <w:sz w:val="18"/>
                <w:szCs w:val="18"/>
              </w:rPr>
            </w:pPr>
            <w:r w:rsidRPr="00084E67">
              <w:rPr>
                <w:rFonts w:cs="Arial"/>
                <w:b/>
                <w:bCs/>
                <w:sz w:val="18"/>
                <w:szCs w:val="18"/>
              </w:rPr>
              <w:t>94.7</w:t>
            </w:r>
          </w:p>
        </w:tc>
        <w:tc>
          <w:tcPr>
            <w:tcW w:w="993" w:type="dxa"/>
          </w:tcPr>
          <w:p w14:paraId="7BC1A5B4" w14:textId="2F5525CD" w:rsidR="00084E67" w:rsidRPr="00084E67" w:rsidRDefault="00084E67" w:rsidP="00084E67">
            <w:pPr>
              <w:ind w:right="115"/>
              <w:jc w:val="right"/>
              <w:rPr>
                <w:rFonts w:cs="Arial"/>
                <w:b/>
                <w:bCs/>
                <w:sz w:val="18"/>
                <w:szCs w:val="18"/>
              </w:rPr>
            </w:pPr>
            <w:r w:rsidRPr="00084E67">
              <w:rPr>
                <w:rFonts w:cs="Arial"/>
                <w:b/>
                <w:bCs/>
                <w:sz w:val="18"/>
                <w:szCs w:val="18"/>
              </w:rPr>
              <w:t>92.4</w:t>
            </w:r>
          </w:p>
        </w:tc>
      </w:tr>
      <w:tr w:rsidR="00084E67" w:rsidRPr="00084E67" w14:paraId="630F6E11" w14:textId="77777777" w:rsidTr="00AF1F43">
        <w:trPr>
          <w:trHeight w:val="405"/>
        </w:trPr>
        <w:tc>
          <w:tcPr>
            <w:tcW w:w="4673" w:type="dxa"/>
            <w:shd w:val="clear" w:color="auto" w:fill="DEEAF6" w:themeFill="accent5" w:themeFillTint="33"/>
          </w:tcPr>
          <w:p w14:paraId="7F674673" w14:textId="32A54185" w:rsidR="00084E67" w:rsidRPr="00084E67" w:rsidRDefault="00084E67" w:rsidP="00084E67">
            <w:pPr>
              <w:rPr>
                <w:rFonts w:cs="Arial"/>
                <w:sz w:val="18"/>
                <w:szCs w:val="18"/>
              </w:rPr>
            </w:pPr>
            <w:r w:rsidRPr="00084E67">
              <w:rPr>
                <w:rFonts w:cs="Arial"/>
                <w:sz w:val="18"/>
                <w:szCs w:val="18"/>
              </w:rPr>
              <w:t xml:space="preserve">  </w:t>
            </w:r>
            <w:r>
              <w:rPr>
                <w:rFonts w:cs="Arial"/>
                <w:sz w:val="18"/>
                <w:szCs w:val="18"/>
              </w:rPr>
              <w:t xml:space="preserve">  </w:t>
            </w:r>
            <w:r w:rsidRPr="00084E67">
              <w:rPr>
                <w:rFonts w:cs="Arial"/>
                <w:sz w:val="18"/>
                <w:szCs w:val="18"/>
              </w:rPr>
              <w:t>(+</w:t>
            </w:r>
            <w:proofErr w:type="gramStart"/>
            <w:r w:rsidRPr="00084E67">
              <w:rPr>
                <w:rFonts w:cs="Arial"/>
                <w:sz w:val="18"/>
                <w:szCs w:val="18"/>
              </w:rPr>
              <w:t>)  Impuestos</w:t>
            </w:r>
            <w:proofErr w:type="gramEnd"/>
            <w:r w:rsidRPr="00084E67">
              <w:rPr>
                <w:rFonts w:cs="Arial"/>
                <w:sz w:val="18"/>
                <w:szCs w:val="18"/>
              </w:rPr>
              <w:t xml:space="preserve"> sobre los productos, netos</w:t>
            </w:r>
          </w:p>
        </w:tc>
        <w:tc>
          <w:tcPr>
            <w:tcW w:w="964" w:type="dxa"/>
            <w:shd w:val="clear" w:color="auto" w:fill="DEEAF6" w:themeFill="accent5" w:themeFillTint="33"/>
          </w:tcPr>
          <w:p w14:paraId="3806AFE6" w14:textId="12FD6327" w:rsidR="00084E67" w:rsidRPr="00084E67" w:rsidRDefault="00084E67" w:rsidP="00084E67">
            <w:pPr>
              <w:ind w:right="115"/>
              <w:jc w:val="right"/>
              <w:rPr>
                <w:rFonts w:cs="Arial"/>
                <w:color w:val="000000"/>
                <w:sz w:val="18"/>
                <w:szCs w:val="18"/>
              </w:rPr>
            </w:pPr>
            <w:r w:rsidRPr="00084E67">
              <w:rPr>
                <w:rFonts w:cs="Arial"/>
                <w:sz w:val="18"/>
                <w:szCs w:val="18"/>
              </w:rPr>
              <w:t>6.6</w:t>
            </w:r>
          </w:p>
        </w:tc>
        <w:tc>
          <w:tcPr>
            <w:tcW w:w="964" w:type="dxa"/>
            <w:shd w:val="clear" w:color="auto" w:fill="DEEAF6" w:themeFill="accent5" w:themeFillTint="33"/>
          </w:tcPr>
          <w:p w14:paraId="7396E9C9" w14:textId="1DD17CA7" w:rsidR="00084E67" w:rsidRPr="00084E67" w:rsidRDefault="00084E67" w:rsidP="00084E67">
            <w:pPr>
              <w:ind w:right="115"/>
              <w:jc w:val="right"/>
              <w:rPr>
                <w:rFonts w:cs="Arial"/>
                <w:color w:val="000000"/>
                <w:sz w:val="18"/>
                <w:szCs w:val="18"/>
              </w:rPr>
            </w:pPr>
            <w:r w:rsidRPr="00084E67">
              <w:rPr>
                <w:rFonts w:cs="Arial"/>
                <w:sz w:val="18"/>
                <w:szCs w:val="18"/>
              </w:rPr>
              <w:t>6.1</w:t>
            </w:r>
          </w:p>
        </w:tc>
        <w:tc>
          <w:tcPr>
            <w:tcW w:w="964" w:type="dxa"/>
            <w:shd w:val="clear" w:color="auto" w:fill="DEEAF6" w:themeFill="accent5" w:themeFillTint="33"/>
          </w:tcPr>
          <w:p w14:paraId="7F93BF0C" w14:textId="08A7CFF7" w:rsidR="00084E67" w:rsidRPr="00084E67" w:rsidRDefault="00084E67" w:rsidP="00084E67">
            <w:pPr>
              <w:ind w:right="115"/>
              <w:jc w:val="right"/>
              <w:rPr>
                <w:rFonts w:cs="Arial"/>
                <w:color w:val="000000"/>
                <w:sz w:val="18"/>
                <w:szCs w:val="18"/>
              </w:rPr>
            </w:pPr>
            <w:r w:rsidRPr="00084E67">
              <w:rPr>
                <w:rFonts w:cs="Arial"/>
                <w:sz w:val="18"/>
                <w:szCs w:val="18"/>
              </w:rPr>
              <w:t>5.5</w:t>
            </w:r>
          </w:p>
        </w:tc>
        <w:tc>
          <w:tcPr>
            <w:tcW w:w="935" w:type="dxa"/>
            <w:shd w:val="clear" w:color="auto" w:fill="DEEAF6" w:themeFill="accent5" w:themeFillTint="33"/>
          </w:tcPr>
          <w:p w14:paraId="62153973" w14:textId="28E1DA2C" w:rsidR="00084E67" w:rsidRPr="00084E67" w:rsidRDefault="00084E67" w:rsidP="00084E67">
            <w:pPr>
              <w:ind w:right="115"/>
              <w:jc w:val="right"/>
              <w:rPr>
                <w:rFonts w:cs="Arial"/>
                <w:color w:val="000000"/>
                <w:sz w:val="18"/>
                <w:szCs w:val="18"/>
              </w:rPr>
            </w:pPr>
            <w:r w:rsidRPr="00084E67">
              <w:rPr>
                <w:rFonts w:cs="Arial"/>
                <w:sz w:val="18"/>
                <w:szCs w:val="18"/>
              </w:rPr>
              <w:t>5.3</w:t>
            </w:r>
          </w:p>
        </w:tc>
        <w:tc>
          <w:tcPr>
            <w:tcW w:w="993" w:type="dxa"/>
            <w:shd w:val="clear" w:color="auto" w:fill="DEEAF6" w:themeFill="accent5" w:themeFillTint="33"/>
          </w:tcPr>
          <w:p w14:paraId="6349E7FD" w14:textId="7B7BA099" w:rsidR="00084E67" w:rsidRPr="00084E67" w:rsidRDefault="00084E67" w:rsidP="00084E67">
            <w:pPr>
              <w:ind w:right="115"/>
              <w:jc w:val="right"/>
              <w:rPr>
                <w:rFonts w:cs="Arial"/>
                <w:color w:val="000000"/>
                <w:sz w:val="18"/>
                <w:szCs w:val="18"/>
              </w:rPr>
            </w:pPr>
            <w:r w:rsidRPr="00084E67">
              <w:rPr>
                <w:rFonts w:cs="Arial"/>
                <w:sz w:val="18"/>
                <w:szCs w:val="18"/>
              </w:rPr>
              <w:t>7.6</w:t>
            </w:r>
          </w:p>
        </w:tc>
      </w:tr>
      <w:tr w:rsidR="00084E67" w:rsidRPr="00084E67" w14:paraId="7AA346A6" w14:textId="77777777" w:rsidTr="00AF1F43">
        <w:trPr>
          <w:trHeight w:val="405"/>
        </w:trPr>
        <w:tc>
          <w:tcPr>
            <w:tcW w:w="4673" w:type="dxa"/>
          </w:tcPr>
          <w:p w14:paraId="517A2C91" w14:textId="50CD0CE2" w:rsidR="00084E67" w:rsidRPr="00084E67" w:rsidRDefault="00084E67" w:rsidP="00084E67">
            <w:pPr>
              <w:rPr>
                <w:rFonts w:cs="Arial"/>
                <w:b/>
                <w:bCs/>
                <w:sz w:val="18"/>
                <w:szCs w:val="18"/>
              </w:rPr>
            </w:pPr>
            <w:r w:rsidRPr="00084E67">
              <w:rPr>
                <w:rFonts w:cs="Arial"/>
                <w:b/>
                <w:bCs/>
                <w:sz w:val="18"/>
                <w:szCs w:val="18"/>
              </w:rPr>
              <w:t>(=) Producto Interno Bruto</w:t>
            </w:r>
          </w:p>
        </w:tc>
        <w:tc>
          <w:tcPr>
            <w:tcW w:w="964" w:type="dxa"/>
          </w:tcPr>
          <w:p w14:paraId="570CA0C6" w14:textId="65742B51" w:rsidR="00084E67" w:rsidRPr="00084E67" w:rsidRDefault="00084E67" w:rsidP="00084E67">
            <w:pPr>
              <w:ind w:right="115"/>
              <w:jc w:val="right"/>
              <w:rPr>
                <w:rFonts w:cs="Arial"/>
                <w:b/>
                <w:bCs/>
                <w:color w:val="000000"/>
                <w:sz w:val="18"/>
                <w:szCs w:val="18"/>
              </w:rPr>
            </w:pPr>
            <w:r w:rsidRPr="00084E67">
              <w:rPr>
                <w:rFonts w:cs="Arial"/>
                <w:b/>
                <w:bCs/>
                <w:sz w:val="18"/>
                <w:szCs w:val="18"/>
              </w:rPr>
              <w:t>100.0</w:t>
            </w:r>
          </w:p>
        </w:tc>
        <w:tc>
          <w:tcPr>
            <w:tcW w:w="964" w:type="dxa"/>
          </w:tcPr>
          <w:p w14:paraId="1A80AD90" w14:textId="34AEADE0" w:rsidR="00084E67" w:rsidRPr="00084E67" w:rsidRDefault="00084E67" w:rsidP="00084E67">
            <w:pPr>
              <w:ind w:right="115"/>
              <w:jc w:val="right"/>
              <w:rPr>
                <w:rFonts w:cs="Arial"/>
                <w:b/>
                <w:bCs/>
                <w:color w:val="000000"/>
                <w:sz w:val="18"/>
                <w:szCs w:val="18"/>
              </w:rPr>
            </w:pPr>
            <w:r w:rsidRPr="00084E67">
              <w:rPr>
                <w:rFonts w:cs="Arial"/>
                <w:b/>
                <w:bCs/>
                <w:sz w:val="18"/>
                <w:szCs w:val="18"/>
              </w:rPr>
              <w:t>100.0</w:t>
            </w:r>
          </w:p>
        </w:tc>
        <w:tc>
          <w:tcPr>
            <w:tcW w:w="964" w:type="dxa"/>
          </w:tcPr>
          <w:p w14:paraId="558F3ACA" w14:textId="2C512FFC" w:rsidR="00084E67" w:rsidRPr="00084E67" w:rsidRDefault="00084E67" w:rsidP="00084E67">
            <w:pPr>
              <w:ind w:right="115"/>
              <w:jc w:val="right"/>
              <w:rPr>
                <w:rFonts w:cs="Arial"/>
                <w:b/>
                <w:bCs/>
                <w:color w:val="000000"/>
                <w:sz w:val="18"/>
                <w:szCs w:val="18"/>
              </w:rPr>
            </w:pPr>
            <w:r w:rsidRPr="00084E67">
              <w:rPr>
                <w:rFonts w:cs="Arial"/>
                <w:b/>
                <w:bCs/>
                <w:sz w:val="18"/>
                <w:szCs w:val="18"/>
              </w:rPr>
              <w:t>100.0</w:t>
            </w:r>
          </w:p>
        </w:tc>
        <w:tc>
          <w:tcPr>
            <w:tcW w:w="935" w:type="dxa"/>
          </w:tcPr>
          <w:p w14:paraId="72CF2A2D" w14:textId="41AAA692" w:rsidR="00084E67" w:rsidRPr="00084E67" w:rsidRDefault="00084E67" w:rsidP="00084E67">
            <w:pPr>
              <w:ind w:right="115"/>
              <w:jc w:val="right"/>
              <w:rPr>
                <w:rFonts w:cs="Arial"/>
                <w:b/>
                <w:bCs/>
                <w:color w:val="000000"/>
                <w:sz w:val="18"/>
                <w:szCs w:val="18"/>
              </w:rPr>
            </w:pPr>
            <w:r w:rsidRPr="00084E67">
              <w:rPr>
                <w:rFonts w:cs="Arial"/>
                <w:b/>
                <w:bCs/>
                <w:sz w:val="18"/>
                <w:szCs w:val="18"/>
              </w:rPr>
              <w:t>100.0</w:t>
            </w:r>
          </w:p>
        </w:tc>
        <w:tc>
          <w:tcPr>
            <w:tcW w:w="993" w:type="dxa"/>
          </w:tcPr>
          <w:p w14:paraId="1091F58A" w14:textId="4AC50894" w:rsidR="00084E67" w:rsidRPr="00084E67" w:rsidRDefault="00084E67" w:rsidP="00084E67">
            <w:pPr>
              <w:ind w:right="115"/>
              <w:jc w:val="right"/>
              <w:rPr>
                <w:rFonts w:cs="Arial"/>
                <w:b/>
                <w:bCs/>
                <w:color w:val="000000"/>
                <w:sz w:val="18"/>
                <w:szCs w:val="18"/>
              </w:rPr>
            </w:pPr>
            <w:r w:rsidRPr="00084E67">
              <w:rPr>
                <w:rFonts w:cs="Arial"/>
                <w:b/>
                <w:bCs/>
                <w:sz w:val="18"/>
                <w:szCs w:val="18"/>
              </w:rPr>
              <w:t>100.0</w:t>
            </w:r>
          </w:p>
        </w:tc>
      </w:tr>
      <w:tr w:rsidR="00084E67" w:rsidRPr="00084E67" w14:paraId="3776AE9F" w14:textId="77777777" w:rsidTr="00AF1F43">
        <w:trPr>
          <w:trHeight w:val="405"/>
        </w:trPr>
        <w:tc>
          <w:tcPr>
            <w:tcW w:w="4673" w:type="dxa"/>
            <w:shd w:val="clear" w:color="auto" w:fill="DEEAF6" w:themeFill="accent5" w:themeFillTint="33"/>
          </w:tcPr>
          <w:p w14:paraId="565BFFEB" w14:textId="13944D4E" w:rsidR="00084E67" w:rsidRPr="00084E67" w:rsidRDefault="00084E67" w:rsidP="00084E67">
            <w:pPr>
              <w:rPr>
                <w:rFonts w:cs="Arial"/>
                <w:sz w:val="18"/>
                <w:szCs w:val="18"/>
              </w:rPr>
            </w:pPr>
            <w:r w:rsidRPr="00084E67">
              <w:rPr>
                <w:rFonts w:cs="Arial"/>
                <w:sz w:val="18"/>
                <w:szCs w:val="18"/>
              </w:rPr>
              <w:t xml:space="preserve">  </w:t>
            </w:r>
            <w:r>
              <w:rPr>
                <w:rFonts w:cs="Arial"/>
                <w:sz w:val="18"/>
                <w:szCs w:val="18"/>
              </w:rPr>
              <w:t xml:space="preserve">  </w:t>
            </w:r>
            <w:r w:rsidRPr="00084E67">
              <w:rPr>
                <w:rFonts w:cs="Arial"/>
                <w:sz w:val="18"/>
                <w:szCs w:val="18"/>
              </w:rPr>
              <w:t>(+</w:t>
            </w:r>
            <w:proofErr w:type="gramStart"/>
            <w:r w:rsidRPr="00084E67">
              <w:rPr>
                <w:rFonts w:cs="Arial"/>
                <w:sz w:val="18"/>
                <w:szCs w:val="18"/>
              </w:rPr>
              <w:t>)  Remuneración</w:t>
            </w:r>
            <w:proofErr w:type="gramEnd"/>
            <w:r w:rsidRPr="00084E67">
              <w:rPr>
                <w:rFonts w:cs="Arial"/>
                <w:sz w:val="18"/>
                <w:szCs w:val="18"/>
              </w:rPr>
              <w:t xml:space="preserve"> netas con el exterior</w:t>
            </w:r>
          </w:p>
        </w:tc>
        <w:tc>
          <w:tcPr>
            <w:tcW w:w="964" w:type="dxa"/>
            <w:shd w:val="clear" w:color="auto" w:fill="DEEAF6" w:themeFill="accent5" w:themeFillTint="33"/>
          </w:tcPr>
          <w:p w14:paraId="2275CA17" w14:textId="4DDBFAF9" w:rsidR="00084E67" w:rsidRPr="00084E67" w:rsidRDefault="00084E67" w:rsidP="00084E67">
            <w:pPr>
              <w:ind w:right="115"/>
              <w:jc w:val="right"/>
              <w:rPr>
                <w:rFonts w:cs="Arial"/>
                <w:color w:val="000000"/>
                <w:sz w:val="18"/>
                <w:szCs w:val="18"/>
              </w:rPr>
            </w:pPr>
            <w:r w:rsidRPr="00084E67">
              <w:rPr>
                <w:rFonts w:cs="Arial"/>
                <w:sz w:val="18"/>
                <w:szCs w:val="18"/>
              </w:rPr>
              <w:t>0.2</w:t>
            </w:r>
          </w:p>
        </w:tc>
        <w:tc>
          <w:tcPr>
            <w:tcW w:w="964" w:type="dxa"/>
            <w:shd w:val="clear" w:color="auto" w:fill="DEEAF6" w:themeFill="accent5" w:themeFillTint="33"/>
          </w:tcPr>
          <w:p w14:paraId="1BD6A787" w14:textId="0B37EF30" w:rsidR="00084E67" w:rsidRPr="00084E67" w:rsidRDefault="00084E67" w:rsidP="00084E67">
            <w:pPr>
              <w:ind w:right="115"/>
              <w:jc w:val="right"/>
              <w:rPr>
                <w:rFonts w:cs="Arial"/>
                <w:color w:val="000000"/>
                <w:sz w:val="18"/>
                <w:szCs w:val="18"/>
              </w:rPr>
            </w:pPr>
            <w:r w:rsidRPr="00084E67">
              <w:rPr>
                <w:rFonts w:cs="Arial"/>
                <w:sz w:val="18"/>
                <w:szCs w:val="18"/>
              </w:rPr>
              <w:t>0.2</w:t>
            </w:r>
          </w:p>
        </w:tc>
        <w:tc>
          <w:tcPr>
            <w:tcW w:w="964" w:type="dxa"/>
            <w:shd w:val="clear" w:color="auto" w:fill="DEEAF6" w:themeFill="accent5" w:themeFillTint="33"/>
          </w:tcPr>
          <w:p w14:paraId="14E5B159" w14:textId="7BDFB7E9" w:rsidR="00084E67" w:rsidRPr="00084E67" w:rsidRDefault="00084E67" w:rsidP="00084E67">
            <w:pPr>
              <w:ind w:right="115"/>
              <w:jc w:val="right"/>
              <w:rPr>
                <w:rFonts w:cs="Arial"/>
                <w:color w:val="000000"/>
                <w:sz w:val="18"/>
                <w:szCs w:val="18"/>
              </w:rPr>
            </w:pPr>
            <w:r w:rsidRPr="00084E67">
              <w:rPr>
                <w:rFonts w:cs="Arial"/>
                <w:sz w:val="18"/>
                <w:szCs w:val="18"/>
              </w:rPr>
              <w:t>0.2</w:t>
            </w:r>
          </w:p>
        </w:tc>
        <w:tc>
          <w:tcPr>
            <w:tcW w:w="935" w:type="dxa"/>
            <w:shd w:val="clear" w:color="auto" w:fill="DEEAF6" w:themeFill="accent5" w:themeFillTint="33"/>
          </w:tcPr>
          <w:p w14:paraId="4AD16BDD" w14:textId="509F5DAE" w:rsidR="00084E67" w:rsidRPr="00084E67" w:rsidRDefault="00084E67" w:rsidP="00084E67">
            <w:pPr>
              <w:ind w:right="115"/>
              <w:jc w:val="right"/>
              <w:rPr>
                <w:rFonts w:cs="Arial"/>
                <w:color w:val="000000"/>
                <w:sz w:val="18"/>
                <w:szCs w:val="18"/>
              </w:rPr>
            </w:pPr>
            <w:r w:rsidRPr="00084E67">
              <w:rPr>
                <w:rFonts w:cs="Arial"/>
                <w:sz w:val="18"/>
                <w:szCs w:val="18"/>
              </w:rPr>
              <w:t>0.2</w:t>
            </w:r>
          </w:p>
        </w:tc>
        <w:tc>
          <w:tcPr>
            <w:tcW w:w="993" w:type="dxa"/>
            <w:shd w:val="clear" w:color="auto" w:fill="DEEAF6" w:themeFill="accent5" w:themeFillTint="33"/>
          </w:tcPr>
          <w:p w14:paraId="5F23D087" w14:textId="0CD9B5C1" w:rsidR="00084E67" w:rsidRPr="00084E67" w:rsidRDefault="00084E67" w:rsidP="00084E67">
            <w:pPr>
              <w:ind w:right="115"/>
              <w:jc w:val="right"/>
              <w:rPr>
                <w:rFonts w:cs="Arial"/>
                <w:color w:val="000000"/>
                <w:sz w:val="18"/>
                <w:szCs w:val="18"/>
              </w:rPr>
            </w:pPr>
            <w:r w:rsidRPr="00084E67">
              <w:rPr>
                <w:rFonts w:cs="Arial"/>
                <w:sz w:val="18"/>
                <w:szCs w:val="18"/>
              </w:rPr>
              <w:t>0.2</w:t>
            </w:r>
          </w:p>
        </w:tc>
      </w:tr>
      <w:tr w:rsidR="00084E67" w:rsidRPr="00084E67" w14:paraId="5AA54CCD" w14:textId="77777777" w:rsidTr="00AF1F43">
        <w:trPr>
          <w:trHeight w:val="405"/>
        </w:trPr>
        <w:tc>
          <w:tcPr>
            <w:tcW w:w="4673" w:type="dxa"/>
          </w:tcPr>
          <w:p w14:paraId="53F2FB58" w14:textId="6492A03C" w:rsidR="00084E67" w:rsidRPr="00084E67" w:rsidRDefault="00084E67" w:rsidP="00084E67">
            <w:pPr>
              <w:rPr>
                <w:rFonts w:cs="Arial"/>
                <w:sz w:val="18"/>
                <w:szCs w:val="18"/>
              </w:rPr>
            </w:pPr>
            <w:r w:rsidRPr="00084E67">
              <w:rPr>
                <w:rFonts w:cs="Arial"/>
                <w:sz w:val="18"/>
                <w:szCs w:val="18"/>
              </w:rPr>
              <w:t xml:space="preserve">  </w:t>
            </w:r>
            <w:r>
              <w:rPr>
                <w:rFonts w:cs="Arial"/>
                <w:sz w:val="18"/>
                <w:szCs w:val="18"/>
              </w:rPr>
              <w:t xml:space="preserve">  </w:t>
            </w:r>
            <w:r w:rsidRPr="00084E67">
              <w:rPr>
                <w:rFonts w:cs="Arial"/>
                <w:sz w:val="18"/>
                <w:szCs w:val="18"/>
              </w:rPr>
              <w:t>(+</w:t>
            </w:r>
            <w:proofErr w:type="gramStart"/>
            <w:r w:rsidRPr="00084E67">
              <w:rPr>
                <w:rFonts w:cs="Arial"/>
                <w:sz w:val="18"/>
                <w:szCs w:val="18"/>
              </w:rPr>
              <w:t>)  Rentas</w:t>
            </w:r>
            <w:proofErr w:type="gramEnd"/>
            <w:r w:rsidRPr="00084E67">
              <w:rPr>
                <w:rFonts w:cs="Arial"/>
                <w:sz w:val="18"/>
                <w:szCs w:val="18"/>
              </w:rPr>
              <w:t xml:space="preserve"> de la propiedad netas con el exterior</w:t>
            </w:r>
          </w:p>
        </w:tc>
        <w:tc>
          <w:tcPr>
            <w:tcW w:w="964" w:type="dxa"/>
          </w:tcPr>
          <w:p w14:paraId="2BA13CDB" w14:textId="03C56E86" w:rsidR="00084E67" w:rsidRPr="00084E67" w:rsidRDefault="00084E67" w:rsidP="00084E67">
            <w:pPr>
              <w:ind w:right="115"/>
              <w:jc w:val="right"/>
              <w:rPr>
                <w:rFonts w:cs="Arial"/>
                <w:color w:val="000000"/>
                <w:sz w:val="18"/>
                <w:szCs w:val="18"/>
              </w:rPr>
            </w:pPr>
            <w:r w:rsidRPr="00084E67">
              <w:rPr>
                <w:rFonts w:cs="Arial"/>
                <w:sz w:val="18"/>
                <w:szCs w:val="18"/>
              </w:rPr>
              <w:t>-5.2</w:t>
            </w:r>
          </w:p>
        </w:tc>
        <w:tc>
          <w:tcPr>
            <w:tcW w:w="964" w:type="dxa"/>
          </w:tcPr>
          <w:p w14:paraId="63A867E3" w14:textId="482DB10B" w:rsidR="00084E67" w:rsidRPr="00084E67" w:rsidRDefault="00084E67" w:rsidP="00084E67">
            <w:pPr>
              <w:ind w:right="115"/>
              <w:jc w:val="right"/>
              <w:rPr>
                <w:rFonts w:cs="Arial"/>
                <w:color w:val="000000"/>
                <w:sz w:val="18"/>
                <w:szCs w:val="18"/>
              </w:rPr>
            </w:pPr>
            <w:r w:rsidRPr="00084E67">
              <w:rPr>
                <w:rFonts w:cs="Arial"/>
                <w:sz w:val="18"/>
                <w:szCs w:val="18"/>
              </w:rPr>
              <w:t>-2.8</w:t>
            </w:r>
          </w:p>
        </w:tc>
        <w:tc>
          <w:tcPr>
            <w:tcW w:w="964" w:type="dxa"/>
          </w:tcPr>
          <w:p w14:paraId="4EA6507F" w14:textId="1BEDCCD6" w:rsidR="00084E67" w:rsidRPr="00084E67" w:rsidRDefault="00084E67" w:rsidP="00084E67">
            <w:pPr>
              <w:ind w:right="115"/>
              <w:jc w:val="right"/>
              <w:rPr>
                <w:rFonts w:cs="Arial"/>
                <w:color w:val="000000"/>
                <w:sz w:val="18"/>
                <w:szCs w:val="18"/>
              </w:rPr>
            </w:pPr>
            <w:r w:rsidRPr="00084E67">
              <w:rPr>
                <w:rFonts w:cs="Arial"/>
                <w:sz w:val="18"/>
                <w:szCs w:val="18"/>
              </w:rPr>
              <w:t>-1.9</w:t>
            </w:r>
          </w:p>
        </w:tc>
        <w:tc>
          <w:tcPr>
            <w:tcW w:w="935" w:type="dxa"/>
          </w:tcPr>
          <w:p w14:paraId="5D6AFA97" w14:textId="0CD7FF6B" w:rsidR="00084E67" w:rsidRPr="00084E67" w:rsidRDefault="00084E67" w:rsidP="00084E67">
            <w:pPr>
              <w:ind w:right="115"/>
              <w:jc w:val="right"/>
              <w:rPr>
                <w:rFonts w:cs="Arial"/>
                <w:color w:val="000000"/>
                <w:sz w:val="18"/>
                <w:szCs w:val="18"/>
              </w:rPr>
            </w:pPr>
            <w:r w:rsidRPr="00084E67">
              <w:rPr>
                <w:rFonts w:cs="Arial"/>
                <w:sz w:val="18"/>
                <w:szCs w:val="18"/>
              </w:rPr>
              <w:t>-2.5</w:t>
            </w:r>
          </w:p>
        </w:tc>
        <w:tc>
          <w:tcPr>
            <w:tcW w:w="993" w:type="dxa"/>
          </w:tcPr>
          <w:p w14:paraId="6C1C669E" w14:textId="556E5EE5" w:rsidR="00084E67" w:rsidRPr="00084E67" w:rsidRDefault="00084E67" w:rsidP="00084E67">
            <w:pPr>
              <w:ind w:right="115"/>
              <w:jc w:val="right"/>
              <w:rPr>
                <w:rFonts w:cs="Arial"/>
                <w:color w:val="000000"/>
                <w:sz w:val="18"/>
                <w:szCs w:val="18"/>
              </w:rPr>
            </w:pPr>
            <w:r w:rsidRPr="00084E67">
              <w:rPr>
                <w:rFonts w:cs="Arial"/>
                <w:sz w:val="18"/>
                <w:szCs w:val="18"/>
              </w:rPr>
              <w:t>-4.4</w:t>
            </w:r>
          </w:p>
        </w:tc>
      </w:tr>
      <w:tr w:rsidR="00084E67" w:rsidRPr="00084E67" w14:paraId="5692FBC9" w14:textId="77777777" w:rsidTr="00AF1F43">
        <w:trPr>
          <w:trHeight w:val="405"/>
        </w:trPr>
        <w:tc>
          <w:tcPr>
            <w:tcW w:w="4673" w:type="dxa"/>
            <w:shd w:val="clear" w:color="auto" w:fill="DEEAF6" w:themeFill="accent5" w:themeFillTint="33"/>
          </w:tcPr>
          <w:p w14:paraId="542201F8" w14:textId="4C9EDBF0" w:rsidR="00084E67" w:rsidRPr="00084E67" w:rsidRDefault="00084E67" w:rsidP="00084E67">
            <w:pPr>
              <w:rPr>
                <w:rFonts w:cs="Arial"/>
                <w:sz w:val="18"/>
                <w:szCs w:val="18"/>
              </w:rPr>
            </w:pPr>
            <w:r w:rsidRPr="00084E67">
              <w:rPr>
                <w:rFonts w:cs="Arial"/>
                <w:sz w:val="18"/>
                <w:szCs w:val="18"/>
              </w:rPr>
              <w:t xml:space="preserve">  </w:t>
            </w:r>
            <w:r>
              <w:rPr>
                <w:rFonts w:cs="Arial"/>
                <w:sz w:val="18"/>
                <w:szCs w:val="18"/>
              </w:rPr>
              <w:t xml:space="preserve">  </w:t>
            </w:r>
            <w:r w:rsidRPr="00084E67">
              <w:rPr>
                <w:rFonts w:cs="Arial"/>
                <w:sz w:val="18"/>
                <w:szCs w:val="18"/>
              </w:rPr>
              <w:t>(+</w:t>
            </w:r>
            <w:proofErr w:type="gramStart"/>
            <w:r w:rsidRPr="00084E67">
              <w:rPr>
                <w:rFonts w:cs="Arial"/>
                <w:sz w:val="18"/>
                <w:szCs w:val="18"/>
              </w:rPr>
              <w:t>)  Transferencias</w:t>
            </w:r>
            <w:proofErr w:type="gramEnd"/>
            <w:r w:rsidRPr="00084E67">
              <w:rPr>
                <w:rFonts w:cs="Arial"/>
                <w:sz w:val="18"/>
                <w:szCs w:val="18"/>
              </w:rPr>
              <w:t xml:space="preserve"> corrientes netas con el exterior</w:t>
            </w:r>
          </w:p>
        </w:tc>
        <w:tc>
          <w:tcPr>
            <w:tcW w:w="964" w:type="dxa"/>
            <w:shd w:val="clear" w:color="auto" w:fill="DEEAF6" w:themeFill="accent5" w:themeFillTint="33"/>
          </w:tcPr>
          <w:p w14:paraId="37B266DA" w14:textId="30A2A369" w:rsidR="00084E67" w:rsidRPr="00084E67" w:rsidRDefault="00084E67" w:rsidP="00084E67">
            <w:pPr>
              <w:ind w:right="115"/>
              <w:jc w:val="right"/>
              <w:rPr>
                <w:rFonts w:cs="Arial"/>
                <w:color w:val="000000"/>
                <w:sz w:val="18"/>
                <w:szCs w:val="18"/>
              </w:rPr>
            </w:pPr>
            <w:r w:rsidRPr="00084E67">
              <w:rPr>
                <w:rFonts w:cs="Arial"/>
                <w:sz w:val="18"/>
                <w:szCs w:val="18"/>
              </w:rPr>
              <w:t>2.5</w:t>
            </w:r>
          </w:p>
        </w:tc>
        <w:tc>
          <w:tcPr>
            <w:tcW w:w="964" w:type="dxa"/>
            <w:shd w:val="clear" w:color="auto" w:fill="DEEAF6" w:themeFill="accent5" w:themeFillTint="33"/>
          </w:tcPr>
          <w:p w14:paraId="52209847" w14:textId="6A63BF1F" w:rsidR="00084E67" w:rsidRPr="00084E67" w:rsidRDefault="00084E67" w:rsidP="00084E67">
            <w:pPr>
              <w:ind w:right="115"/>
              <w:jc w:val="right"/>
              <w:rPr>
                <w:rFonts w:cs="Arial"/>
                <w:color w:val="000000"/>
                <w:sz w:val="18"/>
                <w:szCs w:val="18"/>
              </w:rPr>
            </w:pPr>
            <w:r w:rsidRPr="00084E67">
              <w:rPr>
                <w:rFonts w:cs="Arial"/>
                <w:sz w:val="18"/>
                <w:szCs w:val="18"/>
              </w:rPr>
              <w:t>2.9</w:t>
            </w:r>
          </w:p>
        </w:tc>
        <w:tc>
          <w:tcPr>
            <w:tcW w:w="964" w:type="dxa"/>
            <w:shd w:val="clear" w:color="auto" w:fill="DEEAF6" w:themeFill="accent5" w:themeFillTint="33"/>
          </w:tcPr>
          <w:p w14:paraId="477EC8E3" w14:textId="0FA7E926" w:rsidR="00084E67" w:rsidRPr="00084E67" w:rsidRDefault="00084E67" w:rsidP="00084E67">
            <w:pPr>
              <w:ind w:right="115"/>
              <w:jc w:val="right"/>
              <w:rPr>
                <w:rFonts w:cs="Arial"/>
                <w:color w:val="000000"/>
                <w:sz w:val="18"/>
                <w:szCs w:val="18"/>
              </w:rPr>
            </w:pPr>
            <w:r w:rsidRPr="00084E67">
              <w:rPr>
                <w:rFonts w:cs="Arial"/>
                <w:sz w:val="18"/>
                <w:szCs w:val="18"/>
              </w:rPr>
              <w:t>3.1</w:t>
            </w:r>
          </w:p>
        </w:tc>
        <w:tc>
          <w:tcPr>
            <w:tcW w:w="935" w:type="dxa"/>
            <w:shd w:val="clear" w:color="auto" w:fill="DEEAF6" w:themeFill="accent5" w:themeFillTint="33"/>
          </w:tcPr>
          <w:p w14:paraId="65ED9849" w14:textId="37A804F6" w:rsidR="00084E67" w:rsidRPr="00084E67" w:rsidRDefault="00084E67" w:rsidP="00084E67">
            <w:pPr>
              <w:ind w:right="115"/>
              <w:jc w:val="right"/>
              <w:rPr>
                <w:rFonts w:cs="Arial"/>
                <w:color w:val="000000"/>
                <w:sz w:val="18"/>
                <w:szCs w:val="18"/>
              </w:rPr>
            </w:pPr>
            <w:r w:rsidRPr="00084E67">
              <w:rPr>
                <w:rFonts w:cs="Arial"/>
                <w:sz w:val="18"/>
                <w:szCs w:val="18"/>
              </w:rPr>
              <w:t>2.8</w:t>
            </w:r>
          </w:p>
        </w:tc>
        <w:tc>
          <w:tcPr>
            <w:tcW w:w="993" w:type="dxa"/>
            <w:shd w:val="clear" w:color="auto" w:fill="DEEAF6" w:themeFill="accent5" w:themeFillTint="33"/>
          </w:tcPr>
          <w:p w14:paraId="66F810F8" w14:textId="43D32703" w:rsidR="00084E67" w:rsidRPr="00084E67" w:rsidRDefault="00084E67" w:rsidP="00084E67">
            <w:pPr>
              <w:ind w:right="115"/>
              <w:jc w:val="right"/>
              <w:rPr>
                <w:rFonts w:cs="Arial"/>
                <w:color w:val="000000"/>
                <w:sz w:val="18"/>
                <w:szCs w:val="18"/>
              </w:rPr>
            </w:pPr>
            <w:r w:rsidRPr="00084E67">
              <w:rPr>
                <w:rFonts w:cs="Arial"/>
                <w:sz w:val="18"/>
                <w:szCs w:val="18"/>
              </w:rPr>
              <w:t>3.0</w:t>
            </w:r>
          </w:p>
        </w:tc>
      </w:tr>
      <w:tr w:rsidR="00084E67" w:rsidRPr="00084E67" w14:paraId="22ED55EC" w14:textId="77777777" w:rsidTr="00AF1F43">
        <w:trPr>
          <w:trHeight w:val="405"/>
        </w:trPr>
        <w:tc>
          <w:tcPr>
            <w:tcW w:w="4673" w:type="dxa"/>
          </w:tcPr>
          <w:p w14:paraId="095C2297" w14:textId="168C692C" w:rsidR="00084E67" w:rsidRPr="00084E67" w:rsidRDefault="00084E67" w:rsidP="00084E67">
            <w:pPr>
              <w:rPr>
                <w:rFonts w:cs="Arial"/>
                <w:b/>
                <w:bCs/>
                <w:sz w:val="18"/>
                <w:szCs w:val="18"/>
              </w:rPr>
            </w:pPr>
            <w:r w:rsidRPr="00084E67">
              <w:rPr>
                <w:rFonts w:cs="Arial"/>
                <w:b/>
                <w:bCs/>
                <w:sz w:val="18"/>
                <w:szCs w:val="18"/>
              </w:rPr>
              <w:t>(</w:t>
            </w:r>
            <w:proofErr w:type="gramStart"/>
            <w:r w:rsidRPr="00084E67">
              <w:rPr>
                <w:rFonts w:cs="Arial"/>
                <w:b/>
                <w:bCs/>
                <w:sz w:val="18"/>
                <w:szCs w:val="18"/>
              </w:rPr>
              <w:t>=)  Ingreso</w:t>
            </w:r>
            <w:proofErr w:type="gramEnd"/>
            <w:r w:rsidRPr="00084E67">
              <w:rPr>
                <w:rFonts w:cs="Arial"/>
                <w:b/>
                <w:bCs/>
                <w:sz w:val="18"/>
                <w:szCs w:val="18"/>
              </w:rPr>
              <w:t xml:space="preserve"> Disponible Bruto</w:t>
            </w:r>
          </w:p>
        </w:tc>
        <w:tc>
          <w:tcPr>
            <w:tcW w:w="964" w:type="dxa"/>
          </w:tcPr>
          <w:p w14:paraId="2EA7A32B" w14:textId="23AB709D" w:rsidR="00084E67" w:rsidRPr="00084E67" w:rsidRDefault="00084E67" w:rsidP="00084E67">
            <w:pPr>
              <w:ind w:right="115"/>
              <w:jc w:val="right"/>
              <w:rPr>
                <w:rFonts w:cs="Arial"/>
                <w:b/>
                <w:bCs/>
                <w:color w:val="000000"/>
                <w:sz w:val="18"/>
                <w:szCs w:val="18"/>
              </w:rPr>
            </w:pPr>
            <w:r w:rsidRPr="00084E67">
              <w:rPr>
                <w:rFonts w:cs="Arial"/>
                <w:b/>
                <w:bCs/>
                <w:sz w:val="18"/>
                <w:szCs w:val="18"/>
              </w:rPr>
              <w:t>97.4</w:t>
            </w:r>
          </w:p>
        </w:tc>
        <w:tc>
          <w:tcPr>
            <w:tcW w:w="964" w:type="dxa"/>
          </w:tcPr>
          <w:p w14:paraId="702B77D1" w14:textId="030BF049" w:rsidR="00084E67" w:rsidRPr="00084E67" w:rsidRDefault="00084E67" w:rsidP="00084E67">
            <w:pPr>
              <w:ind w:right="115"/>
              <w:jc w:val="right"/>
              <w:rPr>
                <w:rFonts w:cs="Arial"/>
                <w:b/>
                <w:bCs/>
                <w:color w:val="000000"/>
                <w:sz w:val="18"/>
                <w:szCs w:val="18"/>
              </w:rPr>
            </w:pPr>
            <w:r w:rsidRPr="00084E67">
              <w:rPr>
                <w:rFonts w:cs="Arial"/>
                <w:b/>
                <w:bCs/>
                <w:sz w:val="18"/>
                <w:szCs w:val="18"/>
              </w:rPr>
              <w:t>100.3</w:t>
            </w:r>
          </w:p>
        </w:tc>
        <w:tc>
          <w:tcPr>
            <w:tcW w:w="964" w:type="dxa"/>
          </w:tcPr>
          <w:p w14:paraId="4EA08CE7" w14:textId="7C0DCB4D" w:rsidR="00084E67" w:rsidRPr="00084E67" w:rsidRDefault="00084E67" w:rsidP="00084E67">
            <w:pPr>
              <w:ind w:right="115"/>
              <w:jc w:val="right"/>
              <w:rPr>
                <w:rFonts w:cs="Arial"/>
                <w:b/>
                <w:bCs/>
                <w:color w:val="000000"/>
                <w:sz w:val="18"/>
                <w:szCs w:val="18"/>
              </w:rPr>
            </w:pPr>
            <w:r w:rsidRPr="00084E67">
              <w:rPr>
                <w:rFonts w:cs="Arial"/>
                <w:b/>
                <w:bCs/>
                <w:sz w:val="18"/>
                <w:szCs w:val="18"/>
              </w:rPr>
              <w:t>101.4</w:t>
            </w:r>
          </w:p>
        </w:tc>
        <w:tc>
          <w:tcPr>
            <w:tcW w:w="935" w:type="dxa"/>
          </w:tcPr>
          <w:p w14:paraId="004A5D0D" w14:textId="383D3E50" w:rsidR="00084E67" w:rsidRPr="00084E67" w:rsidRDefault="00084E67" w:rsidP="00084E67">
            <w:pPr>
              <w:ind w:right="115"/>
              <w:jc w:val="right"/>
              <w:rPr>
                <w:rFonts w:cs="Arial"/>
                <w:b/>
                <w:bCs/>
                <w:color w:val="000000"/>
                <w:sz w:val="18"/>
                <w:szCs w:val="18"/>
              </w:rPr>
            </w:pPr>
            <w:r w:rsidRPr="00084E67">
              <w:rPr>
                <w:rFonts w:cs="Arial"/>
                <w:b/>
                <w:bCs/>
                <w:sz w:val="18"/>
                <w:szCs w:val="18"/>
              </w:rPr>
              <w:t>100.5</w:t>
            </w:r>
          </w:p>
        </w:tc>
        <w:tc>
          <w:tcPr>
            <w:tcW w:w="993" w:type="dxa"/>
          </w:tcPr>
          <w:p w14:paraId="3FE07B1D" w14:textId="208C5EDA" w:rsidR="00084E67" w:rsidRPr="00084E67" w:rsidRDefault="00084E67" w:rsidP="00084E67">
            <w:pPr>
              <w:ind w:right="115"/>
              <w:jc w:val="right"/>
              <w:rPr>
                <w:rFonts w:cs="Arial"/>
                <w:b/>
                <w:bCs/>
                <w:color w:val="000000"/>
                <w:sz w:val="18"/>
                <w:szCs w:val="18"/>
              </w:rPr>
            </w:pPr>
            <w:r w:rsidRPr="00084E67">
              <w:rPr>
                <w:rFonts w:cs="Arial"/>
                <w:b/>
                <w:bCs/>
                <w:sz w:val="18"/>
                <w:szCs w:val="18"/>
              </w:rPr>
              <w:t>98.8</w:t>
            </w:r>
          </w:p>
        </w:tc>
      </w:tr>
    </w:tbl>
    <w:p w14:paraId="47133126" w14:textId="1C351FA3" w:rsidR="00084E67" w:rsidRPr="00084E67" w:rsidRDefault="006B760B" w:rsidP="00084E67">
      <w:pPr>
        <w:pStyle w:val="Textodebloque1"/>
        <w:spacing w:before="0"/>
        <w:ind w:left="284" w:right="0" w:firstLine="0"/>
        <w:jc w:val="left"/>
        <w:rPr>
          <w:rFonts w:eastAsia="Arial" w:cs="Arial"/>
          <w:b w:val="0"/>
          <w:bCs/>
          <w:sz w:val="16"/>
          <w:szCs w:val="16"/>
        </w:rPr>
      </w:pPr>
      <w:bookmarkStart w:id="5" w:name="_Hlk49781286"/>
      <w:r w:rsidRPr="009C10E1">
        <w:rPr>
          <w:rFonts w:eastAsia="Arial" w:cs="Arial"/>
          <w:b w:val="0"/>
          <w:bCs/>
          <w:sz w:val="16"/>
          <w:szCs w:val="16"/>
        </w:rPr>
        <w:t>Nota: La suma o resta de los parciales pueden no coincidir con los totales debido al redondeo</w:t>
      </w:r>
    </w:p>
    <w:p w14:paraId="29712F23" w14:textId="77777777" w:rsidR="006B760B" w:rsidRPr="009C10E1" w:rsidRDefault="006B760B" w:rsidP="006B760B">
      <w:pPr>
        <w:ind w:left="284"/>
        <w:jc w:val="both"/>
        <w:rPr>
          <w:rFonts w:cs="Arial"/>
          <w:color w:val="000000"/>
          <w:sz w:val="16"/>
          <w:szCs w:val="16"/>
          <w:lang w:val="es-MX" w:eastAsia="es-MX"/>
        </w:rPr>
      </w:pPr>
      <w:r w:rsidRPr="009C10E1">
        <w:rPr>
          <w:rFonts w:cs="Arial"/>
          <w:color w:val="000000"/>
          <w:sz w:val="16"/>
          <w:szCs w:val="16"/>
          <w:lang w:val="es-MX" w:eastAsia="es-MX"/>
        </w:rPr>
        <w:t>Fuente: INEGI</w:t>
      </w:r>
    </w:p>
    <w:bookmarkEnd w:id="5"/>
    <w:p w14:paraId="0C45FC00" w14:textId="1843AF8A" w:rsidR="006B760B" w:rsidRDefault="006B760B" w:rsidP="00785514">
      <w:pPr>
        <w:pStyle w:val="Textodebloque1"/>
        <w:spacing w:before="120"/>
        <w:ind w:left="0" w:right="0" w:firstLine="0"/>
        <w:rPr>
          <w:rFonts w:eastAsia="Arial" w:cs="Arial"/>
          <w:b w:val="0"/>
          <w:bCs/>
          <w:sz w:val="24"/>
          <w:szCs w:val="24"/>
        </w:rPr>
      </w:pPr>
    </w:p>
    <w:p w14:paraId="77B208D6" w14:textId="6AA651ED" w:rsidR="00D72C59" w:rsidRDefault="00D72C59" w:rsidP="00D72C59">
      <w:pPr>
        <w:pStyle w:val="Textodebloque1"/>
        <w:spacing w:before="120" w:after="240"/>
        <w:ind w:left="0" w:right="0" w:firstLine="0"/>
        <w:rPr>
          <w:rFonts w:eastAsia="Arial" w:cs="Arial"/>
          <w:b w:val="0"/>
          <w:bCs/>
          <w:sz w:val="24"/>
          <w:szCs w:val="24"/>
        </w:rPr>
      </w:pPr>
    </w:p>
    <w:p w14:paraId="549BC631" w14:textId="7CEE1525" w:rsidR="00392F2A" w:rsidRDefault="00392F2A" w:rsidP="00785514">
      <w:pPr>
        <w:pStyle w:val="Textodebloque1"/>
        <w:spacing w:before="120"/>
        <w:ind w:left="0" w:right="0" w:firstLine="0"/>
        <w:rPr>
          <w:rFonts w:eastAsia="Arial" w:cs="Arial"/>
          <w:i/>
          <w:iCs/>
          <w:szCs w:val="22"/>
        </w:rPr>
      </w:pPr>
    </w:p>
    <w:p w14:paraId="54AE2D8B" w14:textId="39160623" w:rsidR="00ED7AE3" w:rsidRDefault="00ED7AE3" w:rsidP="00785514">
      <w:pPr>
        <w:pStyle w:val="Textodebloque1"/>
        <w:spacing w:before="120"/>
        <w:ind w:left="0" w:right="0" w:firstLine="0"/>
        <w:rPr>
          <w:rFonts w:eastAsia="Arial" w:cs="Arial"/>
          <w:i/>
          <w:iCs/>
          <w:szCs w:val="22"/>
        </w:rPr>
      </w:pPr>
    </w:p>
    <w:p w14:paraId="1CF641FC" w14:textId="2E4E2F26" w:rsidR="00ED7AE3" w:rsidRDefault="00ED7AE3" w:rsidP="00785514">
      <w:pPr>
        <w:pStyle w:val="Textodebloque1"/>
        <w:spacing w:before="120"/>
        <w:ind w:left="0" w:right="0" w:firstLine="0"/>
        <w:rPr>
          <w:rFonts w:eastAsia="Arial" w:cs="Arial"/>
          <w:i/>
          <w:iCs/>
          <w:szCs w:val="22"/>
        </w:rPr>
      </w:pPr>
    </w:p>
    <w:p w14:paraId="08738D0A" w14:textId="53F67001" w:rsidR="00ED7AE3" w:rsidRDefault="00ED7AE3" w:rsidP="00785514">
      <w:pPr>
        <w:pStyle w:val="Textodebloque1"/>
        <w:spacing w:before="120"/>
        <w:ind w:left="0" w:right="0" w:firstLine="0"/>
        <w:rPr>
          <w:rFonts w:eastAsia="Arial" w:cs="Arial"/>
          <w:i/>
          <w:iCs/>
          <w:szCs w:val="22"/>
        </w:rPr>
      </w:pPr>
    </w:p>
    <w:p w14:paraId="3033B91F" w14:textId="77777777" w:rsidR="00ED7AE3" w:rsidRDefault="00ED7AE3" w:rsidP="00785514">
      <w:pPr>
        <w:pStyle w:val="Textodebloque1"/>
        <w:spacing w:before="120"/>
        <w:ind w:left="0" w:right="0" w:firstLine="0"/>
        <w:rPr>
          <w:rFonts w:eastAsia="Arial" w:cs="Arial"/>
          <w:i/>
          <w:iCs/>
          <w:szCs w:val="22"/>
        </w:rPr>
      </w:pPr>
    </w:p>
    <w:p w14:paraId="24AB44F6" w14:textId="598168BB" w:rsidR="00392F2A" w:rsidRDefault="006B760B" w:rsidP="00785514">
      <w:pPr>
        <w:pStyle w:val="Textodebloque1"/>
        <w:spacing w:before="120"/>
        <w:ind w:left="0" w:right="0" w:firstLine="0"/>
        <w:rPr>
          <w:rFonts w:eastAsia="Arial" w:cs="Arial"/>
          <w:i/>
          <w:iCs/>
          <w:szCs w:val="22"/>
        </w:rPr>
      </w:pPr>
      <w:r>
        <w:rPr>
          <w:rFonts w:eastAsia="Arial" w:cs="Arial"/>
          <w:i/>
          <w:iCs/>
          <w:szCs w:val="22"/>
        </w:rPr>
        <w:lastRenderedPageBreak/>
        <w:t>Consumo</w:t>
      </w:r>
    </w:p>
    <w:p w14:paraId="4118B788" w14:textId="1AC8CE9E" w:rsidR="00930C92" w:rsidRDefault="002166EA" w:rsidP="00785514">
      <w:pPr>
        <w:pStyle w:val="Textodebloque1"/>
        <w:spacing w:before="120"/>
        <w:ind w:left="0" w:right="0" w:firstLine="0"/>
        <w:rPr>
          <w:rFonts w:eastAsia="Arial" w:cs="Arial"/>
          <w:b w:val="0"/>
          <w:bCs/>
          <w:sz w:val="24"/>
          <w:szCs w:val="24"/>
        </w:rPr>
      </w:pPr>
      <w:r w:rsidRPr="002166EA">
        <w:rPr>
          <w:rFonts w:eastAsia="Arial" w:cs="Arial"/>
          <w:b w:val="0"/>
          <w:bCs/>
          <w:sz w:val="24"/>
          <w:szCs w:val="24"/>
          <w:lang w:val="es-ES"/>
        </w:rPr>
        <w:t>El consumo final consiste en los bienes y servicios utilizados por los hogares individuales o por la comunidad para satisfacer sus necesidades o deseos individuales o colectivos</w:t>
      </w:r>
      <w:r w:rsidR="006F0515" w:rsidRPr="006F0515">
        <w:rPr>
          <w:rFonts w:eastAsia="Arial" w:cs="Arial"/>
          <w:b w:val="0"/>
          <w:bCs/>
          <w:sz w:val="24"/>
          <w:szCs w:val="24"/>
        </w:rPr>
        <w:t xml:space="preserve"> como los asilos, hospitales, conventos y prisiones.</w:t>
      </w:r>
    </w:p>
    <w:p w14:paraId="4ED1A385" w14:textId="2CB69697" w:rsidR="00FB2348" w:rsidRPr="002069C8" w:rsidRDefault="00FB2348" w:rsidP="00FB2348">
      <w:pPr>
        <w:spacing w:before="120"/>
        <w:jc w:val="center"/>
        <w:rPr>
          <w:rFonts w:eastAsia="Arial" w:cs="Arial"/>
          <w:sz w:val="20"/>
          <w:szCs w:val="20"/>
        </w:rPr>
      </w:pPr>
      <w:r w:rsidRPr="002069C8">
        <w:rPr>
          <w:rFonts w:eastAsia="Arial" w:cs="Arial"/>
          <w:sz w:val="20"/>
          <w:szCs w:val="20"/>
        </w:rPr>
        <w:t>Gr</w:t>
      </w:r>
      <w:r w:rsidR="00A52544">
        <w:rPr>
          <w:rFonts w:eastAsia="Arial" w:cs="Arial"/>
          <w:sz w:val="20"/>
          <w:szCs w:val="20"/>
        </w:rPr>
        <w:t>á</w:t>
      </w:r>
      <w:r w:rsidRPr="002069C8">
        <w:rPr>
          <w:rFonts w:eastAsia="Arial" w:cs="Arial"/>
          <w:sz w:val="20"/>
          <w:szCs w:val="20"/>
        </w:rPr>
        <w:t xml:space="preserve">fica </w:t>
      </w:r>
      <w:r>
        <w:rPr>
          <w:rFonts w:eastAsia="Arial" w:cs="Arial"/>
          <w:sz w:val="20"/>
          <w:szCs w:val="20"/>
        </w:rPr>
        <w:t>3</w:t>
      </w:r>
    </w:p>
    <w:p w14:paraId="5B7AFE7B" w14:textId="73BBE7D5" w:rsidR="00FB2348" w:rsidRDefault="00FB2348" w:rsidP="00FB2348">
      <w:pPr>
        <w:jc w:val="center"/>
        <w:rPr>
          <w:rFonts w:eastAsia="Arial" w:cs="Arial"/>
          <w:b/>
          <w:bCs/>
          <w:sz w:val="22"/>
          <w:szCs w:val="22"/>
        </w:rPr>
      </w:pPr>
      <w:r>
        <w:rPr>
          <w:rFonts w:eastAsia="Arial" w:cs="Arial"/>
          <w:b/>
          <w:bCs/>
          <w:sz w:val="22"/>
          <w:szCs w:val="22"/>
        </w:rPr>
        <w:t xml:space="preserve">CONSUMO INDIVIDUAL Y CONSUMO </w:t>
      </w:r>
      <w:r w:rsidR="00A52544">
        <w:rPr>
          <w:rFonts w:eastAsia="Arial" w:cs="Arial"/>
          <w:b/>
          <w:bCs/>
          <w:sz w:val="22"/>
          <w:szCs w:val="22"/>
        </w:rPr>
        <w:t>C</w:t>
      </w:r>
      <w:r>
        <w:rPr>
          <w:rFonts w:eastAsia="Arial" w:cs="Arial"/>
          <w:b/>
          <w:bCs/>
          <w:sz w:val="22"/>
          <w:szCs w:val="22"/>
        </w:rPr>
        <w:t>OLECTIVO</w:t>
      </w:r>
    </w:p>
    <w:p w14:paraId="1881945F" w14:textId="77777777" w:rsidR="00FB2348" w:rsidRPr="002069C8" w:rsidRDefault="00FB2348" w:rsidP="00FB2348">
      <w:pPr>
        <w:jc w:val="center"/>
        <w:rPr>
          <w:rFonts w:eastAsia="Arial" w:cs="Arial"/>
          <w:b/>
          <w:bCs/>
          <w:sz w:val="22"/>
          <w:szCs w:val="22"/>
        </w:rPr>
      </w:pPr>
      <w:r>
        <w:rPr>
          <w:rFonts w:eastAsia="Arial" w:cs="Arial"/>
          <w:b/>
          <w:bCs/>
          <w:sz w:val="22"/>
          <w:szCs w:val="22"/>
        </w:rPr>
        <w:t xml:space="preserve">DEL </w:t>
      </w:r>
      <w:r w:rsidRPr="002069C8">
        <w:rPr>
          <w:rFonts w:eastAsia="Arial" w:cs="Arial"/>
          <w:b/>
          <w:bCs/>
          <w:sz w:val="22"/>
          <w:szCs w:val="22"/>
        </w:rPr>
        <w:t xml:space="preserve">PRIMER TRIMESTRE DE </w:t>
      </w:r>
      <w:r>
        <w:rPr>
          <w:rFonts w:eastAsia="Arial" w:cs="Arial"/>
          <w:b/>
          <w:bCs/>
          <w:sz w:val="22"/>
          <w:szCs w:val="22"/>
        </w:rPr>
        <w:t xml:space="preserve">2008 AL PRIMER TRIMESTRE DE </w:t>
      </w:r>
      <w:r w:rsidRPr="002069C8">
        <w:rPr>
          <w:rFonts w:eastAsia="Arial" w:cs="Arial"/>
          <w:b/>
          <w:bCs/>
          <w:sz w:val="22"/>
          <w:szCs w:val="22"/>
        </w:rPr>
        <w:t>2020</w:t>
      </w:r>
    </w:p>
    <w:p w14:paraId="18E7E42D" w14:textId="618DD640" w:rsidR="00C85C7C" w:rsidRDefault="00930C92" w:rsidP="00785514">
      <w:pPr>
        <w:pStyle w:val="Textodebloque1"/>
        <w:spacing w:before="120"/>
        <w:ind w:left="0" w:right="0" w:firstLine="0"/>
        <w:rPr>
          <w:rFonts w:eastAsia="Arial" w:cs="Arial"/>
          <w:b w:val="0"/>
          <w:bCs/>
          <w:sz w:val="24"/>
          <w:szCs w:val="24"/>
        </w:rPr>
      </w:pPr>
      <w:r w:rsidRPr="00930C92">
        <w:rPr>
          <w:rFonts w:eastAsia="Arial" w:cs="Arial"/>
          <w:b w:val="0"/>
          <w:bCs/>
          <w:noProof/>
          <w:sz w:val="24"/>
          <w:szCs w:val="24"/>
          <w:lang w:val="es-ES"/>
        </w:rPr>
        <w:drawing>
          <wp:inline distT="0" distB="0" distL="0" distR="0" wp14:anchorId="2C736DCD" wp14:editId="0259A74A">
            <wp:extent cx="2880000" cy="1934057"/>
            <wp:effectExtent l="0" t="0" r="15875" b="9525"/>
            <wp:docPr id="9" name="Gráfico 9">
              <a:extLst xmlns:a="http://schemas.openxmlformats.org/drawingml/2006/main">
                <a:ext uri="{FF2B5EF4-FFF2-40B4-BE49-F238E27FC236}">
                  <a16:creationId xmlns:a16="http://schemas.microsoft.com/office/drawing/2014/main" id="{428686DE-63B7-48CA-9799-082FF40C706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eastAsia="Arial" w:cs="Arial"/>
          <w:b w:val="0"/>
          <w:bCs/>
          <w:sz w:val="24"/>
          <w:szCs w:val="24"/>
        </w:rPr>
        <w:t xml:space="preserve">  </w:t>
      </w:r>
      <w:r w:rsidRPr="00930C92">
        <w:rPr>
          <w:rFonts w:eastAsia="Arial" w:cs="Arial"/>
          <w:b w:val="0"/>
          <w:bCs/>
          <w:noProof/>
          <w:sz w:val="24"/>
          <w:szCs w:val="24"/>
          <w:lang w:val="es-ES"/>
        </w:rPr>
        <w:drawing>
          <wp:inline distT="0" distB="0" distL="0" distR="0" wp14:anchorId="6049D979" wp14:editId="296B6C0D">
            <wp:extent cx="2880000" cy="1934051"/>
            <wp:effectExtent l="0" t="0" r="15875" b="9525"/>
            <wp:docPr id="11" name="Gráfico 11">
              <a:extLst xmlns:a="http://schemas.openxmlformats.org/drawingml/2006/main">
                <a:ext uri="{FF2B5EF4-FFF2-40B4-BE49-F238E27FC236}">
                  <a16:creationId xmlns:a16="http://schemas.microsoft.com/office/drawing/2014/main" id="{D19131CF-3EA7-4768-A1B5-C5CB3500B91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689129A" w14:textId="77777777" w:rsidR="00D72C59" w:rsidRDefault="00D72C59" w:rsidP="00785514">
      <w:pPr>
        <w:pStyle w:val="Textodebloque1"/>
        <w:spacing w:before="120"/>
        <w:ind w:left="0" w:right="0" w:firstLine="0"/>
        <w:rPr>
          <w:rFonts w:eastAsia="Arial" w:cs="Arial"/>
          <w:i/>
          <w:iCs/>
          <w:szCs w:val="22"/>
        </w:rPr>
      </w:pPr>
    </w:p>
    <w:p w14:paraId="33DE0501" w14:textId="2EF560A3" w:rsidR="00C85C7C" w:rsidRDefault="006B760B" w:rsidP="00785514">
      <w:pPr>
        <w:pStyle w:val="Textodebloque1"/>
        <w:spacing w:before="120"/>
        <w:ind w:left="0" w:right="0" w:firstLine="0"/>
        <w:rPr>
          <w:rFonts w:eastAsia="Arial" w:cs="Arial"/>
          <w:b w:val="0"/>
          <w:bCs/>
          <w:sz w:val="24"/>
          <w:szCs w:val="24"/>
        </w:rPr>
      </w:pPr>
      <w:r>
        <w:rPr>
          <w:rFonts w:eastAsia="Arial" w:cs="Arial"/>
          <w:i/>
          <w:iCs/>
          <w:szCs w:val="22"/>
        </w:rPr>
        <w:t>Ahorro</w:t>
      </w:r>
    </w:p>
    <w:p w14:paraId="0D0FF60A" w14:textId="191CE666" w:rsidR="006B760B" w:rsidRPr="00785514" w:rsidRDefault="006B760B" w:rsidP="006B760B">
      <w:pPr>
        <w:autoSpaceDE w:val="0"/>
        <w:autoSpaceDN w:val="0"/>
        <w:adjustRightInd w:val="0"/>
        <w:spacing w:before="120"/>
        <w:jc w:val="both"/>
        <w:rPr>
          <w:rFonts w:eastAsia="Arial" w:cs="Arial"/>
          <w:bCs/>
        </w:rPr>
      </w:pPr>
      <w:r w:rsidRPr="00785514">
        <w:rPr>
          <w:rFonts w:eastAsia="Arial" w:cs="Arial"/>
          <w:bCs/>
          <w:lang w:val="es-ES_tradnl"/>
        </w:rPr>
        <w:t xml:space="preserve">El ahorro representa la parte del ingreso disponible que los sectores institucionales no gastaron en bienes y servicios de consumo final, éste puede ser positivo o negativo, según el ingreso disponible supere a los gastos de consumo final, o viceversa. </w:t>
      </w:r>
      <w:r w:rsidR="00D00E01">
        <w:rPr>
          <w:rFonts w:eastAsia="Arial" w:cs="Arial"/>
          <w:bCs/>
        </w:rPr>
        <w:t>P</w:t>
      </w:r>
      <w:r w:rsidRPr="00785514">
        <w:rPr>
          <w:rFonts w:eastAsia="Arial" w:cs="Arial"/>
          <w:bCs/>
        </w:rPr>
        <w:t xml:space="preserve">ara el </w:t>
      </w:r>
      <w:r w:rsidR="00BF3D60">
        <w:rPr>
          <w:rFonts w:eastAsia="Arial" w:cs="Arial"/>
          <w:bCs/>
        </w:rPr>
        <w:t>primer trimestre de</w:t>
      </w:r>
      <w:r w:rsidRPr="00785514">
        <w:rPr>
          <w:rFonts w:eastAsia="Arial" w:cs="Arial"/>
          <w:bCs/>
        </w:rPr>
        <w:t xml:space="preserve"> 2020, el Ahorro bruto total fue aportado por los Hogares y las Sociedades no financieras con el 8.4 y </w:t>
      </w:r>
      <w:r w:rsidRPr="00785514">
        <w:rPr>
          <w:rFonts w:cs="Arial"/>
          <w:bCs/>
        </w:rPr>
        <w:t>6.5</w:t>
      </w:r>
      <w:r w:rsidRPr="00785514">
        <w:rPr>
          <w:rFonts w:eastAsia="Arial" w:cs="Arial"/>
          <w:bCs/>
        </w:rPr>
        <w:t xml:space="preserve">%, respectivamente, las Sociedades financieras </w:t>
      </w:r>
      <w:r w:rsidRPr="00785514">
        <w:rPr>
          <w:rFonts w:cs="Arial"/>
          <w:bCs/>
        </w:rPr>
        <w:t>6.</w:t>
      </w:r>
      <w:r w:rsidR="00BF3D60">
        <w:rPr>
          <w:rFonts w:cs="Arial"/>
          <w:bCs/>
        </w:rPr>
        <w:t>0</w:t>
      </w:r>
      <w:r w:rsidRPr="00785514">
        <w:rPr>
          <w:rFonts w:eastAsia="Arial" w:cs="Arial"/>
          <w:bCs/>
        </w:rPr>
        <w:t>%, las ISFLSH</w:t>
      </w:r>
      <w:r w:rsidRPr="00785514">
        <w:rPr>
          <w:rFonts w:cs="Arial"/>
          <w:bCs/>
        </w:rPr>
        <w:t xml:space="preserve"> 1.7</w:t>
      </w:r>
      <w:r w:rsidRPr="00785514">
        <w:rPr>
          <w:rFonts w:eastAsia="Arial" w:cs="Arial"/>
          <w:bCs/>
        </w:rPr>
        <w:t xml:space="preserve">%, el Gobierno general tuvo una caída que está representada por el </w:t>
      </w:r>
      <w:r w:rsidR="00BF3D60">
        <w:rPr>
          <w:rFonts w:eastAsia="Arial" w:cs="Arial"/>
          <w:bCs/>
        </w:rPr>
        <w:t>(-)</w:t>
      </w:r>
      <w:r w:rsidRPr="00785514">
        <w:rPr>
          <w:rFonts w:eastAsia="Arial" w:cs="Arial"/>
          <w:bCs/>
        </w:rPr>
        <w:t xml:space="preserve">0.4% respecto al total, mientras que el restante se cubrió con ahorro proveniente del exterior. </w:t>
      </w:r>
    </w:p>
    <w:p w14:paraId="790DD68C" w14:textId="6D29C02B" w:rsidR="00682EF0" w:rsidRPr="00682EF0" w:rsidRDefault="00682EF0" w:rsidP="00682EF0">
      <w:pPr>
        <w:spacing w:before="120"/>
        <w:jc w:val="center"/>
        <w:rPr>
          <w:rFonts w:eastAsia="Arial" w:cs="Arial"/>
          <w:bCs/>
          <w:sz w:val="20"/>
          <w:szCs w:val="20"/>
          <w:lang w:val="es-ES_tradnl"/>
        </w:rPr>
      </w:pPr>
      <w:bookmarkStart w:id="6" w:name="_Hlk49742596"/>
      <w:r w:rsidRPr="00682EF0">
        <w:rPr>
          <w:rFonts w:eastAsia="Arial" w:cs="Arial"/>
          <w:bCs/>
          <w:sz w:val="20"/>
          <w:szCs w:val="20"/>
          <w:lang w:val="es-ES_tradnl"/>
        </w:rPr>
        <w:t xml:space="preserve">Cuadro </w:t>
      </w:r>
      <w:r w:rsidR="00FB2348">
        <w:rPr>
          <w:rFonts w:eastAsia="Arial" w:cs="Arial"/>
          <w:bCs/>
          <w:sz w:val="20"/>
          <w:szCs w:val="20"/>
          <w:lang w:val="es-ES_tradnl"/>
        </w:rPr>
        <w:t>4</w:t>
      </w:r>
    </w:p>
    <w:bookmarkEnd w:id="6"/>
    <w:p w14:paraId="225E6967" w14:textId="77777777" w:rsidR="006B760B" w:rsidRPr="00682EF0" w:rsidRDefault="006B760B" w:rsidP="00682EF0">
      <w:pPr>
        <w:shd w:val="clear" w:color="auto" w:fill="FFFFFF" w:themeFill="background1"/>
        <w:jc w:val="center"/>
        <w:rPr>
          <w:rFonts w:eastAsia="Arial" w:cs="Arial"/>
          <w:b/>
          <w:bCs/>
          <w:sz w:val="22"/>
          <w:szCs w:val="22"/>
          <w:lang w:val="es-ES_tradnl"/>
        </w:rPr>
      </w:pPr>
      <w:r w:rsidRPr="00682EF0">
        <w:rPr>
          <w:rFonts w:eastAsia="Arial" w:cs="Arial"/>
          <w:b/>
          <w:bCs/>
          <w:sz w:val="22"/>
          <w:szCs w:val="22"/>
          <w:lang w:val="es-ES_tradnl"/>
        </w:rPr>
        <w:t>AHORRO BRUTO INTERNO</w:t>
      </w:r>
    </w:p>
    <w:p w14:paraId="647C9B3B" w14:textId="64F9AA2E" w:rsidR="00AE3941" w:rsidRPr="00682EF0" w:rsidRDefault="006B760B" w:rsidP="00682EF0">
      <w:pPr>
        <w:pStyle w:val="Textodebloque1"/>
        <w:spacing w:before="0"/>
        <w:ind w:left="0" w:right="0" w:firstLine="0"/>
        <w:jc w:val="center"/>
        <w:rPr>
          <w:rFonts w:eastAsia="Arial" w:cs="Arial"/>
          <w:b w:val="0"/>
          <w:bCs/>
          <w:sz w:val="18"/>
          <w:szCs w:val="18"/>
        </w:rPr>
      </w:pPr>
      <w:r w:rsidRPr="00682EF0">
        <w:rPr>
          <w:rFonts w:eastAsia="Arial" w:cs="Arial"/>
          <w:b w:val="0"/>
          <w:bCs/>
          <w:sz w:val="18"/>
          <w:szCs w:val="18"/>
        </w:rPr>
        <w:t>(Participación porcentual respecto al PIB)</w:t>
      </w:r>
    </w:p>
    <w:tbl>
      <w:tblPr>
        <w:tblStyle w:val="Tablaconcuadrcula"/>
        <w:tblW w:w="9493" w:type="dxa"/>
        <w:tblLayout w:type="fixed"/>
        <w:tblLook w:val="04A0" w:firstRow="1" w:lastRow="0" w:firstColumn="1" w:lastColumn="0" w:noHBand="0" w:noVBand="1"/>
      </w:tblPr>
      <w:tblGrid>
        <w:gridCol w:w="846"/>
        <w:gridCol w:w="992"/>
        <w:gridCol w:w="1418"/>
        <w:gridCol w:w="1275"/>
        <w:gridCol w:w="993"/>
        <w:gridCol w:w="992"/>
        <w:gridCol w:w="992"/>
        <w:gridCol w:w="1134"/>
        <w:gridCol w:w="851"/>
      </w:tblGrid>
      <w:tr w:rsidR="00682EF0" w:rsidRPr="00682EF0" w14:paraId="6454A5A7" w14:textId="10C7EE35" w:rsidTr="00ED7AE3">
        <w:trPr>
          <w:trHeight w:val="254"/>
        </w:trPr>
        <w:tc>
          <w:tcPr>
            <w:tcW w:w="846" w:type="dxa"/>
            <w:vMerge w:val="restart"/>
            <w:tcBorders>
              <w:right w:val="single" w:sz="4" w:space="0" w:color="000000" w:themeColor="text1"/>
            </w:tcBorders>
            <w:shd w:val="clear" w:color="auto" w:fill="DEEAF6" w:themeFill="accent5" w:themeFillTint="33"/>
            <w:vAlign w:val="center"/>
          </w:tcPr>
          <w:p w14:paraId="41162F6D" w14:textId="11DC836D" w:rsidR="00682EF0" w:rsidRPr="00A2031D" w:rsidRDefault="00682EF0" w:rsidP="00682EF0">
            <w:pPr>
              <w:jc w:val="center"/>
              <w:rPr>
                <w:rFonts w:eastAsia="Arial" w:cs="Arial"/>
                <w:b/>
                <w:bCs/>
                <w:sz w:val="18"/>
                <w:szCs w:val="18"/>
              </w:rPr>
            </w:pPr>
            <w:r w:rsidRPr="00A2031D">
              <w:rPr>
                <w:rFonts w:cs="Arial"/>
                <w:b/>
                <w:bCs/>
                <w:sz w:val="18"/>
                <w:szCs w:val="18"/>
              </w:rPr>
              <w:t>AÑO</w:t>
            </w:r>
          </w:p>
        </w:tc>
        <w:tc>
          <w:tcPr>
            <w:tcW w:w="992" w:type="dxa"/>
            <w:vMerge w:val="restart"/>
            <w:tcBorders>
              <w:left w:val="single" w:sz="4" w:space="0" w:color="000000" w:themeColor="text1"/>
              <w:right w:val="single" w:sz="4" w:space="0" w:color="000000" w:themeColor="text1"/>
            </w:tcBorders>
            <w:shd w:val="clear" w:color="auto" w:fill="DEEAF6" w:themeFill="accent5" w:themeFillTint="33"/>
            <w:vAlign w:val="center"/>
          </w:tcPr>
          <w:p w14:paraId="34F86B5B" w14:textId="53AAAB63" w:rsidR="00682EF0" w:rsidRPr="00A2031D" w:rsidRDefault="00682EF0" w:rsidP="00682EF0">
            <w:pPr>
              <w:jc w:val="center"/>
              <w:rPr>
                <w:rFonts w:eastAsia="Arial" w:cs="Arial"/>
                <w:b/>
                <w:bCs/>
                <w:sz w:val="18"/>
                <w:szCs w:val="18"/>
              </w:rPr>
            </w:pPr>
            <w:r w:rsidRPr="00A2031D">
              <w:rPr>
                <w:rFonts w:cs="Arial"/>
                <w:b/>
                <w:bCs/>
                <w:sz w:val="18"/>
                <w:szCs w:val="18"/>
              </w:rPr>
              <w:t>Total</w:t>
            </w:r>
          </w:p>
        </w:tc>
        <w:tc>
          <w:tcPr>
            <w:tcW w:w="6804" w:type="dxa"/>
            <w:gridSpan w:val="6"/>
            <w:tcBorders>
              <w:left w:val="single" w:sz="4" w:space="0" w:color="000000" w:themeColor="text1"/>
              <w:bottom w:val="single" w:sz="4" w:space="0" w:color="000000" w:themeColor="text1"/>
            </w:tcBorders>
            <w:shd w:val="clear" w:color="auto" w:fill="DEEAF6" w:themeFill="accent5" w:themeFillTint="33"/>
            <w:vAlign w:val="center"/>
          </w:tcPr>
          <w:p w14:paraId="2B0EC759" w14:textId="3CC46A55" w:rsidR="00682EF0" w:rsidRPr="00682EF0" w:rsidRDefault="00682EF0" w:rsidP="00682EF0">
            <w:pPr>
              <w:jc w:val="center"/>
              <w:rPr>
                <w:rFonts w:eastAsia="Arial" w:cs="Arial"/>
                <w:b/>
                <w:bCs/>
                <w:sz w:val="18"/>
                <w:szCs w:val="18"/>
              </w:rPr>
            </w:pPr>
            <w:r w:rsidRPr="00682EF0">
              <w:rPr>
                <w:rFonts w:cs="Arial"/>
                <w:b/>
                <w:bCs/>
                <w:sz w:val="18"/>
                <w:szCs w:val="18"/>
              </w:rPr>
              <w:t>Ahorro bruto interno</w:t>
            </w:r>
          </w:p>
        </w:tc>
        <w:tc>
          <w:tcPr>
            <w:tcW w:w="851" w:type="dxa"/>
            <w:vMerge w:val="restart"/>
            <w:tcBorders>
              <w:left w:val="single" w:sz="4" w:space="0" w:color="000000" w:themeColor="text1"/>
            </w:tcBorders>
            <w:shd w:val="clear" w:color="auto" w:fill="DEEAF6" w:themeFill="accent5" w:themeFillTint="33"/>
            <w:vAlign w:val="center"/>
          </w:tcPr>
          <w:p w14:paraId="610A1A47" w14:textId="40295BB7" w:rsidR="00682EF0" w:rsidRPr="00A2031D" w:rsidRDefault="00682EF0" w:rsidP="00682EF0">
            <w:pPr>
              <w:jc w:val="center"/>
              <w:rPr>
                <w:rFonts w:eastAsia="Arial" w:cs="Arial"/>
                <w:b/>
                <w:sz w:val="18"/>
                <w:szCs w:val="18"/>
              </w:rPr>
            </w:pPr>
            <w:r w:rsidRPr="00A2031D">
              <w:rPr>
                <w:rFonts w:eastAsia="Arial" w:cs="Arial"/>
                <w:b/>
                <w:sz w:val="18"/>
                <w:szCs w:val="18"/>
              </w:rPr>
              <w:t>Saldo exterior en cuenta corriente</w:t>
            </w:r>
          </w:p>
        </w:tc>
      </w:tr>
      <w:tr w:rsidR="00682EF0" w:rsidRPr="00682EF0" w14:paraId="51BC8100" w14:textId="5B9F0A61" w:rsidTr="00ED7AE3">
        <w:trPr>
          <w:trHeight w:val="254"/>
        </w:trPr>
        <w:tc>
          <w:tcPr>
            <w:tcW w:w="846" w:type="dxa"/>
            <w:vMerge/>
            <w:tcBorders>
              <w:right w:val="single" w:sz="4" w:space="0" w:color="000000" w:themeColor="text1"/>
            </w:tcBorders>
            <w:shd w:val="clear" w:color="auto" w:fill="DEEAF6" w:themeFill="accent5" w:themeFillTint="33"/>
            <w:vAlign w:val="center"/>
          </w:tcPr>
          <w:p w14:paraId="1E63E285" w14:textId="77777777" w:rsidR="00682EF0" w:rsidRPr="00682EF0" w:rsidRDefault="00682EF0" w:rsidP="00682EF0">
            <w:pPr>
              <w:jc w:val="center"/>
              <w:rPr>
                <w:rFonts w:eastAsia="Arial" w:cs="Arial"/>
                <w:b/>
                <w:sz w:val="18"/>
                <w:szCs w:val="18"/>
              </w:rPr>
            </w:pPr>
          </w:p>
        </w:tc>
        <w:tc>
          <w:tcPr>
            <w:tcW w:w="992" w:type="dxa"/>
            <w:vMerge/>
            <w:tcBorders>
              <w:left w:val="single" w:sz="4" w:space="0" w:color="000000" w:themeColor="text1"/>
              <w:right w:val="single" w:sz="4" w:space="0" w:color="000000" w:themeColor="text1"/>
            </w:tcBorders>
            <w:shd w:val="clear" w:color="auto" w:fill="DEEAF6" w:themeFill="accent5" w:themeFillTint="33"/>
            <w:vAlign w:val="center"/>
          </w:tcPr>
          <w:p w14:paraId="78F5BC8A" w14:textId="787D7EE0" w:rsidR="00682EF0" w:rsidRPr="00682EF0" w:rsidRDefault="00682EF0" w:rsidP="00682EF0">
            <w:pPr>
              <w:jc w:val="center"/>
              <w:rPr>
                <w:rFonts w:eastAsia="Arial" w:cs="Arial"/>
                <w:b/>
                <w:sz w:val="18"/>
                <w:szCs w:val="18"/>
              </w:rPr>
            </w:pPr>
          </w:p>
        </w:tc>
        <w:tc>
          <w:tcPr>
            <w:tcW w:w="1418"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064EEB21" w14:textId="3A42C75B" w:rsidR="00682EF0" w:rsidRPr="00682EF0" w:rsidRDefault="00682EF0" w:rsidP="00682EF0">
            <w:pPr>
              <w:jc w:val="center"/>
              <w:rPr>
                <w:rFonts w:eastAsia="Arial" w:cs="Arial"/>
                <w:b/>
                <w:sz w:val="18"/>
                <w:szCs w:val="18"/>
              </w:rPr>
            </w:pPr>
            <w:r w:rsidRPr="00682EF0">
              <w:rPr>
                <w:rFonts w:cs="Arial"/>
                <w:sz w:val="18"/>
                <w:szCs w:val="18"/>
              </w:rPr>
              <w:t>S.11 Sociedades no financieras</w:t>
            </w:r>
          </w:p>
        </w:tc>
        <w:tc>
          <w:tcPr>
            <w:tcW w:w="1275"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1C9F012B" w14:textId="2EE6B2D8" w:rsidR="00682EF0" w:rsidRPr="00682EF0" w:rsidRDefault="00682EF0" w:rsidP="00682EF0">
            <w:pPr>
              <w:jc w:val="center"/>
              <w:rPr>
                <w:rFonts w:eastAsia="Arial" w:cs="Arial"/>
                <w:b/>
                <w:sz w:val="18"/>
                <w:szCs w:val="18"/>
              </w:rPr>
            </w:pPr>
            <w:r w:rsidRPr="00682EF0">
              <w:rPr>
                <w:rFonts w:cs="Arial"/>
                <w:sz w:val="18"/>
                <w:szCs w:val="18"/>
              </w:rPr>
              <w:t>S.12 Sociedades financieras</w:t>
            </w:r>
          </w:p>
        </w:tc>
        <w:tc>
          <w:tcPr>
            <w:tcW w:w="993"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1AFCA098" w14:textId="6367D891" w:rsidR="00682EF0" w:rsidRPr="00682EF0" w:rsidRDefault="00682EF0" w:rsidP="00682EF0">
            <w:pPr>
              <w:jc w:val="center"/>
              <w:rPr>
                <w:rFonts w:eastAsia="Arial" w:cs="Arial"/>
                <w:b/>
                <w:sz w:val="18"/>
                <w:szCs w:val="18"/>
              </w:rPr>
            </w:pPr>
            <w:r w:rsidRPr="00682EF0">
              <w:rPr>
                <w:rFonts w:cs="Arial"/>
                <w:sz w:val="18"/>
                <w:szCs w:val="18"/>
              </w:rPr>
              <w:t>S.13 Gobierno general</w:t>
            </w:r>
          </w:p>
        </w:tc>
        <w:tc>
          <w:tcPr>
            <w:tcW w:w="992" w:type="dxa"/>
            <w:tcBorders>
              <w:top w:val="single" w:sz="4" w:space="0" w:color="000000" w:themeColor="text1"/>
              <w:left w:val="single" w:sz="4" w:space="0" w:color="000000" w:themeColor="text1"/>
            </w:tcBorders>
            <w:shd w:val="clear" w:color="auto" w:fill="DEEAF6" w:themeFill="accent5" w:themeFillTint="33"/>
            <w:vAlign w:val="center"/>
          </w:tcPr>
          <w:p w14:paraId="68A9B61E" w14:textId="21EC1330" w:rsidR="00682EF0" w:rsidRPr="00682EF0" w:rsidRDefault="00682EF0" w:rsidP="00682EF0">
            <w:pPr>
              <w:jc w:val="center"/>
              <w:rPr>
                <w:rFonts w:eastAsia="Arial" w:cs="Arial"/>
                <w:b/>
                <w:sz w:val="18"/>
                <w:szCs w:val="18"/>
              </w:rPr>
            </w:pPr>
            <w:r w:rsidRPr="00682EF0">
              <w:rPr>
                <w:rFonts w:cs="Arial"/>
                <w:sz w:val="18"/>
                <w:szCs w:val="18"/>
              </w:rPr>
              <w:t>S.14 Hogares</w:t>
            </w:r>
          </w:p>
        </w:tc>
        <w:tc>
          <w:tcPr>
            <w:tcW w:w="992" w:type="dxa"/>
            <w:tcBorders>
              <w:top w:val="single" w:sz="4" w:space="0" w:color="000000" w:themeColor="text1"/>
              <w:left w:val="single" w:sz="4" w:space="0" w:color="000000" w:themeColor="text1"/>
            </w:tcBorders>
            <w:shd w:val="clear" w:color="auto" w:fill="DEEAF6" w:themeFill="accent5" w:themeFillTint="33"/>
            <w:vAlign w:val="center"/>
          </w:tcPr>
          <w:p w14:paraId="6FEB63A1" w14:textId="4B519D2C" w:rsidR="00682EF0" w:rsidRPr="00682EF0" w:rsidRDefault="00682EF0" w:rsidP="00682EF0">
            <w:pPr>
              <w:jc w:val="center"/>
              <w:rPr>
                <w:rFonts w:eastAsia="Arial" w:cs="Arial"/>
                <w:b/>
                <w:sz w:val="18"/>
                <w:szCs w:val="18"/>
              </w:rPr>
            </w:pPr>
            <w:r w:rsidRPr="00682EF0">
              <w:rPr>
                <w:rFonts w:cs="Arial"/>
                <w:sz w:val="18"/>
                <w:szCs w:val="18"/>
              </w:rPr>
              <w:t>S.1</w:t>
            </w:r>
            <w:r w:rsidR="00AF1F43">
              <w:rPr>
                <w:rFonts w:cs="Arial"/>
                <w:sz w:val="18"/>
                <w:szCs w:val="18"/>
              </w:rPr>
              <w:t>5</w:t>
            </w:r>
            <w:r w:rsidRPr="00682EF0">
              <w:rPr>
                <w:rFonts w:cs="Arial"/>
                <w:sz w:val="18"/>
                <w:szCs w:val="18"/>
              </w:rPr>
              <w:t xml:space="preserve"> ISFLSH</w:t>
            </w:r>
            <w:r w:rsidR="00ED7AE3">
              <w:rPr>
                <w:rFonts w:cs="Arial"/>
                <w:sz w:val="18"/>
                <w:szCs w:val="18"/>
              </w:rPr>
              <w:t>*</w:t>
            </w:r>
          </w:p>
        </w:tc>
        <w:tc>
          <w:tcPr>
            <w:tcW w:w="1134" w:type="dxa"/>
            <w:tcBorders>
              <w:top w:val="single" w:sz="4" w:space="0" w:color="000000" w:themeColor="text1"/>
              <w:left w:val="single" w:sz="4" w:space="0" w:color="000000" w:themeColor="text1"/>
            </w:tcBorders>
            <w:shd w:val="clear" w:color="auto" w:fill="DEEAF6" w:themeFill="accent5" w:themeFillTint="33"/>
            <w:vAlign w:val="center"/>
          </w:tcPr>
          <w:p w14:paraId="068420F0" w14:textId="4B84421F" w:rsidR="00682EF0" w:rsidRPr="00682EF0" w:rsidRDefault="00682EF0" w:rsidP="00682EF0">
            <w:pPr>
              <w:jc w:val="center"/>
              <w:rPr>
                <w:rFonts w:eastAsia="Arial" w:cs="Arial"/>
                <w:b/>
                <w:sz w:val="18"/>
                <w:szCs w:val="18"/>
              </w:rPr>
            </w:pPr>
            <w:r w:rsidRPr="00682EF0">
              <w:rPr>
                <w:rFonts w:cs="Arial"/>
                <w:sz w:val="18"/>
                <w:szCs w:val="18"/>
              </w:rPr>
              <w:t>S1 Economía interna</w:t>
            </w:r>
          </w:p>
        </w:tc>
        <w:tc>
          <w:tcPr>
            <w:tcW w:w="851" w:type="dxa"/>
            <w:vMerge/>
            <w:tcBorders>
              <w:left w:val="single" w:sz="4" w:space="0" w:color="000000" w:themeColor="text1"/>
            </w:tcBorders>
            <w:shd w:val="clear" w:color="auto" w:fill="DEEAF6" w:themeFill="accent5" w:themeFillTint="33"/>
            <w:vAlign w:val="center"/>
          </w:tcPr>
          <w:p w14:paraId="7F5E1D5A" w14:textId="77777777" w:rsidR="00682EF0" w:rsidRPr="00682EF0" w:rsidRDefault="00682EF0" w:rsidP="00682EF0">
            <w:pPr>
              <w:jc w:val="center"/>
              <w:rPr>
                <w:rFonts w:eastAsia="Arial" w:cs="Arial"/>
                <w:b/>
                <w:sz w:val="18"/>
                <w:szCs w:val="18"/>
              </w:rPr>
            </w:pPr>
          </w:p>
        </w:tc>
      </w:tr>
      <w:tr w:rsidR="00AE3941" w:rsidRPr="00682EF0" w14:paraId="093A1895" w14:textId="5898F809" w:rsidTr="00ED7AE3">
        <w:trPr>
          <w:trHeight w:val="254"/>
        </w:trPr>
        <w:tc>
          <w:tcPr>
            <w:tcW w:w="846" w:type="dxa"/>
            <w:tcBorders>
              <w:right w:val="single" w:sz="4" w:space="0" w:color="000000" w:themeColor="text1"/>
            </w:tcBorders>
            <w:shd w:val="clear" w:color="auto" w:fill="DEEAF6" w:themeFill="accent5" w:themeFillTint="33"/>
          </w:tcPr>
          <w:p w14:paraId="47ADD09D" w14:textId="0CEEE995" w:rsidR="00AE3941" w:rsidRPr="00682EF0" w:rsidRDefault="00AE3941" w:rsidP="00AE3941">
            <w:pPr>
              <w:rPr>
                <w:rFonts w:eastAsia="Arial" w:cs="Arial"/>
                <w:bCs/>
                <w:sz w:val="18"/>
                <w:szCs w:val="18"/>
              </w:rPr>
            </w:pPr>
          </w:p>
        </w:tc>
        <w:tc>
          <w:tcPr>
            <w:tcW w:w="992" w:type="dxa"/>
            <w:tcBorders>
              <w:left w:val="single" w:sz="4" w:space="0" w:color="000000" w:themeColor="text1"/>
            </w:tcBorders>
            <w:vAlign w:val="center"/>
          </w:tcPr>
          <w:p w14:paraId="7228FB49" w14:textId="033EDDF5" w:rsidR="00AE3941" w:rsidRPr="00682EF0" w:rsidRDefault="00AE3941" w:rsidP="00682EF0">
            <w:pPr>
              <w:ind w:right="39"/>
              <w:jc w:val="center"/>
              <w:rPr>
                <w:rFonts w:eastAsia="Arial" w:cs="Arial"/>
                <w:bCs/>
                <w:sz w:val="14"/>
                <w:szCs w:val="14"/>
              </w:rPr>
            </w:pPr>
            <w:r w:rsidRPr="00682EF0">
              <w:rPr>
                <w:rFonts w:cs="Arial"/>
                <w:sz w:val="14"/>
                <w:szCs w:val="14"/>
              </w:rPr>
              <w:t>(</w:t>
            </w:r>
            <w:proofErr w:type="gramStart"/>
            <w:r w:rsidRPr="00682EF0">
              <w:rPr>
                <w:rFonts w:cs="Arial"/>
                <w:sz w:val="14"/>
                <w:szCs w:val="14"/>
              </w:rPr>
              <w:t>1)=</w:t>
            </w:r>
            <w:proofErr w:type="gramEnd"/>
            <w:r w:rsidRPr="00682EF0">
              <w:rPr>
                <w:rFonts w:cs="Arial"/>
                <w:sz w:val="14"/>
                <w:szCs w:val="14"/>
              </w:rPr>
              <w:t>(7)+(8)</w:t>
            </w:r>
          </w:p>
        </w:tc>
        <w:tc>
          <w:tcPr>
            <w:tcW w:w="1418" w:type="dxa"/>
            <w:vAlign w:val="center"/>
          </w:tcPr>
          <w:p w14:paraId="293D2113" w14:textId="1DD59F2D" w:rsidR="00AE3941" w:rsidRPr="00682EF0" w:rsidRDefault="00AE3941" w:rsidP="00682EF0">
            <w:pPr>
              <w:ind w:right="115"/>
              <w:jc w:val="center"/>
              <w:rPr>
                <w:rFonts w:cs="Arial"/>
                <w:sz w:val="14"/>
                <w:szCs w:val="14"/>
              </w:rPr>
            </w:pPr>
            <w:r w:rsidRPr="00682EF0">
              <w:rPr>
                <w:rFonts w:cs="Arial"/>
                <w:sz w:val="14"/>
                <w:szCs w:val="14"/>
              </w:rPr>
              <w:t>(2)</w:t>
            </w:r>
          </w:p>
        </w:tc>
        <w:tc>
          <w:tcPr>
            <w:tcW w:w="1275" w:type="dxa"/>
            <w:vAlign w:val="center"/>
          </w:tcPr>
          <w:p w14:paraId="292A8BA1" w14:textId="27484A68" w:rsidR="00AE3941" w:rsidRPr="00682EF0" w:rsidRDefault="00AE3941" w:rsidP="00682EF0">
            <w:pPr>
              <w:ind w:right="115"/>
              <w:jc w:val="center"/>
              <w:rPr>
                <w:rFonts w:cs="Arial"/>
                <w:sz w:val="14"/>
                <w:szCs w:val="14"/>
              </w:rPr>
            </w:pPr>
            <w:r w:rsidRPr="00682EF0">
              <w:rPr>
                <w:rFonts w:cs="Arial"/>
                <w:sz w:val="14"/>
                <w:szCs w:val="14"/>
              </w:rPr>
              <w:t>(3)</w:t>
            </w:r>
          </w:p>
        </w:tc>
        <w:tc>
          <w:tcPr>
            <w:tcW w:w="993" w:type="dxa"/>
            <w:vAlign w:val="center"/>
          </w:tcPr>
          <w:p w14:paraId="603B5C07" w14:textId="1B5B4615" w:rsidR="00AE3941" w:rsidRPr="00682EF0" w:rsidRDefault="00AE3941" w:rsidP="00682EF0">
            <w:pPr>
              <w:ind w:right="115"/>
              <w:jc w:val="center"/>
              <w:rPr>
                <w:rFonts w:cs="Arial"/>
                <w:sz w:val="14"/>
                <w:szCs w:val="14"/>
              </w:rPr>
            </w:pPr>
            <w:r w:rsidRPr="00682EF0">
              <w:rPr>
                <w:rFonts w:cs="Arial"/>
                <w:sz w:val="14"/>
                <w:szCs w:val="14"/>
              </w:rPr>
              <w:t>(4)</w:t>
            </w:r>
          </w:p>
        </w:tc>
        <w:tc>
          <w:tcPr>
            <w:tcW w:w="992" w:type="dxa"/>
            <w:vAlign w:val="center"/>
          </w:tcPr>
          <w:p w14:paraId="60466FC1" w14:textId="179C665A" w:rsidR="00AE3941" w:rsidRPr="00682EF0" w:rsidRDefault="00AE3941" w:rsidP="00682EF0">
            <w:pPr>
              <w:ind w:right="115"/>
              <w:jc w:val="center"/>
              <w:rPr>
                <w:rFonts w:cs="Arial"/>
                <w:sz w:val="14"/>
                <w:szCs w:val="14"/>
              </w:rPr>
            </w:pPr>
            <w:r w:rsidRPr="00682EF0">
              <w:rPr>
                <w:rFonts w:cs="Arial"/>
                <w:sz w:val="14"/>
                <w:szCs w:val="14"/>
              </w:rPr>
              <w:t>(5)</w:t>
            </w:r>
          </w:p>
        </w:tc>
        <w:tc>
          <w:tcPr>
            <w:tcW w:w="992" w:type="dxa"/>
            <w:vAlign w:val="center"/>
          </w:tcPr>
          <w:p w14:paraId="7D82A788" w14:textId="660F528D" w:rsidR="00AE3941" w:rsidRPr="00682EF0" w:rsidRDefault="00AE3941" w:rsidP="00682EF0">
            <w:pPr>
              <w:ind w:right="115"/>
              <w:jc w:val="center"/>
              <w:rPr>
                <w:rFonts w:cs="Arial"/>
                <w:sz w:val="14"/>
                <w:szCs w:val="14"/>
              </w:rPr>
            </w:pPr>
            <w:r w:rsidRPr="00682EF0">
              <w:rPr>
                <w:rFonts w:cs="Arial"/>
                <w:sz w:val="14"/>
                <w:szCs w:val="14"/>
              </w:rPr>
              <w:t>(6)</w:t>
            </w:r>
          </w:p>
        </w:tc>
        <w:tc>
          <w:tcPr>
            <w:tcW w:w="1134" w:type="dxa"/>
            <w:vAlign w:val="center"/>
          </w:tcPr>
          <w:p w14:paraId="3DA9B639" w14:textId="74DECC7A" w:rsidR="00AE3941" w:rsidRPr="00682EF0" w:rsidRDefault="00AE3941" w:rsidP="00682EF0">
            <w:pPr>
              <w:ind w:right="115"/>
              <w:jc w:val="center"/>
              <w:rPr>
                <w:rFonts w:cs="Arial"/>
                <w:sz w:val="14"/>
                <w:szCs w:val="14"/>
              </w:rPr>
            </w:pPr>
            <w:r w:rsidRPr="00682EF0">
              <w:rPr>
                <w:rFonts w:cs="Arial"/>
                <w:sz w:val="14"/>
                <w:szCs w:val="14"/>
              </w:rPr>
              <w:t>(</w:t>
            </w:r>
            <w:proofErr w:type="gramStart"/>
            <w:r w:rsidRPr="00682EF0">
              <w:rPr>
                <w:rFonts w:cs="Arial"/>
                <w:sz w:val="14"/>
                <w:szCs w:val="14"/>
              </w:rPr>
              <w:t>7)=</w:t>
            </w:r>
            <w:proofErr w:type="gramEnd"/>
            <w:r w:rsidRPr="00682EF0">
              <w:rPr>
                <w:rFonts w:cs="Arial"/>
                <w:sz w:val="14"/>
                <w:szCs w:val="14"/>
              </w:rPr>
              <w:t>(2)a(6)</w:t>
            </w:r>
          </w:p>
        </w:tc>
        <w:tc>
          <w:tcPr>
            <w:tcW w:w="851" w:type="dxa"/>
            <w:vAlign w:val="center"/>
          </w:tcPr>
          <w:p w14:paraId="7F70524C" w14:textId="22575BAF" w:rsidR="00AE3941" w:rsidRPr="00682EF0" w:rsidRDefault="00AE3941" w:rsidP="00682EF0">
            <w:pPr>
              <w:ind w:right="115"/>
              <w:jc w:val="center"/>
              <w:rPr>
                <w:rFonts w:cs="Arial"/>
                <w:sz w:val="14"/>
                <w:szCs w:val="14"/>
              </w:rPr>
            </w:pPr>
            <w:r w:rsidRPr="00682EF0">
              <w:rPr>
                <w:rFonts w:cs="Arial"/>
                <w:sz w:val="14"/>
                <w:szCs w:val="14"/>
              </w:rPr>
              <w:t>(8)</w:t>
            </w:r>
          </w:p>
        </w:tc>
      </w:tr>
      <w:tr w:rsidR="00682EF0" w:rsidRPr="00682EF0" w14:paraId="201924CF" w14:textId="1312366E" w:rsidTr="00ED7AE3">
        <w:trPr>
          <w:trHeight w:val="254"/>
        </w:trPr>
        <w:tc>
          <w:tcPr>
            <w:tcW w:w="846" w:type="dxa"/>
            <w:shd w:val="clear" w:color="auto" w:fill="DEEAF6" w:themeFill="accent5" w:themeFillTint="33"/>
          </w:tcPr>
          <w:p w14:paraId="14CDBAF6" w14:textId="43C3D312" w:rsidR="00682EF0" w:rsidRPr="00682EF0" w:rsidRDefault="00682EF0" w:rsidP="00682EF0">
            <w:pPr>
              <w:rPr>
                <w:rFonts w:eastAsia="Arial" w:cs="Arial"/>
                <w:bCs/>
                <w:sz w:val="18"/>
                <w:szCs w:val="18"/>
              </w:rPr>
            </w:pPr>
            <w:r w:rsidRPr="00682EF0">
              <w:rPr>
                <w:rFonts w:cs="Arial"/>
                <w:sz w:val="18"/>
                <w:szCs w:val="18"/>
              </w:rPr>
              <w:t>2019.I</w:t>
            </w:r>
          </w:p>
        </w:tc>
        <w:tc>
          <w:tcPr>
            <w:tcW w:w="992" w:type="dxa"/>
            <w:shd w:val="clear" w:color="auto" w:fill="DEEAF6" w:themeFill="accent5" w:themeFillTint="33"/>
          </w:tcPr>
          <w:p w14:paraId="338A3700" w14:textId="70AF7D53" w:rsidR="00682EF0" w:rsidRPr="00682EF0" w:rsidRDefault="00682EF0" w:rsidP="00682EF0">
            <w:pPr>
              <w:ind w:left="-109" w:right="115"/>
              <w:jc w:val="right"/>
              <w:rPr>
                <w:rFonts w:eastAsia="Arial" w:cs="Arial"/>
                <w:bCs/>
                <w:sz w:val="18"/>
                <w:szCs w:val="18"/>
              </w:rPr>
            </w:pPr>
            <w:r w:rsidRPr="00682EF0">
              <w:rPr>
                <w:rFonts w:cs="Arial"/>
                <w:sz w:val="18"/>
                <w:szCs w:val="18"/>
              </w:rPr>
              <w:t>25.5</w:t>
            </w:r>
          </w:p>
        </w:tc>
        <w:tc>
          <w:tcPr>
            <w:tcW w:w="1418" w:type="dxa"/>
            <w:shd w:val="clear" w:color="auto" w:fill="DEEAF6" w:themeFill="accent5" w:themeFillTint="33"/>
          </w:tcPr>
          <w:p w14:paraId="586CC75A" w14:textId="04AB9996" w:rsidR="00682EF0" w:rsidRPr="00682EF0" w:rsidRDefault="00682EF0" w:rsidP="00682EF0">
            <w:pPr>
              <w:ind w:right="315"/>
              <w:jc w:val="right"/>
              <w:rPr>
                <w:rFonts w:cs="Arial"/>
                <w:sz w:val="18"/>
                <w:szCs w:val="18"/>
              </w:rPr>
            </w:pPr>
            <w:r w:rsidRPr="00682EF0">
              <w:rPr>
                <w:rFonts w:cs="Arial"/>
                <w:sz w:val="18"/>
                <w:szCs w:val="18"/>
              </w:rPr>
              <w:t>6.1</w:t>
            </w:r>
          </w:p>
        </w:tc>
        <w:tc>
          <w:tcPr>
            <w:tcW w:w="1275" w:type="dxa"/>
            <w:shd w:val="clear" w:color="auto" w:fill="DEEAF6" w:themeFill="accent5" w:themeFillTint="33"/>
          </w:tcPr>
          <w:p w14:paraId="6028A50E" w14:textId="32ECC388" w:rsidR="00682EF0" w:rsidRPr="00682EF0" w:rsidRDefault="00682EF0" w:rsidP="00682EF0">
            <w:pPr>
              <w:ind w:right="177"/>
              <w:jc w:val="right"/>
              <w:rPr>
                <w:rFonts w:cs="Arial"/>
                <w:sz w:val="18"/>
                <w:szCs w:val="18"/>
              </w:rPr>
            </w:pPr>
            <w:r w:rsidRPr="00682EF0">
              <w:rPr>
                <w:rFonts w:cs="Arial"/>
                <w:sz w:val="18"/>
                <w:szCs w:val="18"/>
              </w:rPr>
              <w:t>1.8</w:t>
            </w:r>
          </w:p>
        </w:tc>
        <w:tc>
          <w:tcPr>
            <w:tcW w:w="993" w:type="dxa"/>
            <w:shd w:val="clear" w:color="auto" w:fill="DEEAF6" w:themeFill="accent5" w:themeFillTint="33"/>
          </w:tcPr>
          <w:p w14:paraId="1250F05E" w14:textId="28DDF709" w:rsidR="00682EF0" w:rsidRPr="00682EF0" w:rsidRDefault="00682EF0" w:rsidP="00682EF0">
            <w:pPr>
              <w:ind w:right="115"/>
              <w:jc w:val="right"/>
              <w:rPr>
                <w:rFonts w:cs="Arial"/>
                <w:sz w:val="18"/>
                <w:szCs w:val="18"/>
              </w:rPr>
            </w:pPr>
            <w:r w:rsidRPr="00682EF0">
              <w:rPr>
                <w:rFonts w:cs="Arial"/>
                <w:sz w:val="18"/>
                <w:szCs w:val="18"/>
              </w:rPr>
              <w:t>-1.2</w:t>
            </w:r>
          </w:p>
        </w:tc>
        <w:tc>
          <w:tcPr>
            <w:tcW w:w="992" w:type="dxa"/>
            <w:shd w:val="clear" w:color="auto" w:fill="DEEAF6" w:themeFill="accent5" w:themeFillTint="33"/>
          </w:tcPr>
          <w:p w14:paraId="4621F74D" w14:textId="47A46E68" w:rsidR="00682EF0" w:rsidRPr="00682EF0" w:rsidRDefault="00682EF0" w:rsidP="00682EF0">
            <w:pPr>
              <w:ind w:right="115"/>
              <w:jc w:val="right"/>
              <w:rPr>
                <w:rFonts w:cs="Arial"/>
                <w:sz w:val="18"/>
                <w:szCs w:val="18"/>
              </w:rPr>
            </w:pPr>
            <w:r w:rsidRPr="00682EF0">
              <w:rPr>
                <w:rFonts w:cs="Arial"/>
                <w:sz w:val="18"/>
                <w:szCs w:val="18"/>
              </w:rPr>
              <w:t>14.0</w:t>
            </w:r>
          </w:p>
        </w:tc>
        <w:tc>
          <w:tcPr>
            <w:tcW w:w="992" w:type="dxa"/>
            <w:shd w:val="clear" w:color="auto" w:fill="DEEAF6" w:themeFill="accent5" w:themeFillTint="33"/>
          </w:tcPr>
          <w:p w14:paraId="04EF29F9" w14:textId="64A7F1E8" w:rsidR="00682EF0" w:rsidRPr="00682EF0" w:rsidRDefault="00682EF0" w:rsidP="00682EF0">
            <w:pPr>
              <w:ind w:right="115"/>
              <w:jc w:val="right"/>
              <w:rPr>
                <w:rFonts w:cs="Arial"/>
                <w:sz w:val="18"/>
                <w:szCs w:val="18"/>
              </w:rPr>
            </w:pPr>
            <w:r w:rsidRPr="00682EF0">
              <w:rPr>
                <w:rFonts w:cs="Arial"/>
                <w:sz w:val="18"/>
                <w:szCs w:val="18"/>
              </w:rPr>
              <w:t>1.4</w:t>
            </w:r>
          </w:p>
        </w:tc>
        <w:tc>
          <w:tcPr>
            <w:tcW w:w="1134" w:type="dxa"/>
            <w:shd w:val="clear" w:color="auto" w:fill="DEEAF6" w:themeFill="accent5" w:themeFillTint="33"/>
          </w:tcPr>
          <w:p w14:paraId="200C3322" w14:textId="61EB66CD" w:rsidR="00682EF0" w:rsidRPr="00682EF0" w:rsidRDefault="00682EF0" w:rsidP="00682EF0">
            <w:pPr>
              <w:ind w:right="115"/>
              <w:jc w:val="right"/>
              <w:rPr>
                <w:rFonts w:cs="Arial"/>
                <w:sz w:val="18"/>
                <w:szCs w:val="18"/>
              </w:rPr>
            </w:pPr>
            <w:r w:rsidRPr="00682EF0">
              <w:rPr>
                <w:rFonts w:cs="Arial"/>
                <w:sz w:val="18"/>
                <w:szCs w:val="18"/>
              </w:rPr>
              <w:t>22.1</w:t>
            </w:r>
          </w:p>
        </w:tc>
        <w:tc>
          <w:tcPr>
            <w:tcW w:w="851" w:type="dxa"/>
            <w:shd w:val="clear" w:color="auto" w:fill="DEEAF6" w:themeFill="accent5" w:themeFillTint="33"/>
          </w:tcPr>
          <w:p w14:paraId="3CBEE783" w14:textId="3A23F2EE" w:rsidR="00682EF0" w:rsidRPr="00682EF0" w:rsidRDefault="00682EF0" w:rsidP="00682EF0">
            <w:pPr>
              <w:ind w:right="115"/>
              <w:jc w:val="right"/>
              <w:rPr>
                <w:rFonts w:cs="Arial"/>
                <w:sz w:val="18"/>
                <w:szCs w:val="18"/>
              </w:rPr>
            </w:pPr>
            <w:r w:rsidRPr="00682EF0">
              <w:rPr>
                <w:rFonts w:cs="Arial"/>
                <w:sz w:val="18"/>
                <w:szCs w:val="18"/>
              </w:rPr>
              <w:t>3.4</w:t>
            </w:r>
          </w:p>
        </w:tc>
      </w:tr>
      <w:tr w:rsidR="00682EF0" w:rsidRPr="00682EF0" w14:paraId="7008C5AF" w14:textId="02C4665C" w:rsidTr="00ED7AE3">
        <w:trPr>
          <w:trHeight w:val="254"/>
        </w:trPr>
        <w:tc>
          <w:tcPr>
            <w:tcW w:w="846" w:type="dxa"/>
          </w:tcPr>
          <w:p w14:paraId="7FA5D8E2" w14:textId="6C9538C1" w:rsidR="00682EF0" w:rsidRPr="00682EF0" w:rsidRDefault="00682EF0" w:rsidP="00682EF0">
            <w:pPr>
              <w:rPr>
                <w:rFonts w:eastAsia="Arial" w:cs="Arial"/>
                <w:bCs/>
                <w:sz w:val="18"/>
                <w:szCs w:val="18"/>
              </w:rPr>
            </w:pPr>
            <w:r w:rsidRPr="00682EF0">
              <w:rPr>
                <w:rFonts w:cs="Arial"/>
                <w:sz w:val="18"/>
                <w:szCs w:val="18"/>
              </w:rPr>
              <w:t>2019.II</w:t>
            </w:r>
          </w:p>
        </w:tc>
        <w:tc>
          <w:tcPr>
            <w:tcW w:w="992" w:type="dxa"/>
          </w:tcPr>
          <w:p w14:paraId="187E6571" w14:textId="6544501A" w:rsidR="00682EF0" w:rsidRPr="00682EF0" w:rsidRDefault="00682EF0" w:rsidP="00682EF0">
            <w:pPr>
              <w:ind w:left="-109" w:right="115"/>
              <w:jc w:val="right"/>
              <w:rPr>
                <w:rFonts w:eastAsia="Arial" w:cs="Arial"/>
                <w:bCs/>
                <w:sz w:val="18"/>
                <w:szCs w:val="18"/>
              </w:rPr>
            </w:pPr>
            <w:r w:rsidRPr="00682EF0">
              <w:rPr>
                <w:rFonts w:cs="Arial"/>
                <w:sz w:val="18"/>
                <w:szCs w:val="18"/>
              </w:rPr>
              <w:t>23.0</w:t>
            </w:r>
          </w:p>
        </w:tc>
        <w:tc>
          <w:tcPr>
            <w:tcW w:w="1418" w:type="dxa"/>
          </w:tcPr>
          <w:p w14:paraId="440665F5" w14:textId="0E7C1238" w:rsidR="00682EF0" w:rsidRPr="00682EF0" w:rsidRDefault="00682EF0" w:rsidP="00682EF0">
            <w:pPr>
              <w:ind w:right="315"/>
              <w:jc w:val="right"/>
              <w:rPr>
                <w:rFonts w:cs="Arial"/>
                <w:sz w:val="18"/>
                <w:szCs w:val="18"/>
              </w:rPr>
            </w:pPr>
            <w:r w:rsidRPr="00682EF0">
              <w:rPr>
                <w:rFonts w:cs="Arial"/>
                <w:sz w:val="18"/>
                <w:szCs w:val="18"/>
              </w:rPr>
              <w:t>9.8</w:t>
            </w:r>
          </w:p>
        </w:tc>
        <w:tc>
          <w:tcPr>
            <w:tcW w:w="1275" w:type="dxa"/>
          </w:tcPr>
          <w:p w14:paraId="448253E7" w14:textId="7CED84B0" w:rsidR="00682EF0" w:rsidRPr="00682EF0" w:rsidRDefault="00682EF0" w:rsidP="00682EF0">
            <w:pPr>
              <w:ind w:right="177"/>
              <w:jc w:val="right"/>
              <w:rPr>
                <w:rFonts w:cs="Arial"/>
                <w:sz w:val="18"/>
                <w:szCs w:val="18"/>
              </w:rPr>
            </w:pPr>
            <w:r w:rsidRPr="00682EF0">
              <w:rPr>
                <w:rFonts w:cs="Arial"/>
                <w:sz w:val="18"/>
                <w:szCs w:val="18"/>
              </w:rPr>
              <w:t>2.5</w:t>
            </w:r>
          </w:p>
        </w:tc>
        <w:tc>
          <w:tcPr>
            <w:tcW w:w="993" w:type="dxa"/>
          </w:tcPr>
          <w:p w14:paraId="56D98DF9" w14:textId="3AD07A96" w:rsidR="00682EF0" w:rsidRPr="00682EF0" w:rsidRDefault="00682EF0" w:rsidP="00682EF0">
            <w:pPr>
              <w:ind w:right="115"/>
              <w:jc w:val="right"/>
              <w:rPr>
                <w:rFonts w:cs="Arial"/>
                <w:sz w:val="18"/>
                <w:szCs w:val="18"/>
              </w:rPr>
            </w:pPr>
            <w:r w:rsidRPr="00682EF0">
              <w:rPr>
                <w:rFonts w:cs="Arial"/>
                <w:sz w:val="18"/>
                <w:szCs w:val="18"/>
              </w:rPr>
              <w:t>-3.4</w:t>
            </w:r>
          </w:p>
        </w:tc>
        <w:tc>
          <w:tcPr>
            <w:tcW w:w="992" w:type="dxa"/>
          </w:tcPr>
          <w:p w14:paraId="7328671D" w14:textId="51431268" w:rsidR="00682EF0" w:rsidRPr="00682EF0" w:rsidRDefault="00682EF0" w:rsidP="00682EF0">
            <w:pPr>
              <w:ind w:right="115"/>
              <w:jc w:val="right"/>
              <w:rPr>
                <w:rFonts w:cs="Arial"/>
                <w:sz w:val="18"/>
                <w:szCs w:val="18"/>
              </w:rPr>
            </w:pPr>
            <w:r w:rsidRPr="00682EF0">
              <w:rPr>
                <w:rFonts w:cs="Arial"/>
                <w:sz w:val="18"/>
                <w:szCs w:val="18"/>
              </w:rPr>
              <w:t>14.1</w:t>
            </w:r>
          </w:p>
        </w:tc>
        <w:tc>
          <w:tcPr>
            <w:tcW w:w="992" w:type="dxa"/>
          </w:tcPr>
          <w:p w14:paraId="6E812586" w14:textId="6DBAD0DC" w:rsidR="00682EF0" w:rsidRPr="00682EF0" w:rsidRDefault="00682EF0" w:rsidP="00682EF0">
            <w:pPr>
              <w:ind w:right="115"/>
              <w:jc w:val="right"/>
              <w:rPr>
                <w:rFonts w:cs="Arial"/>
                <w:sz w:val="18"/>
                <w:szCs w:val="18"/>
              </w:rPr>
            </w:pPr>
            <w:r w:rsidRPr="00682EF0">
              <w:rPr>
                <w:rFonts w:cs="Arial"/>
                <w:sz w:val="18"/>
                <w:szCs w:val="18"/>
              </w:rPr>
              <w:t>1.3</w:t>
            </w:r>
          </w:p>
        </w:tc>
        <w:tc>
          <w:tcPr>
            <w:tcW w:w="1134" w:type="dxa"/>
          </w:tcPr>
          <w:p w14:paraId="520826C0" w14:textId="110B82CA" w:rsidR="00682EF0" w:rsidRPr="00682EF0" w:rsidRDefault="00682EF0" w:rsidP="00682EF0">
            <w:pPr>
              <w:ind w:right="115"/>
              <w:jc w:val="right"/>
              <w:rPr>
                <w:rFonts w:cs="Arial"/>
                <w:sz w:val="18"/>
                <w:szCs w:val="18"/>
              </w:rPr>
            </w:pPr>
            <w:r w:rsidRPr="00682EF0">
              <w:rPr>
                <w:rFonts w:cs="Arial"/>
                <w:sz w:val="18"/>
                <w:szCs w:val="18"/>
              </w:rPr>
              <w:t>24.4</w:t>
            </w:r>
          </w:p>
        </w:tc>
        <w:tc>
          <w:tcPr>
            <w:tcW w:w="851" w:type="dxa"/>
          </w:tcPr>
          <w:p w14:paraId="43977BC3" w14:textId="39BC922C" w:rsidR="00682EF0" w:rsidRPr="00682EF0" w:rsidRDefault="00682EF0" w:rsidP="00682EF0">
            <w:pPr>
              <w:ind w:right="115"/>
              <w:jc w:val="right"/>
              <w:rPr>
                <w:rFonts w:cs="Arial"/>
                <w:sz w:val="18"/>
                <w:szCs w:val="18"/>
              </w:rPr>
            </w:pPr>
            <w:r w:rsidRPr="00682EF0">
              <w:rPr>
                <w:rFonts w:cs="Arial"/>
                <w:sz w:val="18"/>
                <w:szCs w:val="18"/>
              </w:rPr>
              <w:t>-1.4</w:t>
            </w:r>
          </w:p>
        </w:tc>
      </w:tr>
      <w:tr w:rsidR="00682EF0" w:rsidRPr="00682EF0" w14:paraId="45A2220C" w14:textId="2573C55B" w:rsidTr="00ED7AE3">
        <w:trPr>
          <w:trHeight w:val="254"/>
        </w:trPr>
        <w:tc>
          <w:tcPr>
            <w:tcW w:w="846" w:type="dxa"/>
            <w:shd w:val="clear" w:color="auto" w:fill="DEEAF6" w:themeFill="accent5" w:themeFillTint="33"/>
          </w:tcPr>
          <w:p w14:paraId="1B94B80C" w14:textId="4DBE9797" w:rsidR="00682EF0" w:rsidRPr="00682EF0" w:rsidRDefault="00682EF0" w:rsidP="00682EF0">
            <w:pPr>
              <w:rPr>
                <w:rFonts w:eastAsia="Arial" w:cs="Arial"/>
                <w:bCs/>
                <w:sz w:val="18"/>
                <w:szCs w:val="18"/>
              </w:rPr>
            </w:pPr>
            <w:r w:rsidRPr="00682EF0">
              <w:rPr>
                <w:rFonts w:cs="Arial"/>
                <w:sz w:val="18"/>
                <w:szCs w:val="18"/>
              </w:rPr>
              <w:t>2019.III</w:t>
            </w:r>
          </w:p>
        </w:tc>
        <w:tc>
          <w:tcPr>
            <w:tcW w:w="992" w:type="dxa"/>
            <w:shd w:val="clear" w:color="auto" w:fill="DEEAF6" w:themeFill="accent5" w:themeFillTint="33"/>
          </w:tcPr>
          <w:p w14:paraId="3365665F" w14:textId="26A7C3EC" w:rsidR="00682EF0" w:rsidRPr="00682EF0" w:rsidRDefault="00682EF0" w:rsidP="00682EF0">
            <w:pPr>
              <w:ind w:left="-109" w:right="115"/>
              <w:jc w:val="right"/>
              <w:rPr>
                <w:rFonts w:eastAsia="Arial" w:cs="Arial"/>
                <w:bCs/>
                <w:sz w:val="18"/>
                <w:szCs w:val="18"/>
              </w:rPr>
            </w:pPr>
            <w:r w:rsidRPr="00682EF0">
              <w:rPr>
                <w:rFonts w:cs="Arial"/>
                <w:sz w:val="18"/>
                <w:szCs w:val="18"/>
              </w:rPr>
              <w:t>22.9</w:t>
            </w:r>
          </w:p>
        </w:tc>
        <w:tc>
          <w:tcPr>
            <w:tcW w:w="1418" w:type="dxa"/>
            <w:shd w:val="clear" w:color="auto" w:fill="DEEAF6" w:themeFill="accent5" w:themeFillTint="33"/>
          </w:tcPr>
          <w:p w14:paraId="54152553" w14:textId="50FC6310" w:rsidR="00682EF0" w:rsidRPr="00682EF0" w:rsidRDefault="00682EF0" w:rsidP="00682EF0">
            <w:pPr>
              <w:ind w:right="315"/>
              <w:jc w:val="right"/>
              <w:rPr>
                <w:rFonts w:cs="Arial"/>
                <w:sz w:val="18"/>
                <w:szCs w:val="18"/>
              </w:rPr>
            </w:pPr>
            <w:r w:rsidRPr="00682EF0">
              <w:rPr>
                <w:rFonts w:cs="Arial"/>
                <w:sz w:val="18"/>
                <w:szCs w:val="18"/>
              </w:rPr>
              <w:t>9.4</w:t>
            </w:r>
          </w:p>
        </w:tc>
        <w:tc>
          <w:tcPr>
            <w:tcW w:w="1275" w:type="dxa"/>
            <w:shd w:val="clear" w:color="auto" w:fill="DEEAF6" w:themeFill="accent5" w:themeFillTint="33"/>
          </w:tcPr>
          <w:p w14:paraId="4A45C0B0" w14:textId="7C476AF5" w:rsidR="00682EF0" w:rsidRPr="00682EF0" w:rsidRDefault="00682EF0" w:rsidP="00682EF0">
            <w:pPr>
              <w:ind w:right="177"/>
              <w:jc w:val="right"/>
              <w:rPr>
                <w:rFonts w:cs="Arial"/>
                <w:sz w:val="18"/>
                <w:szCs w:val="18"/>
              </w:rPr>
            </w:pPr>
            <w:r w:rsidRPr="00682EF0">
              <w:rPr>
                <w:rFonts w:cs="Arial"/>
                <w:sz w:val="18"/>
                <w:szCs w:val="18"/>
              </w:rPr>
              <w:t>2.2</w:t>
            </w:r>
          </w:p>
        </w:tc>
        <w:tc>
          <w:tcPr>
            <w:tcW w:w="993" w:type="dxa"/>
            <w:shd w:val="clear" w:color="auto" w:fill="DEEAF6" w:themeFill="accent5" w:themeFillTint="33"/>
          </w:tcPr>
          <w:p w14:paraId="70FDEA1D" w14:textId="3DFC1686" w:rsidR="00682EF0" w:rsidRPr="00682EF0" w:rsidRDefault="00682EF0" w:rsidP="00682EF0">
            <w:pPr>
              <w:ind w:right="115"/>
              <w:jc w:val="right"/>
              <w:rPr>
                <w:rFonts w:cs="Arial"/>
                <w:sz w:val="18"/>
                <w:szCs w:val="18"/>
              </w:rPr>
            </w:pPr>
            <w:r w:rsidRPr="00682EF0">
              <w:rPr>
                <w:rFonts w:cs="Arial"/>
                <w:sz w:val="18"/>
                <w:szCs w:val="18"/>
              </w:rPr>
              <w:t>-3.1</w:t>
            </w:r>
          </w:p>
        </w:tc>
        <w:tc>
          <w:tcPr>
            <w:tcW w:w="992" w:type="dxa"/>
            <w:shd w:val="clear" w:color="auto" w:fill="DEEAF6" w:themeFill="accent5" w:themeFillTint="33"/>
          </w:tcPr>
          <w:p w14:paraId="580B53FE" w14:textId="07D63BAD" w:rsidR="00682EF0" w:rsidRPr="00682EF0" w:rsidRDefault="00682EF0" w:rsidP="00682EF0">
            <w:pPr>
              <w:ind w:right="115"/>
              <w:jc w:val="right"/>
              <w:rPr>
                <w:rFonts w:cs="Arial"/>
                <w:sz w:val="18"/>
                <w:szCs w:val="18"/>
              </w:rPr>
            </w:pPr>
            <w:r w:rsidRPr="00682EF0">
              <w:rPr>
                <w:rFonts w:cs="Arial"/>
                <w:sz w:val="18"/>
                <w:szCs w:val="18"/>
              </w:rPr>
              <w:t>13.1</w:t>
            </w:r>
          </w:p>
        </w:tc>
        <w:tc>
          <w:tcPr>
            <w:tcW w:w="992" w:type="dxa"/>
            <w:shd w:val="clear" w:color="auto" w:fill="DEEAF6" w:themeFill="accent5" w:themeFillTint="33"/>
          </w:tcPr>
          <w:p w14:paraId="12A905E5" w14:textId="0B680086" w:rsidR="00682EF0" w:rsidRPr="00682EF0" w:rsidRDefault="00682EF0" w:rsidP="00682EF0">
            <w:pPr>
              <w:ind w:right="115"/>
              <w:jc w:val="right"/>
              <w:rPr>
                <w:rFonts w:cs="Arial"/>
                <w:sz w:val="18"/>
                <w:szCs w:val="18"/>
              </w:rPr>
            </w:pPr>
            <w:r w:rsidRPr="00682EF0">
              <w:rPr>
                <w:rFonts w:cs="Arial"/>
                <w:sz w:val="18"/>
                <w:szCs w:val="18"/>
              </w:rPr>
              <w:t>1.6</w:t>
            </w:r>
          </w:p>
        </w:tc>
        <w:tc>
          <w:tcPr>
            <w:tcW w:w="1134" w:type="dxa"/>
            <w:shd w:val="clear" w:color="auto" w:fill="DEEAF6" w:themeFill="accent5" w:themeFillTint="33"/>
          </w:tcPr>
          <w:p w14:paraId="6C86D494" w14:textId="1108900F" w:rsidR="00682EF0" w:rsidRPr="00682EF0" w:rsidRDefault="00682EF0" w:rsidP="00682EF0">
            <w:pPr>
              <w:ind w:right="115"/>
              <w:jc w:val="right"/>
              <w:rPr>
                <w:rFonts w:cs="Arial"/>
                <w:sz w:val="18"/>
                <w:szCs w:val="18"/>
              </w:rPr>
            </w:pPr>
            <w:r w:rsidRPr="00682EF0">
              <w:rPr>
                <w:rFonts w:cs="Arial"/>
                <w:sz w:val="18"/>
                <w:szCs w:val="18"/>
              </w:rPr>
              <w:t>23.2</w:t>
            </w:r>
          </w:p>
        </w:tc>
        <w:tc>
          <w:tcPr>
            <w:tcW w:w="851" w:type="dxa"/>
            <w:shd w:val="clear" w:color="auto" w:fill="DEEAF6" w:themeFill="accent5" w:themeFillTint="33"/>
          </w:tcPr>
          <w:p w14:paraId="6566F28C" w14:textId="4AD82128" w:rsidR="00682EF0" w:rsidRPr="00682EF0" w:rsidRDefault="00682EF0" w:rsidP="00682EF0">
            <w:pPr>
              <w:ind w:right="115"/>
              <w:jc w:val="right"/>
              <w:rPr>
                <w:rFonts w:cs="Arial"/>
                <w:sz w:val="18"/>
                <w:szCs w:val="18"/>
              </w:rPr>
            </w:pPr>
            <w:r w:rsidRPr="00682EF0">
              <w:rPr>
                <w:rFonts w:cs="Arial"/>
                <w:sz w:val="18"/>
                <w:szCs w:val="18"/>
              </w:rPr>
              <w:t>-0.3</w:t>
            </w:r>
          </w:p>
        </w:tc>
      </w:tr>
      <w:tr w:rsidR="00682EF0" w:rsidRPr="00682EF0" w14:paraId="117DE7A6" w14:textId="3973D16E" w:rsidTr="00ED7AE3">
        <w:trPr>
          <w:trHeight w:val="254"/>
        </w:trPr>
        <w:tc>
          <w:tcPr>
            <w:tcW w:w="846" w:type="dxa"/>
          </w:tcPr>
          <w:p w14:paraId="7800F9FA" w14:textId="2F351925" w:rsidR="00682EF0" w:rsidRPr="00682EF0" w:rsidRDefault="00682EF0" w:rsidP="00682EF0">
            <w:pPr>
              <w:rPr>
                <w:rFonts w:eastAsia="Arial" w:cs="Arial"/>
                <w:b/>
                <w:bCs/>
                <w:sz w:val="18"/>
                <w:szCs w:val="18"/>
              </w:rPr>
            </w:pPr>
            <w:r w:rsidRPr="00682EF0">
              <w:rPr>
                <w:rFonts w:cs="Arial"/>
                <w:sz w:val="18"/>
                <w:szCs w:val="18"/>
              </w:rPr>
              <w:t>2019.IV</w:t>
            </w:r>
          </w:p>
        </w:tc>
        <w:tc>
          <w:tcPr>
            <w:tcW w:w="992" w:type="dxa"/>
          </w:tcPr>
          <w:p w14:paraId="5882E0EF" w14:textId="12A87ED8" w:rsidR="00682EF0" w:rsidRPr="00682EF0" w:rsidRDefault="00682EF0" w:rsidP="00682EF0">
            <w:pPr>
              <w:ind w:left="-109" w:right="115"/>
              <w:jc w:val="right"/>
              <w:rPr>
                <w:rFonts w:eastAsia="Arial" w:cs="Arial"/>
                <w:b/>
                <w:bCs/>
                <w:sz w:val="18"/>
                <w:szCs w:val="18"/>
              </w:rPr>
            </w:pPr>
            <w:r w:rsidRPr="00682EF0">
              <w:rPr>
                <w:rFonts w:cs="Arial"/>
                <w:sz w:val="18"/>
                <w:szCs w:val="18"/>
              </w:rPr>
              <w:t>21.3</w:t>
            </w:r>
          </w:p>
        </w:tc>
        <w:tc>
          <w:tcPr>
            <w:tcW w:w="1418" w:type="dxa"/>
          </w:tcPr>
          <w:p w14:paraId="2FFC0711" w14:textId="3C6F2229" w:rsidR="00682EF0" w:rsidRPr="00682EF0" w:rsidRDefault="00682EF0" w:rsidP="00682EF0">
            <w:pPr>
              <w:ind w:right="315"/>
              <w:jc w:val="right"/>
              <w:rPr>
                <w:rFonts w:cs="Arial"/>
                <w:b/>
                <w:bCs/>
                <w:sz w:val="18"/>
                <w:szCs w:val="18"/>
              </w:rPr>
            </w:pPr>
            <w:r w:rsidRPr="00682EF0">
              <w:rPr>
                <w:rFonts w:cs="Arial"/>
                <w:sz w:val="18"/>
                <w:szCs w:val="18"/>
              </w:rPr>
              <w:t>10.8</w:t>
            </w:r>
          </w:p>
        </w:tc>
        <w:tc>
          <w:tcPr>
            <w:tcW w:w="1275" w:type="dxa"/>
          </w:tcPr>
          <w:p w14:paraId="72A7F3A2" w14:textId="1CCEFC1F" w:rsidR="00682EF0" w:rsidRPr="00682EF0" w:rsidRDefault="00682EF0" w:rsidP="00682EF0">
            <w:pPr>
              <w:ind w:right="177"/>
              <w:jc w:val="right"/>
              <w:rPr>
                <w:rFonts w:cs="Arial"/>
                <w:b/>
                <w:bCs/>
                <w:sz w:val="18"/>
                <w:szCs w:val="18"/>
              </w:rPr>
            </w:pPr>
            <w:r w:rsidRPr="00682EF0">
              <w:rPr>
                <w:rFonts w:cs="Arial"/>
                <w:sz w:val="18"/>
                <w:szCs w:val="18"/>
              </w:rPr>
              <w:t>2.5</w:t>
            </w:r>
          </w:p>
        </w:tc>
        <w:tc>
          <w:tcPr>
            <w:tcW w:w="993" w:type="dxa"/>
          </w:tcPr>
          <w:p w14:paraId="303A939A" w14:textId="79FB6B74" w:rsidR="00682EF0" w:rsidRPr="00682EF0" w:rsidRDefault="00682EF0" w:rsidP="00682EF0">
            <w:pPr>
              <w:ind w:right="115"/>
              <w:jc w:val="right"/>
              <w:rPr>
                <w:rFonts w:cs="Arial"/>
                <w:b/>
                <w:bCs/>
                <w:sz w:val="18"/>
                <w:szCs w:val="18"/>
              </w:rPr>
            </w:pPr>
            <w:r w:rsidRPr="00682EF0">
              <w:rPr>
                <w:rFonts w:cs="Arial"/>
                <w:sz w:val="18"/>
                <w:szCs w:val="18"/>
              </w:rPr>
              <w:t>-4.1</w:t>
            </w:r>
          </w:p>
        </w:tc>
        <w:tc>
          <w:tcPr>
            <w:tcW w:w="992" w:type="dxa"/>
          </w:tcPr>
          <w:p w14:paraId="523D3743" w14:textId="2F6F11A7" w:rsidR="00682EF0" w:rsidRPr="00682EF0" w:rsidRDefault="00682EF0" w:rsidP="00682EF0">
            <w:pPr>
              <w:ind w:right="115"/>
              <w:jc w:val="right"/>
              <w:rPr>
                <w:rFonts w:cs="Arial"/>
                <w:b/>
                <w:bCs/>
                <w:sz w:val="18"/>
                <w:szCs w:val="18"/>
              </w:rPr>
            </w:pPr>
            <w:r w:rsidRPr="00682EF0">
              <w:rPr>
                <w:rFonts w:cs="Arial"/>
                <w:sz w:val="18"/>
                <w:szCs w:val="18"/>
              </w:rPr>
              <w:t>11.7</w:t>
            </w:r>
          </w:p>
        </w:tc>
        <w:tc>
          <w:tcPr>
            <w:tcW w:w="992" w:type="dxa"/>
          </w:tcPr>
          <w:p w14:paraId="1F305EB1" w14:textId="029F3484" w:rsidR="00682EF0" w:rsidRPr="00682EF0" w:rsidRDefault="00682EF0" w:rsidP="00682EF0">
            <w:pPr>
              <w:ind w:right="115"/>
              <w:jc w:val="right"/>
              <w:rPr>
                <w:rFonts w:cs="Arial"/>
                <w:b/>
                <w:bCs/>
                <w:sz w:val="18"/>
                <w:szCs w:val="18"/>
              </w:rPr>
            </w:pPr>
            <w:r w:rsidRPr="00682EF0">
              <w:rPr>
                <w:rFonts w:cs="Arial"/>
                <w:sz w:val="18"/>
                <w:szCs w:val="18"/>
              </w:rPr>
              <w:t>1.6</w:t>
            </w:r>
          </w:p>
        </w:tc>
        <w:tc>
          <w:tcPr>
            <w:tcW w:w="1134" w:type="dxa"/>
          </w:tcPr>
          <w:p w14:paraId="1933696F" w14:textId="2D4AA83B" w:rsidR="00682EF0" w:rsidRPr="00682EF0" w:rsidRDefault="00682EF0" w:rsidP="00682EF0">
            <w:pPr>
              <w:ind w:right="115"/>
              <w:jc w:val="right"/>
              <w:rPr>
                <w:rFonts w:cs="Arial"/>
                <w:b/>
                <w:bCs/>
                <w:sz w:val="18"/>
                <w:szCs w:val="18"/>
              </w:rPr>
            </w:pPr>
            <w:r w:rsidRPr="00682EF0">
              <w:rPr>
                <w:rFonts w:cs="Arial"/>
                <w:sz w:val="18"/>
                <w:szCs w:val="18"/>
              </w:rPr>
              <w:t>22.4</w:t>
            </w:r>
          </w:p>
        </w:tc>
        <w:tc>
          <w:tcPr>
            <w:tcW w:w="851" w:type="dxa"/>
          </w:tcPr>
          <w:p w14:paraId="2B364A5F" w14:textId="2D9FDE3A" w:rsidR="00682EF0" w:rsidRPr="00682EF0" w:rsidRDefault="00682EF0" w:rsidP="00682EF0">
            <w:pPr>
              <w:ind w:right="115"/>
              <w:jc w:val="right"/>
              <w:rPr>
                <w:rFonts w:cs="Arial"/>
                <w:b/>
                <w:bCs/>
                <w:sz w:val="18"/>
                <w:szCs w:val="18"/>
              </w:rPr>
            </w:pPr>
            <w:r w:rsidRPr="00682EF0">
              <w:rPr>
                <w:rFonts w:cs="Arial"/>
                <w:sz w:val="18"/>
                <w:szCs w:val="18"/>
              </w:rPr>
              <w:t>-1.1</w:t>
            </w:r>
          </w:p>
        </w:tc>
      </w:tr>
      <w:tr w:rsidR="00682EF0" w:rsidRPr="00682EF0" w14:paraId="380E027E" w14:textId="5CCFD715" w:rsidTr="00ED7AE3">
        <w:trPr>
          <w:trHeight w:val="254"/>
        </w:trPr>
        <w:tc>
          <w:tcPr>
            <w:tcW w:w="846" w:type="dxa"/>
            <w:shd w:val="clear" w:color="auto" w:fill="DEEAF6" w:themeFill="accent5" w:themeFillTint="33"/>
          </w:tcPr>
          <w:p w14:paraId="262C8AC5" w14:textId="1E1E4103" w:rsidR="00682EF0" w:rsidRPr="00682EF0" w:rsidRDefault="00682EF0" w:rsidP="00682EF0">
            <w:pPr>
              <w:rPr>
                <w:rFonts w:cs="Arial"/>
                <w:sz w:val="18"/>
                <w:szCs w:val="18"/>
              </w:rPr>
            </w:pPr>
            <w:r w:rsidRPr="00682EF0">
              <w:rPr>
                <w:rFonts w:cs="Arial"/>
                <w:sz w:val="18"/>
                <w:szCs w:val="18"/>
              </w:rPr>
              <w:t>2020.I</w:t>
            </w:r>
          </w:p>
        </w:tc>
        <w:tc>
          <w:tcPr>
            <w:tcW w:w="992" w:type="dxa"/>
            <w:shd w:val="clear" w:color="auto" w:fill="DEEAF6" w:themeFill="accent5" w:themeFillTint="33"/>
          </w:tcPr>
          <w:p w14:paraId="15D47BA4" w14:textId="5E4E17B5" w:rsidR="00682EF0" w:rsidRPr="00682EF0" w:rsidRDefault="00682EF0" w:rsidP="00682EF0">
            <w:pPr>
              <w:ind w:left="-109" w:right="115"/>
              <w:jc w:val="right"/>
              <w:rPr>
                <w:rFonts w:cs="Arial"/>
                <w:color w:val="000000"/>
                <w:sz w:val="18"/>
                <w:szCs w:val="18"/>
              </w:rPr>
            </w:pPr>
            <w:r w:rsidRPr="00682EF0">
              <w:rPr>
                <w:rFonts w:cs="Arial"/>
                <w:sz w:val="18"/>
                <w:szCs w:val="18"/>
              </w:rPr>
              <w:t>22.0</w:t>
            </w:r>
          </w:p>
        </w:tc>
        <w:tc>
          <w:tcPr>
            <w:tcW w:w="1418" w:type="dxa"/>
            <w:shd w:val="clear" w:color="auto" w:fill="DEEAF6" w:themeFill="accent5" w:themeFillTint="33"/>
          </w:tcPr>
          <w:p w14:paraId="1397EE6A" w14:textId="44C187AE" w:rsidR="00682EF0" w:rsidRPr="00682EF0" w:rsidRDefault="00682EF0" w:rsidP="00682EF0">
            <w:pPr>
              <w:ind w:right="315"/>
              <w:jc w:val="right"/>
              <w:rPr>
                <w:rFonts w:cs="Arial"/>
                <w:color w:val="000000"/>
                <w:sz w:val="18"/>
                <w:szCs w:val="18"/>
              </w:rPr>
            </w:pPr>
            <w:r w:rsidRPr="00682EF0">
              <w:rPr>
                <w:rFonts w:cs="Arial"/>
                <w:sz w:val="18"/>
                <w:szCs w:val="18"/>
              </w:rPr>
              <w:t>6.5</w:t>
            </w:r>
          </w:p>
        </w:tc>
        <w:tc>
          <w:tcPr>
            <w:tcW w:w="1275" w:type="dxa"/>
            <w:shd w:val="clear" w:color="auto" w:fill="DEEAF6" w:themeFill="accent5" w:themeFillTint="33"/>
          </w:tcPr>
          <w:p w14:paraId="46A215F3" w14:textId="5726C390" w:rsidR="00682EF0" w:rsidRPr="00682EF0" w:rsidRDefault="00682EF0" w:rsidP="00682EF0">
            <w:pPr>
              <w:ind w:right="177"/>
              <w:jc w:val="right"/>
              <w:rPr>
                <w:rFonts w:cs="Arial"/>
                <w:color w:val="000000"/>
                <w:sz w:val="18"/>
                <w:szCs w:val="18"/>
              </w:rPr>
            </w:pPr>
            <w:r w:rsidRPr="00682EF0">
              <w:rPr>
                <w:rFonts w:cs="Arial"/>
                <w:sz w:val="18"/>
                <w:szCs w:val="18"/>
              </w:rPr>
              <w:t>6.0</w:t>
            </w:r>
          </w:p>
        </w:tc>
        <w:tc>
          <w:tcPr>
            <w:tcW w:w="993" w:type="dxa"/>
            <w:shd w:val="clear" w:color="auto" w:fill="DEEAF6" w:themeFill="accent5" w:themeFillTint="33"/>
          </w:tcPr>
          <w:p w14:paraId="5330E304" w14:textId="1D6562CA" w:rsidR="00682EF0" w:rsidRPr="00682EF0" w:rsidRDefault="00682EF0" w:rsidP="00682EF0">
            <w:pPr>
              <w:ind w:right="115"/>
              <w:jc w:val="right"/>
              <w:rPr>
                <w:rFonts w:cs="Arial"/>
                <w:color w:val="000000"/>
                <w:sz w:val="18"/>
                <w:szCs w:val="18"/>
              </w:rPr>
            </w:pPr>
            <w:r w:rsidRPr="00682EF0">
              <w:rPr>
                <w:rFonts w:cs="Arial"/>
                <w:sz w:val="18"/>
                <w:szCs w:val="18"/>
              </w:rPr>
              <w:t>-0.4</w:t>
            </w:r>
          </w:p>
        </w:tc>
        <w:tc>
          <w:tcPr>
            <w:tcW w:w="992" w:type="dxa"/>
            <w:shd w:val="clear" w:color="auto" w:fill="DEEAF6" w:themeFill="accent5" w:themeFillTint="33"/>
          </w:tcPr>
          <w:p w14:paraId="15820532" w14:textId="66995313" w:rsidR="00682EF0" w:rsidRPr="00682EF0" w:rsidRDefault="00682EF0" w:rsidP="00682EF0">
            <w:pPr>
              <w:ind w:right="115"/>
              <w:jc w:val="right"/>
              <w:rPr>
                <w:rFonts w:cs="Arial"/>
                <w:color w:val="000000"/>
                <w:sz w:val="18"/>
                <w:szCs w:val="18"/>
              </w:rPr>
            </w:pPr>
            <w:r w:rsidRPr="00682EF0">
              <w:rPr>
                <w:rFonts w:cs="Arial"/>
                <w:sz w:val="18"/>
                <w:szCs w:val="18"/>
              </w:rPr>
              <w:t>8.4</w:t>
            </w:r>
          </w:p>
        </w:tc>
        <w:tc>
          <w:tcPr>
            <w:tcW w:w="992" w:type="dxa"/>
            <w:shd w:val="clear" w:color="auto" w:fill="DEEAF6" w:themeFill="accent5" w:themeFillTint="33"/>
          </w:tcPr>
          <w:p w14:paraId="2447ED07" w14:textId="75283AB5" w:rsidR="00682EF0" w:rsidRPr="00682EF0" w:rsidRDefault="00682EF0" w:rsidP="00682EF0">
            <w:pPr>
              <w:ind w:right="115"/>
              <w:jc w:val="right"/>
              <w:rPr>
                <w:rFonts w:cs="Arial"/>
                <w:color w:val="000000"/>
                <w:sz w:val="18"/>
                <w:szCs w:val="18"/>
              </w:rPr>
            </w:pPr>
            <w:r w:rsidRPr="00682EF0">
              <w:rPr>
                <w:rFonts w:cs="Arial"/>
                <w:sz w:val="18"/>
                <w:szCs w:val="18"/>
              </w:rPr>
              <w:t>1.7</w:t>
            </w:r>
          </w:p>
        </w:tc>
        <w:tc>
          <w:tcPr>
            <w:tcW w:w="1134" w:type="dxa"/>
            <w:shd w:val="clear" w:color="auto" w:fill="DEEAF6" w:themeFill="accent5" w:themeFillTint="33"/>
          </w:tcPr>
          <w:p w14:paraId="65B56C3C" w14:textId="5E8D8660" w:rsidR="00682EF0" w:rsidRPr="00682EF0" w:rsidRDefault="00682EF0" w:rsidP="00682EF0">
            <w:pPr>
              <w:ind w:right="115"/>
              <w:jc w:val="right"/>
              <w:rPr>
                <w:rFonts w:cs="Arial"/>
                <w:color w:val="000000"/>
                <w:sz w:val="18"/>
                <w:szCs w:val="18"/>
              </w:rPr>
            </w:pPr>
            <w:r w:rsidRPr="00682EF0">
              <w:rPr>
                <w:rFonts w:cs="Arial"/>
                <w:sz w:val="18"/>
                <w:szCs w:val="18"/>
              </w:rPr>
              <w:t>22.1</w:t>
            </w:r>
          </w:p>
        </w:tc>
        <w:tc>
          <w:tcPr>
            <w:tcW w:w="851" w:type="dxa"/>
            <w:shd w:val="clear" w:color="auto" w:fill="DEEAF6" w:themeFill="accent5" w:themeFillTint="33"/>
          </w:tcPr>
          <w:p w14:paraId="2C7B1FCA" w14:textId="353A3B09" w:rsidR="00682EF0" w:rsidRPr="00682EF0" w:rsidRDefault="00682EF0" w:rsidP="00682EF0">
            <w:pPr>
              <w:ind w:right="115"/>
              <w:jc w:val="right"/>
              <w:rPr>
                <w:rFonts w:cs="Arial"/>
                <w:color w:val="000000"/>
                <w:sz w:val="18"/>
                <w:szCs w:val="18"/>
              </w:rPr>
            </w:pPr>
            <w:r w:rsidRPr="00682EF0">
              <w:rPr>
                <w:rFonts w:cs="Arial"/>
                <w:sz w:val="18"/>
                <w:szCs w:val="18"/>
              </w:rPr>
              <w:t>-0.1</w:t>
            </w:r>
          </w:p>
        </w:tc>
      </w:tr>
    </w:tbl>
    <w:p w14:paraId="4E997A1D" w14:textId="77777777" w:rsidR="00ED7AE3" w:rsidRDefault="00ED7AE3" w:rsidP="00ED7AE3">
      <w:pPr>
        <w:ind w:left="284"/>
        <w:rPr>
          <w:rFonts w:eastAsia="Arial" w:cs="Arial"/>
          <w:noProof/>
          <w:sz w:val="16"/>
          <w:szCs w:val="16"/>
          <w:lang w:val="es-MX" w:eastAsia="es-MX"/>
        </w:rPr>
      </w:pPr>
      <w:r>
        <w:rPr>
          <w:rFonts w:eastAsia="Arial" w:cs="Arial"/>
          <w:noProof/>
          <w:sz w:val="16"/>
          <w:szCs w:val="16"/>
          <w:lang w:val="es-MX" w:eastAsia="es-MX"/>
        </w:rPr>
        <w:t>* ISFLSH: Instituciones sin fines de lucro que sirven a los hogares</w:t>
      </w:r>
    </w:p>
    <w:p w14:paraId="3F864B8C" w14:textId="77777777" w:rsidR="00D72C59" w:rsidRPr="009C10E1" w:rsidRDefault="00D72C59" w:rsidP="00D72C59">
      <w:pPr>
        <w:ind w:left="284"/>
        <w:jc w:val="both"/>
        <w:rPr>
          <w:rFonts w:cs="Arial"/>
          <w:color w:val="000000"/>
          <w:sz w:val="16"/>
          <w:szCs w:val="16"/>
          <w:lang w:val="es-MX" w:eastAsia="es-MX"/>
        </w:rPr>
      </w:pPr>
      <w:r w:rsidRPr="009C10E1">
        <w:rPr>
          <w:rFonts w:cs="Arial"/>
          <w:color w:val="000000"/>
          <w:sz w:val="16"/>
          <w:szCs w:val="16"/>
          <w:lang w:val="es-MX" w:eastAsia="es-MX"/>
        </w:rPr>
        <w:t>Fuente: INEGI</w:t>
      </w:r>
    </w:p>
    <w:p w14:paraId="1D4E64F2" w14:textId="77777777" w:rsidR="00392F2A" w:rsidRDefault="00392F2A" w:rsidP="006B760B">
      <w:pPr>
        <w:pStyle w:val="Textodebloque1"/>
        <w:spacing w:before="120"/>
        <w:ind w:left="0" w:right="0" w:firstLine="0"/>
        <w:rPr>
          <w:rFonts w:eastAsia="Arial" w:cs="Arial"/>
          <w:i/>
          <w:iCs/>
          <w:szCs w:val="22"/>
        </w:rPr>
      </w:pPr>
    </w:p>
    <w:p w14:paraId="0796DE2B" w14:textId="770F3418" w:rsidR="006B760B" w:rsidRDefault="006B760B" w:rsidP="006B760B">
      <w:pPr>
        <w:pStyle w:val="Textodebloque1"/>
        <w:spacing w:before="120"/>
        <w:ind w:left="0" w:right="0" w:firstLine="0"/>
        <w:rPr>
          <w:rFonts w:eastAsia="Arial" w:cs="Arial"/>
          <w:b w:val="0"/>
          <w:bCs/>
          <w:sz w:val="24"/>
          <w:szCs w:val="24"/>
        </w:rPr>
      </w:pPr>
      <w:r>
        <w:rPr>
          <w:rFonts w:eastAsia="Arial" w:cs="Arial"/>
          <w:i/>
          <w:iCs/>
          <w:szCs w:val="22"/>
        </w:rPr>
        <w:lastRenderedPageBreak/>
        <w:t>Renta de la propiedad</w:t>
      </w:r>
    </w:p>
    <w:p w14:paraId="02C8B114" w14:textId="46B597CA" w:rsidR="006B760B" w:rsidRDefault="006B760B" w:rsidP="006B760B">
      <w:pPr>
        <w:autoSpaceDE w:val="0"/>
        <w:autoSpaceDN w:val="0"/>
        <w:adjustRightInd w:val="0"/>
        <w:spacing w:before="120"/>
        <w:jc w:val="both"/>
        <w:rPr>
          <w:rFonts w:eastAsia="Arial" w:cs="Arial"/>
          <w:bCs/>
          <w:lang w:val="es-ES_tradnl"/>
        </w:rPr>
      </w:pPr>
      <w:r w:rsidRPr="00785514">
        <w:rPr>
          <w:rFonts w:eastAsia="Arial" w:cs="Arial"/>
          <w:bCs/>
          <w:lang w:val="es-ES_tradnl"/>
        </w:rPr>
        <w:t xml:space="preserve">En el </w:t>
      </w:r>
      <w:r w:rsidR="00A42227">
        <w:rPr>
          <w:rFonts w:eastAsia="Arial" w:cs="Arial"/>
          <w:bCs/>
          <w:lang w:val="es-ES_tradnl"/>
        </w:rPr>
        <w:t xml:space="preserve">primer trimestre de </w:t>
      </w:r>
      <w:r w:rsidRPr="00785514">
        <w:rPr>
          <w:rFonts w:eastAsia="Arial" w:cs="Arial"/>
          <w:bCs/>
          <w:lang w:val="es-ES_tradnl"/>
        </w:rPr>
        <w:t xml:space="preserve">2020, </w:t>
      </w:r>
      <w:r w:rsidR="00A42227">
        <w:rPr>
          <w:rFonts w:eastAsia="Arial" w:cs="Arial"/>
          <w:bCs/>
          <w:lang w:val="es-ES_tradnl"/>
        </w:rPr>
        <w:t xml:space="preserve">la participación con respecto al PIB </w:t>
      </w:r>
      <w:r w:rsidR="00A52544">
        <w:rPr>
          <w:rFonts w:eastAsia="Arial" w:cs="Arial"/>
          <w:bCs/>
          <w:lang w:val="es-ES_tradnl"/>
        </w:rPr>
        <w:t>de</w:t>
      </w:r>
      <w:r w:rsidR="00A42227">
        <w:rPr>
          <w:rFonts w:eastAsia="Arial" w:cs="Arial"/>
          <w:bCs/>
          <w:lang w:val="es-ES_tradnl"/>
        </w:rPr>
        <w:t xml:space="preserve"> los Hogares fue de 13.8% y 1.2% </w:t>
      </w:r>
      <w:r w:rsidR="00A52544">
        <w:rPr>
          <w:rFonts w:eastAsia="Arial" w:cs="Arial"/>
          <w:bCs/>
          <w:lang w:val="es-ES_tradnl"/>
        </w:rPr>
        <w:t>por parte de</w:t>
      </w:r>
      <w:r w:rsidR="00A42227">
        <w:rPr>
          <w:rFonts w:eastAsia="Arial" w:cs="Arial"/>
          <w:bCs/>
          <w:lang w:val="es-ES_tradnl"/>
        </w:rPr>
        <w:t xml:space="preserve"> las </w:t>
      </w:r>
      <w:r w:rsidR="00A52544">
        <w:rPr>
          <w:rFonts w:eastAsia="Arial" w:cs="Arial"/>
          <w:bCs/>
          <w:lang w:val="es-ES_tradnl"/>
        </w:rPr>
        <w:t>S</w:t>
      </w:r>
      <w:r w:rsidR="00A42227">
        <w:rPr>
          <w:rFonts w:eastAsia="Arial" w:cs="Arial"/>
          <w:bCs/>
          <w:lang w:val="es-ES_tradnl"/>
        </w:rPr>
        <w:t xml:space="preserve">ociedades financieras mientras que los sectores de las </w:t>
      </w:r>
      <w:r w:rsidR="00A52544">
        <w:rPr>
          <w:rFonts w:eastAsia="Arial" w:cs="Arial"/>
          <w:bCs/>
          <w:lang w:val="es-ES_tradnl"/>
        </w:rPr>
        <w:t>S</w:t>
      </w:r>
      <w:r w:rsidR="00A42227">
        <w:rPr>
          <w:rFonts w:eastAsia="Arial" w:cs="Arial"/>
          <w:bCs/>
          <w:lang w:val="es-ES_tradnl"/>
        </w:rPr>
        <w:t xml:space="preserve">ociedades no financieras y el </w:t>
      </w:r>
      <w:r w:rsidR="00A52544">
        <w:rPr>
          <w:rFonts w:eastAsia="Arial" w:cs="Arial"/>
          <w:bCs/>
          <w:lang w:val="es-ES_tradnl"/>
        </w:rPr>
        <w:t>G</w:t>
      </w:r>
      <w:r w:rsidR="00A42227">
        <w:rPr>
          <w:rFonts w:eastAsia="Arial" w:cs="Arial"/>
          <w:bCs/>
          <w:lang w:val="es-ES_tradnl"/>
        </w:rPr>
        <w:t xml:space="preserve">obierno general </w:t>
      </w:r>
      <w:r w:rsidR="00A52544">
        <w:rPr>
          <w:rFonts w:eastAsia="Arial" w:cs="Arial"/>
          <w:bCs/>
          <w:lang w:val="es-ES_tradnl"/>
        </w:rPr>
        <w:t>presentaron participaciones</w:t>
      </w:r>
      <w:r w:rsidR="00A42227">
        <w:rPr>
          <w:rFonts w:eastAsia="Arial" w:cs="Arial"/>
          <w:bCs/>
          <w:lang w:val="es-ES_tradnl"/>
        </w:rPr>
        <w:t xml:space="preserve"> negativas con (-)17.6% y </w:t>
      </w:r>
      <w:r w:rsidR="00A52544">
        <w:rPr>
          <w:rFonts w:eastAsia="Arial" w:cs="Arial"/>
          <w:bCs/>
          <w:lang w:val="es-ES_tradnl"/>
        </w:rPr>
        <w:t xml:space="preserve">(-)1.7% </w:t>
      </w:r>
      <w:r w:rsidR="00A42227">
        <w:rPr>
          <w:rFonts w:eastAsia="Arial" w:cs="Arial"/>
          <w:bCs/>
          <w:lang w:val="es-ES_tradnl"/>
        </w:rPr>
        <w:t>respectivamente</w:t>
      </w:r>
      <w:r w:rsidRPr="00785514">
        <w:rPr>
          <w:rFonts w:eastAsia="Arial" w:cs="Arial"/>
          <w:bCs/>
          <w:lang w:val="es-ES_tradnl"/>
        </w:rPr>
        <w:t>.</w:t>
      </w:r>
    </w:p>
    <w:p w14:paraId="1B2935F8" w14:textId="77777777" w:rsidR="00B305F9" w:rsidRDefault="00B305F9" w:rsidP="00FB4CC7">
      <w:pPr>
        <w:spacing w:before="120"/>
        <w:jc w:val="center"/>
        <w:rPr>
          <w:rFonts w:eastAsia="Arial" w:cs="Arial"/>
          <w:bCs/>
          <w:sz w:val="20"/>
          <w:szCs w:val="20"/>
          <w:lang w:val="es-ES_tradnl"/>
        </w:rPr>
      </w:pPr>
    </w:p>
    <w:p w14:paraId="6AD7AF6B" w14:textId="11C70576" w:rsidR="00FB4CC7" w:rsidRPr="00682EF0" w:rsidRDefault="00FB4CC7" w:rsidP="00FB4CC7">
      <w:pPr>
        <w:spacing w:before="120"/>
        <w:jc w:val="center"/>
        <w:rPr>
          <w:rFonts w:eastAsia="Arial" w:cs="Arial"/>
          <w:bCs/>
          <w:sz w:val="20"/>
          <w:szCs w:val="20"/>
          <w:lang w:val="es-ES_tradnl"/>
        </w:rPr>
      </w:pPr>
      <w:r w:rsidRPr="00682EF0">
        <w:rPr>
          <w:rFonts w:eastAsia="Arial" w:cs="Arial"/>
          <w:bCs/>
          <w:sz w:val="20"/>
          <w:szCs w:val="20"/>
          <w:lang w:val="es-ES_tradnl"/>
        </w:rPr>
        <w:t xml:space="preserve">Cuadro </w:t>
      </w:r>
      <w:r w:rsidR="00FB2348">
        <w:rPr>
          <w:rFonts w:eastAsia="Arial" w:cs="Arial"/>
          <w:bCs/>
          <w:sz w:val="20"/>
          <w:szCs w:val="20"/>
          <w:lang w:val="es-ES_tradnl"/>
        </w:rPr>
        <w:t>5</w:t>
      </w:r>
    </w:p>
    <w:p w14:paraId="2C8ED8F3" w14:textId="70F73856" w:rsidR="006B760B" w:rsidRPr="00A048B2" w:rsidRDefault="006B760B" w:rsidP="00A048B2">
      <w:pPr>
        <w:jc w:val="center"/>
        <w:rPr>
          <w:rFonts w:eastAsia="Arial" w:cs="Arial"/>
          <w:b/>
          <w:bCs/>
          <w:sz w:val="22"/>
          <w:szCs w:val="22"/>
          <w:lang w:val="es-ES_tradnl"/>
        </w:rPr>
      </w:pPr>
      <w:r w:rsidRPr="00A048B2">
        <w:rPr>
          <w:rFonts w:eastAsia="Arial" w:cs="Arial"/>
          <w:b/>
          <w:bCs/>
          <w:sz w:val="22"/>
          <w:szCs w:val="22"/>
          <w:lang w:val="es-ES_tradnl"/>
        </w:rPr>
        <w:t xml:space="preserve">RENTA DE LA PROPIEDAD NETA </w:t>
      </w:r>
      <w:r w:rsidR="00DE3D99">
        <w:rPr>
          <w:rFonts w:eastAsia="Arial" w:cs="Arial"/>
          <w:b/>
          <w:bCs/>
          <w:sz w:val="22"/>
          <w:szCs w:val="22"/>
          <w:lang w:val="es-ES_tradnl"/>
        </w:rPr>
        <w:t>POR</w:t>
      </w:r>
      <w:r w:rsidR="00A048B2" w:rsidRPr="00A048B2">
        <w:rPr>
          <w:rFonts w:eastAsia="Arial" w:cs="Arial"/>
          <w:b/>
          <w:bCs/>
          <w:sz w:val="22"/>
          <w:szCs w:val="22"/>
          <w:lang w:val="es-ES_tradnl"/>
        </w:rPr>
        <w:t xml:space="preserve"> </w:t>
      </w:r>
      <w:r w:rsidRPr="00A048B2">
        <w:rPr>
          <w:rFonts w:eastAsia="Arial" w:cs="Arial"/>
          <w:b/>
          <w:bCs/>
          <w:sz w:val="22"/>
          <w:szCs w:val="22"/>
          <w:lang w:val="es-ES_tradnl"/>
        </w:rPr>
        <w:t xml:space="preserve">SECTOR </w:t>
      </w:r>
      <w:r w:rsidR="00DE3D99">
        <w:rPr>
          <w:rFonts w:eastAsia="Arial" w:cs="Arial"/>
          <w:b/>
          <w:bCs/>
          <w:sz w:val="22"/>
          <w:szCs w:val="22"/>
          <w:lang w:val="es-ES_tradnl"/>
        </w:rPr>
        <w:t>INSTITUCIONAL</w:t>
      </w:r>
    </w:p>
    <w:p w14:paraId="7F25B991" w14:textId="77777777" w:rsidR="006B760B" w:rsidRPr="00A048B2" w:rsidRDefault="006B760B" w:rsidP="00A048B2">
      <w:pPr>
        <w:jc w:val="center"/>
        <w:rPr>
          <w:rFonts w:eastAsia="Arial" w:cs="Arial"/>
          <w:bCs/>
          <w:sz w:val="18"/>
          <w:szCs w:val="18"/>
        </w:rPr>
      </w:pPr>
      <w:r w:rsidRPr="00A048B2">
        <w:rPr>
          <w:rFonts w:eastAsia="Arial" w:cs="Arial"/>
          <w:bCs/>
          <w:sz w:val="18"/>
          <w:szCs w:val="18"/>
        </w:rPr>
        <w:t>(Participación porcentual respecto al PIB)</w:t>
      </w:r>
    </w:p>
    <w:tbl>
      <w:tblPr>
        <w:tblStyle w:val="Tablaconcuadrcula"/>
        <w:tblW w:w="9493" w:type="dxa"/>
        <w:tblLook w:val="04A0" w:firstRow="1" w:lastRow="0" w:firstColumn="1" w:lastColumn="0" w:noHBand="0" w:noVBand="1"/>
      </w:tblPr>
      <w:tblGrid>
        <w:gridCol w:w="2850"/>
        <w:gridCol w:w="1328"/>
        <w:gridCol w:w="1329"/>
        <w:gridCol w:w="1328"/>
        <w:gridCol w:w="1329"/>
        <w:gridCol w:w="1329"/>
      </w:tblGrid>
      <w:tr w:rsidR="00FB4CC7" w:rsidRPr="00FB4CC7" w14:paraId="5D4E763F" w14:textId="77777777" w:rsidTr="00D72C59">
        <w:trPr>
          <w:trHeight w:val="385"/>
        </w:trPr>
        <w:tc>
          <w:tcPr>
            <w:tcW w:w="2850" w:type="dxa"/>
            <w:vMerge w:val="restart"/>
            <w:tcBorders>
              <w:bottom w:val="single" w:sz="4" w:space="0" w:color="000000" w:themeColor="text1"/>
              <w:right w:val="single" w:sz="4" w:space="0" w:color="000000" w:themeColor="text1"/>
            </w:tcBorders>
            <w:shd w:val="clear" w:color="auto" w:fill="DEEAF6" w:themeFill="accent5" w:themeFillTint="33"/>
            <w:vAlign w:val="center"/>
          </w:tcPr>
          <w:p w14:paraId="0067BA5F" w14:textId="77777777" w:rsidR="00FB4CC7" w:rsidRPr="00FB4CC7" w:rsidRDefault="00FB4CC7" w:rsidP="00A048B2">
            <w:pPr>
              <w:jc w:val="center"/>
              <w:rPr>
                <w:rFonts w:eastAsia="Arial" w:cs="Arial"/>
                <w:b/>
                <w:sz w:val="18"/>
                <w:szCs w:val="18"/>
              </w:rPr>
            </w:pPr>
            <w:r w:rsidRPr="00FB4CC7">
              <w:rPr>
                <w:rFonts w:eastAsia="Arial" w:cs="Arial"/>
                <w:b/>
                <w:sz w:val="18"/>
                <w:szCs w:val="18"/>
              </w:rPr>
              <w:t xml:space="preserve">Denominación </w:t>
            </w:r>
          </w:p>
        </w:tc>
        <w:tc>
          <w:tcPr>
            <w:tcW w:w="5314" w:type="dxa"/>
            <w:gridSpan w:val="4"/>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6657DA5" w14:textId="77777777" w:rsidR="00FB4CC7" w:rsidRPr="00FB4CC7" w:rsidRDefault="00FB4CC7" w:rsidP="00A048B2">
            <w:pPr>
              <w:jc w:val="center"/>
              <w:rPr>
                <w:rFonts w:eastAsia="Arial" w:cs="Arial"/>
                <w:b/>
                <w:sz w:val="18"/>
                <w:szCs w:val="18"/>
              </w:rPr>
            </w:pPr>
            <w:r w:rsidRPr="00FB4CC7">
              <w:rPr>
                <w:rFonts w:eastAsia="Arial" w:cs="Arial"/>
                <w:b/>
                <w:sz w:val="18"/>
                <w:szCs w:val="18"/>
              </w:rPr>
              <w:t>2019</w:t>
            </w:r>
          </w:p>
        </w:tc>
        <w:tc>
          <w:tcPr>
            <w:tcW w:w="1329" w:type="dxa"/>
            <w:tcBorders>
              <w:left w:val="single" w:sz="4" w:space="0" w:color="000000" w:themeColor="text1"/>
              <w:bottom w:val="single" w:sz="4" w:space="0" w:color="000000" w:themeColor="text1"/>
            </w:tcBorders>
            <w:shd w:val="clear" w:color="auto" w:fill="DEEAF6" w:themeFill="accent5" w:themeFillTint="33"/>
            <w:vAlign w:val="center"/>
          </w:tcPr>
          <w:p w14:paraId="39F38009" w14:textId="77777777" w:rsidR="00FB4CC7" w:rsidRPr="00FB4CC7" w:rsidRDefault="00FB4CC7" w:rsidP="00A048B2">
            <w:pPr>
              <w:jc w:val="center"/>
              <w:rPr>
                <w:rFonts w:eastAsia="Arial" w:cs="Arial"/>
                <w:b/>
                <w:sz w:val="18"/>
                <w:szCs w:val="18"/>
              </w:rPr>
            </w:pPr>
            <w:r w:rsidRPr="00FB4CC7">
              <w:rPr>
                <w:rFonts w:eastAsia="Arial" w:cs="Arial"/>
                <w:b/>
                <w:sz w:val="18"/>
                <w:szCs w:val="18"/>
              </w:rPr>
              <w:t>2020</w:t>
            </w:r>
          </w:p>
        </w:tc>
      </w:tr>
      <w:tr w:rsidR="00FB4CC7" w:rsidRPr="00FB4CC7" w14:paraId="63EAF16E" w14:textId="77777777" w:rsidTr="00D72C59">
        <w:trPr>
          <w:trHeight w:val="385"/>
        </w:trPr>
        <w:tc>
          <w:tcPr>
            <w:tcW w:w="2850" w:type="dxa"/>
            <w:vMerge/>
            <w:tcBorders>
              <w:top w:val="single" w:sz="4" w:space="0" w:color="000000" w:themeColor="text1"/>
              <w:right w:val="single" w:sz="4" w:space="0" w:color="000000" w:themeColor="text1"/>
            </w:tcBorders>
            <w:shd w:val="clear" w:color="auto" w:fill="DEEAF6" w:themeFill="accent5" w:themeFillTint="33"/>
            <w:vAlign w:val="center"/>
          </w:tcPr>
          <w:p w14:paraId="261B28F4" w14:textId="77777777" w:rsidR="00FB4CC7" w:rsidRPr="00FB4CC7" w:rsidRDefault="00FB4CC7" w:rsidP="006C063C">
            <w:pPr>
              <w:jc w:val="center"/>
              <w:rPr>
                <w:rFonts w:eastAsia="Arial" w:cs="Arial"/>
                <w:b/>
                <w:sz w:val="18"/>
                <w:szCs w:val="18"/>
              </w:rPr>
            </w:pPr>
          </w:p>
        </w:tc>
        <w:tc>
          <w:tcPr>
            <w:tcW w:w="1328"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7AFED8DA" w14:textId="77777777" w:rsidR="00FB4CC7" w:rsidRPr="00FB4CC7" w:rsidRDefault="00FB4CC7" w:rsidP="006C063C">
            <w:pPr>
              <w:jc w:val="center"/>
              <w:rPr>
                <w:rFonts w:eastAsia="Arial" w:cs="Arial"/>
                <w:b/>
                <w:sz w:val="18"/>
                <w:szCs w:val="18"/>
              </w:rPr>
            </w:pPr>
            <w:r w:rsidRPr="00FB4CC7">
              <w:rPr>
                <w:rFonts w:eastAsia="Arial" w:cs="Arial"/>
                <w:b/>
                <w:sz w:val="18"/>
                <w:szCs w:val="18"/>
              </w:rPr>
              <w:t>I</w:t>
            </w:r>
          </w:p>
        </w:tc>
        <w:tc>
          <w:tcPr>
            <w:tcW w:w="1329"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1DD21696" w14:textId="77777777" w:rsidR="00FB4CC7" w:rsidRPr="00FB4CC7" w:rsidRDefault="00FB4CC7" w:rsidP="006C063C">
            <w:pPr>
              <w:jc w:val="center"/>
              <w:rPr>
                <w:rFonts w:eastAsia="Arial" w:cs="Arial"/>
                <w:b/>
                <w:sz w:val="18"/>
                <w:szCs w:val="18"/>
              </w:rPr>
            </w:pPr>
            <w:r w:rsidRPr="00FB4CC7">
              <w:rPr>
                <w:rFonts w:eastAsia="Arial" w:cs="Arial"/>
                <w:b/>
                <w:sz w:val="18"/>
                <w:szCs w:val="18"/>
              </w:rPr>
              <w:t>II</w:t>
            </w:r>
          </w:p>
        </w:tc>
        <w:tc>
          <w:tcPr>
            <w:tcW w:w="1328"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1FB947D8" w14:textId="77777777" w:rsidR="00FB4CC7" w:rsidRPr="00FB4CC7" w:rsidRDefault="00FB4CC7" w:rsidP="006C063C">
            <w:pPr>
              <w:jc w:val="center"/>
              <w:rPr>
                <w:rFonts w:eastAsia="Arial" w:cs="Arial"/>
                <w:b/>
                <w:sz w:val="18"/>
                <w:szCs w:val="18"/>
              </w:rPr>
            </w:pPr>
            <w:r w:rsidRPr="00FB4CC7">
              <w:rPr>
                <w:rFonts w:eastAsia="Arial" w:cs="Arial"/>
                <w:b/>
                <w:sz w:val="18"/>
                <w:szCs w:val="18"/>
              </w:rPr>
              <w:t>III</w:t>
            </w:r>
          </w:p>
        </w:tc>
        <w:tc>
          <w:tcPr>
            <w:tcW w:w="1329"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2205EAA9" w14:textId="77777777" w:rsidR="00FB4CC7" w:rsidRPr="00FB4CC7" w:rsidRDefault="00FB4CC7" w:rsidP="006C063C">
            <w:pPr>
              <w:jc w:val="center"/>
              <w:rPr>
                <w:rFonts w:eastAsia="Arial" w:cs="Arial"/>
                <w:b/>
                <w:sz w:val="18"/>
                <w:szCs w:val="18"/>
              </w:rPr>
            </w:pPr>
            <w:r w:rsidRPr="00FB4CC7">
              <w:rPr>
                <w:rFonts w:eastAsia="Arial" w:cs="Arial"/>
                <w:b/>
                <w:sz w:val="18"/>
                <w:szCs w:val="18"/>
              </w:rPr>
              <w:t>IV</w:t>
            </w:r>
          </w:p>
        </w:tc>
        <w:tc>
          <w:tcPr>
            <w:tcW w:w="1329" w:type="dxa"/>
            <w:tcBorders>
              <w:top w:val="single" w:sz="4" w:space="0" w:color="000000" w:themeColor="text1"/>
              <w:left w:val="single" w:sz="4" w:space="0" w:color="000000" w:themeColor="text1"/>
            </w:tcBorders>
            <w:shd w:val="clear" w:color="auto" w:fill="DEEAF6" w:themeFill="accent5" w:themeFillTint="33"/>
            <w:vAlign w:val="center"/>
          </w:tcPr>
          <w:p w14:paraId="580809EB" w14:textId="77777777" w:rsidR="00FB4CC7" w:rsidRPr="00FB4CC7" w:rsidRDefault="00FB4CC7" w:rsidP="006C063C">
            <w:pPr>
              <w:jc w:val="center"/>
              <w:rPr>
                <w:rFonts w:eastAsia="Arial" w:cs="Arial"/>
                <w:b/>
                <w:sz w:val="18"/>
                <w:szCs w:val="18"/>
              </w:rPr>
            </w:pPr>
            <w:r w:rsidRPr="00FB4CC7">
              <w:rPr>
                <w:rFonts w:eastAsia="Arial" w:cs="Arial"/>
                <w:b/>
                <w:sz w:val="18"/>
                <w:szCs w:val="18"/>
              </w:rPr>
              <w:t>I</w:t>
            </w:r>
          </w:p>
        </w:tc>
      </w:tr>
      <w:tr w:rsidR="00A048B2" w:rsidRPr="00FB4CC7" w14:paraId="6A917963" w14:textId="77777777" w:rsidTr="00D72C59">
        <w:trPr>
          <w:trHeight w:val="385"/>
        </w:trPr>
        <w:tc>
          <w:tcPr>
            <w:tcW w:w="2850" w:type="dxa"/>
          </w:tcPr>
          <w:p w14:paraId="473D02CB" w14:textId="77777777" w:rsidR="00A048B2" w:rsidRPr="00FB4CC7" w:rsidRDefault="00A048B2" w:rsidP="00A048B2">
            <w:pPr>
              <w:rPr>
                <w:rFonts w:eastAsia="Arial" w:cs="Arial"/>
                <w:bCs/>
                <w:sz w:val="18"/>
                <w:szCs w:val="18"/>
              </w:rPr>
            </w:pPr>
            <w:r w:rsidRPr="00FB4CC7">
              <w:rPr>
                <w:rFonts w:cs="Arial"/>
                <w:sz w:val="18"/>
                <w:szCs w:val="18"/>
              </w:rPr>
              <w:t>S1. Economía interna</w:t>
            </w:r>
          </w:p>
        </w:tc>
        <w:tc>
          <w:tcPr>
            <w:tcW w:w="1328" w:type="dxa"/>
            <w:vAlign w:val="center"/>
          </w:tcPr>
          <w:p w14:paraId="0AA10CED" w14:textId="592E6C38" w:rsidR="00A048B2" w:rsidRPr="00FB4CC7" w:rsidRDefault="00A048B2" w:rsidP="00A048B2">
            <w:pPr>
              <w:jc w:val="right"/>
              <w:rPr>
                <w:rFonts w:eastAsia="Arial" w:cs="Arial"/>
                <w:bCs/>
                <w:sz w:val="18"/>
                <w:szCs w:val="18"/>
              </w:rPr>
            </w:pPr>
            <w:r>
              <w:rPr>
                <w:rFonts w:cs="Arial"/>
                <w:color w:val="000000"/>
                <w:sz w:val="18"/>
                <w:szCs w:val="18"/>
              </w:rPr>
              <w:t>-5.2</w:t>
            </w:r>
          </w:p>
        </w:tc>
        <w:tc>
          <w:tcPr>
            <w:tcW w:w="1329" w:type="dxa"/>
            <w:vAlign w:val="center"/>
          </w:tcPr>
          <w:p w14:paraId="5F799824" w14:textId="7C0262A5" w:rsidR="00A048B2" w:rsidRPr="00FB4CC7" w:rsidRDefault="00A048B2" w:rsidP="00A048B2">
            <w:pPr>
              <w:ind w:right="40"/>
              <w:jc w:val="right"/>
              <w:rPr>
                <w:rFonts w:cs="Arial"/>
                <w:sz w:val="18"/>
                <w:szCs w:val="18"/>
              </w:rPr>
            </w:pPr>
            <w:r>
              <w:rPr>
                <w:rFonts w:cs="Arial"/>
                <w:color w:val="000000"/>
                <w:sz w:val="18"/>
                <w:szCs w:val="18"/>
              </w:rPr>
              <w:t>-2.8</w:t>
            </w:r>
          </w:p>
        </w:tc>
        <w:tc>
          <w:tcPr>
            <w:tcW w:w="1328" w:type="dxa"/>
            <w:vAlign w:val="center"/>
          </w:tcPr>
          <w:p w14:paraId="56CE982F" w14:textId="4BEA2BD0" w:rsidR="00A048B2" w:rsidRPr="00FB4CC7" w:rsidRDefault="00A048B2" w:rsidP="00A048B2">
            <w:pPr>
              <w:jc w:val="right"/>
              <w:rPr>
                <w:rFonts w:cs="Arial"/>
                <w:sz w:val="18"/>
                <w:szCs w:val="18"/>
              </w:rPr>
            </w:pPr>
            <w:r>
              <w:rPr>
                <w:rFonts w:cs="Arial"/>
                <w:color w:val="000000"/>
                <w:sz w:val="18"/>
                <w:szCs w:val="18"/>
              </w:rPr>
              <w:t>-1.9</w:t>
            </w:r>
          </w:p>
        </w:tc>
        <w:tc>
          <w:tcPr>
            <w:tcW w:w="1329" w:type="dxa"/>
            <w:vAlign w:val="center"/>
          </w:tcPr>
          <w:p w14:paraId="4EB12D9F" w14:textId="12AFA066" w:rsidR="00A048B2" w:rsidRPr="00FB4CC7" w:rsidRDefault="00A048B2" w:rsidP="00A048B2">
            <w:pPr>
              <w:ind w:right="32"/>
              <w:jc w:val="right"/>
              <w:rPr>
                <w:rFonts w:cs="Arial"/>
                <w:sz w:val="18"/>
                <w:szCs w:val="18"/>
              </w:rPr>
            </w:pPr>
            <w:r>
              <w:rPr>
                <w:rFonts w:cs="Arial"/>
                <w:color w:val="000000"/>
                <w:sz w:val="18"/>
                <w:szCs w:val="18"/>
              </w:rPr>
              <w:t>-2.5</w:t>
            </w:r>
          </w:p>
        </w:tc>
        <w:tc>
          <w:tcPr>
            <w:tcW w:w="1329" w:type="dxa"/>
            <w:vAlign w:val="center"/>
          </w:tcPr>
          <w:p w14:paraId="7E3011D6" w14:textId="5444B636" w:rsidR="00A048B2" w:rsidRPr="00FB4CC7" w:rsidRDefault="00A048B2" w:rsidP="00A048B2">
            <w:pPr>
              <w:jc w:val="right"/>
              <w:rPr>
                <w:rFonts w:cs="Arial"/>
                <w:sz w:val="18"/>
                <w:szCs w:val="18"/>
              </w:rPr>
            </w:pPr>
            <w:r>
              <w:rPr>
                <w:rFonts w:cs="Arial"/>
                <w:color w:val="000000"/>
                <w:sz w:val="18"/>
                <w:szCs w:val="18"/>
              </w:rPr>
              <w:t>-4.4</w:t>
            </w:r>
          </w:p>
        </w:tc>
      </w:tr>
      <w:tr w:rsidR="00A048B2" w:rsidRPr="00FB4CC7" w14:paraId="317264DE" w14:textId="77777777" w:rsidTr="00D72C59">
        <w:trPr>
          <w:trHeight w:val="385"/>
        </w:trPr>
        <w:tc>
          <w:tcPr>
            <w:tcW w:w="2850" w:type="dxa"/>
            <w:shd w:val="clear" w:color="auto" w:fill="DEEAF6" w:themeFill="accent5" w:themeFillTint="33"/>
          </w:tcPr>
          <w:p w14:paraId="69EAAB05" w14:textId="77777777" w:rsidR="00A048B2" w:rsidRPr="00FB4CC7" w:rsidRDefault="00A048B2" w:rsidP="00A048B2">
            <w:pPr>
              <w:rPr>
                <w:rFonts w:eastAsia="Arial" w:cs="Arial"/>
                <w:bCs/>
                <w:sz w:val="18"/>
                <w:szCs w:val="18"/>
              </w:rPr>
            </w:pPr>
            <w:r w:rsidRPr="00FB4CC7">
              <w:rPr>
                <w:rFonts w:cs="Arial"/>
                <w:sz w:val="18"/>
                <w:szCs w:val="18"/>
              </w:rPr>
              <w:t>S.11.Sociedades no financieras</w:t>
            </w:r>
          </w:p>
        </w:tc>
        <w:tc>
          <w:tcPr>
            <w:tcW w:w="1328" w:type="dxa"/>
            <w:shd w:val="clear" w:color="auto" w:fill="DEEAF6" w:themeFill="accent5" w:themeFillTint="33"/>
            <w:vAlign w:val="center"/>
          </w:tcPr>
          <w:p w14:paraId="6AAFD9C5" w14:textId="3C15CA13" w:rsidR="00A048B2" w:rsidRPr="00FB4CC7" w:rsidRDefault="00A048B2" w:rsidP="00A048B2">
            <w:pPr>
              <w:jc w:val="right"/>
              <w:rPr>
                <w:rFonts w:eastAsia="Arial" w:cs="Arial"/>
                <w:bCs/>
                <w:sz w:val="18"/>
                <w:szCs w:val="18"/>
              </w:rPr>
            </w:pPr>
            <w:r>
              <w:rPr>
                <w:rFonts w:cs="Arial"/>
                <w:color w:val="000000"/>
                <w:sz w:val="18"/>
                <w:szCs w:val="18"/>
              </w:rPr>
              <w:t>-21.0</w:t>
            </w:r>
          </w:p>
        </w:tc>
        <w:tc>
          <w:tcPr>
            <w:tcW w:w="1329" w:type="dxa"/>
            <w:shd w:val="clear" w:color="auto" w:fill="DEEAF6" w:themeFill="accent5" w:themeFillTint="33"/>
            <w:vAlign w:val="center"/>
          </w:tcPr>
          <w:p w14:paraId="77425D8A" w14:textId="3A28357E" w:rsidR="00A048B2" w:rsidRPr="00FB4CC7" w:rsidRDefault="00A048B2" w:rsidP="00A048B2">
            <w:pPr>
              <w:ind w:right="40"/>
              <w:jc w:val="right"/>
              <w:rPr>
                <w:rFonts w:cs="Arial"/>
                <w:sz w:val="18"/>
                <w:szCs w:val="18"/>
              </w:rPr>
            </w:pPr>
            <w:r>
              <w:rPr>
                <w:rFonts w:cs="Arial"/>
                <w:color w:val="000000"/>
                <w:sz w:val="18"/>
                <w:szCs w:val="18"/>
              </w:rPr>
              <w:t>-18.7</w:t>
            </w:r>
          </w:p>
        </w:tc>
        <w:tc>
          <w:tcPr>
            <w:tcW w:w="1328" w:type="dxa"/>
            <w:shd w:val="clear" w:color="auto" w:fill="DEEAF6" w:themeFill="accent5" w:themeFillTint="33"/>
            <w:vAlign w:val="center"/>
          </w:tcPr>
          <w:p w14:paraId="480B6474" w14:textId="105C167C" w:rsidR="00A048B2" w:rsidRPr="00FB4CC7" w:rsidRDefault="00A048B2" w:rsidP="00A048B2">
            <w:pPr>
              <w:jc w:val="right"/>
              <w:rPr>
                <w:rFonts w:cs="Arial"/>
                <w:sz w:val="18"/>
                <w:szCs w:val="18"/>
              </w:rPr>
            </w:pPr>
            <w:r>
              <w:rPr>
                <w:rFonts w:cs="Arial"/>
                <w:color w:val="000000"/>
                <w:sz w:val="18"/>
                <w:szCs w:val="18"/>
              </w:rPr>
              <w:t>-17.6</w:t>
            </w:r>
          </w:p>
        </w:tc>
        <w:tc>
          <w:tcPr>
            <w:tcW w:w="1329" w:type="dxa"/>
            <w:shd w:val="clear" w:color="auto" w:fill="DEEAF6" w:themeFill="accent5" w:themeFillTint="33"/>
            <w:vAlign w:val="center"/>
          </w:tcPr>
          <w:p w14:paraId="78199093" w14:textId="59B648F8" w:rsidR="00A048B2" w:rsidRPr="00FB4CC7" w:rsidRDefault="00A048B2" w:rsidP="00A048B2">
            <w:pPr>
              <w:ind w:right="32"/>
              <w:jc w:val="right"/>
              <w:rPr>
                <w:rFonts w:cs="Arial"/>
                <w:sz w:val="18"/>
                <w:szCs w:val="18"/>
              </w:rPr>
            </w:pPr>
            <w:r>
              <w:rPr>
                <w:rFonts w:cs="Arial"/>
                <w:color w:val="000000"/>
                <w:sz w:val="18"/>
                <w:szCs w:val="18"/>
              </w:rPr>
              <w:t>-17.2</w:t>
            </w:r>
          </w:p>
        </w:tc>
        <w:tc>
          <w:tcPr>
            <w:tcW w:w="1329" w:type="dxa"/>
            <w:shd w:val="clear" w:color="auto" w:fill="DEEAF6" w:themeFill="accent5" w:themeFillTint="33"/>
            <w:vAlign w:val="center"/>
          </w:tcPr>
          <w:p w14:paraId="07CC60D3" w14:textId="2727DE10" w:rsidR="00A048B2" w:rsidRPr="00FB4CC7" w:rsidRDefault="00A048B2" w:rsidP="00A048B2">
            <w:pPr>
              <w:jc w:val="right"/>
              <w:rPr>
                <w:rFonts w:cs="Arial"/>
                <w:sz w:val="18"/>
                <w:szCs w:val="18"/>
              </w:rPr>
            </w:pPr>
            <w:r>
              <w:rPr>
                <w:rFonts w:cs="Arial"/>
                <w:color w:val="000000"/>
                <w:sz w:val="18"/>
                <w:szCs w:val="18"/>
              </w:rPr>
              <w:t>-17.6</w:t>
            </w:r>
          </w:p>
        </w:tc>
      </w:tr>
      <w:tr w:rsidR="00A048B2" w:rsidRPr="00FB4CC7" w14:paraId="7506B71D" w14:textId="77777777" w:rsidTr="00D72C59">
        <w:trPr>
          <w:trHeight w:val="385"/>
        </w:trPr>
        <w:tc>
          <w:tcPr>
            <w:tcW w:w="2850" w:type="dxa"/>
          </w:tcPr>
          <w:p w14:paraId="0C94665A" w14:textId="77777777" w:rsidR="00A048B2" w:rsidRPr="00FB4CC7" w:rsidRDefault="00A048B2" w:rsidP="00A048B2">
            <w:pPr>
              <w:rPr>
                <w:rFonts w:eastAsia="Arial" w:cs="Arial"/>
                <w:bCs/>
                <w:sz w:val="18"/>
                <w:szCs w:val="18"/>
              </w:rPr>
            </w:pPr>
            <w:r w:rsidRPr="00FB4CC7">
              <w:rPr>
                <w:rFonts w:cs="Arial"/>
                <w:sz w:val="18"/>
                <w:szCs w:val="18"/>
              </w:rPr>
              <w:t>S.12. Sociedades financieras</w:t>
            </w:r>
          </w:p>
        </w:tc>
        <w:tc>
          <w:tcPr>
            <w:tcW w:w="1328" w:type="dxa"/>
            <w:vAlign w:val="center"/>
          </w:tcPr>
          <w:p w14:paraId="34274C09" w14:textId="7FADA6D3" w:rsidR="00A048B2" w:rsidRPr="00FB4CC7" w:rsidRDefault="00A048B2" w:rsidP="00A048B2">
            <w:pPr>
              <w:jc w:val="right"/>
              <w:rPr>
                <w:rFonts w:eastAsia="Arial" w:cs="Arial"/>
                <w:bCs/>
                <w:sz w:val="18"/>
                <w:szCs w:val="18"/>
              </w:rPr>
            </w:pPr>
            <w:r>
              <w:rPr>
                <w:rFonts w:cs="Arial"/>
                <w:color w:val="000000"/>
                <w:sz w:val="18"/>
                <w:szCs w:val="18"/>
              </w:rPr>
              <w:t>0.4</w:t>
            </w:r>
          </w:p>
        </w:tc>
        <w:tc>
          <w:tcPr>
            <w:tcW w:w="1329" w:type="dxa"/>
            <w:vAlign w:val="center"/>
          </w:tcPr>
          <w:p w14:paraId="629CB7BB" w14:textId="63BFC1B4" w:rsidR="00A048B2" w:rsidRPr="00FB4CC7" w:rsidRDefault="00A048B2" w:rsidP="00A048B2">
            <w:pPr>
              <w:ind w:right="40"/>
              <w:jc w:val="right"/>
              <w:rPr>
                <w:rFonts w:cs="Arial"/>
                <w:sz w:val="18"/>
                <w:szCs w:val="18"/>
              </w:rPr>
            </w:pPr>
            <w:r>
              <w:rPr>
                <w:rFonts w:cs="Arial"/>
                <w:color w:val="000000"/>
                <w:sz w:val="18"/>
                <w:szCs w:val="18"/>
              </w:rPr>
              <w:t>-0.2</w:t>
            </w:r>
          </w:p>
        </w:tc>
        <w:tc>
          <w:tcPr>
            <w:tcW w:w="1328" w:type="dxa"/>
            <w:vAlign w:val="center"/>
          </w:tcPr>
          <w:p w14:paraId="31415F32" w14:textId="483207D5" w:rsidR="00A048B2" w:rsidRPr="00FB4CC7" w:rsidRDefault="00A048B2" w:rsidP="00A048B2">
            <w:pPr>
              <w:jc w:val="right"/>
              <w:rPr>
                <w:rFonts w:cs="Arial"/>
                <w:sz w:val="18"/>
                <w:szCs w:val="18"/>
              </w:rPr>
            </w:pPr>
            <w:r>
              <w:rPr>
                <w:rFonts w:cs="Arial"/>
                <w:color w:val="000000"/>
                <w:sz w:val="18"/>
                <w:szCs w:val="18"/>
              </w:rPr>
              <w:t>-0.2</w:t>
            </w:r>
          </w:p>
        </w:tc>
        <w:tc>
          <w:tcPr>
            <w:tcW w:w="1329" w:type="dxa"/>
            <w:vAlign w:val="center"/>
          </w:tcPr>
          <w:p w14:paraId="33EDC7F9" w14:textId="77626201" w:rsidR="00A048B2" w:rsidRPr="00FB4CC7" w:rsidRDefault="00A048B2" w:rsidP="00A048B2">
            <w:pPr>
              <w:ind w:right="32"/>
              <w:jc w:val="right"/>
              <w:rPr>
                <w:rFonts w:cs="Arial"/>
                <w:sz w:val="18"/>
                <w:szCs w:val="18"/>
              </w:rPr>
            </w:pPr>
            <w:r>
              <w:rPr>
                <w:rFonts w:cs="Arial"/>
                <w:color w:val="000000"/>
                <w:sz w:val="18"/>
                <w:szCs w:val="18"/>
              </w:rPr>
              <w:t>0.0</w:t>
            </w:r>
          </w:p>
        </w:tc>
        <w:tc>
          <w:tcPr>
            <w:tcW w:w="1329" w:type="dxa"/>
            <w:vAlign w:val="center"/>
          </w:tcPr>
          <w:p w14:paraId="441D67E2" w14:textId="5D2F42FA" w:rsidR="00A048B2" w:rsidRPr="00FB4CC7" w:rsidRDefault="00A048B2" w:rsidP="00A048B2">
            <w:pPr>
              <w:jc w:val="right"/>
              <w:rPr>
                <w:rFonts w:cs="Arial"/>
                <w:sz w:val="18"/>
                <w:szCs w:val="18"/>
              </w:rPr>
            </w:pPr>
            <w:r>
              <w:rPr>
                <w:rFonts w:cs="Arial"/>
                <w:color w:val="000000"/>
                <w:sz w:val="18"/>
                <w:szCs w:val="18"/>
              </w:rPr>
              <w:t>1.2</w:t>
            </w:r>
          </w:p>
        </w:tc>
      </w:tr>
      <w:tr w:rsidR="00A048B2" w:rsidRPr="00FB4CC7" w14:paraId="51A95F44" w14:textId="77777777" w:rsidTr="00D72C59">
        <w:trPr>
          <w:trHeight w:val="385"/>
        </w:trPr>
        <w:tc>
          <w:tcPr>
            <w:tcW w:w="2850" w:type="dxa"/>
            <w:shd w:val="clear" w:color="auto" w:fill="DEEAF6" w:themeFill="accent5" w:themeFillTint="33"/>
          </w:tcPr>
          <w:p w14:paraId="1DABD1CB" w14:textId="77777777" w:rsidR="00A048B2" w:rsidRPr="00FB4CC7" w:rsidRDefault="00A048B2" w:rsidP="00A048B2">
            <w:pPr>
              <w:rPr>
                <w:rFonts w:eastAsia="Arial" w:cs="Arial"/>
                <w:bCs/>
                <w:sz w:val="18"/>
                <w:szCs w:val="18"/>
              </w:rPr>
            </w:pPr>
            <w:r w:rsidRPr="00FB4CC7">
              <w:rPr>
                <w:rFonts w:cs="Arial"/>
                <w:sz w:val="18"/>
                <w:szCs w:val="18"/>
              </w:rPr>
              <w:t>S.13. Gobierno general</w:t>
            </w:r>
          </w:p>
        </w:tc>
        <w:tc>
          <w:tcPr>
            <w:tcW w:w="1328" w:type="dxa"/>
            <w:shd w:val="clear" w:color="auto" w:fill="DEEAF6" w:themeFill="accent5" w:themeFillTint="33"/>
            <w:vAlign w:val="center"/>
          </w:tcPr>
          <w:p w14:paraId="639C0EC4" w14:textId="44A872F3" w:rsidR="00A048B2" w:rsidRPr="00FB4CC7" w:rsidRDefault="00A048B2" w:rsidP="00A048B2">
            <w:pPr>
              <w:jc w:val="right"/>
              <w:rPr>
                <w:rFonts w:eastAsia="Arial" w:cs="Arial"/>
                <w:bCs/>
                <w:sz w:val="18"/>
                <w:szCs w:val="18"/>
              </w:rPr>
            </w:pPr>
            <w:r>
              <w:rPr>
                <w:rFonts w:cs="Arial"/>
                <w:color w:val="000000"/>
                <w:sz w:val="18"/>
                <w:szCs w:val="18"/>
              </w:rPr>
              <w:t>-0.6</w:t>
            </w:r>
          </w:p>
        </w:tc>
        <w:tc>
          <w:tcPr>
            <w:tcW w:w="1329" w:type="dxa"/>
            <w:shd w:val="clear" w:color="auto" w:fill="DEEAF6" w:themeFill="accent5" w:themeFillTint="33"/>
            <w:vAlign w:val="center"/>
          </w:tcPr>
          <w:p w14:paraId="74EF73FB" w14:textId="1CBFDA7D" w:rsidR="00A048B2" w:rsidRPr="00FB4CC7" w:rsidRDefault="00A048B2" w:rsidP="00A048B2">
            <w:pPr>
              <w:ind w:right="40"/>
              <w:jc w:val="right"/>
              <w:rPr>
                <w:rFonts w:cs="Arial"/>
                <w:sz w:val="18"/>
                <w:szCs w:val="18"/>
              </w:rPr>
            </w:pPr>
            <w:r>
              <w:rPr>
                <w:rFonts w:cs="Arial"/>
                <w:color w:val="000000"/>
                <w:sz w:val="18"/>
                <w:szCs w:val="18"/>
              </w:rPr>
              <w:t>-0.6</w:t>
            </w:r>
          </w:p>
        </w:tc>
        <w:tc>
          <w:tcPr>
            <w:tcW w:w="1328" w:type="dxa"/>
            <w:shd w:val="clear" w:color="auto" w:fill="DEEAF6" w:themeFill="accent5" w:themeFillTint="33"/>
            <w:vAlign w:val="center"/>
          </w:tcPr>
          <w:p w14:paraId="21414AEA" w14:textId="7F8FD2F5" w:rsidR="00A048B2" w:rsidRPr="00FB4CC7" w:rsidRDefault="00A048B2" w:rsidP="00A048B2">
            <w:pPr>
              <w:jc w:val="right"/>
              <w:rPr>
                <w:rFonts w:cs="Arial"/>
                <w:sz w:val="18"/>
                <w:szCs w:val="18"/>
              </w:rPr>
            </w:pPr>
            <w:r>
              <w:rPr>
                <w:rFonts w:cs="Arial"/>
                <w:color w:val="000000"/>
                <w:sz w:val="18"/>
                <w:szCs w:val="18"/>
              </w:rPr>
              <w:t>-1.0</w:t>
            </w:r>
          </w:p>
        </w:tc>
        <w:tc>
          <w:tcPr>
            <w:tcW w:w="1329" w:type="dxa"/>
            <w:shd w:val="clear" w:color="auto" w:fill="DEEAF6" w:themeFill="accent5" w:themeFillTint="33"/>
            <w:vAlign w:val="center"/>
          </w:tcPr>
          <w:p w14:paraId="60E3A7AE" w14:textId="5FF0EF42" w:rsidR="00A048B2" w:rsidRPr="00FB4CC7" w:rsidRDefault="00A048B2" w:rsidP="00A048B2">
            <w:pPr>
              <w:ind w:right="32"/>
              <w:jc w:val="right"/>
              <w:rPr>
                <w:rFonts w:cs="Arial"/>
                <w:sz w:val="18"/>
                <w:szCs w:val="18"/>
              </w:rPr>
            </w:pPr>
            <w:r>
              <w:rPr>
                <w:rFonts w:cs="Arial"/>
                <w:color w:val="000000"/>
                <w:sz w:val="18"/>
                <w:szCs w:val="18"/>
              </w:rPr>
              <w:t>-1.0</w:t>
            </w:r>
          </w:p>
        </w:tc>
        <w:tc>
          <w:tcPr>
            <w:tcW w:w="1329" w:type="dxa"/>
            <w:shd w:val="clear" w:color="auto" w:fill="DEEAF6" w:themeFill="accent5" w:themeFillTint="33"/>
            <w:vAlign w:val="center"/>
          </w:tcPr>
          <w:p w14:paraId="18A4B2A7" w14:textId="5CF81B99" w:rsidR="00A048B2" w:rsidRPr="00FB4CC7" w:rsidRDefault="00A048B2" w:rsidP="00A048B2">
            <w:pPr>
              <w:jc w:val="right"/>
              <w:rPr>
                <w:rFonts w:cs="Arial"/>
                <w:sz w:val="18"/>
                <w:szCs w:val="18"/>
              </w:rPr>
            </w:pPr>
            <w:r>
              <w:rPr>
                <w:rFonts w:cs="Arial"/>
                <w:color w:val="000000"/>
                <w:sz w:val="18"/>
                <w:szCs w:val="18"/>
              </w:rPr>
              <w:t>-1.7</w:t>
            </w:r>
          </w:p>
        </w:tc>
      </w:tr>
      <w:tr w:rsidR="00A048B2" w:rsidRPr="00FB4CC7" w14:paraId="32CD4422" w14:textId="77777777" w:rsidTr="00D72C59">
        <w:trPr>
          <w:trHeight w:val="385"/>
        </w:trPr>
        <w:tc>
          <w:tcPr>
            <w:tcW w:w="2850" w:type="dxa"/>
          </w:tcPr>
          <w:p w14:paraId="69B893D6" w14:textId="77777777" w:rsidR="00A048B2" w:rsidRPr="00FB4CC7" w:rsidRDefault="00A048B2" w:rsidP="00A048B2">
            <w:pPr>
              <w:rPr>
                <w:rFonts w:eastAsia="Arial" w:cs="Arial"/>
                <w:bCs/>
                <w:sz w:val="18"/>
                <w:szCs w:val="18"/>
              </w:rPr>
            </w:pPr>
            <w:r w:rsidRPr="00FB4CC7">
              <w:rPr>
                <w:rFonts w:cs="Arial"/>
                <w:sz w:val="18"/>
                <w:szCs w:val="18"/>
              </w:rPr>
              <w:t>S.14. Hogares</w:t>
            </w:r>
          </w:p>
        </w:tc>
        <w:tc>
          <w:tcPr>
            <w:tcW w:w="1328" w:type="dxa"/>
            <w:vAlign w:val="center"/>
          </w:tcPr>
          <w:p w14:paraId="690C5FC4" w14:textId="191CFF7C" w:rsidR="00A048B2" w:rsidRPr="00FB4CC7" w:rsidRDefault="00A048B2" w:rsidP="00A048B2">
            <w:pPr>
              <w:jc w:val="right"/>
              <w:rPr>
                <w:rFonts w:eastAsia="Arial" w:cs="Arial"/>
                <w:bCs/>
                <w:sz w:val="18"/>
                <w:szCs w:val="18"/>
              </w:rPr>
            </w:pPr>
            <w:r>
              <w:rPr>
                <w:rFonts w:cs="Arial"/>
                <w:color w:val="000000"/>
                <w:sz w:val="18"/>
                <w:szCs w:val="18"/>
              </w:rPr>
              <w:t>16.0</w:t>
            </w:r>
          </w:p>
        </w:tc>
        <w:tc>
          <w:tcPr>
            <w:tcW w:w="1329" w:type="dxa"/>
            <w:vAlign w:val="center"/>
          </w:tcPr>
          <w:p w14:paraId="1AC2D90B" w14:textId="7A8BACFA" w:rsidR="00A048B2" w:rsidRPr="00FB4CC7" w:rsidRDefault="00A048B2" w:rsidP="00A048B2">
            <w:pPr>
              <w:ind w:right="40"/>
              <w:jc w:val="right"/>
              <w:rPr>
                <w:rFonts w:cs="Arial"/>
                <w:sz w:val="18"/>
                <w:szCs w:val="18"/>
              </w:rPr>
            </w:pPr>
            <w:r>
              <w:rPr>
                <w:rFonts w:cs="Arial"/>
                <w:color w:val="000000"/>
                <w:sz w:val="18"/>
                <w:szCs w:val="18"/>
              </w:rPr>
              <w:t>16.7</w:t>
            </w:r>
          </w:p>
        </w:tc>
        <w:tc>
          <w:tcPr>
            <w:tcW w:w="1328" w:type="dxa"/>
            <w:vAlign w:val="center"/>
          </w:tcPr>
          <w:p w14:paraId="400D319F" w14:textId="25930968" w:rsidR="00A048B2" w:rsidRPr="00FB4CC7" w:rsidRDefault="00A048B2" w:rsidP="00A048B2">
            <w:pPr>
              <w:jc w:val="right"/>
              <w:rPr>
                <w:rFonts w:cs="Arial"/>
                <w:sz w:val="18"/>
                <w:szCs w:val="18"/>
              </w:rPr>
            </w:pPr>
            <w:r>
              <w:rPr>
                <w:rFonts w:cs="Arial"/>
                <w:color w:val="000000"/>
                <w:sz w:val="18"/>
                <w:szCs w:val="18"/>
              </w:rPr>
              <w:t>16.9</w:t>
            </w:r>
          </w:p>
        </w:tc>
        <w:tc>
          <w:tcPr>
            <w:tcW w:w="1329" w:type="dxa"/>
            <w:vAlign w:val="center"/>
          </w:tcPr>
          <w:p w14:paraId="55356432" w14:textId="6EA8D05C" w:rsidR="00A048B2" w:rsidRPr="00FB4CC7" w:rsidRDefault="00A048B2" w:rsidP="00A048B2">
            <w:pPr>
              <w:ind w:right="32"/>
              <w:jc w:val="right"/>
              <w:rPr>
                <w:rFonts w:cs="Arial"/>
                <w:sz w:val="18"/>
                <w:szCs w:val="18"/>
              </w:rPr>
            </w:pPr>
            <w:r>
              <w:rPr>
                <w:rFonts w:cs="Arial"/>
                <w:color w:val="000000"/>
                <w:sz w:val="18"/>
                <w:szCs w:val="18"/>
              </w:rPr>
              <w:t>15.7</w:t>
            </w:r>
          </w:p>
        </w:tc>
        <w:tc>
          <w:tcPr>
            <w:tcW w:w="1329" w:type="dxa"/>
            <w:vAlign w:val="center"/>
          </w:tcPr>
          <w:p w14:paraId="7C51BE48" w14:textId="1DEBADAD" w:rsidR="00A048B2" w:rsidRPr="00FB4CC7" w:rsidRDefault="00A048B2" w:rsidP="00A048B2">
            <w:pPr>
              <w:jc w:val="right"/>
              <w:rPr>
                <w:rFonts w:cs="Arial"/>
                <w:sz w:val="18"/>
                <w:szCs w:val="18"/>
              </w:rPr>
            </w:pPr>
            <w:r>
              <w:rPr>
                <w:rFonts w:cs="Arial"/>
                <w:color w:val="000000"/>
                <w:sz w:val="18"/>
                <w:szCs w:val="18"/>
              </w:rPr>
              <w:t>13.8</w:t>
            </w:r>
          </w:p>
        </w:tc>
      </w:tr>
      <w:tr w:rsidR="00A048B2" w:rsidRPr="00FB4CC7" w14:paraId="45AA6B57" w14:textId="77777777" w:rsidTr="00D72C59">
        <w:trPr>
          <w:trHeight w:val="385"/>
        </w:trPr>
        <w:tc>
          <w:tcPr>
            <w:tcW w:w="2850" w:type="dxa"/>
            <w:shd w:val="clear" w:color="auto" w:fill="DEEAF6" w:themeFill="accent5" w:themeFillTint="33"/>
          </w:tcPr>
          <w:p w14:paraId="07BB90D7" w14:textId="3FB56452" w:rsidR="00A048B2" w:rsidRPr="00FB4CC7" w:rsidRDefault="00A048B2" w:rsidP="00A048B2">
            <w:pPr>
              <w:rPr>
                <w:rFonts w:eastAsia="Arial" w:cs="Arial"/>
                <w:bCs/>
                <w:sz w:val="18"/>
                <w:szCs w:val="18"/>
              </w:rPr>
            </w:pPr>
            <w:r w:rsidRPr="00FB4CC7">
              <w:rPr>
                <w:rFonts w:cs="Arial"/>
                <w:sz w:val="18"/>
                <w:szCs w:val="18"/>
              </w:rPr>
              <w:t>S.15. ISFLSH</w:t>
            </w:r>
            <w:r w:rsidR="00ED7AE3">
              <w:rPr>
                <w:rFonts w:cs="Arial"/>
                <w:sz w:val="18"/>
                <w:szCs w:val="18"/>
              </w:rPr>
              <w:t xml:space="preserve"> *</w:t>
            </w:r>
          </w:p>
        </w:tc>
        <w:tc>
          <w:tcPr>
            <w:tcW w:w="1328" w:type="dxa"/>
            <w:shd w:val="clear" w:color="auto" w:fill="DEEAF6" w:themeFill="accent5" w:themeFillTint="33"/>
            <w:vAlign w:val="center"/>
          </w:tcPr>
          <w:p w14:paraId="41B03C55" w14:textId="4529455D" w:rsidR="00A048B2" w:rsidRPr="00FB4CC7" w:rsidRDefault="00A048B2" w:rsidP="00A048B2">
            <w:pPr>
              <w:jc w:val="right"/>
              <w:rPr>
                <w:rFonts w:eastAsia="Arial" w:cs="Arial"/>
                <w:bCs/>
                <w:sz w:val="18"/>
                <w:szCs w:val="18"/>
              </w:rPr>
            </w:pPr>
            <w:r>
              <w:rPr>
                <w:rFonts w:cs="Arial"/>
                <w:color w:val="000000"/>
                <w:sz w:val="18"/>
                <w:szCs w:val="18"/>
              </w:rPr>
              <w:t>0.0</w:t>
            </w:r>
          </w:p>
        </w:tc>
        <w:tc>
          <w:tcPr>
            <w:tcW w:w="1329" w:type="dxa"/>
            <w:shd w:val="clear" w:color="auto" w:fill="DEEAF6" w:themeFill="accent5" w:themeFillTint="33"/>
            <w:vAlign w:val="center"/>
          </w:tcPr>
          <w:p w14:paraId="21075382" w14:textId="30DC9D77" w:rsidR="00A048B2" w:rsidRPr="00FB4CC7" w:rsidRDefault="00A048B2" w:rsidP="00A048B2">
            <w:pPr>
              <w:ind w:right="40"/>
              <w:jc w:val="right"/>
              <w:rPr>
                <w:rFonts w:cs="Arial"/>
                <w:sz w:val="18"/>
                <w:szCs w:val="18"/>
              </w:rPr>
            </w:pPr>
            <w:r>
              <w:rPr>
                <w:rFonts w:cs="Arial"/>
                <w:color w:val="000000"/>
                <w:sz w:val="18"/>
                <w:szCs w:val="18"/>
              </w:rPr>
              <w:t>0.0</w:t>
            </w:r>
          </w:p>
        </w:tc>
        <w:tc>
          <w:tcPr>
            <w:tcW w:w="1328" w:type="dxa"/>
            <w:shd w:val="clear" w:color="auto" w:fill="DEEAF6" w:themeFill="accent5" w:themeFillTint="33"/>
            <w:vAlign w:val="center"/>
          </w:tcPr>
          <w:p w14:paraId="311B78C5" w14:textId="6412D36A" w:rsidR="00A048B2" w:rsidRPr="00FB4CC7" w:rsidRDefault="00A048B2" w:rsidP="00A048B2">
            <w:pPr>
              <w:jc w:val="right"/>
              <w:rPr>
                <w:rFonts w:cs="Arial"/>
                <w:sz w:val="18"/>
                <w:szCs w:val="18"/>
              </w:rPr>
            </w:pPr>
            <w:r>
              <w:rPr>
                <w:rFonts w:cs="Arial"/>
                <w:color w:val="000000"/>
                <w:sz w:val="18"/>
                <w:szCs w:val="18"/>
              </w:rPr>
              <w:t>0.0</w:t>
            </w:r>
          </w:p>
        </w:tc>
        <w:tc>
          <w:tcPr>
            <w:tcW w:w="1329" w:type="dxa"/>
            <w:shd w:val="clear" w:color="auto" w:fill="DEEAF6" w:themeFill="accent5" w:themeFillTint="33"/>
            <w:vAlign w:val="center"/>
          </w:tcPr>
          <w:p w14:paraId="05F4EF8B" w14:textId="21EF31BE" w:rsidR="00A048B2" w:rsidRPr="00FB4CC7" w:rsidRDefault="00A048B2" w:rsidP="00A048B2">
            <w:pPr>
              <w:ind w:right="32"/>
              <w:jc w:val="right"/>
              <w:rPr>
                <w:rFonts w:cs="Arial"/>
                <w:sz w:val="18"/>
                <w:szCs w:val="18"/>
              </w:rPr>
            </w:pPr>
            <w:r>
              <w:rPr>
                <w:rFonts w:cs="Arial"/>
                <w:color w:val="000000"/>
                <w:sz w:val="18"/>
                <w:szCs w:val="18"/>
              </w:rPr>
              <w:t>0.0</w:t>
            </w:r>
          </w:p>
        </w:tc>
        <w:tc>
          <w:tcPr>
            <w:tcW w:w="1329" w:type="dxa"/>
            <w:shd w:val="clear" w:color="auto" w:fill="DEEAF6" w:themeFill="accent5" w:themeFillTint="33"/>
            <w:vAlign w:val="center"/>
          </w:tcPr>
          <w:p w14:paraId="20965009" w14:textId="62D65B4E" w:rsidR="00A048B2" w:rsidRPr="00FB4CC7" w:rsidRDefault="00A048B2" w:rsidP="00A048B2">
            <w:pPr>
              <w:jc w:val="right"/>
              <w:rPr>
                <w:rFonts w:cs="Arial"/>
                <w:sz w:val="18"/>
                <w:szCs w:val="18"/>
              </w:rPr>
            </w:pPr>
            <w:r>
              <w:rPr>
                <w:rFonts w:cs="Arial"/>
                <w:color w:val="000000"/>
                <w:sz w:val="18"/>
                <w:szCs w:val="18"/>
              </w:rPr>
              <w:t>0.0</w:t>
            </w:r>
          </w:p>
        </w:tc>
      </w:tr>
    </w:tbl>
    <w:p w14:paraId="09CCC28E" w14:textId="77777777" w:rsidR="00ED7AE3" w:rsidRDefault="00ED7AE3" w:rsidP="00ED7AE3">
      <w:pPr>
        <w:ind w:left="142"/>
        <w:rPr>
          <w:rFonts w:eastAsia="Arial" w:cs="Arial"/>
          <w:noProof/>
          <w:sz w:val="16"/>
          <w:szCs w:val="16"/>
          <w:lang w:val="es-MX" w:eastAsia="es-MX"/>
        </w:rPr>
      </w:pPr>
      <w:r>
        <w:rPr>
          <w:rFonts w:eastAsia="Arial" w:cs="Arial"/>
          <w:noProof/>
          <w:sz w:val="16"/>
          <w:szCs w:val="16"/>
          <w:lang w:val="es-MX" w:eastAsia="es-MX"/>
        </w:rPr>
        <w:t>* ISFLSH: Instituciones sin fines de lucro que sirven a los hogares</w:t>
      </w:r>
    </w:p>
    <w:p w14:paraId="301946D5" w14:textId="08C9582F" w:rsidR="00A4541D" w:rsidRDefault="006B760B" w:rsidP="00B305F9">
      <w:pPr>
        <w:ind w:left="142"/>
        <w:rPr>
          <w:rFonts w:eastAsia="Arial"/>
          <w:noProof/>
          <w:sz w:val="16"/>
          <w:szCs w:val="16"/>
          <w:lang w:val="es-MX" w:eastAsia="es-MX"/>
        </w:rPr>
      </w:pPr>
      <w:r w:rsidRPr="00A048B2">
        <w:rPr>
          <w:rFonts w:eastAsia="Arial"/>
          <w:noProof/>
          <w:sz w:val="16"/>
          <w:szCs w:val="16"/>
          <w:lang w:val="es-MX" w:eastAsia="es-MX"/>
        </w:rPr>
        <w:t>Fuente: INEGI</w:t>
      </w:r>
    </w:p>
    <w:p w14:paraId="2F48AAA3" w14:textId="77777777" w:rsidR="00B305F9" w:rsidRPr="00B305F9" w:rsidRDefault="00B305F9" w:rsidP="00B305F9">
      <w:pPr>
        <w:ind w:left="142"/>
        <w:rPr>
          <w:rFonts w:eastAsia="Arial"/>
          <w:bCs/>
          <w:sz w:val="16"/>
          <w:szCs w:val="16"/>
          <w:lang w:val="es-ES_tradnl"/>
        </w:rPr>
      </w:pPr>
    </w:p>
    <w:p w14:paraId="4E653BD5" w14:textId="77777777" w:rsidR="00ED7AE3" w:rsidRDefault="00ED7AE3" w:rsidP="00A42227">
      <w:pPr>
        <w:pStyle w:val="Textodebloque1"/>
        <w:spacing w:before="120"/>
        <w:ind w:left="0" w:right="0" w:firstLine="0"/>
        <w:rPr>
          <w:rFonts w:eastAsia="Arial" w:cs="Arial"/>
          <w:i/>
          <w:iCs/>
          <w:szCs w:val="22"/>
        </w:rPr>
      </w:pPr>
    </w:p>
    <w:p w14:paraId="6EF76D23" w14:textId="77777777" w:rsidR="00ED7AE3" w:rsidRDefault="00ED7AE3" w:rsidP="00A42227">
      <w:pPr>
        <w:pStyle w:val="Textodebloque1"/>
        <w:spacing w:before="120"/>
        <w:ind w:left="0" w:right="0" w:firstLine="0"/>
        <w:rPr>
          <w:rFonts w:eastAsia="Arial" w:cs="Arial"/>
          <w:i/>
          <w:iCs/>
          <w:szCs w:val="22"/>
        </w:rPr>
      </w:pPr>
    </w:p>
    <w:p w14:paraId="53A3A6DB" w14:textId="1CB53678" w:rsidR="00A42227" w:rsidRDefault="00A42227" w:rsidP="00A42227">
      <w:pPr>
        <w:pStyle w:val="Textodebloque1"/>
        <w:spacing w:before="120"/>
        <w:ind w:left="0" w:right="0" w:firstLine="0"/>
        <w:rPr>
          <w:rFonts w:eastAsia="Arial" w:cs="Arial"/>
          <w:b w:val="0"/>
          <w:bCs/>
          <w:sz w:val="24"/>
          <w:szCs w:val="24"/>
        </w:rPr>
      </w:pPr>
      <w:r>
        <w:rPr>
          <w:rFonts w:eastAsia="Arial" w:cs="Arial"/>
          <w:i/>
          <w:iCs/>
          <w:szCs w:val="22"/>
        </w:rPr>
        <w:t>Inversión</w:t>
      </w:r>
    </w:p>
    <w:p w14:paraId="2D870026" w14:textId="267E107A" w:rsidR="00D72C59" w:rsidRDefault="00A42227" w:rsidP="00A42227">
      <w:pPr>
        <w:pStyle w:val="Textodebloque1"/>
        <w:spacing w:before="120"/>
        <w:ind w:left="0" w:right="0" w:firstLine="0"/>
        <w:rPr>
          <w:rFonts w:eastAsia="Arial" w:cs="Arial"/>
          <w:b w:val="0"/>
          <w:bCs/>
          <w:sz w:val="24"/>
          <w:szCs w:val="24"/>
        </w:rPr>
      </w:pPr>
      <w:r w:rsidRPr="00C85C7C">
        <w:rPr>
          <w:rFonts w:eastAsia="Arial" w:cs="Arial"/>
          <w:b w:val="0"/>
          <w:bCs/>
          <w:sz w:val="24"/>
          <w:szCs w:val="24"/>
        </w:rPr>
        <w:t xml:space="preserve">En </w:t>
      </w:r>
      <w:r>
        <w:rPr>
          <w:rFonts w:eastAsia="Arial" w:cs="Arial"/>
          <w:b w:val="0"/>
          <w:bCs/>
          <w:sz w:val="24"/>
          <w:szCs w:val="24"/>
        </w:rPr>
        <w:t>el primer trimestre de 2020</w:t>
      </w:r>
      <w:r w:rsidRPr="00C85C7C">
        <w:rPr>
          <w:rFonts w:eastAsia="Arial" w:cs="Arial"/>
          <w:b w:val="0"/>
          <w:bCs/>
          <w:sz w:val="24"/>
          <w:szCs w:val="24"/>
        </w:rPr>
        <w:t xml:space="preserve">, para financiar sus gastos en Activos no </w:t>
      </w:r>
      <w:r w:rsidR="00A52544">
        <w:rPr>
          <w:rFonts w:eastAsia="Arial" w:cs="Arial"/>
          <w:b w:val="0"/>
          <w:bCs/>
          <w:sz w:val="24"/>
          <w:szCs w:val="24"/>
        </w:rPr>
        <w:t>f</w:t>
      </w:r>
      <w:r w:rsidRPr="00C85C7C">
        <w:rPr>
          <w:rFonts w:eastAsia="Arial" w:cs="Arial"/>
          <w:b w:val="0"/>
          <w:bCs/>
          <w:sz w:val="24"/>
          <w:szCs w:val="24"/>
        </w:rPr>
        <w:t>inancieros, las Sociedades no financieras recurrieron a recursos netos adicionales equivalentes al 7.</w:t>
      </w:r>
      <w:r>
        <w:rPr>
          <w:rFonts w:eastAsia="Arial" w:cs="Arial"/>
          <w:b w:val="0"/>
          <w:bCs/>
          <w:sz w:val="24"/>
          <w:szCs w:val="24"/>
        </w:rPr>
        <w:t>1</w:t>
      </w:r>
      <w:r w:rsidRPr="00C85C7C">
        <w:rPr>
          <w:rFonts w:eastAsia="Arial" w:cs="Arial"/>
          <w:b w:val="0"/>
          <w:bCs/>
          <w:sz w:val="24"/>
          <w:szCs w:val="24"/>
        </w:rPr>
        <w:t xml:space="preserve">% del PIB, en tanto que el Gobierno general reportó necesidades de financiamiento equivalentes al </w:t>
      </w:r>
      <w:r>
        <w:rPr>
          <w:rFonts w:eastAsia="Arial" w:cs="Arial"/>
          <w:b w:val="0"/>
          <w:bCs/>
          <w:sz w:val="24"/>
          <w:szCs w:val="24"/>
        </w:rPr>
        <w:t>2.1</w:t>
      </w:r>
      <w:r w:rsidRPr="00C85C7C">
        <w:rPr>
          <w:rFonts w:eastAsia="Arial" w:cs="Arial"/>
          <w:b w:val="0"/>
          <w:bCs/>
          <w:sz w:val="24"/>
          <w:szCs w:val="24"/>
        </w:rPr>
        <w:t xml:space="preserve"> por ciento. </w:t>
      </w:r>
    </w:p>
    <w:p w14:paraId="21B5A6DB" w14:textId="42F4C08B" w:rsidR="00A42227" w:rsidRDefault="00A42227" w:rsidP="00A42227">
      <w:pPr>
        <w:pStyle w:val="Textodebloque1"/>
        <w:spacing w:before="120"/>
        <w:ind w:left="0" w:right="0" w:firstLine="0"/>
        <w:rPr>
          <w:rFonts w:eastAsia="Arial" w:cs="Arial"/>
          <w:b w:val="0"/>
          <w:bCs/>
          <w:sz w:val="24"/>
          <w:szCs w:val="24"/>
        </w:rPr>
      </w:pPr>
      <w:r w:rsidRPr="00C85C7C">
        <w:rPr>
          <w:rFonts w:eastAsia="Arial" w:cs="Arial"/>
          <w:b w:val="0"/>
          <w:bCs/>
          <w:sz w:val="24"/>
          <w:szCs w:val="24"/>
        </w:rPr>
        <w:t xml:space="preserve">Las Sociedades financieras, cumpliendo su función de oferentes de recursos para el financiamiento de la actividad productiva, proporcionaron recursos netos equivalentes al </w:t>
      </w:r>
      <w:r>
        <w:rPr>
          <w:rFonts w:eastAsia="Arial" w:cs="Arial"/>
          <w:b w:val="0"/>
          <w:bCs/>
          <w:sz w:val="24"/>
          <w:szCs w:val="24"/>
        </w:rPr>
        <w:t>5.8</w:t>
      </w:r>
      <w:r w:rsidR="00ED7AE3">
        <w:rPr>
          <w:rFonts w:eastAsia="Arial" w:cs="Arial"/>
          <w:b w:val="0"/>
          <w:bCs/>
          <w:sz w:val="24"/>
          <w:szCs w:val="24"/>
        </w:rPr>
        <w:t xml:space="preserve"> por ciento</w:t>
      </w:r>
      <w:r w:rsidR="00A34485">
        <w:rPr>
          <w:rFonts w:eastAsia="Arial" w:cs="Arial"/>
          <w:b w:val="0"/>
          <w:bCs/>
          <w:sz w:val="24"/>
          <w:szCs w:val="24"/>
        </w:rPr>
        <w:t>. P</w:t>
      </w:r>
      <w:r w:rsidRPr="00C85C7C">
        <w:rPr>
          <w:rFonts w:eastAsia="Arial" w:cs="Arial"/>
          <w:b w:val="0"/>
          <w:bCs/>
          <w:sz w:val="24"/>
          <w:szCs w:val="24"/>
        </w:rPr>
        <w:t>or su parte, los Hogares realizaron gastos en activos no financieros por un monto menor a sus ahorros por 1</w:t>
      </w:r>
      <w:r>
        <w:rPr>
          <w:rFonts w:eastAsia="Arial" w:cs="Arial"/>
          <w:b w:val="0"/>
          <w:bCs/>
          <w:sz w:val="24"/>
          <w:szCs w:val="24"/>
        </w:rPr>
        <w:t>.8</w:t>
      </w:r>
      <w:r w:rsidRPr="00C85C7C">
        <w:rPr>
          <w:rFonts w:eastAsia="Arial" w:cs="Arial"/>
          <w:b w:val="0"/>
          <w:bCs/>
          <w:sz w:val="24"/>
          <w:szCs w:val="24"/>
        </w:rPr>
        <w:t xml:space="preserve">% (es decir fueron prestamistas netos) y las ISFLSH reportaron préstamos netos por </w:t>
      </w:r>
      <w:r>
        <w:rPr>
          <w:rFonts w:eastAsia="Arial" w:cs="Arial"/>
          <w:b w:val="0"/>
          <w:bCs/>
          <w:sz w:val="24"/>
          <w:szCs w:val="24"/>
        </w:rPr>
        <w:t>1.6</w:t>
      </w:r>
      <w:r w:rsidRPr="00C85C7C">
        <w:rPr>
          <w:rFonts w:eastAsia="Arial" w:cs="Arial"/>
          <w:b w:val="0"/>
          <w:bCs/>
          <w:sz w:val="24"/>
          <w:szCs w:val="24"/>
        </w:rPr>
        <w:t xml:space="preserve">%, todo ello </w:t>
      </w:r>
      <w:r w:rsidR="00ED7AE3">
        <w:rPr>
          <w:rFonts w:eastAsia="Arial" w:cs="Arial"/>
          <w:b w:val="0"/>
          <w:bCs/>
          <w:sz w:val="24"/>
          <w:szCs w:val="24"/>
        </w:rPr>
        <w:t>como porcentaje</w:t>
      </w:r>
      <w:r w:rsidRPr="00C85C7C">
        <w:rPr>
          <w:rFonts w:eastAsia="Arial" w:cs="Arial"/>
          <w:b w:val="0"/>
          <w:bCs/>
          <w:sz w:val="24"/>
          <w:szCs w:val="24"/>
        </w:rPr>
        <w:t xml:space="preserve"> del PIB.</w:t>
      </w:r>
    </w:p>
    <w:p w14:paraId="2E5E4F24" w14:textId="38B3DA47" w:rsidR="00706AEC" w:rsidRDefault="00706AEC">
      <w:pPr>
        <w:spacing w:after="160" w:line="259" w:lineRule="auto"/>
        <w:rPr>
          <w:rFonts w:eastAsia="Arial" w:cs="Arial"/>
          <w:bCs/>
          <w:lang w:val="es-ES_tradnl"/>
        </w:rPr>
      </w:pPr>
      <w:r>
        <w:rPr>
          <w:rFonts w:eastAsia="Arial" w:cs="Arial"/>
          <w:b/>
          <w:bCs/>
        </w:rPr>
        <w:lastRenderedPageBreak/>
        <w:br w:type="page"/>
      </w:r>
    </w:p>
    <w:p w14:paraId="66C9A537" w14:textId="77777777" w:rsidR="00B305F9" w:rsidRDefault="00B305F9" w:rsidP="00A42227">
      <w:pPr>
        <w:pStyle w:val="Textodebloque1"/>
        <w:spacing w:before="120"/>
        <w:ind w:left="0" w:right="0" w:firstLine="0"/>
        <w:rPr>
          <w:rFonts w:eastAsia="Arial" w:cs="Arial"/>
          <w:b w:val="0"/>
          <w:bCs/>
          <w:sz w:val="24"/>
          <w:szCs w:val="24"/>
        </w:rPr>
      </w:pPr>
    </w:p>
    <w:p w14:paraId="31AEB1D1" w14:textId="77777777" w:rsidR="00A42227" w:rsidRPr="009C10E1" w:rsidRDefault="00A42227" w:rsidP="00A42227">
      <w:pPr>
        <w:pStyle w:val="Textodebloque1"/>
        <w:spacing w:before="120"/>
        <w:ind w:left="567" w:right="0" w:firstLine="0"/>
        <w:jc w:val="center"/>
        <w:rPr>
          <w:rFonts w:eastAsia="Arial" w:cs="Arial"/>
          <w:b w:val="0"/>
          <w:sz w:val="20"/>
        </w:rPr>
      </w:pPr>
      <w:r w:rsidRPr="009C10E1">
        <w:rPr>
          <w:rFonts w:eastAsia="Arial" w:cs="Arial"/>
          <w:b w:val="0"/>
          <w:sz w:val="20"/>
        </w:rPr>
        <w:t xml:space="preserve">Cuadro </w:t>
      </w:r>
      <w:r>
        <w:rPr>
          <w:rFonts w:eastAsia="Arial" w:cs="Arial"/>
          <w:b w:val="0"/>
          <w:sz w:val="20"/>
        </w:rPr>
        <w:t>6</w:t>
      </w:r>
    </w:p>
    <w:p w14:paraId="15E85D32" w14:textId="77777777" w:rsidR="00A42227" w:rsidRPr="009C10E1" w:rsidRDefault="00A42227" w:rsidP="00A42227">
      <w:pPr>
        <w:pStyle w:val="Textodebloque1"/>
        <w:spacing w:before="0"/>
        <w:ind w:left="0" w:right="0" w:firstLine="0"/>
        <w:jc w:val="center"/>
        <w:rPr>
          <w:rFonts w:eastAsia="Arial" w:cs="Arial"/>
          <w:bCs/>
          <w:szCs w:val="22"/>
        </w:rPr>
      </w:pPr>
      <w:r w:rsidRPr="009C10E1">
        <w:rPr>
          <w:rFonts w:eastAsia="Arial" w:cs="Arial"/>
          <w:bCs/>
          <w:szCs w:val="22"/>
        </w:rPr>
        <w:t>FINANCIAMIENTO DE LA INVERSIÓN</w:t>
      </w:r>
      <w:r>
        <w:rPr>
          <w:rFonts w:eastAsia="Arial" w:cs="Arial"/>
          <w:bCs/>
          <w:szCs w:val="22"/>
        </w:rPr>
        <w:t xml:space="preserve"> AL PRIMER TRIMESTRE DE</w:t>
      </w:r>
      <w:r w:rsidRPr="009C10E1">
        <w:rPr>
          <w:rFonts w:eastAsia="Arial" w:cs="Arial"/>
          <w:bCs/>
          <w:szCs w:val="22"/>
        </w:rPr>
        <w:t xml:space="preserve"> 2020</w:t>
      </w:r>
    </w:p>
    <w:p w14:paraId="0E4BF878" w14:textId="77777777" w:rsidR="00A42227" w:rsidRDefault="00A42227" w:rsidP="00A42227">
      <w:pPr>
        <w:pStyle w:val="Textodebloque1"/>
        <w:spacing w:before="0"/>
        <w:ind w:left="0" w:right="0" w:firstLine="0"/>
        <w:jc w:val="center"/>
        <w:rPr>
          <w:rFonts w:eastAsia="Arial" w:cs="Arial"/>
          <w:b w:val="0"/>
          <w:bCs/>
          <w:sz w:val="20"/>
        </w:rPr>
      </w:pPr>
      <w:r w:rsidRPr="001A6CA7">
        <w:rPr>
          <w:rFonts w:eastAsia="Arial" w:cs="Arial"/>
          <w:b w:val="0"/>
          <w:bCs/>
          <w:sz w:val="20"/>
        </w:rPr>
        <w:t>(Participación porcentual respecto al PIB)</w:t>
      </w:r>
    </w:p>
    <w:tbl>
      <w:tblPr>
        <w:tblStyle w:val="Tablaconcuadrcula"/>
        <w:tblW w:w="9493" w:type="dxa"/>
        <w:tblLayout w:type="fixed"/>
        <w:tblLook w:val="04A0" w:firstRow="1" w:lastRow="0" w:firstColumn="1" w:lastColumn="0" w:noHBand="0" w:noVBand="1"/>
      </w:tblPr>
      <w:tblGrid>
        <w:gridCol w:w="2263"/>
        <w:gridCol w:w="1134"/>
        <w:gridCol w:w="1134"/>
        <w:gridCol w:w="851"/>
        <w:gridCol w:w="850"/>
        <w:gridCol w:w="851"/>
        <w:gridCol w:w="992"/>
        <w:gridCol w:w="709"/>
        <w:gridCol w:w="709"/>
      </w:tblGrid>
      <w:tr w:rsidR="00A42227" w:rsidRPr="00D72C59" w14:paraId="0D5482DB" w14:textId="77777777" w:rsidTr="00AF1F43">
        <w:trPr>
          <w:trHeight w:val="764"/>
        </w:trPr>
        <w:tc>
          <w:tcPr>
            <w:tcW w:w="2263" w:type="dxa"/>
            <w:tcBorders>
              <w:right w:val="single" w:sz="4" w:space="0" w:color="000000" w:themeColor="text1"/>
            </w:tcBorders>
            <w:shd w:val="clear" w:color="auto" w:fill="DEEAF6" w:themeFill="accent5" w:themeFillTint="33"/>
            <w:vAlign w:val="center"/>
          </w:tcPr>
          <w:p w14:paraId="1387DB01" w14:textId="77777777" w:rsidR="00A42227" w:rsidRPr="00D72C59" w:rsidRDefault="00A42227" w:rsidP="009557D1">
            <w:pPr>
              <w:jc w:val="center"/>
              <w:rPr>
                <w:rFonts w:eastAsia="Arial" w:cs="Arial"/>
                <w:sz w:val="14"/>
                <w:szCs w:val="14"/>
              </w:rPr>
            </w:pPr>
            <w:r w:rsidRPr="00D72C59">
              <w:rPr>
                <w:rFonts w:cs="Arial"/>
                <w:sz w:val="14"/>
                <w:szCs w:val="14"/>
              </w:rPr>
              <w:t>Concepto</w:t>
            </w:r>
          </w:p>
        </w:tc>
        <w:tc>
          <w:tcPr>
            <w:tcW w:w="1134" w:type="dxa"/>
            <w:tcBorders>
              <w:left w:val="single" w:sz="4" w:space="0" w:color="000000" w:themeColor="text1"/>
            </w:tcBorders>
            <w:shd w:val="clear" w:color="auto" w:fill="DEEAF6" w:themeFill="accent5" w:themeFillTint="33"/>
            <w:vAlign w:val="center"/>
          </w:tcPr>
          <w:p w14:paraId="5DE96CCF" w14:textId="092B0D56" w:rsidR="00A42227" w:rsidRPr="00D72C59" w:rsidRDefault="00A42227" w:rsidP="009557D1">
            <w:pPr>
              <w:jc w:val="center"/>
              <w:rPr>
                <w:rFonts w:eastAsia="Arial" w:cs="Arial"/>
                <w:sz w:val="14"/>
                <w:szCs w:val="14"/>
              </w:rPr>
            </w:pPr>
            <w:r w:rsidRPr="00D72C59">
              <w:rPr>
                <w:rFonts w:cs="Arial"/>
                <w:sz w:val="14"/>
                <w:szCs w:val="14"/>
              </w:rPr>
              <w:t>S.11 Sociedades no financieras</w:t>
            </w:r>
          </w:p>
        </w:tc>
        <w:tc>
          <w:tcPr>
            <w:tcW w:w="1134" w:type="dxa"/>
            <w:tcBorders>
              <w:left w:val="single" w:sz="4" w:space="0" w:color="000000" w:themeColor="text1"/>
            </w:tcBorders>
            <w:shd w:val="clear" w:color="auto" w:fill="DEEAF6" w:themeFill="accent5" w:themeFillTint="33"/>
            <w:vAlign w:val="center"/>
          </w:tcPr>
          <w:p w14:paraId="5F002AEC" w14:textId="53AB44A1" w:rsidR="00A42227" w:rsidRPr="00D72C59" w:rsidRDefault="00A42227" w:rsidP="009557D1">
            <w:pPr>
              <w:jc w:val="center"/>
              <w:rPr>
                <w:rFonts w:eastAsia="Arial" w:cs="Arial"/>
                <w:sz w:val="14"/>
                <w:szCs w:val="14"/>
              </w:rPr>
            </w:pPr>
            <w:r w:rsidRPr="00D72C59">
              <w:rPr>
                <w:rFonts w:cs="Arial"/>
                <w:sz w:val="14"/>
                <w:szCs w:val="14"/>
              </w:rPr>
              <w:t>S.12 Sociedades financieras</w:t>
            </w:r>
          </w:p>
        </w:tc>
        <w:tc>
          <w:tcPr>
            <w:tcW w:w="851" w:type="dxa"/>
            <w:tcBorders>
              <w:left w:val="single" w:sz="4" w:space="0" w:color="000000" w:themeColor="text1"/>
            </w:tcBorders>
            <w:shd w:val="clear" w:color="auto" w:fill="DEEAF6" w:themeFill="accent5" w:themeFillTint="33"/>
            <w:vAlign w:val="center"/>
          </w:tcPr>
          <w:p w14:paraId="247B84E4" w14:textId="6C74AAA7" w:rsidR="00A42227" w:rsidRPr="00D72C59" w:rsidRDefault="00A42227" w:rsidP="009557D1">
            <w:pPr>
              <w:jc w:val="center"/>
              <w:rPr>
                <w:rFonts w:eastAsia="Arial" w:cs="Arial"/>
                <w:sz w:val="14"/>
                <w:szCs w:val="14"/>
              </w:rPr>
            </w:pPr>
            <w:r w:rsidRPr="00D72C59">
              <w:rPr>
                <w:rFonts w:cs="Arial"/>
                <w:sz w:val="14"/>
                <w:szCs w:val="14"/>
              </w:rPr>
              <w:t>S.13 Gobierno general</w:t>
            </w:r>
          </w:p>
        </w:tc>
        <w:tc>
          <w:tcPr>
            <w:tcW w:w="850" w:type="dxa"/>
            <w:tcBorders>
              <w:left w:val="single" w:sz="4" w:space="0" w:color="000000" w:themeColor="text1"/>
            </w:tcBorders>
            <w:shd w:val="clear" w:color="auto" w:fill="DEEAF6" w:themeFill="accent5" w:themeFillTint="33"/>
            <w:vAlign w:val="center"/>
          </w:tcPr>
          <w:p w14:paraId="31A5DA8C" w14:textId="52C3C486" w:rsidR="00A42227" w:rsidRPr="00D72C59" w:rsidRDefault="00A42227" w:rsidP="009557D1">
            <w:pPr>
              <w:jc w:val="center"/>
              <w:rPr>
                <w:rFonts w:eastAsia="Arial" w:cs="Arial"/>
                <w:sz w:val="14"/>
                <w:szCs w:val="14"/>
              </w:rPr>
            </w:pPr>
            <w:r w:rsidRPr="00D72C59">
              <w:rPr>
                <w:rFonts w:cs="Arial"/>
                <w:sz w:val="14"/>
                <w:szCs w:val="14"/>
              </w:rPr>
              <w:t>S.14 Hogares</w:t>
            </w:r>
          </w:p>
        </w:tc>
        <w:tc>
          <w:tcPr>
            <w:tcW w:w="851" w:type="dxa"/>
            <w:tcBorders>
              <w:left w:val="single" w:sz="4" w:space="0" w:color="000000" w:themeColor="text1"/>
            </w:tcBorders>
            <w:shd w:val="clear" w:color="auto" w:fill="DEEAF6" w:themeFill="accent5" w:themeFillTint="33"/>
            <w:vAlign w:val="center"/>
          </w:tcPr>
          <w:p w14:paraId="42BDFDC8" w14:textId="3B572C43" w:rsidR="00A42227" w:rsidRPr="00D72C59" w:rsidRDefault="00A42227" w:rsidP="009557D1">
            <w:pPr>
              <w:jc w:val="center"/>
              <w:rPr>
                <w:rFonts w:eastAsia="Arial" w:cs="Arial"/>
                <w:sz w:val="14"/>
                <w:szCs w:val="14"/>
              </w:rPr>
            </w:pPr>
            <w:r w:rsidRPr="00D72C59">
              <w:rPr>
                <w:rFonts w:cs="Arial"/>
                <w:sz w:val="14"/>
                <w:szCs w:val="14"/>
              </w:rPr>
              <w:t>S.15 ISFLSH</w:t>
            </w:r>
          </w:p>
        </w:tc>
        <w:tc>
          <w:tcPr>
            <w:tcW w:w="992" w:type="dxa"/>
            <w:tcBorders>
              <w:left w:val="single" w:sz="4" w:space="0" w:color="000000" w:themeColor="text1"/>
            </w:tcBorders>
            <w:shd w:val="clear" w:color="auto" w:fill="DEEAF6" w:themeFill="accent5" w:themeFillTint="33"/>
            <w:vAlign w:val="center"/>
          </w:tcPr>
          <w:p w14:paraId="0DBDC218" w14:textId="1A49C92E" w:rsidR="00A42227" w:rsidRPr="00D72C59" w:rsidRDefault="00A42227" w:rsidP="009557D1">
            <w:pPr>
              <w:jc w:val="center"/>
              <w:rPr>
                <w:rFonts w:eastAsia="Arial" w:cs="Arial"/>
                <w:sz w:val="14"/>
                <w:szCs w:val="14"/>
              </w:rPr>
            </w:pPr>
            <w:r w:rsidRPr="00D72C59">
              <w:rPr>
                <w:rFonts w:cs="Arial"/>
                <w:sz w:val="14"/>
                <w:szCs w:val="14"/>
              </w:rPr>
              <w:t>S1 Economía interna</w:t>
            </w:r>
          </w:p>
        </w:tc>
        <w:tc>
          <w:tcPr>
            <w:tcW w:w="709" w:type="dxa"/>
            <w:tcBorders>
              <w:left w:val="single" w:sz="4" w:space="0" w:color="000000" w:themeColor="text1"/>
            </w:tcBorders>
            <w:shd w:val="clear" w:color="auto" w:fill="DEEAF6" w:themeFill="accent5" w:themeFillTint="33"/>
            <w:vAlign w:val="center"/>
          </w:tcPr>
          <w:p w14:paraId="43CBBD6E" w14:textId="77777777" w:rsidR="00A42227" w:rsidRPr="00D72C59" w:rsidRDefault="00A42227" w:rsidP="009557D1">
            <w:pPr>
              <w:jc w:val="center"/>
              <w:rPr>
                <w:rFonts w:eastAsia="Arial" w:cs="Arial"/>
                <w:sz w:val="14"/>
                <w:szCs w:val="14"/>
              </w:rPr>
            </w:pPr>
            <w:r w:rsidRPr="00D72C59">
              <w:rPr>
                <w:rFonts w:eastAsia="Arial" w:cs="Arial"/>
                <w:sz w:val="14"/>
                <w:szCs w:val="14"/>
              </w:rPr>
              <w:t>S.2</w:t>
            </w:r>
          </w:p>
          <w:p w14:paraId="7A2EECF7" w14:textId="77777777" w:rsidR="00A42227" w:rsidRPr="00D72C59" w:rsidRDefault="00A42227" w:rsidP="009557D1">
            <w:pPr>
              <w:jc w:val="center"/>
              <w:rPr>
                <w:rFonts w:eastAsia="Arial" w:cs="Arial"/>
                <w:sz w:val="14"/>
                <w:szCs w:val="14"/>
              </w:rPr>
            </w:pPr>
            <w:r w:rsidRPr="00D72C59">
              <w:rPr>
                <w:rFonts w:eastAsia="Arial" w:cs="Arial"/>
                <w:sz w:val="14"/>
                <w:szCs w:val="14"/>
              </w:rPr>
              <w:t>Resto del Mundo</w:t>
            </w:r>
          </w:p>
        </w:tc>
        <w:tc>
          <w:tcPr>
            <w:tcW w:w="709" w:type="dxa"/>
            <w:tcBorders>
              <w:left w:val="single" w:sz="4" w:space="0" w:color="000000" w:themeColor="text1"/>
            </w:tcBorders>
            <w:shd w:val="clear" w:color="auto" w:fill="DEEAF6" w:themeFill="accent5" w:themeFillTint="33"/>
            <w:vAlign w:val="center"/>
          </w:tcPr>
          <w:p w14:paraId="7545AEEC" w14:textId="77777777" w:rsidR="00A42227" w:rsidRPr="00D72C59" w:rsidRDefault="00A42227" w:rsidP="009557D1">
            <w:pPr>
              <w:jc w:val="center"/>
              <w:rPr>
                <w:rFonts w:eastAsia="Arial" w:cs="Arial"/>
                <w:sz w:val="14"/>
                <w:szCs w:val="14"/>
              </w:rPr>
            </w:pPr>
            <w:r w:rsidRPr="00D72C59">
              <w:rPr>
                <w:rFonts w:eastAsia="Arial" w:cs="Arial"/>
                <w:sz w:val="14"/>
                <w:szCs w:val="14"/>
              </w:rPr>
              <w:t>Total</w:t>
            </w:r>
          </w:p>
        </w:tc>
      </w:tr>
      <w:tr w:rsidR="00A42227" w:rsidRPr="00D72C59" w14:paraId="17D1751D" w14:textId="77777777" w:rsidTr="00A038EA">
        <w:trPr>
          <w:trHeight w:val="254"/>
        </w:trPr>
        <w:tc>
          <w:tcPr>
            <w:tcW w:w="9493" w:type="dxa"/>
            <w:gridSpan w:val="9"/>
            <w:shd w:val="clear" w:color="auto" w:fill="2E74B5" w:themeFill="accent5" w:themeFillShade="BF"/>
            <w:vAlign w:val="center"/>
          </w:tcPr>
          <w:p w14:paraId="7E2CCD6B" w14:textId="77777777" w:rsidR="00A42227" w:rsidRPr="00D72C59" w:rsidRDefault="00A42227" w:rsidP="00A038EA">
            <w:pPr>
              <w:ind w:left="316" w:right="115"/>
              <w:rPr>
                <w:rFonts w:cs="Arial"/>
                <w:color w:val="FFFFFF" w:themeColor="background1"/>
                <w:sz w:val="14"/>
                <w:szCs w:val="14"/>
              </w:rPr>
            </w:pPr>
            <w:r w:rsidRPr="00D72C59">
              <w:rPr>
                <w:rFonts w:eastAsia="Arial" w:cs="Arial"/>
                <w:b/>
                <w:color w:val="FFFFFF" w:themeColor="background1"/>
                <w:sz w:val="14"/>
                <w:szCs w:val="14"/>
              </w:rPr>
              <w:t>Recursos</w:t>
            </w:r>
          </w:p>
        </w:tc>
      </w:tr>
      <w:tr w:rsidR="00A42227" w:rsidRPr="00D72C59" w14:paraId="20F6F7E4" w14:textId="77777777" w:rsidTr="00AF1F43">
        <w:trPr>
          <w:trHeight w:val="141"/>
        </w:trPr>
        <w:tc>
          <w:tcPr>
            <w:tcW w:w="2263" w:type="dxa"/>
            <w:shd w:val="clear" w:color="auto" w:fill="DEEAF6" w:themeFill="accent5" w:themeFillTint="33"/>
          </w:tcPr>
          <w:p w14:paraId="59869B19" w14:textId="77777777" w:rsidR="00A42227" w:rsidRPr="00D72C59" w:rsidRDefault="00A42227" w:rsidP="009557D1">
            <w:pPr>
              <w:ind w:left="316" w:hanging="316"/>
              <w:rPr>
                <w:rFonts w:eastAsia="Arial" w:cs="Arial"/>
                <w:bCs/>
                <w:sz w:val="14"/>
                <w:szCs w:val="14"/>
              </w:rPr>
            </w:pPr>
            <w:r w:rsidRPr="00D72C59">
              <w:rPr>
                <w:rFonts w:cs="Arial"/>
                <w:sz w:val="14"/>
                <w:szCs w:val="14"/>
              </w:rPr>
              <w:t xml:space="preserve">(1) Ahorro bruto </w:t>
            </w:r>
          </w:p>
        </w:tc>
        <w:tc>
          <w:tcPr>
            <w:tcW w:w="1134" w:type="dxa"/>
            <w:shd w:val="clear" w:color="auto" w:fill="DEEAF6" w:themeFill="accent5" w:themeFillTint="33"/>
          </w:tcPr>
          <w:p w14:paraId="1BF8E573" w14:textId="77777777" w:rsidR="00A42227" w:rsidRPr="00D72C59" w:rsidRDefault="00A42227" w:rsidP="009557D1">
            <w:pPr>
              <w:ind w:right="315"/>
              <w:jc w:val="right"/>
              <w:rPr>
                <w:rFonts w:cs="Arial"/>
                <w:sz w:val="14"/>
                <w:szCs w:val="14"/>
              </w:rPr>
            </w:pPr>
            <w:r w:rsidRPr="00D72C59">
              <w:rPr>
                <w:rFonts w:cs="Arial"/>
                <w:sz w:val="14"/>
                <w:szCs w:val="14"/>
              </w:rPr>
              <w:t>6.5</w:t>
            </w:r>
          </w:p>
        </w:tc>
        <w:tc>
          <w:tcPr>
            <w:tcW w:w="1134" w:type="dxa"/>
            <w:shd w:val="clear" w:color="auto" w:fill="DEEAF6" w:themeFill="accent5" w:themeFillTint="33"/>
          </w:tcPr>
          <w:p w14:paraId="36873EAD" w14:textId="77777777" w:rsidR="00A42227" w:rsidRPr="00D72C59" w:rsidRDefault="00A42227" w:rsidP="009557D1">
            <w:pPr>
              <w:ind w:right="177"/>
              <w:jc w:val="right"/>
              <w:rPr>
                <w:rFonts w:cs="Arial"/>
                <w:sz w:val="14"/>
                <w:szCs w:val="14"/>
              </w:rPr>
            </w:pPr>
            <w:r w:rsidRPr="00D72C59">
              <w:rPr>
                <w:rFonts w:cs="Arial"/>
                <w:sz w:val="14"/>
                <w:szCs w:val="14"/>
              </w:rPr>
              <w:t>6.0</w:t>
            </w:r>
          </w:p>
        </w:tc>
        <w:tc>
          <w:tcPr>
            <w:tcW w:w="851" w:type="dxa"/>
            <w:shd w:val="clear" w:color="auto" w:fill="DEEAF6" w:themeFill="accent5" w:themeFillTint="33"/>
          </w:tcPr>
          <w:p w14:paraId="7D7C3AC7" w14:textId="77777777" w:rsidR="00A42227" w:rsidRPr="00D72C59" w:rsidRDefault="00A42227" w:rsidP="009557D1">
            <w:pPr>
              <w:ind w:right="115"/>
              <w:jc w:val="right"/>
              <w:rPr>
                <w:rFonts w:cs="Arial"/>
                <w:sz w:val="14"/>
                <w:szCs w:val="14"/>
              </w:rPr>
            </w:pPr>
            <w:r w:rsidRPr="00D72C59">
              <w:rPr>
                <w:rFonts w:cs="Arial"/>
                <w:sz w:val="14"/>
                <w:szCs w:val="14"/>
              </w:rPr>
              <w:t>-0.4</w:t>
            </w:r>
          </w:p>
        </w:tc>
        <w:tc>
          <w:tcPr>
            <w:tcW w:w="850" w:type="dxa"/>
            <w:shd w:val="clear" w:color="auto" w:fill="DEEAF6" w:themeFill="accent5" w:themeFillTint="33"/>
          </w:tcPr>
          <w:p w14:paraId="21E7CC85" w14:textId="77777777" w:rsidR="00A42227" w:rsidRPr="00D72C59" w:rsidRDefault="00A42227" w:rsidP="009557D1">
            <w:pPr>
              <w:ind w:right="115"/>
              <w:jc w:val="right"/>
              <w:rPr>
                <w:rFonts w:cs="Arial"/>
                <w:sz w:val="14"/>
                <w:szCs w:val="14"/>
              </w:rPr>
            </w:pPr>
            <w:r w:rsidRPr="00D72C59">
              <w:rPr>
                <w:rFonts w:cs="Arial"/>
                <w:sz w:val="14"/>
                <w:szCs w:val="14"/>
              </w:rPr>
              <w:t>8.4</w:t>
            </w:r>
          </w:p>
        </w:tc>
        <w:tc>
          <w:tcPr>
            <w:tcW w:w="851" w:type="dxa"/>
            <w:shd w:val="clear" w:color="auto" w:fill="DEEAF6" w:themeFill="accent5" w:themeFillTint="33"/>
          </w:tcPr>
          <w:p w14:paraId="549DD744" w14:textId="77777777" w:rsidR="00A42227" w:rsidRPr="00D72C59" w:rsidRDefault="00A42227" w:rsidP="009557D1">
            <w:pPr>
              <w:ind w:right="115"/>
              <w:jc w:val="right"/>
              <w:rPr>
                <w:rFonts w:cs="Arial"/>
                <w:sz w:val="14"/>
                <w:szCs w:val="14"/>
              </w:rPr>
            </w:pPr>
            <w:r w:rsidRPr="00D72C59">
              <w:rPr>
                <w:rFonts w:cs="Arial"/>
                <w:sz w:val="14"/>
                <w:szCs w:val="14"/>
              </w:rPr>
              <w:t>1.7</w:t>
            </w:r>
          </w:p>
        </w:tc>
        <w:tc>
          <w:tcPr>
            <w:tcW w:w="992" w:type="dxa"/>
            <w:shd w:val="clear" w:color="auto" w:fill="DEEAF6" w:themeFill="accent5" w:themeFillTint="33"/>
          </w:tcPr>
          <w:p w14:paraId="46583A72" w14:textId="77777777" w:rsidR="00A42227" w:rsidRPr="00D72C59" w:rsidRDefault="00A42227" w:rsidP="009557D1">
            <w:pPr>
              <w:ind w:right="115"/>
              <w:jc w:val="right"/>
              <w:rPr>
                <w:rFonts w:cs="Arial"/>
                <w:sz w:val="14"/>
                <w:szCs w:val="14"/>
              </w:rPr>
            </w:pPr>
            <w:r w:rsidRPr="00D72C59">
              <w:rPr>
                <w:rFonts w:cs="Arial"/>
                <w:sz w:val="14"/>
                <w:szCs w:val="14"/>
              </w:rPr>
              <w:t>22.1</w:t>
            </w:r>
          </w:p>
        </w:tc>
        <w:tc>
          <w:tcPr>
            <w:tcW w:w="709" w:type="dxa"/>
            <w:shd w:val="clear" w:color="auto" w:fill="DEEAF6" w:themeFill="accent5" w:themeFillTint="33"/>
          </w:tcPr>
          <w:p w14:paraId="41C71316" w14:textId="77777777" w:rsidR="00A42227" w:rsidRPr="00D72C59" w:rsidRDefault="00A42227" w:rsidP="009557D1">
            <w:pPr>
              <w:ind w:right="115"/>
              <w:jc w:val="right"/>
              <w:rPr>
                <w:rFonts w:cs="Arial"/>
                <w:sz w:val="14"/>
                <w:szCs w:val="14"/>
              </w:rPr>
            </w:pPr>
            <w:r w:rsidRPr="00D72C59">
              <w:rPr>
                <w:rFonts w:cs="Arial"/>
                <w:sz w:val="14"/>
                <w:szCs w:val="14"/>
              </w:rPr>
              <w:t>-0.1</w:t>
            </w:r>
          </w:p>
        </w:tc>
        <w:tc>
          <w:tcPr>
            <w:tcW w:w="709" w:type="dxa"/>
            <w:shd w:val="clear" w:color="auto" w:fill="DEEAF6" w:themeFill="accent5" w:themeFillTint="33"/>
          </w:tcPr>
          <w:p w14:paraId="0D340D82" w14:textId="77777777" w:rsidR="00A42227" w:rsidRPr="00D72C59" w:rsidRDefault="00A42227" w:rsidP="009557D1">
            <w:pPr>
              <w:ind w:right="115"/>
              <w:jc w:val="right"/>
              <w:rPr>
                <w:rFonts w:cs="Arial"/>
                <w:sz w:val="14"/>
                <w:szCs w:val="14"/>
              </w:rPr>
            </w:pPr>
            <w:r w:rsidRPr="00D72C59">
              <w:rPr>
                <w:rFonts w:cs="Arial"/>
                <w:sz w:val="14"/>
                <w:szCs w:val="14"/>
              </w:rPr>
              <w:t>22.0</w:t>
            </w:r>
          </w:p>
        </w:tc>
      </w:tr>
      <w:tr w:rsidR="00A42227" w:rsidRPr="00D72C59" w14:paraId="15579932" w14:textId="77777777" w:rsidTr="00AF1F43">
        <w:trPr>
          <w:trHeight w:val="254"/>
        </w:trPr>
        <w:tc>
          <w:tcPr>
            <w:tcW w:w="2263" w:type="dxa"/>
          </w:tcPr>
          <w:p w14:paraId="3D909A21" w14:textId="77777777" w:rsidR="00A42227" w:rsidRPr="00D72C59" w:rsidRDefault="00A42227" w:rsidP="009557D1">
            <w:pPr>
              <w:ind w:left="316" w:hanging="316"/>
              <w:rPr>
                <w:rFonts w:eastAsia="Arial" w:cs="Arial"/>
                <w:bCs/>
                <w:sz w:val="14"/>
                <w:szCs w:val="14"/>
              </w:rPr>
            </w:pPr>
            <w:r w:rsidRPr="00D72C59">
              <w:rPr>
                <w:rFonts w:cs="Arial"/>
                <w:sz w:val="14"/>
                <w:szCs w:val="14"/>
              </w:rPr>
              <w:t>(2) Transferencias de capital recibidas</w:t>
            </w:r>
          </w:p>
        </w:tc>
        <w:tc>
          <w:tcPr>
            <w:tcW w:w="1134" w:type="dxa"/>
          </w:tcPr>
          <w:p w14:paraId="6F75B595" w14:textId="77777777" w:rsidR="00A42227" w:rsidRPr="00D72C59" w:rsidRDefault="00A42227" w:rsidP="009557D1">
            <w:pPr>
              <w:ind w:right="315"/>
              <w:jc w:val="right"/>
              <w:rPr>
                <w:rFonts w:cs="Arial"/>
                <w:sz w:val="14"/>
                <w:szCs w:val="14"/>
              </w:rPr>
            </w:pPr>
            <w:r w:rsidRPr="00D72C59">
              <w:rPr>
                <w:rFonts w:cs="Arial"/>
                <w:sz w:val="14"/>
                <w:szCs w:val="14"/>
              </w:rPr>
              <w:t>1.1</w:t>
            </w:r>
          </w:p>
        </w:tc>
        <w:tc>
          <w:tcPr>
            <w:tcW w:w="1134" w:type="dxa"/>
          </w:tcPr>
          <w:p w14:paraId="11C40DEB" w14:textId="77777777" w:rsidR="00A42227" w:rsidRPr="00D72C59" w:rsidRDefault="00A42227" w:rsidP="009557D1">
            <w:pPr>
              <w:ind w:right="177"/>
              <w:jc w:val="right"/>
              <w:rPr>
                <w:rFonts w:cs="Arial"/>
                <w:sz w:val="14"/>
                <w:szCs w:val="14"/>
              </w:rPr>
            </w:pPr>
            <w:r w:rsidRPr="00D72C59">
              <w:rPr>
                <w:rFonts w:cs="Arial"/>
                <w:sz w:val="14"/>
                <w:szCs w:val="14"/>
              </w:rPr>
              <w:t>0.0</w:t>
            </w:r>
          </w:p>
        </w:tc>
        <w:tc>
          <w:tcPr>
            <w:tcW w:w="851" w:type="dxa"/>
          </w:tcPr>
          <w:p w14:paraId="29569C5B" w14:textId="77777777" w:rsidR="00A42227" w:rsidRPr="00D72C59" w:rsidRDefault="00A42227" w:rsidP="009557D1">
            <w:pPr>
              <w:ind w:right="115"/>
              <w:jc w:val="right"/>
              <w:rPr>
                <w:rFonts w:cs="Arial"/>
                <w:sz w:val="14"/>
                <w:szCs w:val="14"/>
              </w:rPr>
            </w:pPr>
            <w:r w:rsidRPr="00D72C59">
              <w:rPr>
                <w:rFonts w:cs="Arial"/>
                <w:sz w:val="14"/>
                <w:szCs w:val="14"/>
              </w:rPr>
              <w:t>1.8</w:t>
            </w:r>
          </w:p>
        </w:tc>
        <w:tc>
          <w:tcPr>
            <w:tcW w:w="850" w:type="dxa"/>
          </w:tcPr>
          <w:p w14:paraId="7AB91A6F" w14:textId="77777777" w:rsidR="00A42227" w:rsidRPr="00D72C59" w:rsidRDefault="00A42227" w:rsidP="009557D1">
            <w:pPr>
              <w:ind w:right="115"/>
              <w:jc w:val="right"/>
              <w:rPr>
                <w:rFonts w:cs="Arial"/>
                <w:sz w:val="14"/>
                <w:szCs w:val="14"/>
              </w:rPr>
            </w:pPr>
            <w:r w:rsidRPr="00D72C59">
              <w:rPr>
                <w:rFonts w:cs="Arial"/>
                <w:sz w:val="14"/>
                <w:szCs w:val="14"/>
              </w:rPr>
              <w:t>0.0</w:t>
            </w:r>
          </w:p>
        </w:tc>
        <w:tc>
          <w:tcPr>
            <w:tcW w:w="851" w:type="dxa"/>
          </w:tcPr>
          <w:p w14:paraId="2A380A30" w14:textId="77777777" w:rsidR="00A42227" w:rsidRPr="00D72C59" w:rsidRDefault="00A42227" w:rsidP="009557D1">
            <w:pPr>
              <w:ind w:right="115"/>
              <w:jc w:val="right"/>
              <w:rPr>
                <w:rFonts w:cs="Arial"/>
                <w:sz w:val="14"/>
                <w:szCs w:val="14"/>
              </w:rPr>
            </w:pPr>
            <w:r w:rsidRPr="00D72C59">
              <w:rPr>
                <w:rFonts w:cs="Arial"/>
                <w:sz w:val="14"/>
                <w:szCs w:val="14"/>
              </w:rPr>
              <w:t>0.0</w:t>
            </w:r>
          </w:p>
        </w:tc>
        <w:tc>
          <w:tcPr>
            <w:tcW w:w="992" w:type="dxa"/>
          </w:tcPr>
          <w:p w14:paraId="42EBA2A3" w14:textId="77777777" w:rsidR="00A42227" w:rsidRPr="00D72C59" w:rsidRDefault="00A42227" w:rsidP="009557D1">
            <w:pPr>
              <w:ind w:right="115"/>
              <w:jc w:val="right"/>
              <w:rPr>
                <w:rFonts w:cs="Arial"/>
                <w:sz w:val="14"/>
                <w:szCs w:val="14"/>
              </w:rPr>
            </w:pPr>
            <w:r w:rsidRPr="00D72C59">
              <w:rPr>
                <w:rFonts w:cs="Arial"/>
                <w:sz w:val="14"/>
                <w:szCs w:val="14"/>
              </w:rPr>
              <w:t>2.9</w:t>
            </w:r>
          </w:p>
        </w:tc>
        <w:tc>
          <w:tcPr>
            <w:tcW w:w="709" w:type="dxa"/>
          </w:tcPr>
          <w:p w14:paraId="64CB20D4" w14:textId="77777777" w:rsidR="00A42227" w:rsidRPr="00D72C59" w:rsidRDefault="00A42227" w:rsidP="009557D1">
            <w:pPr>
              <w:ind w:right="115"/>
              <w:jc w:val="right"/>
              <w:rPr>
                <w:rFonts w:cs="Arial"/>
                <w:sz w:val="14"/>
                <w:szCs w:val="14"/>
              </w:rPr>
            </w:pPr>
          </w:p>
        </w:tc>
        <w:tc>
          <w:tcPr>
            <w:tcW w:w="709" w:type="dxa"/>
          </w:tcPr>
          <w:p w14:paraId="5FB74825" w14:textId="77777777" w:rsidR="00A42227" w:rsidRPr="00D72C59" w:rsidRDefault="00A42227" w:rsidP="009557D1">
            <w:pPr>
              <w:ind w:right="115"/>
              <w:jc w:val="right"/>
              <w:rPr>
                <w:rFonts w:cs="Arial"/>
                <w:sz w:val="14"/>
                <w:szCs w:val="14"/>
              </w:rPr>
            </w:pPr>
            <w:r w:rsidRPr="00D72C59">
              <w:rPr>
                <w:rFonts w:cs="Arial"/>
                <w:sz w:val="14"/>
                <w:szCs w:val="14"/>
              </w:rPr>
              <w:t>2.9</w:t>
            </w:r>
          </w:p>
        </w:tc>
      </w:tr>
      <w:tr w:rsidR="00A42227" w:rsidRPr="00D72C59" w14:paraId="09546706" w14:textId="77777777" w:rsidTr="00A038EA">
        <w:trPr>
          <w:trHeight w:val="254"/>
        </w:trPr>
        <w:tc>
          <w:tcPr>
            <w:tcW w:w="9493" w:type="dxa"/>
            <w:gridSpan w:val="9"/>
            <w:shd w:val="clear" w:color="auto" w:fill="2E74B5" w:themeFill="accent5" w:themeFillShade="BF"/>
            <w:vAlign w:val="center"/>
          </w:tcPr>
          <w:p w14:paraId="5C9CE044" w14:textId="77777777" w:rsidR="00A42227" w:rsidRPr="00D72C59" w:rsidRDefault="00A42227" w:rsidP="00A038EA">
            <w:pPr>
              <w:ind w:left="457" w:right="459"/>
              <w:jc w:val="right"/>
              <w:rPr>
                <w:rFonts w:eastAsia="Arial" w:cs="Arial"/>
                <w:b/>
                <w:color w:val="FFFFFF" w:themeColor="background1"/>
                <w:sz w:val="14"/>
                <w:szCs w:val="14"/>
              </w:rPr>
            </w:pPr>
            <w:r w:rsidRPr="00D72C59">
              <w:rPr>
                <w:rFonts w:eastAsia="Arial" w:cs="Arial"/>
                <w:b/>
                <w:color w:val="FFFFFF" w:themeColor="background1"/>
                <w:sz w:val="14"/>
                <w:szCs w:val="14"/>
              </w:rPr>
              <w:t>Usos</w:t>
            </w:r>
          </w:p>
        </w:tc>
      </w:tr>
      <w:tr w:rsidR="00A42227" w:rsidRPr="00D72C59" w14:paraId="399737A9" w14:textId="77777777" w:rsidTr="00AF1F43">
        <w:trPr>
          <w:trHeight w:val="254"/>
        </w:trPr>
        <w:tc>
          <w:tcPr>
            <w:tcW w:w="2263" w:type="dxa"/>
          </w:tcPr>
          <w:p w14:paraId="06010E40" w14:textId="77777777" w:rsidR="00A42227" w:rsidRPr="00D72C59" w:rsidRDefault="00A42227" w:rsidP="009557D1">
            <w:pPr>
              <w:rPr>
                <w:rFonts w:eastAsia="Arial" w:cs="Arial"/>
                <w:b/>
                <w:bCs/>
                <w:sz w:val="14"/>
                <w:szCs w:val="14"/>
              </w:rPr>
            </w:pPr>
            <w:r w:rsidRPr="00D72C59">
              <w:rPr>
                <w:rFonts w:cs="Arial"/>
                <w:sz w:val="14"/>
                <w:szCs w:val="14"/>
              </w:rPr>
              <w:t>(3) Activos no financieros</w:t>
            </w:r>
          </w:p>
        </w:tc>
        <w:tc>
          <w:tcPr>
            <w:tcW w:w="1134" w:type="dxa"/>
          </w:tcPr>
          <w:p w14:paraId="718C6226" w14:textId="77777777" w:rsidR="00A42227" w:rsidRPr="00D72C59" w:rsidRDefault="00A42227" w:rsidP="009557D1">
            <w:pPr>
              <w:ind w:right="315"/>
              <w:jc w:val="right"/>
              <w:rPr>
                <w:rFonts w:cs="Arial"/>
                <w:b/>
                <w:bCs/>
                <w:sz w:val="14"/>
                <w:szCs w:val="14"/>
              </w:rPr>
            </w:pPr>
            <w:r w:rsidRPr="00D72C59">
              <w:rPr>
                <w:rFonts w:cs="Arial"/>
                <w:sz w:val="14"/>
                <w:szCs w:val="14"/>
              </w:rPr>
              <w:t>14.1</w:t>
            </w:r>
          </w:p>
        </w:tc>
        <w:tc>
          <w:tcPr>
            <w:tcW w:w="1134" w:type="dxa"/>
          </w:tcPr>
          <w:p w14:paraId="319E2EC9" w14:textId="77777777" w:rsidR="00A42227" w:rsidRPr="00D72C59" w:rsidRDefault="00A42227" w:rsidP="009557D1">
            <w:pPr>
              <w:ind w:right="177"/>
              <w:jc w:val="right"/>
              <w:rPr>
                <w:rFonts w:cs="Arial"/>
                <w:b/>
                <w:bCs/>
                <w:sz w:val="14"/>
                <w:szCs w:val="14"/>
              </w:rPr>
            </w:pPr>
            <w:r w:rsidRPr="00D72C59">
              <w:rPr>
                <w:rFonts w:cs="Arial"/>
                <w:sz w:val="14"/>
                <w:szCs w:val="14"/>
              </w:rPr>
              <w:t>0.1</w:t>
            </w:r>
          </w:p>
        </w:tc>
        <w:tc>
          <w:tcPr>
            <w:tcW w:w="851" w:type="dxa"/>
          </w:tcPr>
          <w:p w14:paraId="1C75ACEA" w14:textId="77777777" w:rsidR="00A42227" w:rsidRPr="00D72C59" w:rsidRDefault="00A42227" w:rsidP="009557D1">
            <w:pPr>
              <w:ind w:right="115"/>
              <w:jc w:val="right"/>
              <w:rPr>
                <w:rFonts w:cs="Arial"/>
                <w:b/>
                <w:bCs/>
                <w:sz w:val="14"/>
                <w:szCs w:val="14"/>
              </w:rPr>
            </w:pPr>
            <w:r w:rsidRPr="00D72C59">
              <w:rPr>
                <w:rFonts w:cs="Arial"/>
                <w:sz w:val="14"/>
                <w:szCs w:val="14"/>
              </w:rPr>
              <w:t>1.3</w:t>
            </w:r>
          </w:p>
        </w:tc>
        <w:tc>
          <w:tcPr>
            <w:tcW w:w="850" w:type="dxa"/>
          </w:tcPr>
          <w:p w14:paraId="697742F4" w14:textId="77777777" w:rsidR="00A42227" w:rsidRPr="00D72C59" w:rsidRDefault="00A42227" w:rsidP="009557D1">
            <w:pPr>
              <w:ind w:right="115"/>
              <w:jc w:val="right"/>
              <w:rPr>
                <w:rFonts w:cs="Arial"/>
                <w:b/>
                <w:bCs/>
                <w:sz w:val="14"/>
                <w:szCs w:val="14"/>
              </w:rPr>
            </w:pPr>
            <w:r w:rsidRPr="00D72C59">
              <w:rPr>
                <w:rFonts w:cs="Arial"/>
                <w:sz w:val="14"/>
                <w:szCs w:val="14"/>
              </w:rPr>
              <w:t>6.6</w:t>
            </w:r>
          </w:p>
        </w:tc>
        <w:tc>
          <w:tcPr>
            <w:tcW w:w="851" w:type="dxa"/>
          </w:tcPr>
          <w:p w14:paraId="1F508274" w14:textId="77777777" w:rsidR="00A42227" w:rsidRPr="00D72C59" w:rsidRDefault="00A42227" w:rsidP="009557D1">
            <w:pPr>
              <w:ind w:right="115"/>
              <w:jc w:val="right"/>
              <w:rPr>
                <w:rFonts w:cs="Arial"/>
                <w:b/>
                <w:bCs/>
                <w:sz w:val="14"/>
                <w:szCs w:val="14"/>
              </w:rPr>
            </w:pPr>
            <w:r w:rsidRPr="00D72C59">
              <w:rPr>
                <w:rFonts w:cs="Arial"/>
                <w:sz w:val="14"/>
                <w:szCs w:val="14"/>
              </w:rPr>
              <w:t>0.0</w:t>
            </w:r>
          </w:p>
        </w:tc>
        <w:tc>
          <w:tcPr>
            <w:tcW w:w="992" w:type="dxa"/>
          </w:tcPr>
          <w:p w14:paraId="6EA9609F" w14:textId="77777777" w:rsidR="00A42227" w:rsidRPr="00D72C59" w:rsidRDefault="00A42227" w:rsidP="009557D1">
            <w:pPr>
              <w:ind w:right="115"/>
              <w:jc w:val="right"/>
              <w:rPr>
                <w:rFonts w:cs="Arial"/>
                <w:b/>
                <w:bCs/>
                <w:sz w:val="14"/>
                <w:szCs w:val="14"/>
              </w:rPr>
            </w:pPr>
            <w:r w:rsidRPr="00D72C59">
              <w:rPr>
                <w:rFonts w:cs="Arial"/>
                <w:sz w:val="14"/>
                <w:szCs w:val="14"/>
              </w:rPr>
              <w:t>22.0</w:t>
            </w:r>
          </w:p>
        </w:tc>
        <w:tc>
          <w:tcPr>
            <w:tcW w:w="709" w:type="dxa"/>
          </w:tcPr>
          <w:p w14:paraId="72ECB4B6" w14:textId="77777777" w:rsidR="00A42227" w:rsidRPr="00D72C59" w:rsidRDefault="00A42227" w:rsidP="009557D1">
            <w:pPr>
              <w:ind w:right="115"/>
              <w:jc w:val="right"/>
              <w:rPr>
                <w:rFonts w:cs="Arial"/>
                <w:b/>
                <w:bCs/>
                <w:sz w:val="14"/>
                <w:szCs w:val="14"/>
              </w:rPr>
            </w:pPr>
          </w:p>
        </w:tc>
        <w:tc>
          <w:tcPr>
            <w:tcW w:w="709" w:type="dxa"/>
          </w:tcPr>
          <w:p w14:paraId="7DDD9B2E" w14:textId="77777777" w:rsidR="00A42227" w:rsidRPr="00D72C59" w:rsidRDefault="00A42227" w:rsidP="009557D1">
            <w:pPr>
              <w:ind w:right="115"/>
              <w:jc w:val="right"/>
              <w:rPr>
                <w:rFonts w:cs="Arial"/>
                <w:sz w:val="14"/>
                <w:szCs w:val="14"/>
              </w:rPr>
            </w:pPr>
            <w:r w:rsidRPr="00D72C59">
              <w:rPr>
                <w:rFonts w:cs="Arial"/>
                <w:sz w:val="14"/>
                <w:szCs w:val="14"/>
              </w:rPr>
              <w:t>22.0</w:t>
            </w:r>
          </w:p>
        </w:tc>
      </w:tr>
      <w:tr w:rsidR="00A42227" w:rsidRPr="00D72C59" w14:paraId="2D484D80" w14:textId="77777777" w:rsidTr="00AF1F43">
        <w:trPr>
          <w:trHeight w:val="254"/>
        </w:trPr>
        <w:tc>
          <w:tcPr>
            <w:tcW w:w="2263" w:type="dxa"/>
            <w:shd w:val="clear" w:color="auto" w:fill="DEEAF6" w:themeFill="accent5" w:themeFillTint="33"/>
          </w:tcPr>
          <w:p w14:paraId="0639A002" w14:textId="5A307953" w:rsidR="00A42227" w:rsidRPr="00D72C59" w:rsidRDefault="00A42227" w:rsidP="00D72C59">
            <w:pPr>
              <w:rPr>
                <w:rFonts w:cs="Arial"/>
                <w:sz w:val="14"/>
                <w:szCs w:val="14"/>
              </w:rPr>
            </w:pPr>
            <w:r w:rsidRPr="00D72C59">
              <w:rPr>
                <w:rFonts w:cs="Arial"/>
                <w:sz w:val="14"/>
                <w:szCs w:val="14"/>
              </w:rPr>
              <w:t>(</w:t>
            </w:r>
            <w:proofErr w:type="gramStart"/>
            <w:r w:rsidRPr="00D72C59">
              <w:rPr>
                <w:rFonts w:cs="Arial"/>
                <w:sz w:val="14"/>
                <w:szCs w:val="14"/>
              </w:rPr>
              <w:t>4)=</w:t>
            </w:r>
            <w:proofErr w:type="gramEnd"/>
            <w:r w:rsidRPr="00D72C59">
              <w:rPr>
                <w:rFonts w:cs="Arial"/>
                <w:sz w:val="14"/>
                <w:szCs w:val="14"/>
              </w:rPr>
              <w:t>(1)+(2)-(3)</w:t>
            </w:r>
            <w:r w:rsidR="00D72C59">
              <w:rPr>
                <w:rFonts w:cs="Arial"/>
                <w:sz w:val="14"/>
                <w:szCs w:val="14"/>
              </w:rPr>
              <w:t xml:space="preserve"> </w:t>
            </w:r>
            <w:r w:rsidRPr="00D72C59">
              <w:rPr>
                <w:rFonts w:cs="Arial"/>
                <w:sz w:val="14"/>
                <w:szCs w:val="14"/>
              </w:rPr>
              <w:t>Necesidades de financiamiento</w:t>
            </w:r>
          </w:p>
        </w:tc>
        <w:tc>
          <w:tcPr>
            <w:tcW w:w="1134" w:type="dxa"/>
            <w:shd w:val="clear" w:color="auto" w:fill="DEEAF6" w:themeFill="accent5" w:themeFillTint="33"/>
          </w:tcPr>
          <w:p w14:paraId="6BBC2332" w14:textId="77777777" w:rsidR="00A42227" w:rsidRPr="00D72C59" w:rsidRDefault="00A42227" w:rsidP="009557D1">
            <w:pPr>
              <w:ind w:right="315"/>
              <w:jc w:val="right"/>
              <w:rPr>
                <w:rFonts w:cs="Arial"/>
                <w:color w:val="000000"/>
                <w:sz w:val="14"/>
                <w:szCs w:val="14"/>
              </w:rPr>
            </w:pPr>
            <w:r w:rsidRPr="00D72C59">
              <w:rPr>
                <w:rFonts w:cs="Arial"/>
                <w:sz w:val="14"/>
                <w:szCs w:val="14"/>
              </w:rPr>
              <w:t>-6.6</w:t>
            </w:r>
          </w:p>
        </w:tc>
        <w:tc>
          <w:tcPr>
            <w:tcW w:w="1134" w:type="dxa"/>
            <w:shd w:val="clear" w:color="auto" w:fill="DEEAF6" w:themeFill="accent5" w:themeFillTint="33"/>
          </w:tcPr>
          <w:p w14:paraId="2B9F3764" w14:textId="77777777" w:rsidR="00A42227" w:rsidRPr="00D72C59" w:rsidRDefault="00A42227" w:rsidP="009557D1">
            <w:pPr>
              <w:ind w:right="177"/>
              <w:jc w:val="right"/>
              <w:rPr>
                <w:rFonts w:cs="Arial"/>
                <w:color w:val="000000"/>
                <w:sz w:val="14"/>
                <w:szCs w:val="14"/>
              </w:rPr>
            </w:pPr>
            <w:r w:rsidRPr="00D72C59">
              <w:rPr>
                <w:rFonts w:cs="Arial"/>
                <w:sz w:val="14"/>
                <w:szCs w:val="14"/>
              </w:rPr>
              <w:t>5.9</w:t>
            </w:r>
          </w:p>
        </w:tc>
        <w:tc>
          <w:tcPr>
            <w:tcW w:w="851" w:type="dxa"/>
            <w:shd w:val="clear" w:color="auto" w:fill="DEEAF6" w:themeFill="accent5" w:themeFillTint="33"/>
          </w:tcPr>
          <w:p w14:paraId="161CC57B" w14:textId="77777777" w:rsidR="00A42227" w:rsidRPr="00D72C59" w:rsidRDefault="00A42227" w:rsidP="009557D1">
            <w:pPr>
              <w:ind w:right="115"/>
              <w:jc w:val="right"/>
              <w:rPr>
                <w:rFonts w:cs="Arial"/>
                <w:color w:val="000000"/>
                <w:sz w:val="14"/>
                <w:szCs w:val="14"/>
              </w:rPr>
            </w:pPr>
            <w:r w:rsidRPr="00D72C59">
              <w:rPr>
                <w:rFonts w:cs="Arial"/>
                <w:sz w:val="14"/>
                <w:szCs w:val="14"/>
              </w:rPr>
              <w:t>0.2</w:t>
            </w:r>
          </w:p>
        </w:tc>
        <w:tc>
          <w:tcPr>
            <w:tcW w:w="850" w:type="dxa"/>
            <w:shd w:val="clear" w:color="auto" w:fill="DEEAF6" w:themeFill="accent5" w:themeFillTint="33"/>
          </w:tcPr>
          <w:p w14:paraId="68D0C477" w14:textId="77777777" w:rsidR="00A42227" w:rsidRPr="00D72C59" w:rsidRDefault="00A42227" w:rsidP="009557D1">
            <w:pPr>
              <w:ind w:right="115"/>
              <w:jc w:val="right"/>
              <w:rPr>
                <w:rFonts w:cs="Arial"/>
                <w:color w:val="000000"/>
                <w:sz w:val="14"/>
                <w:szCs w:val="14"/>
              </w:rPr>
            </w:pPr>
            <w:r w:rsidRPr="00D72C59">
              <w:rPr>
                <w:rFonts w:cs="Arial"/>
                <w:sz w:val="14"/>
                <w:szCs w:val="14"/>
              </w:rPr>
              <w:t>1.8</w:t>
            </w:r>
          </w:p>
        </w:tc>
        <w:tc>
          <w:tcPr>
            <w:tcW w:w="851" w:type="dxa"/>
            <w:shd w:val="clear" w:color="auto" w:fill="DEEAF6" w:themeFill="accent5" w:themeFillTint="33"/>
          </w:tcPr>
          <w:p w14:paraId="2C0DFFB2" w14:textId="77777777" w:rsidR="00A42227" w:rsidRPr="00D72C59" w:rsidRDefault="00A42227" w:rsidP="009557D1">
            <w:pPr>
              <w:ind w:right="115"/>
              <w:jc w:val="right"/>
              <w:rPr>
                <w:rFonts w:cs="Arial"/>
                <w:color w:val="000000"/>
                <w:sz w:val="14"/>
                <w:szCs w:val="14"/>
              </w:rPr>
            </w:pPr>
            <w:r w:rsidRPr="00D72C59">
              <w:rPr>
                <w:rFonts w:cs="Arial"/>
                <w:sz w:val="14"/>
                <w:szCs w:val="14"/>
              </w:rPr>
              <w:t>1.6</w:t>
            </w:r>
          </w:p>
        </w:tc>
        <w:tc>
          <w:tcPr>
            <w:tcW w:w="992" w:type="dxa"/>
            <w:shd w:val="clear" w:color="auto" w:fill="DEEAF6" w:themeFill="accent5" w:themeFillTint="33"/>
          </w:tcPr>
          <w:p w14:paraId="301709CF" w14:textId="77777777" w:rsidR="00A42227" w:rsidRPr="00D72C59" w:rsidRDefault="00A42227" w:rsidP="009557D1">
            <w:pPr>
              <w:ind w:right="115"/>
              <w:jc w:val="right"/>
              <w:rPr>
                <w:rFonts w:cs="Arial"/>
                <w:color w:val="000000"/>
                <w:sz w:val="14"/>
                <w:szCs w:val="14"/>
              </w:rPr>
            </w:pPr>
            <w:r w:rsidRPr="00D72C59">
              <w:rPr>
                <w:rFonts w:cs="Arial"/>
                <w:sz w:val="14"/>
                <w:szCs w:val="14"/>
              </w:rPr>
              <w:t>3.0</w:t>
            </w:r>
          </w:p>
        </w:tc>
        <w:tc>
          <w:tcPr>
            <w:tcW w:w="709" w:type="dxa"/>
            <w:shd w:val="clear" w:color="auto" w:fill="DEEAF6" w:themeFill="accent5" w:themeFillTint="33"/>
          </w:tcPr>
          <w:p w14:paraId="7EE0223D" w14:textId="77777777" w:rsidR="00A42227" w:rsidRPr="00D72C59" w:rsidRDefault="00A42227" w:rsidP="009557D1">
            <w:pPr>
              <w:ind w:right="115"/>
              <w:jc w:val="right"/>
              <w:rPr>
                <w:rFonts w:cs="Arial"/>
                <w:color w:val="000000"/>
                <w:sz w:val="14"/>
                <w:szCs w:val="14"/>
              </w:rPr>
            </w:pPr>
          </w:p>
        </w:tc>
        <w:tc>
          <w:tcPr>
            <w:tcW w:w="709" w:type="dxa"/>
            <w:shd w:val="clear" w:color="auto" w:fill="DEEAF6" w:themeFill="accent5" w:themeFillTint="33"/>
          </w:tcPr>
          <w:p w14:paraId="778E6868" w14:textId="77777777" w:rsidR="00A42227" w:rsidRPr="00D72C59" w:rsidRDefault="00A42227" w:rsidP="009557D1">
            <w:pPr>
              <w:ind w:right="115"/>
              <w:jc w:val="right"/>
              <w:rPr>
                <w:rFonts w:cs="Arial"/>
                <w:sz w:val="14"/>
                <w:szCs w:val="14"/>
              </w:rPr>
            </w:pPr>
            <w:r w:rsidRPr="00D72C59">
              <w:rPr>
                <w:rFonts w:cs="Arial"/>
                <w:sz w:val="14"/>
                <w:szCs w:val="14"/>
              </w:rPr>
              <w:t>3.0</w:t>
            </w:r>
          </w:p>
        </w:tc>
      </w:tr>
      <w:tr w:rsidR="00A42227" w:rsidRPr="00D72C59" w14:paraId="05E35A53" w14:textId="77777777" w:rsidTr="00AF1F43">
        <w:trPr>
          <w:trHeight w:val="254"/>
        </w:trPr>
        <w:tc>
          <w:tcPr>
            <w:tcW w:w="2263" w:type="dxa"/>
            <w:shd w:val="clear" w:color="auto" w:fill="auto"/>
          </w:tcPr>
          <w:p w14:paraId="49D1FABF" w14:textId="77777777" w:rsidR="00A42227" w:rsidRPr="00D72C59" w:rsidRDefault="00A42227" w:rsidP="009557D1">
            <w:pPr>
              <w:ind w:left="174" w:hanging="174"/>
              <w:rPr>
                <w:rFonts w:cs="Arial"/>
                <w:sz w:val="14"/>
                <w:szCs w:val="14"/>
              </w:rPr>
            </w:pPr>
            <w:r w:rsidRPr="00D72C59">
              <w:rPr>
                <w:rFonts w:cs="Arial"/>
                <w:sz w:val="14"/>
                <w:szCs w:val="14"/>
              </w:rPr>
              <w:t>(5) Adquisición neta de activos financieros</w:t>
            </w:r>
          </w:p>
        </w:tc>
        <w:tc>
          <w:tcPr>
            <w:tcW w:w="1134" w:type="dxa"/>
            <w:shd w:val="clear" w:color="auto" w:fill="auto"/>
          </w:tcPr>
          <w:p w14:paraId="178D43A9" w14:textId="77777777" w:rsidR="00A42227" w:rsidRPr="00D72C59" w:rsidRDefault="00A42227" w:rsidP="009557D1">
            <w:pPr>
              <w:ind w:right="315"/>
              <w:jc w:val="right"/>
              <w:rPr>
                <w:rFonts w:cs="Arial"/>
                <w:color w:val="000000"/>
                <w:sz w:val="14"/>
                <w:szCs w:val="14"/>
              </w:rPr>
            </w:pPr>
            <w:r w:rsidRPr="00D72C59">
              <w:rPr>
                <w:rFonts w:cs="Arial"/>
                <w:sz w:val="14"/>
                <w:szCs w:val="14"/>
              </w:rPr>
              <w:t>6.7</w:t>
            </w:r>
          </w:p>
        </w:tc>
        <w:tc>
          <w:tcPr>
            <w:tcW w:w="1134" w:type="dxa"/>
            <w:shd w:val="clear" w:color="auto" w:fill="auto"/>
          </w:tcPr>
          <w:p w14:paraId="21696ECE" w14:textId="77777777" w:rsidR="00A42227" w:rsidRPr="00D72C59" w:rsidRDefault="00A42227" w:rsidP="009557D1">
            <w:pPr>
              <w:ind w:right="177"/>
              <w:jc w:val="right"/>
              <w:rPr>
                <w:rFonts w:cs="Arial"/>
                <w:color w:val="000000"/>
                <w:sz w:val="14"/>
                <w:szCs w:val="14"/>
              </w:rPr>
            </w:pPr>
            <w:r w:rsidRPr="00D72C59">
              <w:rPr>
                <w:rFonts w:cs="Arial"/>
                <w:sz w:val="14"/>
                <w:szCs w:val="14"/>
              </w:rPr>
              <w:t>13.2</w:t>
            </w:r>
          </w:p>
        </w:tc>
        <w:tc>
          <w:tcPr>
            <w:tcW w:w="851" w:type="dxa"/>
            <w:shd w:val="clear" w:color="auto" w:fill="auto"/>
          </w:tcPr>
          <w:p w14:paraId="64CCA874" w14:textId="77777777" w:rsidR="00A42227" w:rsidRPr="00D72C59" w:rsidRDefault="00A42227" w:rsidP="009557D1">
            <w:pPr>
              <w:ind w:right="115"/>
              <w:jc w:val="right"/>
              <w:rPr>
                <w:rFonts w:cs="Arial"/>
                <w:color w:val="000000"/>
                <w:sz w:val="14"/>
                <w:szCs w:val="14"/>
              </w:rPr>
            </w:pPr>
            <w:r w:rsidRPr="00D72C59">
              <w:rPr>
                <w:rFonts w:cs="Arial"/>
                <w:sz w:val="14"/>
                <w:szCs w:val="14"/>
              </w:rPr>
              <w:t>1.9</w:t>
            </w:r>
          </w:p>
        </w:tc>
        <w:tc>
          <w:tcPr>
            <w:tcW w:w="850" w:type="dxa"/>
            <w:shd w:val="clear" w:color="auto" w:fill="auto"/>
          </w:tcPr>
          <w:p w14:paraId="1A675F42" w14:textId="77777777" w:rsidR="00A42227" w:rsidRPr="00D72C59" w:rsidRDefault="00A42227" w:rsidP="009557D1">
            <w:pPr>
              <w:ind w:right="115"/>
              <w:jc w:val="right"/>
              <w:rPr>
                <w:rFonts w:cs="Arial"/>
                <w:color w:val="000000"/>
                <w:sz w:val="14"/>
                <w:szCs w:val="14"/>
              </w:rPr>
            </w:pPr>
            <w:r w:rsidRPr="00D72C59">
              <w:rPr>
                <w:rFonts w:cs="Arial"/>
                <w:sz w:val="14"/>
                <w:szCs w:val="14"/>
              </w:rPr>
              <w:t>49.7</w:t>
            </w:r>
          </w:p>
        </w:tc>
        <w:tc>
          <w:tcPr>
            <w:tcW w:w="851" w:type="dxa"/>
            <w:shd w:val="clear" w:color="auto" w:fill="auto"/>
          </w:tcPr>
          <w:p w14:paraId="0ABE16C9" w14:textId="77777777" w:rsidR="00A42227" w:rsidRPr="00D72C59" w:rsidRDefault="00A42227" w:rsidP="009557D1">
            <w:pPr>
              <w:ind w:right="115"/>
              <w:jc w:val="right"/>
              <w:rPr>
                <w:rFonts w:cs="Arial"/>
                <w:color w:val="000000"/>
                <w:sz w:val="14"/>
                <w:szCs w:val="14"/>
              </w:rPr>
            </w:pPr>
            <w:r w:rsidRPr="00D72C59">
              <w:rPr>
                <w:rFonts w:cs="Arial"/>
                <w:sz w:val="14"/>
                <w:szCs w:val="14"/>
              </w:rPr>
              <w:t>0.0</w:t>
            </w:r>
          </w:p>
        </w:tc>
        <w:tc>
          <w:tcPr>
            <w:tcW w:w="992" w:type="dxa"/>
            <w:shd w:val="clear" w:color="auto" w:fill="auto"/>
          </w:tcPr>
          <w:p w14:paraId="397CCC26" w14:textId="77777777" w:rsidR="00A42227" w:rsidRPr="00D72C59" w:rsidRDefault="00A42227" w:rsidP="009557D1">
            <w:pPr>
              <w:ind w:right="115"/>
              <w:jc w:val="right"/>
              <w:rPr>
                <w:rFonts w:cs="Arial"/>
                <w:color w:val="000000"/>
                <w:sz w:val="14"/>
                <w:szCs w:val="14"/>
              </w:rPr>
            </w:pPr>
            <w:r w:rsidRPr="00D72C59">
              <w:rPr>
                <w:rFonts w:cs="Arial"/>
                <w:sz w:val="14"/>
                <w:szCs w:val="14"/>
              </w:rPr>
              <w:t>71.4</w:t>
            </w:r>
          </w:p>
        </w:tc>
        <w:tc>
          <w:tcPr>
            <w:tcW w:w="709" w:type="dxa"/>
            <w:shd w:val="clear" w:color="auto" w:fill="auto"/>
          </w:tcPr>
          <w:p w14:paraId="03B0B150" w14:textId="77777777" w:rsidR="00A42227" w:rsidRPr="00D72C59" w:rsidRDefault="00A42227" w:rsidP="009557D1">
            <w:pPr>
              <w:ind w:right="115"/>
              <w:jc w:val="right"/>
              <w:rPr>
                <w:rFonts w:cs="Arial"/>
                <w:color w:val="000000"/>
                <w:sz w:val="14"/>
                <w:szCs w:val="14"/>
              </w:rPr>
            </w:pPr>
            <w:r w:rsidRPr="00D72C59">
              <w:rPr>
                <w:rFonts w:cs="Arial"/>
                <w:sz w:val="14"/>
                <w:szCs w:val="14"/>
              </w:rPr>
              <w:t>7.9</w:t>
            </w:r>
          </w:p>
        </w:tc>
        <w:tc>
          <w:tcPr>
            <w:tcW w:w="709" w:type="dxa"/>
            <w:shd w:val="clear" w:color="auto" w:fill="auto"/>
          </w:tcPr>
          <w:p w14:paraId="2C8F05EF" w14:textId="77777777" w:rsidR="00A42227" w:rsidRPr="00D72C59" w:rsidRDefault="00A42227" w:rsidP="009557D1">
            <w:pPr>
              <w:ind w:right="115"/>
              <w:jc w:val="right"/>
              <w:rPr>
                <w:rFonts w:cs="Arial"/>
                <w:sz w:val="14"/>
                <w:szCs w:val="14"/>
              </w:rPr>
            </w:pPr>
            <w:r w:rsidRPr="00D72C59">
              <w:rPr>
                <w:rFonts w:cs="Arial"/>
                <w:sz w:val="14"/>
                <w:szCs w:val="14"/>
              </w:rPr>
              <w:t>79.3</w:t>
            </w:r>
          </w:p>
        </w:tc>
      </w:tr>
      <w:tr w:rsidR="00A42227" w:rsidRPr="00D72C59" w14:paraId="0401A9D6" w14:textId="77777777" w:rsidTr="00AF1F43">
        <w:trPr>
          <w:trHeight w:val="254"/>
        </w:trPr>
        <w:tc>
          <w:tcPr>
            <w:tcW w:w="2263" w:type="dxa"/>
            <w:shd w:val="clear" w:color="auto" w:fill="DEEAF6" w:themeFill="accent5" w:themeFillTint="33"/>
          </w:tcPr>
          <w:p w14:paraId="7E0CD3FA" w14:textId="77777777" w:rsidR="00A42227" w:rsidRPr="00D72C59" w:rsidRDefault="00A42227" w:rsidP="009557D1">
            <w:pPr>
              <w:rPr>
                <w:rFonts w:cs="Arial"/>
                <w:sz w:val="14"/>
                <w:szCs w:val="14"/>
              </w:rPr>
            </w:pPr>
            <w:r w:rsidRPr="00D72C59">
              <w:rPr>
                <w:rFonts w:cs="Arial"/>
                <w:sz w:val="14"/>
                <w:szCs w:val="14"/>
              </w:rPr>
              <w:t>(6) Emisión neta de pasivos</w:t>
            </w:r>
          </w:p>
        </w:tc>
        <w:tc>
          <w:tcPr>
            <w:tcW w:w="1134" w:type="dxa"/>
            <w:shd w:val="clear" w:color="auto" w:fill="DEEAF6" w:themeFill="accent5" w:themeFillTint="33"/>
          </w:tcPr>
          <w:p w14:paraId="4D2D1601" w14:textId="77777777" w:rsidR="00A42227" w:rsidRPr="00D72C59" w:rsidRDefault="00A42227" w:rsidP="009557D1">
            <w:pPr>
              <w:ind w:right="315"/>
              <w:jc w:val="right"/>
              <w:rPr>
                <w:rFonts w:cs="Arial"/>
                <w:color w:val="000000"/>
                <w:sz w:val="14"/>
                <w:szCs w:val="14"/>
              </w:rPr>
            </w:pPr>
            <w:r w:rsidRPr="00D72C59">
              <w:rPr>
                <w:rFonts w:cs="Arial"/>
                <w:sz w:val="14"/>
                <w:szCs w:val="14"/>
              </w:rPr>
              <w:t>13.8</w:t>
            </w:r>
          </w:p>
        </w:tc>
        <w:tc>
          <w:tcPr>
            <w:tcW w:w="1134" w:type="dxa"/>
            <w:shd w:val="clear" w:color="auto" w:fill="DEEAF6" w:themeFill="accent5" w:themeFillTint="33"/>
          </w:tcPr>
          <w:p w14:paraId="55B20BB0" w14:textId="77777777" w:rsidR="00A42227" w:rsidRPr="00D72C59" w:rsidRDefault="00A42227" w:rsidP="009557D1">
            <w:pPr>
              <w:ind w:right="177"/>
              <w:jc w:val="right"/>
              <w:rPr>
                <w:rFonts w:cs="Arial"/>
                <w:color w:val="000000"/>
                <w:sz w:val="14"/>
                <w:szCs w:val="14"/>
              </w:rPr>
            </w:pPr>
            <w:r w:rsidRPr="00D72C59">
              <w:rPr>
                <w:rFonts w:cs="Arial"/>
                <w:sz w:val="14"/>
                <w:szCs w:val="14"/>
              </w:rPr>
              <w:t>7.4</w:t>
            </w:r>
          </w:p>
        </w:tc>
        <w:tc>
          <w:tcPr>
            <w:tcW w:w="851" w:type="dxa"/>
            <w:shd w:val="clear" w:color="auto" w:fill="DEEAF6" w:themeFill="accent5" w:themeFillTint="33"/>
          </w:tcPr>
          <w:p w14:paraId="2A774B49" w14:textId="77777777" w:rsidR="00A42227" w:rsidRPr="00D72C59" w:rsidRDefault="00A42227" w:rsidP="009557D1">
            <w:pPr>
              <w:ind w:right="115"/>
              <w:jc w:val="right"/>
              <w:rPr>
                <w:rFonts w:cs="Arial"/>
                <w:color w:val="000000"/>
                <w:sz w:val="14"/>
                <w:szCs w:val="14"/>
              </w:rPr>
            </w:pPr>
            <w:r w:rsidRPr="00D72C59">
              <w:rPr>
                <w:rFonts w:cs="Arial"/>
                <w:sz w:val="14"/>
                <w:szCs w:val="14"/>
              </w:rPr>
              <w:t>4.0</w:t>
            </w:r>
          </w:p>
        </w:tc>
        <w:tc>
          <w:tcPr>
            <w:tcW w:w="850" w:type="dxa"/>
            <w:shd w:val="clear" w:color="auto" w:fill="DEEAF6" w:themeFill="accent5" w:themeFillTint="33"/>
          </w:tcPr>
          <w:p w14:paraId="3D8FFC06" w14:textId="77777777" w:rsidR="00A42227" w:rsidRPr="00D72C59" w:rsidRDefault="00A42227" w:rsidP="009557D1">
            <w:pPr>
              <w:ind w:right="115"/>
              <w:jc w:val="right"/>
              <w:rPr>
                <w:rFonts w:cs="Arial"/>
                <w:color w:val="000000"/>
                <w:sz w:val="14"/>
                <w:szCs w:val="14"/>
              </w:rPr>
            </w:pPr>
            <w:r w:rsidRPr="00D72C59">
              <w:rPr>
                <w:rFonts w:cs="Arial"/>
                <w:sz w:val="14"/>
                <w:szCs w:val="14"/>
              </w:rPr>
              <w:t>47.9</w:t>
            </w:r>
          </w:p>
        </w:tc>
        <w:tc>
          <w:tcPr>
            <w:tcW w:w="851" w:type="dxa"/>
            <w:shd w:val="clear" w:color="auto" w:fill="DEEAF6" w:themeFill="accent5" w:themeFillTint="33"/>
          </w:tcPr>
          <w:p w14:paraId="57C4371D" w14:textId="77777777" w:rsidR="00A42227" w:rsidRPr="00D72C59" w:rsidRDefault="00A42227" w:rsidP="009557D1">
            <w:pPr>
              <w:ind w:right="115"/>
              <w:jc w:val="right"/>
              <w:rPr>
                <w:rFonts w:cs="Arial"/>
                <w:color w:val="000000"/>
                <w:sz w:val="14"/>
                <w:szCs w:val="14"/>
              </w:rPr>
            </w:pPr>
            <w:r w:rsidRPr="00D72C59">
              <w:rPr>
                <w:rFonts w:cs="Arial"/>
                <w:sz w:val="14"/>
                <w:szCs w:val="14"/>
              </w:rPr>
              <w:t>-1.6</w:t>
            </w:r>
          </w:p>
        </w:tc>
        <w:tc>
          <w:tcPr>
            <w:tcW w:w="992" w:type="dxa"/>
            <w:shd w:val="clear" w:color="auto" w:fill="DEEAF6" w:themeFill="accent5" w:themeFillTint="33"/>
          </w:tcPr>
          <w:p w14:paraId="1D833193" w14:textId="77777777" w:rsidR="00A42227" w:rsidRPr="00D72C59" w:rsidRDefault="00A42227" w:rsidP="009557D1">
            <w:pPr>
              <w:ind w:right="115"/>
              <w:jc w:val="right"/>
              <w:rPr>
                <w:rFonts w:cs="Arial"/>
                <w:color w:val="000000"/>
                <w:sz w:val="14"/>
                <w:szCs w:val="14"/>
              </w:rPr>
            </w:pPr>
            <w:r w:rsidRPr="00D72C59">
              <w:rPr>
                <w:rFonts w:cs="Arial"/>
                <w:sz w:val="14"/>
                <w:szCs w:val="14"/>
              </w:rPr>
              <w:t>71.4</w:t>
            </w:r>
          </w:p>
        </w:tc>
        <w:tc>
          <w:tcPr>
            <w:tcW w:w="709" w:type="dxa"/>
            <w:shd w:val="clear" w:color="auto" w:fill="DEEAF6" w:themeFill="accent5" w:themeFillTint="33"/>
          </w:tcPr>
          <w:p w14:paraId="4D11864E" w14:textId="77777777" w:rsidR="00A42227" w:rsidRPr="00D72C59" w:rsidRDefault="00A42227" w:rsidP="009557D1">
            <w:pPr>
              <w:ind w:right="115"/>
              <w:jc w:val="right"/>
              <w:rPr>
                <w:rFonts w:cs="Arial"/>
                <w:color w:val="000000"/>
                <w:sz w:val="14"/>
                <w:szCs w:val="14"/>
              </w:rPr>
            </w:pPr>
            <w:r w:rsidRPr="00D72C59">
              <w:rPr>
                <w:rFonts w:cs="Arial"/>
                <w:sz w:val="14"/>
                <w:szCs w:val="14"/>
              </w:rPr>
              <w:t>7.9</w:t>
            </w:r>
          </w:p>
        </w:tc>
        <w:tc>
          <w:tcPr>
            <w:tcW w:w="709" w:type="dxa"/>
            <w:shd w:val="clear" w:color="auto" w:fill="DEEAF6" w:themeFill="accent5" w:themeFillTint="33"/>
          </w:tcPr>
          <w:p w14:paraId="345A3721" w14:textId="77777777" w:rsidR="00A42227" w:rsidRPr="00D72C59" w:rsidRDefault="00A42227" w:rsidP="009557D1">
            <w:pPr>
              <w:ind w:right="115"/>
              <w:jc w:val="right"/>
              <w:rPr>
                <w:rFonts w:cs="Arial"/>
                <w:sz w:val="14"/>
                <w:szCs w:val="14"/>
              </w:rPr>
            </w:pPr>
            <w:r w:rsidRPr="00D72C59">
              <w:rPr>
                <w:rFonts w:cs="Arial"/>
                <w:sz w:val="14"/>
                <w:szCs w:val="14"/>
              </w:rPr>
              <w:t>79.3</w:t>
            </w:r>
          </w:p>
        </w:tc>
      </w:tr>
      <w:tr w:rsidR="00A42227" w:rsidRPr="00D72C59" w14:paraId="6D865E35" w14:textId="77777777" w:rsidTr="00AF1F43">
        <w:trPr>
          <w:trHeight w:val="254"/>
        </w:trPr>
        <w:tc>
          <w:tcPr>
            <w:tcW w:w="2263" w:type="dxa"/>
            <w:shd w:val="clear" w:color="auto" w:fill="auto"/>
          </w:tcPr>
          <w:p w14:paraId="12BE19A5" w14:textId="197DA1E5" w:rsidR="00A42227" w:rsidRPr="00D72C59" w:rsidRDefault="00A42227" w:rsidP="00D72C59">
            <w:pPr>
              <w:rPr>
                <w:rFonts w:cs="Arial"/>
                <w:sz w:val="14"/>
                <w:szCs w:val="14"/>
              </w:rPr>
            </w:pPr>
            <w:r w:rsidRPr="00D72C59">
              <w:rPr>
                <w:rFonts w:cs="Arial"/>
                <w:sz w:val="14"/>
                <w:szCs w:val="14"/>
              </w:rPr>
              <w:t>(</w:t>
            </w:r>
            <w:proofErr w:type="gramStart"/>
            <w:r w:rsidRPr="00D72C59">
              <w:rPr>
                <w:rFonts w:cs="Arial"/>
                <w:sz w:val="14"/>
                <w:szCs w:val="14"/>
              </w:rPr>
              <w:t>7)=</w:t>
            </w:r>
            <w:proofErr w:type="gramEnd"/>
            <w:r w:rsidRPr="00D72C59">
              <w:rPr>
                <w:rFonts w:cs="Arial"/>
                <w:sz w:val="14"/>
                <w:szCs w:val="14"/>
              </w:rPr>
              <w:t>(5)-(6)</w:t>
            </w:r>
            <w:r w:rsidR="00D72C59">
              <w:rPr>
                <w:rFonts w:cs="Arial"/>
                <w:sz w:val="14"/>
                <w:szCs w:val="14"/>
              </w:rPr>
              <w:t xml:space="preserve"> </w:t>
            </w:r>
            <w:r w:rsidRPr="00D72C59">
              <w:rPr>
                <w:rFonts w:cs="Arial"/>
                <w:sz w:val="14"/>
                <w:szCs w:val="14"/>
              </w:rPr>
              <w:t>Préstamo neto (+) / endeudamiento neto (-)</w:t>
            </w:r>
          </w:p>
        </w:tc>
        <w:tc>
          <w:tcPr>
            <w:tcW w:w="1134" w:type="dxa"/>
            <w:shd w:val="clear" w:color="auto" w:fill="auto"/>
          </w:tcPr>
          <w:p w14:paraId="21EA7F46" w14:textId="77777777" w:rsidR="00A42227" w:rsidRPr="00D72C59" w:rsidRDefault="00A42227" w:rsidP="009557D1">
            <w:pPr>
              <w:ind w:right="315"/>
              <w:jc w:val="right"/>
              <w:rPr>
                <w:rFonts w:cs="Arial"/>
                <w:color w:val="000000"/>
                <w:sz w:val="14"/>
                <w:szCs w:val="14"/>
              </w:rPr>
            </w:pPr>
            <w:r w:rsidRPr="00D72C59">
              <w:rPr>
                <w:rFonts w:cs="Arial"/>
                <w:sz w:val="14"/>
                <w:szCs w:val="14"/>
              </w:rPr>
              <w:t>-7.1</w:t>
            </w:r>
          </w:p>
        </w:tc>
        <w:tc>
          <w:tcPr>
            <w:tcW w:w="1134" w:type="dxa"/>
            <w:shd w:val="clear" w:color="auto" w:fill="auto"/>
          </w:tcPr>
          <w:p w14:paraId="3C2159FA" w14:textId="77777777" w:rsidR="00A42227" w:rsidRPr="00D72C59" w:rsidRDefault="00A42227" w:rsidP="009557D1">
            <w:pPr>
              <w:ind w:right="177"/>
              <w:jc w:val="right"/>
              <w:rPr>
                <w:rFonts w:cs="Arial"/>
                <w:color w:val="000000"/>
                <w:sz w:val="14"/>
                <w:szCs w:val="14"/>
              </w:rPr>
            </w:pPr>
            <w:r w:rsidRPr="00D72C59">
              <w:rPr>
                <w:rFonts w:cs="Arial"/>
                <w:sz w:val="14"/>
                <w:szCs w:val="14"/>
              </w:rPr>
              <w:t>5.8</w:t>
            </w:r>
          </w:p>
        </w:tc>
        <w:tc>
          <w:tcPr>
            <w:tcW w:w="851" w:type="dxa"/>
            <w:shd w:val="clear" w:color="auto" w:fill="auto"/>
          </w:tcPr>
          <w:p w14:paraId="6685927A" w14:textId="77777777" w:rsidR="00A42227" w:rsidRPr="00D72C59" w:rsidRDefault="00A42227" w:rsidP="009557D1">
            <w:pPr>
              <w:ind w:right="115"/>
              <w:jc w:val="right"/>
              <w:rPr>
                <w:rFonts w:cs="Arial"/>
                <w:color w:val="000000"/>
                <w:sz w:val="14"/>
                <w:szCs w:val="14"/>
              </w:rPr>
            </w:pPr>
            <w:r w:rsidRPr="00D72C59">
              <w:rPr>
                <w:rFonts w:cs="Arial"/>
                <w:sz w:val="14"/>
                <w:szCs w:val="14"/>
              </w:rPr>
              <w:t>-2.1</w:t>
            </w:r>
          </w:p>
        </w:tc>
        <w:tc>
          <w:tcPr>
            <w:tcW w:w="850" w:type="dxa"/>
            <w:shd w:val="clear" w:color="auto" w:fill="auto"/>
          </w:tcPr>
          <w:p w14:paraId="2D51372D" w14:textId="77777777" w:rsidR="00A42227" w:rsidRPr="00D72C59" w:rsidRDefault="00A42227" w:rsidP="009557D1">
            <w:pPr>
              <w:ind w:right="115"/>
              <w:jc w:val="right"/>
              <w:rPr>
                <w:rFonts w:cs="Arial"/>
                <w:color w:val="000000"/>
                <w:sz w:val="14"/>
                <w:szCs w:val="14"/>
              </w:rPr>
            </w:pPr>
            <w:r w:rsidRPr="00D72C59">
              <w:rPr>
                <w:rFonts w:cs="Arial"/>
                <w:sz w:val="14"/>
                <w:szCs w:val="14"/>
              </w:rPr>
              <w:t>1.8</w:t>
            </w:r>
          </w:p>
        </w:tc>
        <w:tc>
          <w:tcPr>
            <w:tcW w:w="851" w:type="dxa"/>
            <w:shd w:val="clear" w:color="auto" w:fill="auto"/>
          </w:tcPr>
          <w:p w14:paraId="1FBE7F8F" w14:textId="77777777" w:rsidR="00A42227" w:rsidRPr="00D72C59" w:rsidRDefault="00A42227" w:rsidP="009557D1">
            <w:pPr>
              <w:ind w:right="115"/>
              <w:jc w:val="right"/>
              <w:rPr>
                <w:rFonts w:cs="Arial"/>
                <w:color w:val="000000"/>
                <w:sz w:val="14"/>
                <w:szCs w:val="14"/>
              </w:rPr>
            </w:pPr>
            <w:r w:rsidRPr="00D72C59">
              <w:rPr>
                <w:rFonts w:cs="Arial"/>
                <w:sz w:val="14"/>
                <w:szCs w:val="14"/>
              </w:rPr>
              <w:t>1.6</w:t>
            </w:r>
          </w:p>
        </w:tc>
        <w:tc>
          <w:tcPr>
            <w:tcW w:w="992" w:type="dxa"/>
            <w:shd w:val="clear" w:color="auto" w:fill="auto"/>
          </w:tcPr>
          <w:p w14:paraId="6A304BFE" w14:textId="77777777" w:rsidR="00A42227" w:rsidRPr="00D72C59" w:rsidRDefault="00A42227" w:rsidP="009557D1">
            <w:pPr>
              <w:ind w:right="115"/>
              <w:jc w:val="right"/>
              <w:rPr>
                <w:rFonts w:cs="Arial"/>
                <w:color w:val="000000"/>
                <w:sz w:val="14"/>
                <w:szCs w:val="14"/>
              </w:rPr>
            </w:pPr>
            <w:r w:rsidRPr="00D72C59">
              <w:rPr>
                <w:rFonts w:cs="Arial"/>
                <w:sz w:val="14"/>
                <w:szCs w:val="14"/>
              </w:rPr>
              <w:t>0.1</w:t>
            </w:r>
          </w:p>
        </w:tc>
        <w:tc>
          <w:tcPr>
            <w:tcW w:w="709" w:type="dxa"/>
            <w:shd w:val="clear" w:color="auto" w:fill="auto"/>
          </w:tcPr>
          <w:p w14:paraId="59E02E35" w14:textId="77777777" w:rsidR="00A42227" w:rsidRPr="00D72C59" w:rsidRDefault="00A42227" w:rsidP="009557D1">
            <w:pPr>
              <w:ind w:right="115"/>
              <w:jc w:val="right"/>
              <w:rPr>
                <w:rFonts w:cs="Arial"/>
                <w:color w:val="000000"/>
                <w:sz w:val="14"/>
                <w:szCs w:val="14"/>
              </w:rPr>
            </w:pPr>
            <w:r w:rsidRPr="00D72C59">
              <w:rPr>
                <w:rFonts w:cs="Arial"/>
                <w:sz w:val="14"/>
                <w:szCs w:val="14"/>
              </w:rPr>
              <w:t>-0.1</w:t>
            </w:r>
          </w:p>
        </w:tc>
        <w:tc>
          <w:tcPr>
            <w:tcW w:w="709" w:type="dxa"/>
            <w:shd w:val="clear" w:color="auto" w:fill="auto"/>
          </w:tcPr>
          <w:p w14:paraId="0859866B" w14:textId="77777777" w:rsidR="00A42227" w:rsidRPr="00D72C59" w:rsidRDefault="00A42227" w:rsidP="009557D1">
            <w:pPr>
              <w:ind w:right="115"/>
              <w:jc w:val="right"/>
              <w:rPr>
                <w:rFonts w:cs="Arial"/>
                <w:sz w:val="14"/>
                <w:szCs w:val="14"/>
              </w:rPr>
            </w:pPr>
            <w:r w:rsidRPr="00D72C59">
              <w:rPr>
                <w:rFonts w:cs="Arial"/>
                <w:sz w:val="14"/>
                <w:szCs w:val="14"/>
              </w:rPr>
              <w:t>0.0</w:t>
            </w:r>
          </w:p>
        </w:tc>
      </w:tr>
    </w:tbl>
    <w:p w14:paraId="56D8FEF4" w14:textId="77777777" w:rsidR="00A42227" w:rsidRPr="009C10E1" w:rsidRDefault="00A42227" w:rsidP="00A42227">
      <w:pPr>
        <w:pStyle w:val="Textodebloque1"/>
        <w:spacing w:before="0"/>
        <w:ind w:left="284" w:right="0" w:firstLine="0"/>
        <w:jc w:val="left"/>
        <w:rPr>
          <w:rFonts w:eastAsia="Arial" w:cs="Arial"/>
          <w:b w:val="0"/>
          <w:bCs/>
          <w:sz w:val="16"/>
          <w:szCs w:val="16"/>
        </w:rPr>
      </w:pPr>
      <w:bookmarkStart w:id="7" w:name="_Hlk49712751"/>
      <w:r w:rsidRPr="009C10E1">
        <w:rPr>
          <w:rFonts w:eastAsia="Arial" w:cs="Arial"/>
          <w:b w:val="0"/>
          <w:bCs/>
          <w:sz w:val="16"/>
          <w:szCs w:val="16"/>
        </w:rPr>
        <w:t>Nota: La suma o resta de los parciales pueden no coincidir con los totales debido al redondeo</w:t>
      </w:r>
    </w:p>
    <w:p w14:paraId="5DB9BF77" w14:textId="77777777" w:rsidR="00A42227" w:rsidRPr="009C10E1" w:rsidRDefault="00A42227" w:rsidP="00A42227">
      <w:pPr>
        <w:pStyle w:val="Textodebloque1"/>
        <w:spacing w:before="0"/>
        <w:ind w:left="284" w:right="0" w:firstLine="0"/>
        <w:rPr>
          <w:rFonts w:eastAsia="Arial" w:cs="Arial"/>
          <w:b w:val="0"/>
          <w:bCs/>
          <w:sz w:val="16"/>
          <w:szCs w:val="16"/>
        </w:rPr>
      </w:pPr>
      <w:r w:rsidRPr="009C10E1">
        <w:rPr>
          <w:rFonts w:cs="Arial"/>
          <w:b w:val="0"/>
          <w:sz w:val="16"/>
          <w:szCs w:val="16"/>
        </w:rPr>
        <w:t>* El Sector 11 Sociedades no financieras incluye un 1.8 % de Discrepancia estadística</w:t>
      </w:r>
    </w:p>
    <w:p w14:paraId="39F3167E" w14:textId="77777777" w:rsidR="00A42227" w:rsidRPr="009C10E1" w:rsidRDefault="00A42227" w:rsidP="00A42227">
      <w:pPr>
        <w:ind w:left="284"/>
        <w:jc w:val="both"/>
        <w:rPr>
          <w:rFonts w:cs="Arial"/>
          <w:color w:val="000000"/>
          <w:sz w:val="16"/>
          <w:szCs w:val="16"/>
          <w:lang w:val="es-MX" w:eastAsia="es-MX"/>
        </w:rPr>
      </w:pPr>
      <w:r w:rsidRPr="009C10E1">
        <w:rPr>
          <w:rFonts w:cs="Arial"/>
          <w:color w:val="000000"/>
          <w:sz w:val="16"/>
          <w:szCs w:val="16"/>
          <w:lang w:val="es-MX" w:eastAsia="es-MX"/>
        </w:rPr>
        <w:t>Fuente: INEGI</w:t>
      </w:r>
    </w:p>
    <w:bookmarkEnd w:id="7"/>
    <w:p w14:paraId="2CDC2D14" w14:textId="67C7D0AD" w:rsidR="00A42227" w:rsidRDefault="00A42227" w:rsidP="006B760B">
      <w:pPr>
        <w:pStyle w:val="Textodebloque1"/>
        <w:spacing w:before="120"/>
        <w:ind w:left="0" w:right="0" w:firstLine="0"/>
        <w:rPr>
          <w:rFonts w:eastAsia="Arial" w:cs="Arial"/>
          <w:i/>
          <w:iCs/>
          <w:szCs w:val="22"/>
        </w:rPr>
      </w:pPr>
    </w:p>
    <w:p w14:paraId="6568A823" w14:textId="5CD959A0" w:rsidR="006B760B" w:rsidRDefault="006B760B" w:rsidP="006B760B">
      <w:pPr>
        <w:pStyle w:val="Textodebloque1"/>
        <w:spacing w:before="120"/>
        <w:ind w:left="0" w:right="0" w:firstLine="0"/>
        <w:rPr>
          <w:rFonts w:eastAsia="Arial" w:cs="Arial"/>
          <w:b w:val="0"/>
          <w:bCs/>
          <w:sz w:val="24"/>
          <w:szCs w:val="24"/>
        </w:rPr>
      </w:pPr>
      <w:r>
        <w:rPr>
          <w:rFonts w:eastAsia="Arial" w:cs="Arial"/>
          <w:i/>
          <w:iCs/>
          <w:szCs w:val="22"/>
        </w:rPr>
        <w:t>Préstamo/endeudamiento neto</w:t>
      </w:r>
    </w:p>
    <w:p w14:paraId="39DF6487" w14:textId="3AB40308" w:rsidR="006B760B" w:rsidRDefault="006B760B" w:rsidP="006B760B">
      <w:pPr>
        <w:autoSpaceDE w:val="0"/>
        <w:autoSpaceDN w:val="0"/>
        <w:adjustRightInd w:val="0"/>
        <w:spacing w:before="120"/>
        <w:jc w:val="both"/>
        <w:rPr>
          <w:rFonts w:eastAsia="Arial" w:cs="Arial"/>
          <w:bCs/>
          <w:lang w:val="es-ES_tradnl"/>
        </w:rPr>
      </w:pPr>
      <w:r w:rsidRPr="00785514">
        <w:rPr>
          <w:rFonts w:eastAsia="Arial" w:cs="Arial"/>
          <w:bCs/>
          <w:lang w:val="es-ES_tradnl"/>
        </w:rPr>
        <w:t xml:space="preserve">Algunos sectores son prestamistas netos mientras otros son prestatarios netos. Cuando las unidades institucionales realizan transacciones financieras entre sí, el excedente de recursos de un sector se puede poner a disposición de los restantes sectores. Como se observa en el siguiente cuadro, las Sociedades no financieras presentan un endeudamiento </w:t>
      </w:r>
      <w:r w:rsidR="00ED7AE3">
        <w:rPr>
          <w:rFonts w:eastAsia="Arial" w:cs="Arial"/>
          <w:bCs/>
          <w:lang w:val="es-ES_tradnl"/>
        </w:rPr>
        <w:t xml:space="preserve">neto </w:t>
      </w:r>
      <w:r w:rsidR="00A42227">
        <w:rPr>
          <w:rFonts w:eastAsia="Arial" w:cs="Arial"/>
          <w:bCs/>
          <w:lang w:val="es-ES_tradnl"/>
        </w:rPr>
        <w:t>de 431,715 millones de pesos</w:t>
      </w:r>
      <w:r w:rsidRPr="00785514">
        <w:rPr>
          <w:rFonts w:eastAsia="Arial" w:cs="Arial"/>
          <w:bCs/>
          <w:lang w:val="es-ES_tradnl"/>
        </w:rPr>
        <w:t>. Por su parte los hogares muestran una disminución</w:t>
      </w:r>
      <w:r w:rsidR="00A34485">
        <w:rPr>
          <w:rFonts w:eastAsia="Arial" w:cs="Arial"/>
          <w:bCs/>
          <w:lang w:val="es-ES_tradnl"/>
        </w:rPr>
        <w:t xml:space="preserve"> </w:t>
      </w:r>
      <w:r w:rsidRPr="00785514">
        <w:rPr>
          <w:rFonts w:eastAsia="Arial" w:cs="Arial"/>
          <w:bCs/>
          <w:lang w:val="es-ES_tradnl"/>
        </w:rPr>
        <w:t>en comparación con el mismo trimestre del año anterior</w:t>
      </w:r>
      <w:r w:rsidR="00A42227">
        <w:rPr>
          <w:rFonts w:eastAsia="Arial" w:cs="Arial"/>
          <w:bCs/>
          <w:lang w:val="es-ES_tradnl"/>
        </w:rPr>
        <w:t>.</w:t>
      </w:r>
    </w:p>
    <w:p w14:paraId="5633F0FE" w14:textId="4F72B2C2" w:rsidR="006B760B" w:rsidRPr="00785514" w:rsidRDefault="00104E17" w:rsidP="00104E17">
      <w:pPr>
        <w:spacing w:before="120"/>
        <w:jc w:val="center"/>
        <w:rPr>
          <w:rFonts w:eastAsia="Arial" w:cs="Arial"/>
          <w:bCs/>
          <w:lang w:val="es-ES_tradnl"/>
        </w:rPr>
      </w:pPr>
      <w:r w:rsidRPr="00682EF0">
        <w:rPr>
          <w:rFonts w:eastAsia="Arial" w:cs="Arial"/>
          <w:bCs/>
          <w:sz w:val="20"/>
          <w:szCs w:val="20"/>
          <w:lang w:val="es-ES_tradnl"/>
        </w:rPr>
        <w:t xml:space="preserve">Cuadro </w:t>
      </w:r>
      <w:r w:rsidR="00FB2348">
        <w:rPr>
          <w:rFonts w:eastAsia="Arial" w:cs="Arial"/>
          <w:bCs/>
          <w:sz w:val="20"/>
          <w:szCs w:val="20"/>
          <w:lang w:val="es-ES_tradnl"/>
        </w:rPr>
        <w:t>7</w:t>
      </w:r>
    </w:p>
    <w:p w14:paraId="21B117A4" w14:textId="6185F8A9" w:rsidR="006B760B" w:rsidRPr="00A048B2" w:rsidRDefault="006B760B" w:rsidP="00104E17">
      <w:pPr>
        <w:jc w:val="center"/>
        <w:rPr>
          <w:rFonts w:eastAsia="Arial" w:cs="Arial"/>
          <w:b/>
          <w:bCs/>
          <w:sz w:val="22"/>
          <w:szCs w:val="22"/>
          <w:lang w:val="es-ES_tradnl"/>
        </w:rPr>
      </w:pPr>
      <w:r w:rsidRPr="00A048B2">
        <w:rPr>
          <w:rFonts w:eastAsia="Arial" w:cs="Arial"/>
          <w:b/>
          <w:bCs/>
          <w:sz w:val="22"/>
          <w:szCs w:val="22"/>
          <w:lang w:val="es-ES_tradnl"/>
        </w:rPr>
        <w:t xml:space="preserve">PRÉSTAMO O ENDEUDAMIENTO NETO POR SECTOR INSTITUCIONAL </w:t>
      </w:r>
    </w:p>
    <w:p w14:paraId="6BA15890" w14:textId="7B8CF536" w:rsidR="00A048B2" w:rsidRPr="00A048B2" w:rsidRDefault="00FA2A49" w:rsidP="00104E17">
      <w:pPr>
        <w:jc w:val="center"/>
        <w:rPr>
          <w:rFonts w:eastAsia="Arial" w:cs="Arial"/>
          <w:b/>
          <w:bCs/>
          <w:sz w:val="22"/>
          <w:szCs w:val="22"/>
          <w:lang w:val="es-ES_tradnl"/>
        </w:rPr>
      </w:pPr>
      <w:r>
        <w:rPr>
          <w:rFonts w:eastAsia="Arial" w:cs="Arial"/>
          <w:b/>
          <w:bCs/>
          <w:sz w:val="22"/>
          <w:szCs w:val="22"/>
          <w:lang w:val="es-ES_tradnl"/>
        </w:rPr>
        <w:t xml:space="preserve">AL </w:t>
      </w:r>
      <w:r w:rsidR="00A048B2" w:rsidRPr="00A048B2">
        <w:rPr>
          <w:rFonts w:eastAsia="Arial" w:cs="Arial"/>
          <w:b/>
          <w:bCs/>
          <w:sz w:val="22"/>
          <w:szCs w:val="22"/>
          <w:lang w:val="es-ES_tradnl"/>
        </w:rPr>
        <w:t>PRIMER TRIMESTRE DE 2020</w:t>
      </w:r>
    </w:p>
    <w:p w14:paraId="21E4C07A" w14:textId="203E75C1" w:rsidR="006B760B" w:rsidRPr="00A048B2" w:rsidRDefault="006B760B" w:rsidP="00104E17">
      <w:pPr>
        <w:jc w:val="center"/>
        <w:rPr>
          <w:rFonts w:eastAsia="Arial" w:cs="Arial"/>
          <w:bCs/>
          <w:sz w:val="18"/>
          <w:szCs w:val="18"/>
        </w:rPr>
      </w:pPr>
      <w:r w:rsidRPr="00A048B2">
        <w:rPr>
          <w:rFonts w:eastAsia="Arial" w:cs="Arial"/>
          <w:bCs/>
          <w:sz w:val="18"/>
          <w:szCs w:val="18"/>
        </w:rPr>
        <w:t>(Millones de pesos)</w:t>
      </w:r>
    </w:p>
    <w:tbl>
      <w:tblPr>
        <w:tblStyle w:val="Tablaconcuadrcula"/>
        <w:tblW w:w="9493" w:type="dxa"/>
        <w:tblLook w:val="04A0" w:firstRow="1" w:lastRow="0" w:firstColumn="1" w:lastColumn="0" w:noHBand="0" w:noVBand="1"/>
      </w:tblPr>
      <w:tblGrid>
        <w:gridCol w:w="2850"/>
        <w:gridCol w:w="1328"/>
        <w:gridCol w:w="1329"/>
        <w:gridCol w:w="1328"/>
        <w:gridCol w:w="1329"/>
        <w:gridCol w:w="1329"/>
      </w:tblGrid>
      <w:tr w:rsidR="00A048B2" w:rsidRPr="00D72C59" w14:paraId="49DED56A" w14:textId="77777777" w:rsidTr="006C063C">
        <w:trPr>
          <w:trHeight w:val="254"/>
        </w:trPr>
        <w:tc>
          <w:tcPr>
            <w:tcW w:w="2850" w:type="dxa"/>
            <w:vMerge w:val="restart"/>
            <w:tcBorders>
              <w:bottom w:val="single" w:sz="4" w:space="0" w:color="000000" w:themeColor="text1"/>
              <w:right w:val="single" w:sz="4" w:space="0" w:color="000000" w:themeColor="text1"/>
            </w:tcBorders>
            <w:shd w:val="clear" w:color="auto" w:fill="DEEAF6" w:themeFill="accent5" w:themeFillTint="33"/>
            <w:vAlign w:val="center"/>
          </w:tcPr>
          <w:p w14:paraId="649D9733" w14:textId="77777777" w:rsidR="00A048B2" w:rsidRPr="00D72C59" w:rsidRDefault="00A048B2" w:rsidP="006C063C">
            <w:pPr>
              <w:jc w:val="center"/>
              <w:rPr>
                <w:rFonts w:eastAsia="Arial" w:cs="Arial"/>
                <w:b/>
                <w:sz w:val="18"/>
                <w:szCs w:val="18"/>
              </w:rPr>
            </w:pPr>
            <w:r w:rsidRPr="00D72C59">
              <w:rPr>
                <w:rFonts w:eastAsia="Arial" w:cs="Arial"/>
                <w:b/>
                <w:sz w:val="18"/>
                <w:szCs w:val="18"/>
              </w:rPr>
              <w:t xml:space="preserve">Denominación </w:t>
            </w:r>
          </w:p>
        </w:tc>
        <w:tc>
          <w:tcPr>
            <w:tcW w:w="5314" w:type="dxa"/>
            <w:gridSpan w:val="4"/>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CBE7D2F" w14:textId="77777777" w:rsidR="00A048B2" w:rsidRPr="00D72C59" w:rsidRDefault="00A048B2" w:rsidP="006C063C">
            <w:pPr>
              <w:jc w:val="center"/>
              <w:rPr>
                <w:rFonts w:eastAsia="Arial" w:cs="Arial"/>
                <w:b/>
                <w:sz w:val="18"/>
                <w:szCs w:val="18"/>
              </w:rPr>
            </w:pPr>
            <w:r w:rsidRPr="00D72C59">
              <w:rPr>
                <w:rFonts w:eastAsia="Arial" w:cs="Arial"/>
                <w:b/>
                <w:sz w:val="18"/>
                <w:szCs w:val="18"/>
              </w:rPr>
              <w:t>2019</w:t>
            </w:r>
          </w:p>
        </w:tc>
        <w:tc>
          <w:tcPr>
            <w:tcW w:w="1329" w:type="dxa"/>
            <w:tcBorders>
              <w:left w:val="single" w:sz="4" w:space="0" w:color="000000" w:themeColor="text1"/>
              <w:bottom w:val="single" w:sz="4" w:space="0" w:color="000000" w:themeColor="text1"/>
            </w:tcBorders>
            <w:shd w:val="clear" w:color="auto" w:fill="DEEAF6" w:themeFill="accent5" w:themeFillTint="33"/>
            <w:vAlign w:val="center"/>
          </w:tcPr>
          <w:p w14:paraId="02D53F02" w14:textId="77777777" w:rsidR="00A048B2" w:rsidRPr="00D72C59" w:rsidRDefault="00A048B2" w:rsidP="006C063C">
            <w:pPr>
              <w:jc w:val="center"/>
              <w:rPr>
                <w:rFonts w:eastAsia="Arial" w:cs="Arial"/>
                <w:b/>
                <w:sz w:val="18"/>
                <w:szCs w:val="18"/>
              </w:rPr>
            </w:pPr>
            <w:r w:rsidRPr="00D72C59">
              <w:rPr>
                <w:rFonts w:eastAsia="Arial" w:cs="Arial"/>
                <w:b/>
                <w:sz w:val="18"/>
                <w:szCs w:val="18"/>
              </w:rPr>
              <w:t>2020</w:t>
            </w:r>
          </w:p>
        </w:tc>
      </w:tr>
      <w:tr w:rsidR="00A048B2" w:rsidRPr="00D72C59" w14:paraId="7EB6AF0A" w14:textId="77777777" w:rsidTr="006C063C">
        <w:trPr>
          <w:trHeight w:val="254"/>
        </w:trPr>
        <w:tc>
          <w:tcPr>
            <w:tcW w:w="2850" w:type="dxa"/>
            <w:vMerge/>
            <w:tcBorders>
              <w:top w:val="single" w:sz="4" w:space="0" w:color="000000" w:themeColor="text1"/>
              <w:right w:val="single" w:sz="4" w:space="0" w:color="000000" w:themeColor="text1"/>
            </w:tcBorders>
            <w:shd w:val="clear" w:color="auto" w:fill="DEEAF6" w:themeFill="accent5" w:themeFillTint="33"/>
            <w:vAlign w:val="center"/>
          </w:tcPr>
          <w:p w14:paraId="04AE2B5D" w14:textId="77777777" w:rsidR="00A048B2" w:rsidRPr="00D72C59" w:rsidRDefault="00A048B2" w:rsidP="006C063C">
            <w:pPr>
              <w:jc w:val="center"/>
              <w:rPr>
                <w:rFonts w:eastAsia="Arial" w:cs="Arial"/>
                <w:b/>
                <w:sz w:val="18"/>
                <w:szCs w:val="18"/>
              </w:rPr>
            </w:pPr>
          </w:p>
        </w:tc>
        <w:tc>
          <w:tcPr>
            <w:tcW w:w="1328"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28C24FD3" w14:textId="77777777" w:rsidR="00A048B2" w:rsidRPr="00D72C59" w:rsidRDefault="00A048B2" w:rsidP="006C063C">
            <w:pPr>
              <w:jc w:val="center"/>
              <w:rPr>
                <w:rFonts w:eastAsia="Arial" w:cs="Arial"/>
                <w:b/>
                <w:sz w:val="18"/>
                <w:szCs w:val="18"/>
              </w:rPr>
            </w:pPr>
            <w:r w:rsidRPr="00D72C59">
              <w:rPr>
                <w:rFonts w:eastAsia="Arial" w:cs="Arial"/>
                <w:b/>
                <w:sz w:val="18"/>
                <w:szCs w:val="18"/>
              </w:rPr>
              <w:t>I</w:t>
            </w:r>
          </w:p>
        </w:tc>
        <w:tc>
          <w:tcPr>
            <w:tcW w:w="1329"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417D1E9B" w14:textId="77777777" w:rsidR="00A048B2" w:rsidRPr="00D72C59" w:rsidRDefault="00A048B2" w:rsidP="006C063C">
            <w:pPr>
              <w:jc w:val="center"/>
              <w:rPr>
                <w:rFonts w:eastAsia="Arial" w:cs="Arial"/>
                <w:b/>
                <w:sz w:val="18"/>
                <w:szCs w:val="18"/>
              </w:rPr>
            </w:pPr>
            <w:r w:rsidRPr="00D72C59">
              <w:rPr>
                <w:rFonts w:eastAsia="Arial" w:cs="Arial"/>
                <w:b/>
                <w:sz w:val="18"/>
                <w:szCs w:val="18"/>
              </w:rPr>
              <w:t>II</w:t>
            </w:r>
          </w:p>
        </w:tc>
        <w:tc>
          <w:tcPr>
            <w:tcW w:w="1328"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780BE8B0" w14:textId="77777777" w:rsidR="00A048B2" w:rsidRPr="00D72C59" w:rsidRDefault="00A048B2" w:rsidP="006C063C">
            <w:pPr>
              <w:jc w:val="center"/>
              <w:rPr>
                <w:rFonts w:eastAsia="Arial" w:cs="Arial"/>
                <w:b/>
                <w:sz w:val="18"/>
                <w:szCs w:val="18"/>
              </w:rPr>
            </w:pPr>
            <w:r w:rsidRPr="00D72C59">
              <w:rPr>
                <w:rFonts w:eastAsia="Arial" w:cs="Arial"/>
                <w:b/>
                <w:sz w:val="18"/>
                <w:szCs w:val="18"/>
              </w:rPr>
              <w:t>III</w:t>
            </w:r>
          </w:p>
        </w:tc>
        <w:tc>
          <w:tcPr>
            <w:tcW w:w="1329"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7BEA939B" w14:textId="77777777" w:rsidR="00A048B2" w:rsidRPr="00D72C59" w:rsidRDefault="00A048B2" w:rsidP="006C063C">
            <w:pPr>
              <w:jc w:val="center"/>
              <w:rPr>
                <w:rFonts w:eastAsia="Arial" w:cs="Arial"/>
                <w:b/>
                <w:sz w:val="18"/>
                <w:szCs w:val="18"/>
              </w:rPr>
            </w:pPr>
            <w:r w:rsidRPr="00D72C59">
              <w:rPr>
                <w:rFonts w:eastAsia="Arial" w:cs="Arial"/>
                <w:b/>
                <w:sz w:val="18"/>
                <w:szCs w:val="18"/>
              </w:rPr>
              <w:t>IV</w:t>
            </w:r>
          </w:p>
        </w:tc>
        <w:tc>
          <w:tcPr>
            <w:tcW w:w="1329" w:type="dxa"/>
            <w:tcBorders>
              <w:top w:val="single" w:sz="4" w:space="0" w:color="000000" w:themeColor="text1"/>
              <w:left w:val="single" w:sz="4" w:space="0" w:color="000000" w:themeColor="text1"/>
            </w:tcBorders>
            <w:shd w:val="clear" w:color="auto" w:fill="DEEAF6" w:themeFill="accent5" w:themeFillTint="33"/>
            <w:vAlign w:val="center"/>
          </w:tcPr>
          <w:p w14:paraId="712DA242" w14:textId="77777777" w:rsidR="00A048B2" w:rsidRPr="00D72C59" w:rsidRDefault="00A048B2" w:rsidP="006C063C">
            <w:pPr>
              <w:jc w:val="center"/>
              <w:rPr>
                <w:rFonts w:eastAsia="Arial" w:cs="Arial"/>
                <w:b/>
                <w:sz w:val="18"/>
                <w:szCs w:val="18"/>
              </w:rPr>
            </w:pPr>
            <w:r w:rsidRPr="00D72C59">
              <w:rPr>
                <w:rFonts w:eastAsia="Arial" w:cs="Arial"/>
                <w:b/>
                <w:sz w:val="18"/>
                <w:szCs w:val="18"/>
              </w:rPr>
              <w:t>I</w:t>
            </w:r>
          </w:p>
        </w:tc>
      </w:tr>
      <w:tr w:rsidR="00A048B2" w:rsidRPr="00D72C59" w14:paraId="21C04984" w14:textId="77777777" w:rsidTr="006C063C">
        <w:trPr>
          <w:trHeight w:val="254"/>
        </w:trPr>
        <w:tc>
          <w:tcPr>
            <w:tcW w:w="2850" w:type="dxa"/>
          </w:tcPr>
          <w:p w14:paraId="41661695" w14:textId="77777777" w:rsidR="00A048B2" w:rsidRPr="00D72C59" w:rsidRDefault="00A048B2" w:rsidP="00A048B2">
            <w:pPr>
              <w:rPr>
                <w:rFonts w:eastAsia="Arial" w:cs="Arial"/>
                <w:bCs/>
                <w:sz w:val="18"/>
                <w:szCs w:val="18"/>
              </w:rPr>
            </w:pPr>
            <w:r w:rsidRPr="00D72C59">
              <w:rPr>
                <w:rFonts w:cs="Arial"/>
                <w:sz w:val="18"/>
                <w:szCs w:val="18"/>
              </w:rPr>
              <w:t>S1. Economía interna</w:t>
            </w:r>
          </w:p>
        </w:tc>
        <w:tc>
          <w:tcPr>
            <w:tcW w:w="1328" w:type="dxa"/>
            <w:vAlign w:val="center"/>
          </w:tcPr>
          <w:p w14:paraId="047D2707" w14:textId="7078BD6C" w:rsidR="00A048B2" w:rsidRPr="00D72C59" w:rsidRDefault="00A048B2" w:rsidP="00A048B2">
            <w:pPr>
              <w:jc w:val="right"/>
              <w:rPr>
                <w:rFonts w:eastAsia="Arial" w:cs="Arial"/>
                <w:bCs/>
                <w:sz w:val="18"/>
                <w:szCs w:val="18"/>
              </w:rPr>
            </w:pPr>
            <w:r w:rsidRPr="00D72C59">
              <w:rPr>
                <w:rFonts w:cs="Arial"/>
                <w:color w:val="000000"/>
                <w:sz w:val="18"/>
                <w:szCs w:val="18"/>
              </w:rPr>
              <w:t>-204,487</w:t>
            </w:r>
          </w:p>
        </w:tc>
        <w:tc>
          <w:tcPr>
            <w:tcW w:w="1329" w:type="dxa"/>
            <w:vAlign w:val="center"/>
          </w:tcPr>
          <w:p w14:paraId="504EE34D" w14:textId="6307C960" w:rsidR="00A048B2" w:rsidRPr="00D72C59" w:rsidRDefault="00A048B2" w:rsidP="00A048B2">
            <w:pPr>
              <w:ind w:right="40"/>
              <w:jc w:val="right"/>
              <w:rPr>
                <w:rFonts w:cs="Arial"/>
                <w:sz w:val="18"/>
                <w:szCs w:val="18"/>
              </w:rPr>
            </w:pPr>
            <w:r w:rsidRPr="00D72C59">
              <w:rPr>
                <w:rFonts w:cs="Arial"/>
                <w:color w:val="000000"/>
                <w:sz w:val="18"/>
                <w:szCs w:val="18"/>
              </w:rPr>
              <w:t>86,301</w:t>
            </w:r>
          </w:p>
        </w:tc>
        <w:tc>
          <w:tcPr>
            <w:tcW w:w="1328" w:type="dxa"/>
            <w:vAlign w:val="center"/>
          </w:tcPr>
          <w:p w14:paraId="7D72DDCE" w14:textId="3CC54C81" w:rsidR="00A048B2" w:rsidRPr="00D72C59" w:rsidRDefault="00A048B2" w:rsidP="00A048B2">
            <w:pPr>
              <w:jc w:val="right"/>
              <w:rPr>
                <w:rFonts w:cs="Arial"/>
                <w:sz w:val="18"/>
                <w:szCs w:val="18"/>
              </w:rPr>
            </w:pPr>
            <w:r w:rsidRPr="00D72C59">
              <w:rPr>
                <w:rFonts w:cs="Arial"/>
                <w:color w:val="000000"/>
                <w:sz w:val="18"/>
                <w:szCs w:val="18"/>
              </w:rPr>
              <w:t>19,526</w:t>
            </w:r>
          </w:p>
        </w:tc>
        <w:tc>
          <w:tcPr>
            <w:tcW w:w="1329" w:type="dxa"/>
            <w:vAlign w:val="center"/>
          </w:tcPr>
          <w:p w14:paraId="3AB42A10" w14:textId="7814C887" w:rsidR="00A048B2" w:rsidRPr="00D72C59" w:rsidRDefault="00A048B2" w:rsidP="00A048B2">
            <w:pPr>
              <w:ind w:right="32"/>
              <w:jc w:val="right"/>
              <w:rPr>
                <w:rFonts w:cs="Arial"/>
                <w:sz w:val="18"/>
                <w:szCs w:val="18"/>
              </w:rPr>
            </w:pPr>
            <w:r w:rsidRPr="00D72C59">
              <w:rPr>
                <w:rFonts w:cs="Arial"/>
                <w:color w:val="000000"/>
                <w:sz w:val="18"/>
                <w:szCs w:val="18"/>
              </w:rPr>
              <w:t>69,448</w:t>
            </w:r>
          </w:p>
        </w:tc>
        <w:tc>
          <w:tcPr>
            <w:tcW w:w="1329" w:type="dxa"/>
            <w:vAlign w:val="center"/>
          </w:tcPr>
          <w:p w14:paraId="2CBE75F7" w14:textId="505DD0D0" w:rsidR="00A048B2" w:rsidRPr="00D72C59" w:rsidRDefault="00A048B2" w:rsidP="00A048B2">
            <w:pPr>
              <w:jc w:val="right"/>
              <w:rPr>
                <w:rFonts w:cs="Arial"/>
                <w:sz w:val="18"/>
                <w:szCs w:val="18"/>
              </w:rPr>
            </w:pPr>
            <w:r w:rsidRPr="00D72C59">
              <w:rPr>
                <w:rFonts w:cs="Arial"/>
                <w:color w:val="000000"/>
                <w:sz w:val="18"/>
                <w:szCs w:val="18"/>
              </w:rPr>
              <w:t>3,102</w:t>
            </w:r>
          </w:p>
        </w:tc>
      </w:tr>
      <w:tr w:rsidR="00A048B2" w:rsidRPr="00D72C59" w14:paraId="1F3F01C6" w14:textId="77777777" w:rsidTr="006C063C">
        <w:trPr>
          <w:trHeight w:val="254"/>
        </w:trPr>
        <w:tc>
          <w:tcPr>
            <w:tcW w:w="2850" w:type="dxa"/>
            <w:shd w:val="clear" w:color="auto" w:fill="DEEAF6" w:themeFill="accent5" w:themeFillTint="33"/>
          </w:tcPr>
          <w:p w14:paraId="68D11D0D" w14:textId="66374ED3" w:rsidR="00A048B2" w:rsidRPr="00D72C59" w:rsidRDefault="00A048B2" w:rsidP="00A048B2">
            <w:pPr>
              <w:rPr>
                <w:rFonts w:eastAsia="Arial" w:cs="Arial"/>
                <w:bCs/>
                <w:sz w:val="18"/>
                <w:szCs w:val="18"/>
              </w:rPr>
            </w:pPr>
            <w:r w:rsidRPr="00D72C59">
              <w:rPr>
                <w:rFonts w:cs="Arial"/>
                <w:sz w:val="18"/>
                <w:szCs w:val="18"/>
              </w:rPr>
              <w:t xml:space="preserve">  S.11.Sociedades no financieras</w:t>
            </w:r>
          </w:p>
        </w:tc>
        <w:tc>
          <w:tcPr>
            <w:tcW w:w="1328" w:type="dxa"/>
            <w:shd w:val="clear" w:color="auto" w:fill="DEEAF6" w:themeFill="accent5" w:themeFillTint="33"/>
            <w:vAlign w:val="center"/>
          </w:tcPr>
          <w:p w14:paraId="39545C3B" w14:textId="3A209973" w:rsidR="00A048B2" w:rsidRPr="00D72C59" w:rsidRDefault="00A048B2" w:rsidP="00A048B2">
            <w:pPr>
              <w:jc w:val="right"/>
              <w:rPr>
                <w:rFonts w:eastAsia="Arial" w:cs="Arial"/>
                <w:bCs/>
                <w:sz w:val="18"/>
                <w:szCs w:val="18"/>
              </w:rPr>
            </w:pPr>
            <w:r w:rsidRPr="00D72C59">
              <w:rPr>
                <w:rFonts w:cs="Arial"/>
                <w:color w:val="000000"/>
                <w:sz w:val="18"/>
                <w:szCs w:val="18"/>
              </w:rPr>
              <w:t>-623,378</w:t>
            </w:r>
          </w:p>
        </w:tc>
        <w:tc>
          <w:tcPr>
            <w:tcW w:w="1329" w:type="dxa"/>
            <w:shd w:val="clear" w:color="auto" w:fill="DEEAF6" w:themeFill="accent5" w:themeFillTint="33"/>
            <w:vAlign w:val="center"/>
          </w:tcPr>
          <w:p w14:paraId="74631B79" w14:textId="0FAB9B1C" w:rsidR="00A048B2" w:rsidRPr="00D72C59" w:rsidRDefault="00A048B2" w:rsidP="00A048B2">
            <w:pPr>
              <w:ind w:right="40"/>
              <w:jc w:val="right"/>
              <w:rPr>
                <w:rFonts w:cs="Arial"/>
                <w:sz w:val="18"/>
                <w:szCs w:val="18"/>
              </w:rPr>
            </w:pPr>
            <w:r w:rsidRPr="00D72C59">
              <w:rPr>
                <w:rFonts w:cs="Arial"/>
                <w:color w:val="000000"/>
                <w:sz w:val="18"/>
                <w:szCs w:val="18"/>
              </w:rPr>
              <w:t>-260,377</w:t>
            </w:r>
          </w:p>
        </w:tc>
        <w:tc>
          <w:tcPr>
            <w:tcW w:w="1328" w:type="dxa"/>
            <w:shd w:val="clear" w:color="auto" w:fill="DEEAF6" w:themeFill="accent5" w:themeFillTint="33"/>
            <w:vAlign w:val="center"/>
          </w:tcPr>
          <w:p w14:paraId="1921DB35" w14:textId="456A3BD7" w:rsidR="00A048B2" w:rsidRPr="00D72C59" w:rsidRDefault="00A048B2" w:rsidP="00A048B2">
            <w:pPr>
              <w:jc w:val="right"/>
              <w:rPr>
                <w:rFonts w:cs="Arial"/>
                <w:sz w:val="18"/>
                <w:szCs w:val="18"/>
              </w:rPr>
            </w:pPr>
            <w:r w:rsidRPr="00D72C59">
              <w:rPr>
                <w:rFonts w:cs="Arial"/>
                <w:color w:val="000000"/>
                <w:sz w:val="18"/>
                <w:szCs w:val="18"/>
              </w:rPr>
              <w:t>-314,330</w:t>
            </w:r>
          </w:p>
        </w:tc>
        <w:tc>
          <w:tcPr>
            <w:tcW w:w="1329" w:type="dxa"/>
            <w:shd w:val="clear" w:color="auto" w:fill="DEEAF6" w:themeFill="accent5" w:themeFillTint="33"/>
            <w:vAlign w:val="center"/>
          </w:tcPr>
          <w:p w14:paraId="42E3499C" w14:textId="17868990" w:rsidR="00A048B2" w:rsidRPr="00D72C59" w:rsidRDefault="00A048B2" w:rsidP="00A048B2">
            <w:pPr>
              <w:ind w:right="32"/>
              <w:jc w:val="right"/>
              <w:rPr>
                <w:rFonts w:cs="Arial"/>
                <w:sz w:val="18"/>
                <w:szCs w:val="18"/>
              </w:rPr>
            </w:pPr>
            <w:r w:rsidRPr="00D72C59">
              <w:rPr>
                <w:rFonts w:cs="Arial"/>
                <w:color w:val="000000"/>
                <w:sz w:val="18"/>
                <w:szCs w:val="18"/>
              </w:rPr>
              <w:t>-132,558</w:t>
            </w:r>
          </w:p>
        </w:tc>
        <w:tc>
          <w:tcPr>
            <w:tcW w:w="1329" w:type="dxa"/>
            <w:shd w:val="clear" w:color="auto" w:fill="DEEAF6" w:themeFill="accent5" w:themeFillTint="33"/>
            <w:vAlign w:val="center"/>
          </w:tcPr>
          <w:p w14:paraId="248BB8D8" w14:textId="1F5826B7" w:rsidR="00A048B2" w:rsidRPr="00D72C59" w:rsidRDefault="00A048B2" w:rsidP="00A048B2">
            <w:pPr>
              <w:jc w:val="right"/>
              <w:rPr>
                <w:rFonts w:cs="Arial"/>
                <w:sz w:val="18"/>
                <w:szCs w:val="18"/>
              </w:rPr>
            </w:pPr>
            <w:r w:rsidRPr="00D72C59">
              <w:rPr>
                <w:rFonts w:cs="Arial"/>
                <w:color w:val="000000"/>
                <w:sz w:val="18"/>
                <w:szCs w:val="18"/>
              </w:rPr>
              <w:t>-431,715</w:t>
            </w:r>
          </w:p>
        </w:tc>
      </w:tr>
      <w:tr w:rsidR="00A048B2" w:rsidRPr="00D72C59" w14:paraId="4CC3D9CE" w14:textId="77777777" w:rsidTr="006C063C">
        <w:trPr>
          <w:trHeight w:val="254"/>
        </w:trPr>
        <w:tc>
          <w:tcPr>
            <w:tcW w:w="2850" w:type="dxa"/>
          </w:tcPr>
          <w:p w14:paraId="4F33D176" w14:textId="1C4B2DF9" w:rsidR="00A048B2" w:rsidRPr="00D72C59" w:rsidRDefault="00A048B2" w:rsidP="00A048B2">
            <w:pPr>
              <w:rPr>
                <w:rFonts w:eastAsia="Arial" w:cs="Arial"/>
                <w:bCs/>
                <w:sz w:val="18"/>
                <w:szCs w:val="18"/>
              </w:rPr>
            </w:pPr>
            <w:r w:rsidRPr="00D72C59">
              <w:rPr>
                <w:rFonts w:cs="Arial"/>
                <w:sz w:val="18"/>
                <w:szCs w:val="18"/>
              </w:rPr>
              <w:t xml:space="preserve">  S.12. Sociedades financieras</w:t>
            </w:r>
          </w:p>
        </w:tc>
        <w:tc>
          <w:tcPr>
            <w:tcW w:w="1328" w:type="dxa"/>
            <w:vAlign w:val="center"/>
          </w:tcPr>
          <w:p w14:paraId="11F76F1E" w14:textId="13D20650" w:rsidR="00A048B2" w:rsidRPr="00D72C59" w:rsidRDefault="00A048B2" w:rsidP="00A048B2">
            <w:pPr>
              <w:jc w:val="right"/>
              <w:rPr>
                <w:rFonts w:eastAsia="Arial" w:cs="Arial"/>
                <w:bCs/>
                <w:sz w:val="18"/>
                <w:szCs w:val="18"/>
              </w:rPr>
            </w:pPr>
            <w:r w:rsidRPr="00D72C59">
              <w:rPr>
                <w:rFonts w:cs="Arial"/>
                <w:color w:val="000000"/>
                <w:sz w:val="18"/>
                <w:szCs w:val="18"/>
              </w:rPr>
              <w:t>105,188</w:t>
            </w:r>
          </w:p>
        </w:tc>
        <w:tc>
          <w:tcPr>
            <w:tcW w:w="1329" w:type="dxa"/>
            <w:vAlign w:val="center"/>
          </w:tcPr>
          <w:p w14:paraId="5C6E7DCE" w14:textId="7B48D7A4" w:rsidR="00A048B2" w:rsidRPr="00D72C59" w:rsidRDefault="00A048B2" w:rsidP="00A048B2">
            <w:pPr>
              <w:ind w:right="40"/>
              <w:jc w:val="right"/>
              <w:rPr>
                <w:rFonts w:cs="Arial"/>
                <w:sz w:val="18"/>
                <w:szCs w:val="18"/>
              </w:rPr>
            </w:pPr>
            <w:r w:rsidRPr="00D72C59">
              <w:rPr>
                <w:rFonts w:cs="Arial"/>
                <w:color w:val="000000"/>
                <w:sz w:val="18"/>
                <w:szCs w:val="18"/>
              </w:rPr>
              <w:t>147,405</w:t>
            </w:r>
          </w:p>
        </w:tc>
        <w:tc>
          <w:tcPr>
            <w:tcW w:w="1328" w:type="dxa"/>
            <w:vAlign w:val="center"/>
          </w:tcPr>
          <w:p w14:paraId="15DD329D" w14:textId="3485B1B4" w:rsidR="00A048B2" w:rsidRPr="00D72C59" w:rsidRDefault="00A048B2" w:rsidP="00A048B2">
            <w:pPr>
              <w:jc w:val="right"/>
              <w:rPr>
                <w:rFonts w:cs="Arial"/>
                <w:sz w:val="18"/>
                <w:szCs w:val="18"/>
              </w:rPr>
            </w:pPr>
            <w:r w:rsidRPr="00D72C59">
              <w:rPr>
                <w:rFonts w:cs="Arial"/>
                <w:color w:val="000000"/>
                <w:sz w:val="18"/>
                <w:szCs w:val="18"/>
              </w:rPr>
              <w:t>124,564</w:t>
            </w:r>
          </w:p>
        </w:tc>
        <w:tc>
          <w:tcPr>
            <w:tcW w:w="1329" w:type="dxa"/>
            <w:vAlign w:val="center"/>
          </w:tcPr>
          <w:p w14:paraId="61EB5E4A" w14:textId="07FF1B70" w:rsidR="00A048B2" w:rsidRPr="00D72C59" w:rsidRDefault="00A048B2" w:rsidP="00A048B2">
            <w:pPr>
              <w:ind w:right="32"/>
              <w:jc w:val="right"/>
              <w:rPr>
                <w:rFonts w:cs="Arial"/>
                <w:sz w:val="18"/>
                <w:szCs w:val="18"/>
              </w:rPr>
            </w:pPr>
            <w:r w:rsidRPr="00D72C59">
              <w:rPr>
                <w:rFonts w:cs="Arial"/>
                <w:color w:val="000000"/>
                <w:sz w:val="18"/>
                <w:szCs w:val="18"/>
              </w:rPr>
              <w:t>143,239</w:t>
            </w:r>
          </w:p>
        </w:tc>
        <w:tc>
          <w:tcPr>
            <w:tcW w:w="1329" w:type="dxa"/>
            <w:vAlign w:val="center"/>
          </w:tcPr>
          <w:p w14:paraId="1D8D3200" w14:textId="60CC5161" w:rsidR="00A048B2" w:rsidRPr="00D72C59" w:rsidRDefault="00A048B2" w:rsidP="00A048B2">
            <w:pPr>
              <w:jc w:val="right"/>
              <w:rPr>
                <w:rFonts w:cs="Arial"/>
                <w:sz w:val="18"/>
                <w:szCs w:val="18"/>
              </w:rPr>
            </w:pPr>
            <w:r w:rsidRPr="00D72C59">
              <w:rPr>
                <w:rFonts w:cs="Arial"/>
                <w:color w:val="000000"/>
                <w:sz w:val="18"/>
                <w:szCs w:val="18"/>
              </w:rPr>
              <w:t>355,738</w:t>
            </w:r>
          </w:p>
        </w:tc>
      </w:tr>
      <w:tr w:rsidR="00A048B2" w:rsidRPr="00D72C59" w14:paraId="5CE6B91C" w14:textId="77777777" w:rsidTr="006C063C">
        <w:trPr>
          <w:trHeight w:val="254"/>
        </w:trPr>
        <w:tc>
          <w:tcPr>
            <w:tcW w:w="2850" w:type="dxa"/>
            <w:shd w:val="clear" w:color="auto" w:fill="DEEAF6" w:themeFill="accent5" w:themeFillTint="33"/>
          </w:tcPr>
          <w:p w14:paraId="10878955" w14:textId="3585720C" w:rsidR="00A048B2" w:rsidRPr="00D72C59" w:rsidRDefault="00A048B2" w:rsidP="00A048B2">
            <w:pPr>
              <w:rPr>
                <w:rFonts w:eastAsia="Arial" w:cs="Arial"/>
                <w:bCs/>
                <w:sz w:val="18"/>
                <w:szCs w:val="18"/>
              </w:rPr>
            </w:pPr>
            <w:r w:rsidRPr="00D72C59">
              <w:rPr>
                <w:rFonts w:cs="Arial"/>
                <w:sz w:val="18"/>
                <w:szCs w:val="18"/>
              </w:rPr>
              <w:t xml:space="preserve">  S.13. Gobierno general</w:t>
            </w:r>
          </w:p>
        </w:tc>
        <w:tc>
          <w:tcPr>
            <w:tcW w:w="1328" w:type="dxa"/>
            <w:shd w:val="clear" w:color="auto" w:fill="DEEAF6" w:themeFill="accent5" w:themeFillTint="33"/>
            <w:vAlign w:val="center"/>
          </w:tcPr>
          <w:p w14:paraId="3AAC3F05" w14:textId="195AF133" w:rsidR="00A048B2" w:rsidRPr="00D72C59" w:rsidRDefault="00A048B2" w:rsidP="00A048B2">
            <w:pPr>
              <w:jc w:val="right"/>
              <w:rPr>
                <w:rFonts w:eastAsia="Arial" w:cs="Arial"/>
                <w:bCs/>
                <w:sz w:val="18"/>
                <w:szCs w:val="18"/>
              </w:rPr>
            </w:pPr>
            <w:r w:rsidRPr="00D72C59">
              <w:rPr>
                <w:rFonts w:cs="Arial"/>
                <w:color w:val="000000"/>
                <w:sz w:val="18"/>
                <w:szCs w:val="18"/>
              </w:rPr>
              <w:t>-173,867</w:t>
            </w:r>
          </w:p>
        </w:tc>
        <w:tc>
          <w:tcPr>
            <w:tcW w:w="1329" w:type="dxa"/>
            <w:shd w:val="clear" w:color="auto" w:fill="DEEAF6" w:themeFill="accent5" w:themeFillTint="33"/>
            <w:vAlign w:val="center"/>
          </w:tcPr>
          <w:p w14:paraId="7CFA850B" w14:textId="50E3E7C6" w:rsidR="00A048B2" w:rsidRPr="00D72C59" w:rsidRDefault="00A048B2" w:rsidP="00A048B2">
            <w:pPr>
              <w:ind w:right="40"/>
              <w:jc w:val="right"/>
              <w:rPr>
                <w:rFonts w:cs="Arial"/>
                <w:sz w:val="18"/>
                <w:szCs w:val="18"/>
              </w:rPr>
            </w:pPr>
            <w:r w:rsidRPr="00D72C59">
              <w:rPr>
                <w:rFonts w:cs="Arial"/>
                <w:color w:val="000000"/>
                <w:sz w:val="18"/>
                <w:szCs w:val="18"/>
              </w:rPr>
              <w:t>-319,326</w:t>
            </w:r>
          </w:p>
        </w:tc>
        <w:tc>
          <w:tcPr>
            <w:tcW w:w="1328" w:type="dxa"/>
            <w:shd w:val="clear" w:color="auto" w:fill="DEEAF6" w:themeFill="accent5" w:themeFillTint="33"/>
            <w:vAlign w:val="center"/>
          </w:tcPr>
          <w:p w14:paraId="31CEFC38" w14:textId="523F8440" w:rsidR="00A048B2" w:rsidRPr="00D72C59" w:rsidRDefault="00A048B2" w:rsidP="00A048B2">
            <w:pPr>
              <w:jc w:val="right"/>
              <w:rPr>
                <w:rFonts w:cs="Arial"/>
                <w:sz w:val="18"/>
                <w:szCs w:val="18"/>
              </w:rPr>
            </w:pPr>
            <w:r w:rsidRPr="00D72C59">
              <w:rPr>
                <w:rFonts w:cs="Arial"/>
                <w:color w:val="000000"/>
                <w:sz w:val="18"/>
                <w:szCs w:val="18"/>
              </w:rPr>
              <w:t>-288,862</w:t>
            </w:r>
          </w:p>
        </w:tc>
        <w:tc>
          <w:tcPr>
            <w:tcW w:w="1329" w:type="dxa"/>
            <w:shd w:val="clear" w:color="auto" w:fill="DEEAF6" w:themeFill="accent5" w:themeFillTint="33"/>
            <w:vAlign w:val="center"/>
          </w:tcPr>
          <w:p w14:paraId="6CAEC8AF" w14:textId="69C1659C" w:rsidR="00A048B2" w:rsidRPr="00D72C59" w:rsidRDefault="00A048B2" w:rsidP="00A048B2">
            <w:pPr>
              <w:ind w:right="32"/>
              <w:jc w:val="right"/>
              <w:rPr>
                <w:rFonts w:cs="Arial"/>
                <w:sz w:val="18"/>
                <w:szCs w:val="18"/>
              </w:rPr>
            </w:pPr>
            <w:r w:rsidRPr="00D72C59">
              <w:rPr>
                <w:rFonts w:cs="Arial"/>
                <w:color w:val="000000"/>
                <w:sz w:val="18"/>
                <w:szCs w:val="18"/>
              </w:rPr>
              <w:t>-373,699</w:t>
            </w:r>
          </w:p>
        </w:tc>
        <w:tc>
          <w:tcPr>
            <w:tcW w:w="1329" w:type="dxa"/>
            <w:shd w:val="clear" w:color="auto" w:fill="DEEAF6" w:themeFill="accent5" w:themeFillTint="33"/>
            <w:vAlign w:val="center"/>
          </w:tcPr>
          <w:p w14:paraId="0855C156" w14:textId="3B64141F" w:rsidR="00A048B2" w:rsidRPr="00D72C59" w:rsidRDefault="00A048B2" w:rsidP="00A048B2">
            <w:pPr>
              <w:jc w:val="right"/>
              <w:rPr>
                <w:rFonts w:cs="Arial"/>
                <w:sz w:val="18"/>
                <w:szCs w:val="18"/>
              </w:rPr>
            </w:pPr>
            <w:r w:rsidRPr="00D72C59">
              <w:rPr>
                <w:rFonts w:cs="Arial"/>
                <w:color w:val="000000"/>
                <w:sz w:val="18"/>
                <w:szCs w:val="18"/>
              </w:rPr>
              <w:t>-128,438</w:t>
            </w:r>
          </w:p>
        </w:tc>
      </w:tr>
      <w:tr w:rsidR="00A048B2" w:rsidRPr="00D72C59" w14:paraId="1ABB55F7" w14:textId="77777777" w:rsidTr="006C063C">
        <w:trPr>
          <w:trHeight w:val="254"/>
        </w:trPr>
        <w:tc>
          <w:tcPr>
            <w:tcW w:w="2850" w:type="dxa"/>
          </w:tcPr>
          <w:p w14:paraId="1A586235" w14:textId="3146B0E1" w:rsidR="00A048B2" w:rsidRPr="00D72C59" w:rsidRDefault="00A048B2" w:rsidP="00A048B2">
            <w:pPr>
              <w:rPr>
                <w:rFonts w:eastAsia="Arial" w:cs="Arial"/>
                <w:bCs/>
                <w:sz w:val="18"/>
                <w:szCs w:val="18"/>
              </w:rPr>
            </w:pPr>
            <w:r w:rsidRPr="00D72C59">
              <w:rPr>
                <w:rFonts w:cs="Arial"/>
                <w:sz w:val="18"/>
                <w:szCs w:val="18"/>
              </w:rPr>
              <w:t xml:space="preserve">  S.14. Hogares</w:t>
            </w:r>
          </w:p>
        </w:tc>
        <w:tc>
          <w:tcPr>
            <w:tcW w:w="1328" w:type="dxa"/>
            <w:vAlign w:val="center"/>
          </w:tcPr>
          <w:p w14:paraId="4BBC4878" w14:textId="0964CC2C" w:rsidR="00A048B2" w:rsidRPr="00D72C59" w:rsidRDefault="00A048B2" w:rsidP="00A048B2">
            <w:pPr>
              <w:jc w:val="right"/>
              <w:rPr>
                <w:rFonts w:eastAsia="Arial" w:cs="Arial"/>
                <w:bCs/>
                <w:sz w:val="18"/>
                <w:szCs w:val="18"/>
              </w:rPr>
            </w:pPr>
            <w:r w:rsidRPr="00D72C59">
              <w:rPr>
                <w:rFonts w:cs="Arial"/>
                <w:color w:val="000000"/>
                <w:sz w:val="18"/>
                <w:szCs w:val="18"/>
              </w:rPr>
              <w:t>404,884</w:t>
            </w:r>
          </w:p>
        </w:tc>
        <w:tc>
          <w:tcPr>
            <w:tcW w:w="1329" w:type="dxa"/>
            <w:vAlign w:val="center"/>
          </w:tcPr>
          <w:p w14:paraId="11350CCC" w14:textId="7AF95E77" w:rsidR="00A048B2" w:rsidRPr="00D72C59" w:rsidRDefault="00A048B2" w:rsidP="00A048B2">
            <w:pPr>
              <w:ind w:right="40"/>
              <w:jc w:val="right"/>
              <w:rPr>
                <w:rFonts w:cs="Arial"/>
                <w:sz w:val="18"/>
                <w:szCs w:val="18"/>
              </w:rPr>
            </w:pPr>
            <w:r w:rsidRPr="00D72C59">
              <w:rPr>
                <w:rFonts w:cs="Arial"/>
                <w:color w:val="000000"/>
                <w:sz w:val="18"/>
                <w:szCs w:val="18"/>
              </w:rPr>
              <w:t>440,851</w:t>
            </w:r>
          </w:p>
        </w:tc>
        <w:tc>
          <w:tcPr>
            <w:tcW w:w="1328" w:type="dxa"/>
            <w:vAlign w:val="center"/>
          </w:tcPr>
          <w:p w14:paraId="3B38A27C" w14:textId="4BA9FB0F" w:rsidR="00A048B2" w:rsidRPr="00D72C59" w:rsidRDefault="00A048B2" w:rsidP="00A048B2">
            <w:pPr>
              <w:jc w:val="right"/>
              <w:rPr>
                <w:rFonts w:cs="Arial"/>
                <w:sz w:val="18"/>
                <w:szCs w:val="18"/>
              </w:rPr>
            </w:pPr>
            <w:r w:rsidRPr="00D72C59">
              <w:rPr>
                <w:rFonts w:cs="Arial"/>
                <w:color w:val="000000"/>
                <w:sz w:val="18"/>
                <w:szCs w:val="18"/>
              </w:rPr>
              <w:t>404,036</w:t>
            </w:r>
          </w:p>
        </w:tc>
        <w:tc>
          <w:tcPr>
            <w:tcW w:w="1329" w:type="dxa"/>
            <w:vAlign w:val="center"/>
          </w:tcPr>
          <w:p w14:paraId="06BE479E" w14:textId="531143CB" w:rsidR="00A048B2" w:rsidRPr="00D72C59" w:rsidRDefault="00A048B2" w:rsidP="00A048B2">
            <w:pPr>
              <w:ind w:right="32"/>
              <w:jc w:val="right"/>
              <w:rPr>
                <w:rFonts w:cs="Arial"/>
                <w:sz w:val="18"/>
                <w:szCs w:val="18"/>
              </w:rPr>
            </w:pPr>
            <w:r w:rsidRPr="00D72C59">
              <w:rPr>
                <w:rFonts w:cs="Arial"/>
                <w:color w:val="000000"/>
                <w:sz w:val="18"/>
                <w:szCs w:val="18"/>
              </w:rPr>
              <w:t>338,513</w:t>
            </w:r>
          </w:p>
        </w:tc>
        <w:tc>
          <w:tcPr>
            <w:tcW w:w="1329" w:type="dxa"/>
            <w:vAlign w:val="center"/>
          </w:tcPr>
          <w:p w14:paraId="4CCE2056" w14:textId="58629850" w:rsidR="00A048B2" w:rsidRPr="00D72C59" w:rsidRDefault="00A048B2" w:rsidP="00A048B2">
            <w:pPr>
              <w:jc w:val="right"/>
              <w:rPr>
                <w:rFonts w:cs="Arial"/>
                <w:sz w:val="18"/>
                <w:szCs w:val="18"/>
              </w:rPr>
            </w:pPr>
            <w:r w:rsidRPr="00D72C59">
              <w:rPr>
                <w:rFonts w:cs="Arial"/>
                <w:color w:val="000000"/>
                <w:sz w:val="18"/>
                <w:szCs w:val="18"/>
              </w:rPr>
              <w:t>109,434</w:t>
            </w:r>
          </w:p>
        </w:tc>
      </w:tr>
      <w:tr w:rsidR="00A048B2" w:rsidRPr="00D72C59" w14:paraId="69B71F95" w14:textId="77777777" w:rsidTr="006C063C">
        <w:trPr>
          <w:trHeight w:val="254"/>
        </w:trPr>
        <w:tc>
          <w:tcPr>
            <w:tcW w:w="2850" w:type="dxa"/>
            <w:shd w:val="clear" w:color="auto" w:fill="DEEAF6" w:themeFill="accent5" w:themeFillTint="33"/>
          </w:tcPr>
          <w:p w14:paraId="1FDDAC97" w14:textId="69A80E8D" w:rsidR="00A048B2" w:rsidRPr="00D72C59" w:rsidRDefault="00A048B2" w:rsidP="00A048B2">
            <w:pPr>
              <w:rPr>
                <w:rFonts w:eastAsia="Arial" w:cs="Arial"/>
                <w:bCs/>
                <w:sz w:val="18"/>
                <w:szCs w:val="18"/>
              </w:rPr>
            </w:pPr>
            <w:r w:rsidRPr="00D72C59">
              <w:rPr>
                <w:rFonts w:cs="Arial"/>
                <w:sz w:val="18"/>
                <w:szCs w:val="18"/>
              </w:rPr>
              <w:t xml:space="preserve">  S.15. ISFLSH</w:t>
            </w:r>
            <w:r w:rsidR="00FA2A49">
              <w:rPr>
                <w:rFonts w:cs="Arial"/>
                <w:sz w:val="18"/>
                <w:szCs w:val="18"/>
              </w:rPr>
              <w:t>*</w:t>
            </w:r>
          </w:p>
        </w:tc>
        <w:tc>
          <w:tcPr>
            <w:tcW w:w="1328" w:type="dxa"/>
            <w:shd w:val="clear" w:color="auto" w:fill="DEEAF6" w:themeFill="accent5" w:themeFillTint="33"/>
            <w:vAlign w:val="center"/>
          </w:tcPr>
          <w:p w14:paraId="1632D7C1" w14:textId="597A1F89" w:rsidR="00A048B2" w:rsidRPr="00D72C59" w:rsidRDefault="00A048B2" w:rsidP="00A048B2">
            <w:pPr>
              <w:jc w:val="right"/>
              <w:rPr>
                <w:rFonts w:eastAsia="Arial" w:cs="Arial"/>
                <w:bCs/>
                <w:sz w:val="18"/>
                <w:szCs w:val="18"/>
              </w:rPr>
            </w:pPr>
            <w:r w:rsidRPr="00D72C59">
              <w:rPr>
                <w:rFonts w:cs="Arial"/>
                <w:color w:val="000000"/>
                <w:sz w:val="18"/>
                <w:szCs w:val="18"/>
              </w:rPr>
              <w:t>82,685</w:t>
            </w:r>
          </w:p>
        </w:tc>
        <w:tc>
          <w:tcPr>
            <w:tcW w:w="1329" w:type="dxa"/>
            <w:shd w:val="clear" w:color="auto" w:fill="DEEAF6" w:themeFill="accent5" w:themeFillTint="33"/>
            <w:vAlign w:val="center"/>
          </w:tcPr>
          <w:p w14:paraId="378BB1C0" w14:textId="3D18A8E1" w:rsidR="00A048B2" w:rsidRPr="00D72C59" w:rsidRDefault="00A048B2" w:rsidP="00A048B2">
            <w:pPr>
              <w:ind w:right="40"/>
              <w:jc w:val="right"/>
              <w:rPr>
                <w:rFonts w:cs="Arial"/>
                <w:sz w:val="18"/>
                <w:szCs w:val="18"/>
              </w:rPr>
            </w:pPr>
            <w:r w:rsidRPr="00D72C59">
              <w:rPr>
                <w:rFonts w:cs="Arial"/>
                <w:color w:val="000000"/>
                <w:sz w:val="18"/>
                <w:szCs w:val="18"/>
              </w:rPr>
              <w:t>77,748</w:t>
            </w:r>
          </w:p>
        </w:tc>
        <w:tc>
          <w:tcPr>
            <w:tcW w:w="1328" w:type="dxa"/>
            <w:shd w:val="clear" w:color="auto" w:fill="DEEAF6" w:themeFill="accent5" w:themeFillTint="33"/>
            <w:vAlign w:val="center"/>
          </w:tcPr>
          <w:p w14:paraId="052ED3CB" w14:textId="76139EF8" w:rsidR="00A048B2" w:rsidRPr="00D72C59" w:rsidRDefault="00A048B2" w:rsidP="00A048B2">
            <w:pPr>
              <w:jc w:val="right"/>
              <w:rPr>
                <w:rFonts w:cs="Arial"/>
                <w:sz w:val="18"/>
                <w:szCs w:val="18"/>
              </w:rPr>
            </w:pPr>
            <w:r w:rsidRPr="00D72C59">
              <w:rPr>
                <w:rFonts w:cs="Arial"/>
                <w:color w:val="000000"/>
                <w:sz w:val="18"/>
                <w:szCs w:val="18"/>
              </w:rPr>
              <w:t>94,117</w:t>
            </w:r>
          </w:p>
        </w:tc>
        <w:tc>
          <w:tcPr>
            <w:tcW w:w="1329" w:type="dxa"/>
            <w:shd w:val="clear" w:color="auto" w:fill="DEEAF6" w:themeFill="accent5" w:themeFillTint="33"/>
            <w:vAlign w:val="center"/>
          </w:tcPr>
          <w:p w14:paraId="707FB955" w14:textId="69C68B20" w:rsidR="00A048B2" w:rsidRPr="00D72C59" w:rsidRDefault="00A048B2" w:rsidP="00A048B2">
            <w:pPr>
              <w:ind w:right="32"/>
              <w:jc w:val="right"/>
              <w:rPr>
                <w:rFonts w:cs="Arial"/>
                <w:sz w:val="18"/>
                <w:szCs w:val="18"/>
              </w:rPr>
            </w:pPr>
            <w:r w:rsidRPr="00D72C59">
              <w:rPr>
                <w:rFonts w:cs="Arial"/>
                <w:color w:val="000000"/>
                <w:sz w:val="18"/>
                <w:szCs w:val="18"/>
              </w:rPr>
              <w:t>93,952</w:t>
            </w:r>
          </w:p>
        </w:tc>
        <w:tc>
          <w:tcPr>
            <w:tcW w:w="1329" w:type="dxa"/>
            <w:shd w:val="clear" w:color="auto" w:fill="DEEAF6" w:themeFill="accent5" w:themeFillTint="33"/>
            <w:vAlign w:val="center"/>
          </w:tcPr>
          <w:p w14:paraId="6EF5E09F" w14:textId="00D42E5C" w:rsidR="00A048B2" w:rsidRPr="00D72C59" w:rsidRDefault="00A048B2" w:rsidP="00A048B2">
            <w:pPr>
              <w:jc w:val="right"/>
              <w:rPr>
                <w:rFonts w:cs="Arial"/>
                <w:sz w:val="18"/>
                <w:szCs w:val="18"/>
              </w:rPr>
            </w:pPr>
            <w:r w:rsidRPr="00D72C59">
              <w:rPr>
                <w:rFonts w:cs="Arial"/>
                <w:color w:val="000000"/>
                <w:sz w:val="18"/>
                <w:szCs w:val="18"/>
              </w:rPr>
              <w:t>98,084</w:t>
            </w:r>
          </w:p>
        </w:tc>
      </w:tr>
      <w:tr w:rsidR="00A048B2" w:rsidRPr="00D72C59" w14:paraId="475ED147" w14:textId="77777777" w:rsidTr="00A048B2">
        <w:trPr>
          <w:trHeight w:val="254"/>
        </w:trPr>
        <w:tc>
          <w:tcPr>
            <w:tcW w:w="2850" w:type="dxa"/>
            <w:shd w:val="clear" w:color="auto" w:fill="FFFFFF" w:themeFill="background1"/>
          </w:tcPr>
          <w:p w14:paraId="53EDAEBD" w14:textId="738AD9A2" w:rsidR="00A048B2" w:rsidRPr="00D72C59" w:rsidRDefault="00A048B2" w:rsidP="00A048B2">
            <w:pPr>
              <w:rPr>
                <w:rFonts w:cs="Arial"/>
                <w:sz w:val="18"/>
                <w:szCs w:val="18"/>
              </w:rPr>
            </w:pPr>
            <w:r w:rsidRPr="00D72C59">
              <w:rPr>
                <w:rFonts w:cs="Arial"/>
                <w:sz w:val="18"/>
                <w:szCs w:val="18"/>
              </w:rPr>
              <w:t>S2. Resto del Mundo</w:t>
            </w:r>
          </w:p>
        </w:tc>
        <w:tc>
          <w:tcPr>
            <w:tcW w:w="1328" w:type="dxa"/>
            <w:shd w:val="clear" w:color="auto" w:fill="FFFFFF" w:themeFill="background1"/>
            <w:vAlign w:val="center"/>
          </w:tcPr>
          <w:p w14:paraId="60555EAD" w14:textId="670329D4" w:rsidR="00A048B2" w:rsidRPr="00D72C59" w:rsidRDefault="00A048B2" w:rsidP="00A048B2">
            <w:pPr>
              <w:jc w:val="right"/>
              <w:rPr>
                <w:rFonts w:cs="Arial"/>
                <w:color w:val="000000"/>
                <w:sz w:val="18"/>
                <w:szCs w:val="18"/>
              </w:rPr>
            </w:pPr>
            <w:r w:rsidRPr="00D72C59">
              <w:rPr>
                <w:rFonts w:cs="Arial"/>
                <w:color w:val="000000"/>
                <w:sz w:val="18"/>
                <w:szCs w:val="18"/>
              </w:rPr>
              <w:t>204,487</w:t>
            </w:r>
          </w:p>
        </w:tc>
        <w:tc>
          <w:tcPr>
            <w:tcW w:w="1329" w:type="dxa"/>
            <w:shd w:val="clear" w:color="auto" w:fill="FFFFFF" w:themeFill="background1"/>
            <w:vAlign w:val="center"/>
          </w:tcPr>
          <w:p w14:paraId="461E00C4" w14:textId="7F68A2DF" w:rsidR="00A048B2" w:rsidRPr="00D72C59" w:rsidRDefault="00A048B2" w:rsidP="00A048B2">
            <w:pPr>
              <w:ind w:right="40"/>
              <w:jc w:val="right"/>
              <w:rPr>
                <w:rFonts w:cs="Arial"/>
                <w:color w:val="000000"/>
                <w:sz w:val="18"/>
                <w:szCs w:val="18"/>
              </w:rPr>
            </w:pPr>
            <w:r w:rsidRPr="00D72C59">
              <w:rPr>
                <w:rFonts w:cs="Arial"/>
                <w:color w:val="000000"/>
                <w:sz w:val="18"/>
                <w:szCs w:val="18"/>
              </w:rPr>
              <w:t>-86,301</w:t>
            </w:r>
          </w:p>
        </w:tc>
        <w:tc>
          <w:tcPr>
            <w:tcW w:w="1328" w:type="dxa"/>
            <w:shd w:val="clear" w:color="auto" w:fill="FFFFFF" w:themeFill="background1"/>
            <w:vAlign w:val="center"/>
          </w:tcPr>
          <w:p w14:paraId="08104AF4" w14:textId="6C3D5027" w:rsidR="00A048B2" w:rsidRPr="00D72C59" w:rsidRDefault="00A048B2" w:rsidP="00A048B2">
            <w:pPr>
              <w:jc w:val="right"/>
              <w:rPr>
                <w:rFonts w:cs="Arial"/>
                <w:color w:val="000000"/>
                <w:sz w:val="18"/>
                <w:szCs w:val="18"/>
              </w:rPr>
            </w:pPr>
            <w:r w:rsidRPr="00D72C59">
              <w:rPr>
                <w:rFonts w:cs="Arial"/>
                <w:color w:val="000000"/>
                <w:sz w:val="18"/>
                <w:szCs w:val="18"/>
              </w:rPr>
              <w:t>-19,526</w:t>
            </w:r>
          </w:p>
        </w:tc>
        <w:tc>
          <w:tcPr>
            <w:tcW w:w="1329" w:type="dxa"/>
            <w:shd w:val="clear" w:color="auto" w:fill="FFFFFF" w:themeFill="background1"/>
            <w:vAlign w:val="center"/>
          </w:tcPr>
          <w:p w14:paraId="74182DC2" w14:textId="0738CDD9" w:rsidR="00A048B2" w:rsidRPr="00D72C59" w:rsidRDefault="00A048B2" w:rsidP="00A048B2">
            <w:pPr>
              <w:ind w:right="32"/>
              <w:jc w:val="right"/>
              <w:rPr>
                <w:rFonts w:cs="Arial"/>
                <w:color w:val="000000"/>
                <w:sz w:val="18"/>
                <w:szCs w:val="18"/>
              </w:rPr>
            </w:pPr>
            <w:r w:rsidRPr="00D72C59">
              <w:rPr>
                <w:rFonts w:cs="Arial"/>
                <w:color w:val="000000"/>
                <w:sz w:val="18"/>
                <w:szCs w:val="18"/>
              </w:rPr>
              <w:t>-69,448</w:t>
            </w:r>
          </w:p>
        </w:tc>
        <w:tc>
          <w:tcPr>
            <w:tcW w:w="1329" w:type="dxa"/>
            <w:shd w:val="clear" w:color="auto" w:fill="FFFFFF" w:themeFill="background1"/>
            <w:vAlign w:val="center"/>
          </w:tcPr>
          <w:p w14:paraId="5EA05161" w14:textId="293DC40B" w:rsidR="00A048B2" w:rsidRPr="00D72C59" w:rsidRDefault="00A048B2" w:rsidP="00A048B2">
            <w:pPr>
              <w:jc w:val="right"/>
              <w:rPr>
                <w:rFonts w:cs="Arial"/>
                <w:color w:val="000000"/>
                <w:sz w:val="18"/>
                <w:szCs w:val="18"/>
              </w:rPr>
            </w:pPr>
            <w:r w:rsidRPr="00D72C59">
              <w:rPr>
                <w:rFonts w:cs="Arial"/>
                <w:color w:val="000000"/>
                <w:sz w:val="18"/>
                <w:szCs w:val="18"/>
              </w:rPr>
              <w:t>-3,102</w:t>
            </w:r>
          </w:p>
        </w:tc>
      </w:tr>
    </w:tbl>
    <w:p w14:paraId="65F8110D" w14:textId="77777777" w:rsidR="00FA2A49" w:rsidRDefault="00FA2A49" w:rsidP="00FA2A49">
      <w:pPr>
        <w:ind w:left="142"/>
        <w:rPr>
          <w:rFonts w:eastAsia="Arial" w:cs="Arial"/>
          <w:noProof/>
          <w:sz w:val="16"/>
          <w:szCs w:val="16"/>
          <w:lang w:val="es-MX" w:eastAsia="es-MX"/>
        </w:rPr>
      </w:pPr>
      <w:r>
        <w:rPr>
          <w:rFonts w:eastAsia="Arial" w:cs="Arial"/>
          <w:noProof/>
          <w:sz w:val="16"/>
          <w:szCs w:val="16"/>
          <w:lang w:val="es-MX" w:eastAsia="es-MX"/>
        </w:rPr>
        <w:t xml:space="preserve">Nota: </w:t>
      </w:r>
      <w:r>
        <w:rPr>
          <w:rFonts w:eastAsia="Arial" w:cs="Arial"/>
          <w:sz w:val="16"/>
          <w:szCs w:val="16"/>
        </w:rPr>
        <w:t>La suma o resta de los parciales pueden no coincidir con los totales debido al redondeo</w:t>
      </w:r>
    </w:p>
    <w:p w14:paraId="09F44CFC" w14:textId="77777777" w:rsidR="00FA2A49" w:rsidRDefault="00FA2A49" w:rsidP="00FA2A49">
      <w:pPr>
        <w:ind w:left="142"/>
        <w:rPr>
          <w:rFonts w:eastAsia="Arial" w:cs="Arial"/>
          <w:noProof/>
          <w:sz w:val="16"/>
          <w:szCs w:val="16"/>
          <w:lang w:val="es-MX" w:eastAsia="es-MX"/>
        </w:rPr>
      </w:pPr>
      <w:r>
        <w:rPr>
          <w:rFonts w:eastAsia="Arial" w:cs="Arial"/>
          <w:noProof/>
          <w:sz w:val="16"/>
          <w:szCs w:val="16"/>
          <w:lang w:val="es-MX" w:eastAsia="es-MX"/>
        </w:rPr>
        <w:t>* ISFLSH: Instituciones sin fines de lucro que sirven a los hogares</w:t>
      </w:r>
    </w:p>
    <w:p w14:paraId="12D08833" w14:textId="77777777" w:rsidR="006B760B" w:rsidRPr="00104E17" w:rsidRDefault="006B760B" w:rsidP="00104E17">
      <w:pPr>
        <w:ind w:left="142"/>
        <w:rPr>
          <w:rFonts w:eastAsia="Arial" w:cs="Arial"/>
          <w:b/>
          <w:bCs/>
          <w:sz w:val="16"/>
          <w:szCs w:val="16"/>
          <w:lang w:val="es-ES_tradnl"/>
        </w:rPr>
      </w:pPr>
      <w:r w:rsidRPr="00104E17">
        <w:rPr>
          <w:rFonts w:eastAsia="Arial" w:cs="Arial"/>
          <w:noProof/>
          <w:sz w:val="16"/>
          <w:szCs w:val="16"/>
          <w:lang w:val="es-MX" w:eastAsia="es-MX"/>
        </w:rPr>
        <w:t>Fuente:INEGI</w:t>
      </w:r>
    </w:p>
    <w:p w14:paraId="6505CDF0" w14:textId="77777777" w:rsidR="006B760B" w:rsidRPr="00785514" w:rsidRDefault="006B760B" w:rsidP="006B760B">
      <w:pPr>
        <w:spacing w:before="120"/>
        <w:jc w:val="both"/>
        <w:rPr>
          <w:rFonts w:eastAsia="Arial" w:cs="Arial"/>
          <w:bCs/>
          <w:lang w:val="es-ES_tradnl"/>
        </w:rPr>
      </w:pPr>
    </w:p>
    <w:p w14:paraId="42C16108" w14:textId="77777777" w:rsidR="00392F2A" w:rsidRDefault="00392F2A" w:rsidP="00785514">
      <w:pPr>
        <w:spacing w:before="120"/>
        <w:rPr>
          <w:rFonts w:eastAsia="Arial" w:cs="Arial"/>
          <w:b/>
          <w:bCs/>
          <w:i/>
          <w:iCs/>
          <w:sz w:val="22"/>
          <w:szCs w:val="20"/>
        </w:rPr>
      </w:pPr>
    </w:p>
    <w:p w14:paraId="27508BBE" w14:textId="638364DD" w:rsidR="006B760B" w:rsidRDefault="006B760B" w:rsidP="00785514">
      <w:pPr>
        <w:spacing w:before="120"/>
        <w:rPr>
          <w:rFonts w:eastAsia="Arial" w:cs="Arial"/>
          <w:b/>
          <w:bCs/>
          <w:i/>
          <w:iCs/>
          <w:sz w:val="22"/>
          <w:szCs w:val="20"/>
        </w:rPr>
      </w:pPr>
      <w:r w:rsidRPr="006B760B">
        <w:rPr>
          <w:rFonts w:eastAsia="Arial" w:cs="Arial"/>
          <w:b/>
          <w:bCs/>
          <w:i/>
          <w:iCs/>
          <w:sz w:val="22"/>
          <w:szCs w:val="20"/>
        </w:rPr>
        <w:lastRenderedPageBreak/>
        <w:t>Valor neto</w:t>
      </w:r>
    </w:p>
    <w:p w14:paraId="5CB50A51" w14:textId="542ACF3B" w:rsidR="00E20ECC" w:rsidRPr="00785514" w:rsidRDefault="00E20ECC" w:rsidP="00E20ECC">
      <w:pPr>
        <w:autoSpaceDE w:val="0"/>
        <w:autoSpaceDN w:val="0"/>
        <w:adjustRightInd w:val="0"/>
        <w:spacing w:before="120"/>
        <w:jc w:val="both"/>
        <w:rPr>
          <w:rFonts w:eastAsia="Arial" w:cs="Arial"/>
          <w:bCs/>
          <w:highlight w:val="yellow"/>
          <w:lang w:val="es-ES_tradnl"/>
        </w:rPr>
      </w:pPr>
      <w:r w:rsidRPr="00785514">
        <w:rPr>
          <w:rFonts w:eastAsia="Arial" w:cs="Arial"/>
          <w:bCs/>
          <w:lang w:val="es-ES_tradnl"/>
        </w:rPr>
        <w:t xml:space="preserve">El valor neto representa todos los activos que posee una unidad o sector institucional menos el valor de todos sus pasivos pendientes. Por lo que éste constituye una medida de riqueza y </w:t>
      </w:r>
      <w:r w:rsidR="00471BB3" w:rsidRPr="00785514">
        <w:rPr>
          <w:rFonts w:eastAsia="Arial" w:cs="Arial"/>
          <w:bCs/>
          <w:lang w:val="es-ES_tradnl"/>
        </w:rPr>
        <w:t>está</w:t>
      </w:r>
      <w:r w:rsidRPr="00785514">
        <w:rPr>
          <w:rFonts w:eastAsia="Arial" w:cs="Arial"/>
          <w:bCs/>
          <w:lang w:val="es-ES_tradnl"/>
        </w:rPr>
        <w:t xml:space="preserve"> representado en su totalidad por los activos no financieros.</w:t>
      </w:r>
      <w:r w:rsidR="00671904">
        <w:rPr>
          <w:rFonts w:eastAsia="Arial" w:cs="Arial"/>
          <w:bCs/>
          <w:lang w:val="es-ES_tradnl"/>
        </w:rPr>
        <w:t xml:space="preserve"> </w:t>
      </w:r>
      <w:r w:rsidR="00671904" w:rsidRPr="00671904">
        <w:rPr>
          <w:rFonts w:eastAsia="Arial" w:cs="Arial"/>
          <w:bCs/>
          <w:lang w:val="es-ES_tradnl"/>
        </w:rPr>
        <w:t>Donde el 93.3% es generado por los sectores institucionales de la economía interna y el restante 6.2% lo realizó el Resto del mundo.</w:t>
      </w:r>
    </w:p>
    <w:p w14:paraId="4B6B7F0E" w14:textId="0FF2E62B" w:rsidR="00E20ECC" w:rsidRPr="009C10E1" w:rsidRDefault="00E20ECC" w:rsidP="00E20ECC">
      <w:pPr>
        <w:pStyle w:val="Textodebloque1"/>
        <w:spacing w:before="120"/>
        <w:ind w:left="567" w:right="0" w:firstLine="0"/>
        <w:jc w:val="center"/>
        <w:rPr>
          <w:rFonts w:eastAsia="Arial" w:cs="Arial"/>
          <w:b w:val="0"/>
          <w:sz w:val="20"/>
        </w:rPr>
      </w:pPr>
      <w:r w:rsidRPr="009C10E1">
        <w:rPr>
          <w:rFonts w:eastAsia="Arial" w:cs="Arial"/>
          <w:b w:val="0"/>
          <w:sz w:val="20"/>
        </w:rPr>
        <w:t xml:space="preserve">Cuadro </w:t>
      </w:r>
      <w:r w:rsidR="00FB2348">
        <w:rPr>
          <w:rFonts w:eastAsia="Arial" w:cs="Arial"/>
          <w:b w:val="0"/>
          <w:sz w:val="20"/>
        </w:rPr>
        <w:t>8</w:t>
      </w:r>
    </w:p>
    <w:p w14:paraId="00003C21" w14:textId="2A5C20CA" w:rsidR="00E20ECC" w:rsidRPr="00E20ECC" w:rsidRDefault="00E20ECC" w:rsidP="00E20ECC">
      <w:pPr>
        <w:jc w:val="center"/>
        <w:rPr>
          <w:rFonts w:eastAsia="Arial" w:cs="Arial"/>
          <w:b/>
          <w:bCs/>
          <w:spacing w:val="7"/>
          <w:sz w:val="22"/>
          <w:szCs w:val="22"/>
          <w:lang w:val="es-ES_tradnl"/>
        </w:rPr>
      </w:pPr>
      <w:r w:rsidRPr="00E20ECC">
        <w:rPr>
          <w:rFonts w:eastAsia="Arial" w:cs="Arial"/>
          <w:b/>
          <w:bCs/>
          <w:spacing w:val="7"/>
          <w:sz w:val="22"/>
          <w:szCs w:val="22"/>
          <w:lang w:val="es-ES_tradnl"/>
        </w:rPr>
        <w:t>VALOR NETO POR SECTOR INSTITUCIONAL</w:t>
      </w:r>
    </w:p>
    <w:p w14:paraId="2B629DE1" w14:textId="3E25F051" w:rsidR="00E20ECC" w:rsidRPr="00E20ECC" w:rsidRDefault="00E20ECC" w:rsidP="00E20ECC">
      <w:pPr>
        <w:jc w:val="center"/>
        <w:rPr>
          <w:rFonts w:eastAsia="Arial" w:cs="Arial"/>
          <w:b/>
          <w:bCs/>
          <w:spacing w:val="7"/>
          <w:sz w:val="22"/>
          <w:szCs w:val="22"/>
          <w:lang w:val="es-ES_tradnl"/>
        </w:rPr>
      </w:pPr>
      <w:r w:rsidRPr="00E20ECC">
        <w:rPr>
          <w:rFonts w:eastAsia="Arial" w:cs="Arial"/>
          <w:b/>
          <w:bCs/>
          <w:spacing w:val="7"/>
          <w:sz w:val="22"/>
          <w:szCs w:val="22"/>
          <w:lang w:val="es-ES_tradnl"/>
        </w:rPr>
        <w:t>PRIMER TRIMESTRE DE 2020</w:t>
      </w:r>
    </w:p>
    <w:p w14:paraId="240F645B" w14:textId="2B24A3F5" w:rsidR="00E20ECC" w:rsidRPr="00E20ECC" w:rsidRDefault="00E20ECC" w:rsidP="00E20ECC">
      <w:pPr>
        <w:jc w:val="center"/>
        <w:rPr>
          <w:rFonts w:eastAsia="Arial" w:cs="Arial"/>
          <w:bCs/>
          <w:spacing w:val="7"/>
          <w:sz w:val="18"/>
          <w:szCs w:val="22"/>
        </w:rPr>
      </w:pPr>
      <w:r w:rsidRPr="00E20ECC">
        <w:rPr>
          <w:rFonts w:eastAsia="Arial" w:cs="Arial"/>
          <w:bCs/>
          <w:spacing w:val="7"/>
          <w:sz w:val="18"/>
          <w:szCs w:val="22"/>
        </w:rPr>
        <w:t>(Millones de pesos)</w:t>
      </w:r>
    </w:p>
    <w:tbl>
      <w:tblPr>
        <w:tblStyle w:val="Tablaconcuadrcula"/>
        <w:tblW w:w="10060" w:type="dxa"/>
        <w:tblLook w:val="04A0" w:firstRow="1" w:lastRow="0" w:firstColumn="1" w:lastColumn="0" w:noHBand="0" w:noVBand="1"/>
      </w:tblPr>
      <w:tblGrid>
        <w:gridCol w:w="2850"/>
        <w:gridCol w:w="1256"/>
        <w:gridCol w:w="1276"/>
        <w:gridCol w:w="1276"/>
        <w:gridCol w:w="1275"/>
        <w:gridCol w:w="1276"/>
        <w:gridCol w:w="851"/>
      </w:tblGrid>
      <w:tr w:rsidR="00944302" w:rsidRPr="00D72C59" w14:paraId="241FEB5E" w14:textId="6C10AC3D" w:rsidTr="00E20ECC">
        <w:trPr>
          <w:trHeight w:val="254"/>
        </w:trPr>
        <w:tc>
          <w:tcPr>
            <w:tcW w:w="2850" w:type="dxa"/>
            <w:vMerge w:val="restart"/>
            <w:tcBorders>
              <w:bottom w:val="single" w:sz="4" w:space="0" w:color="000000" w:themeColor="text1"/>
              <w:right w:val="single" w:sz="4" w:space="0" w:color="000000" w:themeColor="text1"/>
            </w:tcBorders>
            <w:shd w:val="clear" w:color="auto" w:fill="DEEAF6" w:themeFill="accent5" w:themeFillTint="33"/>
            <w:vAlign w:val="center"/>
          </w:tcPr>
          <w:p w14:paraId="3FFF6B35" w14:textId="77777777" w:rsidR="00944302" w:rsidRPr="00D72C59" w:rsidRDefault="00944302" w:rsidP="009557D1">
            <w:pPr>
              <w:jc w:val="center"/>
              <w:rPr>
                <w:rFonts w:eastAsia="Arial" w:cs="Arial"/>
                <w:b/>
                <w:sz w:val="18"/>
                <w:szCs w:val="18"/>
              </w:rPr>
            </w:pPr>
            <w:r w:rsidRPr="00D72C59">
              <w:rPr>
                <w:rFonts w:eastAsia="Arial" w:cs="Arial"/>
                <w:b/>
                <w:sz w:val="18"/>
                <w:szCs w:val="18"/>
              </w:rPr>
              <w:t xml:space="preserve">Denominación </w:t>
            </w:r>
          </w:p>
        </w:tc>
        <w:tc>
          <w:tcPr>
            <w:tcW w:w="5083" w:type="dxa"/>
            <w:gridSpan w:val="4"/>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4C09B42" w14:textId="77777777" w:rsidR="00944302" w:rsidRPr="00D72C59" w:rsidRDefault="00944302" w:rsidP="009557D1">
            <w:pPr>
              <w:jc w:val="center"/>
              <w:rPr>
                <w:rFonts w:eastAsia="Arial" w:cs="Arial"/>
                <w:b/>
                <w:sz w:val="18"/>
                <w:szCs w:val="18"/>
              </w:rPr>
            </w:pPr>
            <w:r w:rsidRPr="00D72C59">
              <w:rPr>
                <w:rFonts w:eastAsia="Arial" w:cs="Arial"/>
                <w:b/>
                <w:sz w:val="18"/>
                <w:szCs w:val="18"/>
              </w:rPr>
              <w:t>2019</w:t>
            </w:r>
          </w:p>
        </w:tc>
        <w:tc>
          <w:tcPr>
            <w:tcW w:w="2127" w:type="dxa"/>
            <w:gridSpan w:val="2"/>
            <w:tcBorders>
              <w:left w:val="single" w:sz="4" w:space="0" w:color="000000" w:themeColor="text1"/>
              <w:bottom w:val="single" w:sz="4" w:space="0" w:color="000000" w:themeColor="text1"/>
            </w:tcBorders>
            <w:shd w:val="clear" w:color="auto" w:fill="DEEAF6" w:themeFill="accent5" w:themeFillTint="33"/>
            <w:vAlign w:val="center"/>
          </w:tcPr>
          <w:p w14:paraId="56AC9C8A" w14:textId="03461114" w:rsidR="00944302" w:rsidRPr="00D72C59" w:rsidRDefault="00944302" w:rsidP="009557D1">
            <w:pPr>
              <w:jc w:val="center"/>
              <w:rPr>
                <w:rFonts w:eastAsia="Arial" w:cs="Arial"/>
                <w:b/>
                <w:sz w:val="18"/>
                <w:szCs w:val="18"/>
              </w:rPr>
            </w:pPr>
            <w:r w:rsidRPr="00D72C59">
              <w:rPr>
                <w:rFonts w:eastAsia="Arial" w:cs="Arial"/>
                <w:b/>
                <w:sz w:val="18"/>
                <w:szCs w:val="18"/>
              </w:rPr>
              <w:t>2020</w:t>
            </w:r>
          </w:p>
        </w:tc>
      </w:tr>
      <w:tr w:rsidR="00944302" w:rsidRPr="00D72C59" w14:paraId="28D853A2" w14:textId="36FE480E" w:rsidTr="00E20ECC">
        <w:trPr>
          <w:trHeight w:val="254"/>
        </w:trPr>
        <w:tc>
          <w:tcPr>
            <w:tcW w:w="2850" w:type="dxa"/>
            <w:vMerge/>
            <w:tcBorders>
              <w:top w:val="single" w:sz="4" w:space="0" w:color="000000" w:themeColor="text1"/>
              <w:right w:val="single" w:sz="4" w:space="0" w:color="000000" w:themeColor="text1"/>
            </w:tcBorders>
            <w:shd w:val="clear" w:color="auto" w:fill="DEEAF6" w:themeFill="accent5" w:themeFillTint="33"/>
            <w:vAlign w:val="center"/>
          </w:tcPr>
          <w:p w14:paraId="779545EB" w14:textId="77777777" w:rsidR="00944302" w:rsidRPr="00D72C59" w:rsidRDefault="00944302" w:rsidP="009557D1">
            <w:pPr>
              <w:jc w:val="center"/>
              <w:rPr>
                <w:rFonts w:eastAsia="Arial" w:cs="Arial"/>
                <w:b/>
                <w:sz w:val="18"/>
                <w:szCs w:val="18"/>
              </w:rPr>
            </w:pPr>
          </w:p>
        </w:tc>
        <w:tc>
          <w:tcPr>
            <w:tcW w:w="1256"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34A8413B" w14:textId="77777777" w:rsidR="00944302" w:rsidRPr="00D72C59" w:rsidRDefault="00944302" w:rsidP="009557D1">
            <w:pPr>
              <w:jc w:val="center"/>
              <w:rPr>
                <w:rFonts w:eastAsia="Arial" w:cs="Arial"/>
                <w:b/>
                <w:sz w:val="18"/>
                <w:szCs w:val="18"/>
              </w:rPr>
            </w:pPr>
            <w:r w:rsidRPr="00D72C59">
              <w:rPr>
                <w:rFonts w:eastAsia="Arial" w:cs="Arial"/>
                <w:b/>
                <w:sz w:val="18"/>
                <w:szCs w:val="18"/>
              </w:rPr>
              <w:t>I</w:t>
            </w:r>
          </w:p>
        </w:tc>
        <w:tc>
          <w:tcPr>
            <w:tcW w:w="1276"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35DB4DD3" w14:textId="77777777" w:rsidR="00944302" w:rsidRPr="00D72C59" w:rsidRDefault="00944302" w:rsidP="009557D1">
            <w:pPr>
              <w:jc w:val="center"/>
              <w:rPr>
                <w:rFonts w:eastAsia="Arial" w:cs="Arial"/>
                <w:b/>
                <w:sz w:val="18"/>
                <w:szCs w:val="18"/>
              </w:rPr>
            </w:pPr>
            <w:r w:rsidRPr="00D72C59">
              <w:rPr>
                <w:rFonts w:eastAsia="Arial" w:cs="Arial"/>
                <w:b/>
                <w:sz w:val="18"/>
                <w:szCs w:val="18"/>
              </w:rPr>
              <w:t>II</w:t>
            </w:r>
          </w:p>
        </w:tc>
        <w:tc>
          <w:tcPr>
            <w:tcW w:w="1276"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394565E1" w14:textId="77777777" w:rsidR="00944302" w:rsidRPr="00D72C59" w:rsidRDefault="00944302" w:rsidP="009557D1">
            <w:pPr>
              <w:jc w:val="center"/>
              <w:rPr>
                <w:rFonts w:eastAsia="Arial" w:cs="Arial"/>
                <w:b/>
                <w:sz w:val="18"/>
                <w:szCs w:val="18"/>
              </w:rPr>
            </w:pPr>
            <w:r w:rsidRPr="00D72C59">
              <w:rPr>
                <w:rFonts w:eastAsia="Arial" w:cs="Arial"/>
                <w:b/>
                <w:sz w:val="18"/>
                <w:szCs w:val="18"/>
              </w:rPr>
              <w:t>III</w:t>
            </w:r>
          </w:p>
        </w:tc>
        <w:tc>
          <w:tcPr>
            <w:tcW w:w="1275" w:type="dxa"/>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3662347E" w14:textId="77777777" w:rsidR="00944302" w:rsidRPr="00D72C59" w:rsidRDefault="00944302" w:rsidP="009557D1">
            <w:pPr>
              <w:jc w:val="center"/>
              <w:rPr>
                <w:rFonts w:eastAsia="Arial" w:cs="Arial"/>
                <w:b/>
                <w:sz w:val="18"/>
                <w:szCs w:val="18"/>
              </w:rPr>
            </w:pPr>
            <w:r w:rsidRPr="00D72C59">
              <w:rPr>
                <w:rFonts w:eastAsia="Arial" w:cs="Arial"/>
                <w:b/>
                <w:sz w:val="18"/>
                <w:szCs w:val="18"/>
              </w:rPr>
              <w:t>IV</w:t>
            </w:r>
          </w:p>
        </w:tc>
        <w:tc>
          <w:tcPr>
            <w:tcW w:w="1276" w:type="dxa"/>
            <w:tcBorders>
              <w:top w:val="single" w:sz="4" w:space="0" w:color="000000" w:themeColor="text1"/>
              <w:left w:val="single" w:sz="4" w:space="0" w:color="000000" w:themeColor="text1"/>
            </w:tcBorders>
            <w:shd w:val="clear" w:color="auto" w:fill="DEEAF6" w:themeFill="accent5" w:themeFillTint="33"/>
            <w:vAlign w:val="center"/>
          </w:tcPr>
          <w:p w14:paraId="708491C0" w14:textId="77777777" w:rsidR="00944302" w:rsidRPr="00D72C59" w:rsidRDefault="00944302" w:rsidP="009557D1">
            <w:pPr>
              <w:jc w:val="center"/>
              <w:rPr>
                <w:rFonts w:eastAsia="Arial" w:cs="Arial"/>
                <w:b/>
                <w:sz w:val="18"/>
                <w:szCs w:val="18"/>
              </w:rPr>
            </w:pPr>
            <w:r w:rsidRPr="00D72C59">
              <w:rPr>
                <w:rFonts w:eastAsia="Arial" w:cs="Arial"/>
                <w:b/>
                <w:sz w:val="18"/>
                <w:szCs w:val="18"/>
              </w:rPr>
              <w:t>I</w:t>
            </w:r>
          </w:p>
        </w:tc>
        <w:tc>
          <w:tcPr>
            <w:tcW w:w="851" w:type="dxa"/>
            <w:tcBorders>
              <w:top w:val="single" w:sz="4" w:space="0" w:color="000000" w:themeColor="text1"/>
              <w:left w:val="single" w:sz="4" w:space="0" w:color="000000" w:themeColor="text1"/>
            </w:tcBorders>
            <w:shd w:val="clear" w:color="auto" w:fill="DEEAF6" w:themeFill="accent5" w:themeFillTint="33"/>
          </w:tcPr>
          <w:p w14:paraId="541F0678" w14:textId="3E8A7E63" w:rsidR="00944302" w:rsidRPr="008D4AF7" w:rsidRDefault="00944302" w:rsidP="009557D1">
            <w:pPr>
              <w:jc w:val="center"/>
              <w:rPr>
                <w:rFonts w:eastAsia="Arial" w:cs="Arial"/>
                <w:b/>
                <w:sz w:val="18"/>
                <w:szCs w:val="18"/>
                <w:vertAlign w:val="superscript"/>
              </w:rPr>
            </w:pPr>
            <w:proofErr w:type="spellStart"/>
            <w:r w:rsidRPr="00D72C59">
              <w:rPr>
                <w:rFonts w:eastAsia="Arial" w:cs="Arial"/>
                <w:b/>
                <w:sz w:val="18"/>
                <w:szCs w:val="18"/>
              </w:rPr>
              <w:t>Est</w:t>
            </w:r>
            <w:proofErr w:type="spellEnd"/>
            <w:r w:rsidRPr="00D72C59">
              <w:rPr>
                <w:rFonts w:eastAsia="Arial" w:cs="Arial"/>
                <w:b/>
                <w:sz w:val="18"/>
                <w:szCs w:val="18"/>
              </w:rPr>
              <w:t xml:space="preserve"> %</w:t>
            </w:r>
            <w:r w:rsidR="008D4AF7">
              <w:rPr>
                <w:rFonts w:eastAsia="Arial" w:cs="Arial"/>
                <w:b/>
                <w:sz w:val="18"/>
                <w:szCs w:val="18"/>
                <w:vertAlign w:val="superscript"/>
              </w:rPr>
              <w:t>1</w:t>
            </w:r>
          </w:p>
        </w:tc>
      </w:tr>
      <w:tr w:rsidR="00E20ECC" w:rsidRPr="00D72C59" w14:paraId="5537015F" w14:textId="45480B13" w:rsidTr="009557D1">
        <w:trPr>
          <w:trHeight w:val="254"/>
        </w:trPr>
        <w:tc>
          <w:tcPr>
            <w:tcW w:w="2850" w:type="dxa"/>
          </w:tcPr>
          <w:p w14:paraId="0E0D4273" w14:textId="77777777" w:rsidR="00E20ECC" w:rsidRPr="00D72C59" w:rsidRDefault="00E20ECC" w:rsidP="00E20ECC">
            <w:pPr>
              <w:rPr>
                <w:rFonts w:eastAsia="Arial" w:cs="Arial"/>
                <w:bCs/>
                <w:sz w:val="18"/>
                <w:szCs w:val="18"/>
              </w:rPr>
            </w:pPr>
            <w:r w:rsidRPr="00D72C59">
              <w:rPr>
                <w:rFonts w:cs="Arial"/>
                <w:sz w:val="18"/>
                <w:szCs w:val="18"/>
              </w:rPr>
              <w:t>S1. Economía interna</w:t>
            </w:r>
          </w:p>
        </w:tc>
        <w:tc>
          <w:tcPr>
            <w:tcW w:w="1256" w:type="dxa"/>
          </w:tcPr>
          <w:p w14:paraId="2DBAEC07" w14:textId="2C086B89" w:rsidR="00E20ECC" w:rsidRPr="00D72C59" w:rsidRDefault="00E20ECC" w:rsidP="00E20ECC">
            <w:pPr>
              <w:jc w:val="right"/>
              <w:rPr>
                <w:rFonts w:eastAsia="Arial" w:cs="Arial"/>
                <w:bCs/>
                <w:sz w:val="18"/>
                <w:szCs w:val="18"/>
              </w:rPr>
            </w:pPr>
            <w:r w:rsidRPr="00D72C59">
              <w:rPr>
                <w:rFonts w:cs="Arial"/>
                <w:sz w:val="18"/>
                <w:szCs w:val="18"/>
              </w:rPr>
              <w:t>136,586,702</w:t>
            </w:r>
          </w:p>
        </w:tc>
        <w:tc>
          <w:tcPr>
            <w:tcW w:w="1276" w:type="dxa"/>
          </w:tcPr>
          <w:p w14:paraId="76FD8F7F" w14:textId="088D7AA0" w:rsidR="00E20ECC" w:rsidRPr="00D72C59" w:rsidRDefault="00E20ECC" w:rsidP="00E20ECC">
            <w:pPr>
              <w:ind w:right="40"/>
              <w:jc w:val="right"/>
              <w:rPr>
                <w:rFonts w:cs="Arial"/>
                <w:sz w:val="18"/>
                <w:szCs w:val="18"/>
              </w:rPr>
            </w:pPr>
            <w:r w:rsidRPr="00D72C59">
              <w:rPr>
                <w:rFonts w:cs="Arial"/>
                <w:sz w:val="18"/>
                <w:szCs w:val="18"/>
              </w:rPr>
              <w:t>139,519,036</w:t>
            </w:r>
          </w:p>
        </w:tc>
        <w:tc>
          <w:tcPr>
            <w:tcW w:w="1276" w:type="dxa"/>
          </w:tcPr>
          <w:p w14:paraId="7876FBDC" w14:textId="188251AC" w:rsidR="00E20ECC" w:rsidRPr="00D72C59" w:rsidRDefault="00E20ECC" w:rsidP="00E20ECC">
            <w:pPr>
              <w:jc w:val="right"/>
              <w:rPr>
                <w:rFonts w:cs="Arial"/>
                <w:sz w:val="18"/>
                <w:szCs w:val="18"/>
              </w:rPr>
            </w:pPr>
            <w:r w:rsidRPr="00D72C59">
              <w:rPr>
                <w:rFonts w:cs="Arial"/>
                <w:sz w:val="18"/>
                <w:szCs w:val="18"/>
              </w:rPr>
              <w:t>140,903,631</w:t>
            </w:r>
          </w:p>
        </w:tc>
        <w:tc>
          <w:tcPr>
            <w:tcW w:w="1275" w:type="dxa"/>
          </w:tcPr>
          <w:p w14:paraId="07A92987" w14:textId="142B9B6B" w:rsidR="00E20ECC" w:rsidRPr="00D72C59" w:rsidRDefault="00E20ECC" w:rsidP="00E20ECC">
            <w:pPr>
              <w:ind w:right="32"/>
              <w:jc w:val="right"/>
              <w:rPr>
                <w:rFonts w:cs="Arial"/>
                <w:sz w:val="18"/>
                <w:szCs w:val="18"/>
              </w:rPr>
            </w:pPr>
            <w:r w:rsidRPr="00D72C59">
              <w:rPr>
                <w:rFonts w:cs="Arial"/>
                <w:sz w:val="18"/>
                <w:szCs w:val="18"/>
              </w:rPr>
              <w:t>142,109,611</w:t>
            </w:r>
          </w:p>
        </w:tc>
        <w:tc>
          <w:tcPr>
            <w:tcW w:w="1276" w:type="dxa"/>
          </w:tcPr>
          <w:p w14:paraId="7FAAC43B" w14:textId="6574631F" w:rsidR="00E20ECC" w:rsidRPr="00D72C59" w:rsidRDefault="00E20ECC" w:rsidP="00E20ECC">
            <w:pPr>
              <w:jc w:val="right"/>
              <w:rPr>
                <w:rFonts w:cs="Arial"/>
                <w:sz w:val="18"/>
                <w:szCs w:val="18"/>
              </w:rPr>
            </w:pPr>
            <w:r w:rsidRPr="00D72C59">
              <w:rPr>
                <w:rFonts w:cs="Arial"/>
                <w:sz w:val="18"/>
                <w:szCs w:val="18"/>
              </w:rPr>
              <w:t>147,922,327</w:t>
            </w:r>
          </w:p>
        </w:tc>
        <w:tc>
          <w:tcPr>
            <w:tcW w:w="851" w:type="dxa"/>
            <w:vAlign w:val="bottom"/>
          </w:tcPr>
          <w:p w14:paraId="77DDBDCD" w14:textId="1C92CC75" w:rsidR="00E20ECC" w:rsidRPr="00D72C59" w:rsidRDefault="00E20ECC" w:rsidP="00E20ECC">
            <w:pPr>
              <w:jc w:val="right"/>
              <w:rPr>
                <w:rFonts w:cs="Arial"/>
                <w:sz w:val="18"/>
                <w:szCs w:val="18"/>
              </w:rPr>
            </w:pPr>
            <w:r w:rsidRPr="00D72C59">
              <w:rPr>
                <w:rFonts w:cs="Arial"/>
                <w:color w:val="000000"/>
                <w:sz w:val="18"/>
                <w:szCs w:val="18"/>
              </w:rPr>
              <w:t>93.8</w:t>
            </w:r>
          </w:p>
        </w:tc>
      </w:tr>
      <w:tr w:rsidR="00E20ECC" w:rsidRPr="00D72C59" w14:paraId="0B5164A0" w14:textId="10C762E1" w:rsidTr="009557D1">
        <w:trPr>
          <w:trHeight w:val="254"/>
        </w:trPr>
        <w:tc>
          <w:tcPr>
            <w:tcW w:w="2850" w:type="dxa"/>
            <w:shd w:val="clear" w:color="auto" w:fill="DEEAF6" w:themeFill="accent5" w:themeFillTint="33"/>
          </w:tcPr>
          <w:p w14:paraId="3A3C6FC1" w14:textId="77777777" w:rsidR="00E20ECC" w:rsidRPr="00D72C59" w:rsidRDefault="00E20ECC" w:rsidP="00E20ECC">
            <w:pPr>
              <w:rPr>
                <w:rFonts w:eastAsia="Arial" w:cs="Arial"/>
                <w:bCs/>
                <w:sz w:val="18"/>
                <w:szCs w:val="18"/>
              </w:rPr>
            </w:pPr>
            <w:r w:rsidRPr="00D72C59">
              <w:rPr>
                <w:rFonts w:cs="Arial"/>
                <w:sz w:val="18"/>
                <w:szCs w:val="18"/>
              </w:rPr>
              <w:t xml:space="preserve">  S.11.Sociedades no financieras</w:t>
            </w:r>
          </w:p>
        </w:tc>
        <w:tc>
          <w:tcPr>
            <w:tcW w:w="1256" w:type="dxa"/>
            <w:shd w:val="clear" w:color="auto" w:fill="DEEAF6" w:themeFill="accent5" w:themeFillTint="33"/>
          </w:tcPr>
          <w:p w14:paraId="3B981B93" w14:textId="0025626D" w:rsidR="00E20ECC" w:rsidRPr="00D72C59" w:rsidRDefault="00E20ECC" w:rsidP="00E20ECC">
            <w:pPr>
              <w:jc w:val="right"/>
              <w:rPr>
                <w:rFonts w:eastAsia="Arial" w:cs="Arial"/>
                <w:bCs/>
                <w:sz w:val="18"/>
                <w:szCs w:val="18"/>
              </w:rPr>
            </w:pPr>
            <w:r w:rsidRPr="00D72C59">
              <w:rPr>
                <w:rFonts w:cs="Arial"/>
                <w:sz w:val="18"/>
                <w:szCs w:val="18"/>
              </w:rPr>
              <w:t>44,302,874</w:t>
            </w:r>
          </w:p>
        </w:tc>
        <w:tc>
          <w:tcPr>
            <w:tcW w:w="1276" w:type="dxa"/>
            <w:shd w:val="clear" w:color="auto" w:fill="DEEAF6" w:themeFill="accent5" w:themeFillTint="33"/>
          </w:tcPr>
          <w:p w14:paraId="5566B5C9" w14:textId="17F3A999" w:rsidR="00E20ECC" w:rsidRPr="00D72C59" w:rsidRDefault="00E20ECC" w:rsidP="00E20ECC">
            <w:pPr>
              <w:ind w:right="40"/>
              <w:jc w:val="right"/>
              <w:rPr>
                <w:rFonts w:cs="Arial"/>
                <w:sz w:val="18"/>
                <w:szCs w:val="18"/>
              </w:rPr>
            </w:pPr>
            <w:r w:rsidRPr="00D72C59">
              <w:rPr>
                <w:rFonts w:cs="Arial"/>
                <w:sz w:val="18"/>
                <w:szCs w:val="18"/>
              </w:rPr>
              <w:t>45,714,933</w:t>
            </w:r>
          </w:p>
        </w:tc>
        <w:tc>
          <w:tcPr>
            <w:tcW w:w="1276" w:type="dxa"/>
            <w:shd w:val="clear" w:color="auto" w:fill="DEEAF6" w:themeFill="accent5" w:themeFillTint="33"/>
          </w:tcPr>
          <w:p w14:paraId="6058C2A0" w14:textId="0A1DBD93" w:rsidR="00E20ECC" w:rsidRPr="00D72C59" w:rsidRDefault="00E20ECC" w:rsidP="00E20ECC">
            <w:pPr>
              <w:jc w:val="right"/>
              <w:rPr>
                <w:rFonts w:cs="Arial"/>
                <w:sz w:val="18"/>
                <w:szCs w:val="18"/>
              </w:rPr>
            </w:pPr>
            <w:r w:rsidRPr="00D72C59">
              <w:rPr>
                <w:rFonts w:cs="Arial"/>
                <w:sz w:val="18"/>
                <w:szCs w:val="18"/>
              </w:rPr>
              <w:t>46,983,668</w:t>
            </w:r>
          </w:p>
        </w:tc>
        <w:tc>
          <w:tcPr>
            <w:tcW w:w="1275" w:type="dxa"/>
            <w:shd w:val="clear" w:color="auto" w:fill="DEEAF6" w:themeFill="accent5" w:themeFillTint="33"/>
          </w:tcPr>
          <w:p w14:paraId="482F4F76" w14:textId="05959412" w:rsidR="00E20ECC" w:rsidRPr="00D72C59" w:rsidRDefault="00E20ECC" w:rsidP="00E20ECC">
            <w:pPr>
              <w:ind w:right="32"/>
              <w:jc w:val="right"/>
              <w:rPr>
                <w:rFonts w:cs="Arial"/>
                <w:sz w:val="18"/>
                <w:szCs w:val="18"/>
              </w:rPr>
            </w:pPr>
            <w:r w:rsidRPr="00D72C59">
              <w:rPr>
                <w:rFonts w:cs="Arial"/>
                <w:sz w:val="18"/>
                <w:szCs w:val="18"/>
              </w:rPr>
              <w:t>47,504,136</w:t>
            </w:r>
          </w:p>
        </w:tc>
        <w:tc>
          <w:tcPr>
            <w:tcW w:w="1276" w:type="dxa"/>
            <w:shd w:val="clear" w:color="auto" w:fill="DEEAF6" w:themeFill="accent5" w:themeFillTint="33"/>
          </w:tcPr>
          <w:p w14:paraId="5A084BD1" w14:textId="7750582C" w:rsidR="00E20ECC" w:rsidRPr="00D72C59" w:rsidRDefault="00E20ECC" w:rsidP="00E20ECC">
            <w:pPr>
              <w:jc w:val="right"/>
              <w:rPr>
                <w:rFonts w:cs="Arial"/>
                <w:sz w:val="18"/>
                <w:szCs w:val="18"/>
              </w:rPr>
            </w:pPr>
            <w:r w:rsidRPr="00D72C59">
              <w:rPr>
                <w:rFonts w:cs="Arial"/>
                <w:sz w:val="18"/>
                <w:szCs w:val="18"/>
              </w:rPr>
              <w:t>52,505,528</w:t>
            </w:r>
          </w:p>
        </w:tc>
        <w:tc>
          <w:tcPr>
            <w:tcW w:w="851" w:type="dxa"/>
            <w:shd w:val="clear" w:color="auto" w:fill="DEEAF6" w:themeFill="accent5" w:themeFillTint="33"/>
            <w:vAlign w:val="bottom"/>
          </w:tcPr>
          <w:p w14:paraId="4C28F986" w14:textId="46BA7341" w:rsidR="00E20ECC" w:rsidRPr="00D72C59" w:rsidRDefault="00E20ECC" w:rsidP="00E20ECC">
            <w:pPr>
              <w:jc w:val="right"/>
              <w:rPr>
                <w:rFonts w:cs="Arial"/>
                <w:sz w:val="18"/>
                <w:szCs w:val="18"/>
              </w:rPr>
            </w:pPr>
            <w:r w:rsidRPr="00D72C59">
              <w:rPr>
                <w:rFonts w:cs="Arial"/>
                <w:color w:val="000000"/>
                <w:sz w:val="18"/>
                <w:szCs w:val="18"/>
              </w:rPr>
              <w:t>33.3</w:t>
            </w:r>
          </w:p>
        </w:tc>
      </w:tr>
      <w:tr w:rsidR="00E20ECC" w:rsidRPr="00D72C59" w14:paraId="2923A832" w14:textId="5AF974D3" w:rsidTr="009557D1">
        <w:trPr>
          <w:trHeight w:val="254"/>
        </w:trPr>
        <w:tc>
          <w:tcPr>
            <w:tcW w:w="2850" w:type="dxa"/>
          </w:tcPr>
          <w:p w14:paraId="4C8DFD7B" w14:textId="77777777" w:rsidR="00E20ECC" w:rsidRPr="00D72C59" w:rsidRDefault="00E20ECC" w:rsidP="00E20ECC">
            <w:pPr>
              <w:rPr>
                <w:rFonts w:eastAsia="Arial" w:cs="Arial"/>
                <w:bCs/>
                <w:sz w:val="18"/>
                <w:szCs w:val="18"/>
              </w:rPr>
            </w:pPr>
            <w:r w:rsidRPr="00D72C59">
              <w:rPr>
                <w:rFonts w:cs="Arial"/>
                <w:sz w:val="18"/>
                <w:szCs w:val="18"/>
              </w:rPr>
              <w:t xml:space="preserve">  S.12. Sociedades financieras</w:t>
            </w:r>
          </w:p>
        </w:tc>
        <w:tc>
          <w:tcPr>
            <w:tcW w:w="1256" w:type="dxa"/>
          </w:tcPr>
          <w:p w14:paraId="7E4229BA" w14:textId="7E6DEE99" w:rsidR="00E20ECC" w:rsidRPr="00D72C59" w:rsidRDefault="00E20ECC" w:rsidP="00E20ECC">
            <w:pPr>
              <w:jc w:val="right"/>
              <w:rPr>
                <w:rFonts w:eastAsia="Arial" w:cs="Arial"/>
                <w:bCs/>
                <w:sz w:val="18"/>
                <w:szCs w:val="18"/>
              </w:rPr>
            </w:pPr>
            <w:r w:rsidRPr="00D72C59">
              <w:rPr>
                <w:rFonts w:cs="Arial"/>
                <w:sz w:val="18"/>
                <w:szCs w:val="18"/>
              </w:rPr>
              <w:t>5,750,665</w:t>
            </w:r>
          </w:p>
        </w:tc>
        <w:tc>
          <w:tcPr>
            <w:tcW w:w="1276" w:type="dxa"/>
          </w:tcPr>
          <w:p w14:paraId="4B47C0CD" w14:textId="4B188B97" w:rsidR="00E20ECC" w:rsidRPr="00D72C59" w:rsidRDefault="00E20ECC" w:rsidP="00E20ECC">
            <w:pPr>
              <w:ind w:right="40"/>
              <w:jc w:val="right"/>
              <w:rPr>
                <w:rFonts w:cs="Arial"/>
                <w:sz w:val="18"/>
                <w:szCs w:val="18"/>
              </w:rPr>
            </w:pPr>
            <w:r w:rsidRPr="00D72C59">
              <w:rPr>
                <w:rFonts w:cs="Arial"/>
                <w:sz w:val="18"/>
                <w:szCs w:val="18"/>
              </w:rPr>
              <w:t>5,654,837</w:t>
            </w:r>
          </w:p>
        </w:tc>
        <w:tc>
          <w:tcPr>
            <w:tcW w:w="1276" w:type="dxa"/>
          </w:tcPr>
          <w:p w14:paraId="1ABC589C" w14:textId="07B9F46E" w:rsidR="00E20ECC" w:rsidRPr="00D72C59" w:rsidRDefault="00E20ECC" w:rsidP="00E20ECC">
            <w:pPr>
              <w:jc w:val="right"/>
              <w:rPr>
                <w:rFonts w:cs="Arial"/>
                <w:sz w:val="18"/>
                <w:szCs w:val="18"/>
              </w:rPr>
            </w:pPr>
            <w:r w:rsidRPr="00D72C59">
              <w:rPr>
                <w:rFonts w:cs="Arial"/>
                <w:sz w:val="18"/>
                <w:szCs w:val="18"/>
              </w:rPr>
              <w:t>5,563,860</w:t>
            </w:r>
          </w:p>
        </w:tc>
        <w:tc>
          <w:tcPr>
            <w:tcW w:w="1275" w:type="dxa"/>
          </w:tcPr>
          <w:p w14:paraId="46A00DDF" w14:textId="31A50C8A" w:rsidR="00E20ECC" w:rsidRPr="00D72C59" w:rsidRDefault="00E20ECC" w:rsidP="00E20ECC">
            <w:pPr>
              <w:ind w:right="32"/>
              <w:jc w:val="right"/>
              <w:rPr>
                <w:rFonts w:cs="Arial"/>
                <w:sz w:val="18"/>
                <w:szCs w:val="18"/>
              </w:rPr>
            </w:pPr>
            <w:r w:rsidRPr="00D72C59">
              <w:rPr>
                <w:rFonts w:cs="Arial"/>
                <w:sz w:val="18"/>
                <w:szCs w:val="18"/>
              </w:rPr>
              <w:t>5,559,388</w:t>
            </w:r>
          </w:p>
        </w:tc>
        <w:tc>
          <w:tcPr>
            <w:tcW w:w="1276" w:type="dxa"/>
          </w:tcPr>
          <w:p w14:paraId="0540FC82" w14:textId="37194D6F" w:rsidR="00E20ECC" w:rsidRPr="00D72C59" w:rsidRDefault="00E20ECC" w:rsidP="00E20ECC">
            <w:pPr>
              <w:jc w:val="right"/>
              <w:rPr>
                <w:rFonts w:cs="Arial"/>
                <w:sz w:val="18"/>
                <w:szCs w:val="18"/>
              </w:rPr>
            </w:pPr>
            <w:r w:rsidRPr="00D72C59">
              <w:rPr>
                <w:rFonts w:cs="Arial"/>
                <w:sz w:val="18"/>
                <w:szCs w:val="18"/>
              </w:rPr>
              <w:t>5,951,742</w:t>
            </w:r>
          </w:p>
        </w:tc>
        <w:tc>
          <w:tcPr>
            <w:tcW w:w="851" w:type="dxa"/>
            <w:vAlign w:val="bottom"/>
          </w:tcPr>
          <w:p w14:paraId="2F03B91E" w14:textId="79E45AC7" w:rsidR="00E20ECC" w:rsidRPr="00D72C59" w:rsidRDefault="00E20ECC" w:rsidP="00E20ECC">
            <w:pPr>
              <w:jc w:val="right"/>
              <w:rPr>
                <w:rFonts w:cs="Arial"/>
                <w:sz w:val="18"/>
                <w:szCs w:val="18"/>
              </w:rPr>
            </w:pPr>
            <w:r w:rsidRPr="00D72C59">
              <w:rPr>
                <w:rFonts w:cs="Arial"/>
                <w:color w:val="000000"/>
                <w:sz w:val="18"/>
                <w:szCs w:val="18"/>
              </w:rPr>
              <w:t>3.8</w:t>
            </w:r>
          </w:p>
        </w:tc>
      </w:tr>
      <w:tr w:rsidR="00E20ECC" w:rsidRPr="00D72C59" w14:paraId="05A88272" w14:textId="3CE16E0B" w:rsidTr="009557D1">
        <w:trPr>
          <w:trHeight w:val="254"/>
        </w:trPr>
        <w:tc>
          <w:tcPr>
            <w:tcW w:w="2850" w:type="dxa"/>
            <w:shd w:val="clear" w:color="auto" w:fill="DEEAF6" w:themeFill="accent5" w:themeFillTint="33"/>
          </w:tcPr>
          <w:p w14:paraId="57F85D01" w14:textId="77777777" w:rsidR="00E20ECC" w:rsidRPr="00D72C59" w:rsidRDefault="00E20ECC" w:rsidP="00E20ECC">
            <w:pPr>
              <w:rPr>
                <w:rFonts w:eastAsia="Arial" w:cs="Arial"/>
                <w:bCs/>
                <w:sz w:val="18"/>
                <w:szCs w:val="18"/>
              </w:rPr>
            </w:pPr>
            <w:r w:rsidRPr="00D72C59">
              <w:rPr>
                <w:rFonts w:cs="Arial"/>
                <w:sz w:val="18"/>
                <w:szCs w:val="18"/>
              </w:rPr>
              <w:t xml:space="preserve">  S.13. Gobierno general</w:t>
            </w:r>
          </w:p>
        </w:tc>
        <w:tc>
          <w:tcPr>
            <w:tcW w:w="1256" w:type="dxa"/>
            <w:shd w:val="clear" w:color="auto" w:fill="DEEAF6" w:themeFill="accent5" w:themeFillTint="33"/>
          </w:tcPr>
          <w:p w14:paraId="6E14DD35" w14:textId="381007A1" w:rsidR="00E20ECC" w:rsidRPr="00D72C59" w:rsidRDefault="00E20ECC" w:rsidP="00E20ECC">
            <w:pPr>
              <w:jc w:val="right"/>
              <w:rPr>
                <w:rFonts w:eastAsia="Arial" w:cs="Arial"/>
                <w:bCs/>
                <w:sz w:val="18"/>
                <w:szCs w:val="18"/>
              </w:rPr>
            </w:pPr>
            <w:r w:rsidRPr="00D72C59">
              <w:rPr>
                <w:rFonts w:cs="Arial"/>
                <w:sz w:val="18"/>
                <w:szCs w:val="18"/>
              </w:rPr>
              <w:t>16,578,599</w:t>
            </w:r>
          </w:p>
        </w:tc>
        <w:tc>
          <w:tcPr>
            <w:tcW w:w="1276" w:type="dxa"/>
            <w:shd w:val="clear" w:color="auto" w:fill="DEEAF6" w:themeFill="accent5" w:themeFillTint="33"/>
          </w:tcPr>
          <w:p w14:paraId="31771F09" w14:textId="07A6D637" w:rsidR="00E20ECC" w:rsidRPr="00D72C59" w:rsidRDefault="00E20ECC" w:rsidP="00E20ECC">
            <w:pPr>
              <w:ind w:right="40"/>
              <w:jc w:val="right"/>
              <w:rPr>
                <w:rFonts w:cs="Arial"/>
                <w:sz w:val="18"/>
                <w:szCs w:val="18"/>
              </w:rPr>
            </w:pPr>
            <w:r w:rsidRPr="00D72C59">
              <w:rPr>
                <w:rFonts w:cs="Arial"/>
                <w:sz w:val="18"/>
                <w:szCs w:val="18"/>
              </w:rPr>
              <w:t>16,779,195</w:t>
            </w:r>
          </w:p>
        </w:tc>
        <w:tc>
          <w:tcPr>
            <w:tcW w:w="1276" w:type="dxa"/>
            <w:shd w:val="clear" w:color="auto" w:fill="DEEAF6" w:themeFill="accent5" w:themeFillTint="33"/>
          </w:tcPr>
          <w:p w14:paraId="41EE5B96" w14:textId="6875AAE7" w:rsidR="00E20ECC" w:rsidRPr="00D72C59" w:rsidRDefault="00E20ECC" w:rsidP="00E20ECC">
            <w:pPr>
              <w:jc w:val="right"/>
              <w:rPr>
                <w:rFonts w:cs="Arial"/>
                <w:sz w:val="18"/>
                <w:szCs w:val="18"/>
              </w:rPr>
            </w:pPr>
            <w:r w:rsidRPr="00D72C59">
              <w:rPr>
                <w:rFonts w:cs="Arial"/>
                <w:sz w:val="18"/>
                <w:szCs w:val="18"/>
              </w:rPr>
              <w:t>15,818,164</w:t>
            </w:r>
          </w:p>
        </w:tc>
        <w:tc>
          <w:tcPr>
            <w:tcW w:w="1275" w:type="dxa"/>
            <w:shd w:val="clear" w:color="auto" w:fill="DEEAF6" w:themeFill="accent5" w:themeFillTint="33"/>
          </w:tcPr>
          <w:p w14:paraId="703C4F9F" w14:textId="42F6169E" w:rsidR="00E20ECC" w:rsidRPr="00D72C59" w:rsidRDefault="00E20ECC" w:rsidP="00E20ECC">
            <w:pPr>
              <w:ind w:right="32"/>
              <w:jc w:val="right"/>
              <w:rPr>
                <w:rFonts w:cs="Arial"/>
                <w:sz w:val="18"/>
                <w:szCs w:val="18"/>
              </w:rPr>
            </w:pPr>
            <w:r w:rsidRPr="00D72C59">
              <w:rPr>
                <w:rFonts w:cs="Arial"/>
                <w:sz w:val="18"/>
                <w:szCs w:val="18"/>
              </w:rPr>
              <w:t>15,146,902</w:t>
            </w:r>
          </w:p>
        </w:tc>
        <w:tc>
          <w:tcPr>
            <w:tcW w:w="1276" w:type="dxa"/>
            <w:shd w:val="clear" w:color="auto" w:fill="DEEAF6" w:themeFill="accent5" w:themeFillTint="33"/>
          </w:tcPr>
          <w:p w14:paraId="54C78790" w14:textId="109D9288" w:rsidR="00E20ECC" w:rsidRPr="00D72C59" w:rsidRDefault="00E20ECC" w:rsidP="00E20ECC">
            <w:pPr>
              <w:jc w:val="right"/>
              <w:rPr>
                <w:rFonts w:cs="Arial"/>
                <w:sz w:val="18"/>
                <w:szCs w:val="18"/>
              </w:rPr>
            </w:pPr>
            <w:r w:rsidRPr="00D72C59">
              <w:rPr>
                <w:rFonts w:cs="Arial"/>
                <w:sz w:val="18"/>
                <w:szCs w:val="18"/>
              </w:rPr>
              <w:t>16,898,520</w:t>
            </w:r>
          </w:p>
        </w:tc>
        <w:tc>
          <w:tcPr>
            <w:tcW w:w="851" w:type="dxa"/>
            <w:shd w:val="clear" w:color="auto" w:fill="DEEAF6" w:themeFill="accent5" w:themeFillTint="33"/>
            <w:vAlign w:val="bottom"/>
          </w:tcPr>
          <w:p w14:paraId="2F47740A" w14:textId="487B8026" w:rsidR="00E20ECC" w:rsidRPr="00D72C59" w:rsidRDefault="00E20ECC" w:rsidP="00E20ECC">
            <w:pPr>
              <w:jc w:val="right"/>
              <w:rPr>
                <w:rFonts w:cs="Arial"/>
                <w:sz w:val="18"/>
                <w:szCs w:val="18"/>
              </w:rPr>
            </w:pPr>
            <w:r w:rsidRPr="00D72C59">
              <w:rPr>
                <w:rFonts w:cs="Arial"/>
                <w:color w:val="000000"/>
                <w:sz w:val="18"/>
                <w:szCs w:val="18"/>
              </w:rPr>
              <w:t>10.7</w:t>
            </w:r>
          </w:p>
        </w:tc>
      </w:tr>
      <w:tr w:rsidR="00E20ECC" w:rsidRPr="00D72C59" w14:paraId="7C3CE911" w14:textId="633B6784" w:rsidTr="009557D1">
        <w:trPr>
          <w:trHeight w:val="254"/>
        </w:trPr>
        <w:tc>
          <w:tcPr>
            <w:tcW w:w="2850" w:type="dxa"/>
          </w:tcPr>
          <w:p w14:paraId="2CA10ECE" w14:textId="77777777" w:rsidR="00E20ECC" w:rsidRPr="00D72C59" w:rsidRDefault="00E20ECC" w:rsidP="00E20ECC">
            <w:pPr>
              <w:rPr>
                <w:rFonts w:eastAsia="Arial" w:cs="Arial"/>
                <w:bCs/>
                <w:sz w:val="18"/>
                <w:szCs w:val="18"/>
              </w:rPr>
            </w:pPr>
            <w:r w:rsidRPr="00D72C59">
              <w:rPr>
                <w:rFonts w:cs="Arial"/>
                <w:sz w:val="18"/>
                <w:szCs w:val="18"/>
              </w:rPr>
              <w:t xml:space="preserve">  S.14. Hogares</w:t>
            </w:r>
          </w:p>
        </w:tc>
        <w:tc>
          <w:tcPr>
            <w:tcW w:w="1256" w:type="dxa"/>
          </w:tcPr>
          <w:p w14:paraId="39C1C1F0" w14:textId="2E648D7F" w:rsidR="00E20ECC" w:rsidRPr="00D72C59" w:rsidRDefault="00E20ECC" w:rsidP="00E20ECC">
            <w:pPr>
              <w:jc w:val="right"/>
              <w:rPr>
                <w:rFonts w:eastAsia="Arial" w:cs="Arial"/>
                <w:bCs/>
                <w:sz w:val="18"/>
                <w:szCs w:val="18"/>
              </w:rPr>
            </w:pPr>
            <w:r w:rsidRPr="00D72C59">
              <w:rPr>
                <w:rFonts w:cs="Arial"/>
                <w:sz w:val="18"/>
                <w:szCs w:val="18"/>
              </w:rPr>
              <w:t>68,283,861</w:t>
            </w:r>
          </w:p>
        </w:tc>
        <w:tc>
          <w:tcPr>
            <w:tcW w:w="1276" w:type="dxa"/>
          </w:tcPr>
          <w:p w14:paraId="5939EA81" w14:textId="0DDF72FF" w:rsidR="00E20ECC" w:rsidRPr="00D72C59" w:rsidRDefault="00E20ECC" w:rsidP="00E20ECC">
            <w:pPr>
              <w:ind w:right="40"/>
              <w:jc w:val="right"/>
              <w:rPr>
                <w:rFonts w:cs="Arial"/>
                <w:sz w:val="18"/>
                <w:szCs w:val="18"/>
              </w:rPr>
            </w:pPr>
            <w:r w:rsidRPr="00D72C59">
              <w:rPr>
                <w:rFonts w:cs="Arial"/>
                <w:sz w:val="18"/>
                <w:szCs w:val="18"/>
              </w:rPr>
              <w:t>69,607,850</w:t>
            </w:r>
          </w:p>
        </w:tc>
        <w:tc>
          <w:tcPr>
            <w:tcW w:w="1276" w:type="dxa"/>
          </w:tcPr>
          <w:p w14:paraId="1DE63A4C" w14:textId="73823E3E" w:rsidR="00E20ECC" w:rsidRPr="00D72C59" w:rsidRDefault="00E20ECC" w:rsidP="00E20ECC">
            <w:pPr>
              <w:jc w:val="right"/>
              <w:rPr>
                <w:rFonts w:cs="Arial"/>
                <w:sz w:val="18"/>
                <w:szCs w:val="18"/>
              </w:rPr>
            </w:pPr>
            <w:r w:rsidRPr="00D72C59">
              <w:rPr>
                <w:rFonts w:cs="Arial"/>
                <w:sz w:val="18"/>
                <w:szCs w:val="18"/>
              </w:rPr>
              <w:t>70,670,893</w:t>
            </w:r>
          </w:p>
        </w:tc>
        <w:tc>
          <w:tcPr>
            <w:tcW w:w="1275" w:type="dxa"/>
          </w:tcPr>
          <w:p w14:paraId="24572A83" w14:textId="584CAF19" w:rsidR="00E20ECC" w:rsidRPr="00D72C59" w:rsidRDefault="00E20ECC" w:rsidP="00E20ECC">
            <w:pPr>
              <w:ind w:right="32"/>
              <w:jc w:val="right"/>
              <w:rPr>
                <w:rFonts w:cs="Arial"/>
                <w:sz w:val="18"/>
                <w:szCs w:val="18"/>
              </w:rPr>
            </w:pPr>
            <w:r w:rsidRPr="00D72C59">
              <w:rPr>
                <w:rFonts w:cs="Arial"/>
                <w:sz w:val="18"/>
                <w:szCs w:val="18"/>
              </w:rPr>
              <w:t>71,935,277</w:t>
            </w:r>
          </w:p>
        </w:tc>
        <w:tc>
          <w:tcPr>
            <w:tcW w:w="1276" w:type="dxa"/>
          </w:tcPr>
          <w:p w14:paraId="3F06A035" w14:textId="6A522158" w:rsidR="00E20ECC" w:rsidRPr="00D72C59" w:rsidRDefault="00E20ECC" w:rsidP="00E20ECC">
            <w:pPr>
              <w:jc w:val="right"/>
              <w:rPr>
                <w:rFonts w:cs="Arial"/>
                <w:sz w:val="18"/>
                <w:szCs w:val="18"/>
              </w:rPr>
            </w:pPr>
            <w:r w:rsidRPr="00D72C59">
              <w:rPr>
                <w:rFonts w:cs="Arial"/>
                <w:sz w:val="18"/>
                <w:szCs w:val="18"/>
              </w:rPr>
              <w:t>70,499,097</w:t>
            </w:r>
          </w:p>
        </w:tc>
        <w:tc>
          <w:tcPr>
            <w:tcW w:w="851" w:type="dxa"/>
            <w:vAlign w:val="bottom"/>
          </w:tcPr>
          <w:p w14:paraId="78FF2285" w14:textId="44F01562" w:rsidR="00E20ECC" w:rsidRPr="00D72C59" w:rsidRDefault="00E20ECC" w:rsidP="00E20ECC">
            <w:pPr>
              <w:jc w:val="right"/>
              <w:rPr>
                <w:rFonts w:cs="Arial"/>
                <w:sz w:val="18"/>
                <w:szCs w:val="18"/>
              </w:rPr>
            </w:pPr>
            <w:r w:rsidRPr="00D72C59">
              <w:rPr>
                <w:rFonts w:cs="Arial"/>
                <w:color w:val="000000"/>
                <w:sz w:val="18"/>
                <w:szCs w:val="18"/>
              </w:rPr>
              <w:t>44.7</w:t>
            </w:r>
          </w:p>
        </w:tc>
      </w:tr>
      <w:tr w:rsidR="00E20ECC" w:rsidRPr="00D72C59" w14:paraId="193AE45C" w14:textId="6EDC33E9" w:rsidTr="009557D1">
        <w:trPr>
          <w:trHeight w:val="254"/>
        </w:trPr>
        <w:tc>
          <w:tcPr>
            <w:tcW w:w="2850" w:type="dxa"/>
            <w:shd w:val="clear" w:color="auto" w:fill="DEEAF6" w:themeFill="accent5" w:themeFillTint="33"/>
          </w:tcPr>
          <w:p w14:paraId="47C62CE2" w14:textId="77777777" w:rsidR="00E20ECC" w:rsidRPr="00D72C59" w:rsidRDefault="00E20ECC" w:rsidP="00E20ECC">
            <w:pPr>
              <w:rPr>
                <w:rFonts w:eastAsia="Arial" w:cs="Arial"/>
                <w:bCs/>
                <w:sz w:val="18"/>
                <w:szCs w:val="18"/>
              </w:rPr>
            </w:pPr>
            <w:r w:rsidRPr="00D72C59">
              <w:rPr>
                <w:rFonts w:cs="Arial"/>
                <w:sz w:val="18"/>
                <w:szCs w:val="18"/>
              </w:rPr>
              <w:t xml:space="preserve">  S.15. ISFLSH</w:t>
            </w:r>
          </w:p>
        </w:tc>
        <w:tc>
          <w:tcPr>
            <w:tcW w:w="1256" w:type="dxa"/>
            <w:shd w:val="clear" w:color="auto" w:fill="DEEAF6" w:themeFill="accent5" w:themeFillTint="33"/>
          </w:tcPr>
          <w:p w14:paraId="18B4AFBF" w14:textId="0D9C1BB1" w:rsidR="00E20ECC" w:rsidRPr="00D72C59" w:rsidRDefault="00E20ECC" w:rsidP="00E20ECC">
            <w:pPr>
              <w:jc w:val="right"/>
              <w:rPr>
                <w:rFonts w:eastAsia="Arial" w:cs="Arial"/>
                <w:bCs/>
                <w:sz w:val="18"/>
                <w:szCs w:val="18"/>
              </w:rPr>
            </w:pPr>
            <w:r w:rsidRPr="00D72C59">
              <w:rPr>
                <w:rFonts w:cs="Arial"/>
                <w:sz w:val="18"/>
                <w:szCs w:val="18"/>
              </w:rPr>
              <w:t>1,670,703</w:t>
            </w:r>
          </w:p>
        </w:tc>
        <w:tc>
          <w:tcPr>
            <w:tcW w:w="1276" w:type="dxa"/>
            <w:shd w:val="clear" w:color="auto" w:fill="DEEAF6" w:themeFill="accent5" w:themeFillTint="33"/>
          </w:tcPr>
          <w:p w14:paraId="66C6FD76" w14:textId="617733E9" w:rsidR="00E20ECC" w:rsidRPr="00D72C59" w:rsidRDefault="00E20ECC" w:rsidP="00E20ECC">
            <w:pPr>
              <w:ind w:right="40"/>
              <w:jc w:val="right"/>
              <w:rPr>
                <w:rFonts w:cs="Arial"/>
                <w:sz w:val="18"/>
                <w:szCs w:val="18"/>
              </w:rPr>
            </w:pPr>
            <w:r w:rsidRPr="00D72C59">
              <w:rPr>
                <w:rFonts w:cs="Arial"/>
                <w:sz w:val="18"/>
                <w:szCs w:val="18"/>
              </w:rPr>
              <w:t>1,762,221</w:t>
            </w:r>
          </w:p>
        </w:tc>
        <w:tc>
          <w:tcPr>
            <w:tcW w:w="1276" w:type="dxa"/>
            <w:shd w:val="clear" w:color="auto" w:fill="DEEAF6" w:themeFill="accent5" w:themeFillTint="33"/>
          </w:tcPr>
          <w:p w14:paraId="7AF69837" w14:textId="26DB2534" w:rsidR="00E20ECC" w:rsidRPr="00D72C59" w:rsidRDefault="00E20ECC" w:rsidP="00E20ECC">
            <w:pPr>
              <w:jc w:val="right"/>
              <w:rPr>
                <w:rFonts w:cs="Arial"/>
                <w:sz w:val="18"/>
                <w:szCs w:val="18"/>
              </w:rPr>
            </w:pPr>
            <w:r w:rsidRPr="00D72C59">
              <w:rPr>
                <w:rFonts w:cs="Arial"/>
                <w:sz w:val="18"/>
                <w:szCs w:val="18"/>
              </w:rPr>
              <w:t>1,867,046</w:t>
            </w:r>
          </w:p>
        </w:tc>
        <w:tc>
          <w:tcPr>
            <w:tcW w:w="1275" w:type="dxa"/>
            <w:shd w:val="clear" w:color="auto" w:fill="DEEAF6" w:themeFill="accent5" w:themeFillTint="33"/>
          </w:tcPr>
          <w:p w14:paraId="613A7BF3" w14:textId="66D7D5D5" w:rsidR="00E20ECC" w:rsidRPr="00D72C59" w:rsidRDefault="00E20ECC" w:rsidP="00E20ECC">
            <w:pPr>
              <w:ind w:right="32"/>
              <w:jc w:val="right"/>
              <w:rPr>
                <w:rFonts w:cs="Arial"/>
                <w:sz w:val="18"/>
                <w:szCs w:val="18"/>
              </w:rPr>
            </w:pPr>
            <w:r w:rsidRPr="00D72C59">
              <w:rPr>
                <w:rFonts w:cs="Arial"/>
                <w:sz w:val="18"/>
                <w:szCs w:val="18"/>
              </w:rPr>
              <w:t>1,963,909</w:t>
            </w:r>
          </w:p>
        </w:tc>
        <w:tc>
          <w:tcPr>
            <w:tcW w:w="1276" w:type="dxa"/>
            <w:shd w:val="clear" w:color="auto" w:fill="DEEAF6" w:themeFill="accent5" w:themeFillTint="33"/>
          </w:tcPr>
          <w:p w14:paraId="1BB210CA" w14:textId="23D4F26E" w:rsidR="00E20ECC" w:rsidRPr="00D72C59" w:rsidRDefault="00E20ECC" w:rsidP="00E20ECC">
            <w:pPr>
              <w:jc w:val="right"/>
              <w:rPr>
                <w:rFonts w:cs="Arial"/>
                <w:sz w:val="18"/>
                <w:szCs w:val="18"/>
              </w:rPr>
            </w:pPr>
            <w:r w:rsidRPr="00D72C59">
              <w:rPr>
                <w:rFonts w:cs="Arial"/>
                <w:sz w:val="18"/>
                <w:szCs w:val="18"/>
              </w:rPr>
              <w:t>2,067,441</w:t>
            </w:r>
          </w:p>
        </w:tc>
        <w:tc>
          <w:tcPr>
            <w:tcW w:w="851" w:type="dxa"/>
            <w:shd w:val="clear" w:color="auto" w:fill="DEEAF6" w:themeFill="accent5" w:themeFillTint="33"/>
            <w:vAlign w:val="bottom"/>
          </w:tcPr>
          <w:p w14:paraId="10C06B8E" w14:textId="497139CD" w:rsidR="00E20ECC" w:rsidRPr="00D72C59" w:rsidRDefault="00E20ECC" w:rsidP="00E20ECC">
            <w:pPr>
              <w:jc w:val="right"/>
              <w:rPr>
                <w:rFonts w:cs="Arial"/>
                <w:sz w:val="18"/>
                <w:szCs w:val="18"/>
              </w:rPr>
            </w:pPr>
            <w:r w:rsidRPr="00D72C59">
              <w:rPr>
                <w:rFonts w:cs="Arial"/>
                <w:color w:val="000000"/>
                <w:sz w:val="18"/>
                <w:szCs w:val="18"/>
              </w:rPr>
              <w:t>1.3</w:t>
            </w:r>
          </w:p>
        </w:tc>
      </w:tr>
      <w:tr w:rsidR="00E20ECC" w:rsidRPr="00D72C59" w14:paraId="5537723B" w14:textId="40EAEE71" w:rsidTr="009557D1">
        <w:trPr>
          <w:trHeight w:val="254"/>
        </w:trPr>
        <w:tc>
          <w:tcPr>
            <w:tcW w:w="2850" w:type="dxa"/>
            <w:shd w:val="clear" w:color="auto" w:fill="FFFFFF" w:themeFill="background1"/>
          </w:tcPr>
          <w:p w14:paraId="03576223" w14:textId="77777777" w:rsidR="00E20ECC" w:rsidRPr="00D72C59" w:rsidRDefault="00E20ECC" w:rsidP="00E20ECC">
            <w:pPr>
              <w:rPr>
                <w:rFonts w:cs="Arial"/>
                <w:sz w:val="18"/>
                <w:szCs w:val="18"/>
              </w:rPr>
            </w:pPr>
            <w:r w:rsidRPr="00D72C59">
              <w:rPr>
                <w:rFonts w:cs="Arial"/>
                <w:sz w:val="18"/>
                <w:szCs w:val="18"/>
              </w:rPr>
              <w:t>S2. Resto del Mundo</w:t>
            </w:r>
          </w:p>
        </w:tc>
        <w:tc>
          <w:tcPr>
            <w:tcW w:w="1256" w:type="dxa"/>
            <w:shd w:val="clear" w:color="auto" w:fill="FFFFFF" w:themeFill="background1"/>
          </w:tcPr>
          <w:p w14:paraId="4A5C7B7B" w14:textId="32BB61C6" w:rsidR="00E20ECC" w:rsidRPr="00D72C59" w:rsidRDefault="00E20ECC" w:rsidP="00E20ECC">
            <w:pPr>
              <w:jc w:val="right"/>
              <w:rPr>
                <w:rFonts w:cs="Arial"/>
                <w:color w:val="000000"/>
                <w:sz w:val="18"/>
                <w:szCs w:val="18"/>
              </w:rPr>
            </w:pPr>
            <w:r w:rsidRPr="00D72C59">
              <w:rPr>
                <w:rFonts w:cs="Arial"/>
                <w:sz w:val="18"/>
                <w:szCs w:val="18"/>
              </w:rPr>
              <w:t>11,112,946</w:t>
            </w:r>
          </w:p>
        </w:tc>
        <w:tc>
          <w:tcPr>
            <w:tcW w:w="1276" w:type="dxa"/>
            <w:shd w:val="clear" w:color="auto" w:fill="FFFFFF" w:themeFill="background1"/>
          </w:tcPr>
          <w:p w14:paraId="58FA0250" w14:textId="51621068" w:rsidR="00E20ECC" w:rsidRPr="00D72C59" w:rsidRDefault="00E20ECC" w:rsidP="00E20ECC">
            <w:pPr>
              <w:ind w:right="40"/>
              <w:jc w:val="right"/>
              <w:rPr>
                <w:rFonts w:cs="Arial"/>
                <w:color w:val="000000"/>
                <w:sz w:val="18"/>
                <w:szCs w:val="18"/>
              </w:rPr>
            </w:pPr>
            <w:r w:rsidRPr="00D72C59">
              <w:rPr>
                <w:rFonts w:cs="Arial"/>
                <w:sz w:val="18"/>
                <w:szCs w:val="18"/>
              </w:rPr>
              <w:t>11,381,922</w:t>
            </w:r>
          </w:p>
        </w:tc>
        <w:tc>
          <w:tcPr>
            <w:tcW w:w="1276" w:type="dxa"/>
            <w:shd w:val="clear" w:color="auto" w:fill="FFFFFF" w:themeFill="background1"/>
          </w:tcPr>
          <w:p w14:paraId="0A378EBB" w14:textId="680C7094" w:rsidR="00E20ECC" w:rsidRPr="00D72C59" w:rsidRDefault="00E20ECC" w:rsidP="00E20ECC">
            <w:pPr>
              <w:jc w:val="right"/>
              <w:rPr>
                <w:rFonts w:cs="Arial"/>
                <w:color w:val="000000"/>
                <w:sz w:val="18"/>
                <w:szCs w:val="18"/>
              </w:rPr>
            </w:pPr>
            <w:r w:rsidRPr="00D72C59">
              <w:rPr>
                <w:rFonts w:cs="Arial"/>
                <w:sz w:val="18"/>
                <w:szCs w:val="18"/>
              </w:rPr>
              <w:t>11,772,125</w:t>
            </w:r>
          </w:p>
        </w:tc>
        <w:tc>
          <w:tcPr>
            <w:tcW w:w="1275" w:type="dxa"/>
            <w:shd w:val="clear" w:color="auto" w:fill="FFFFFF" w:themeFill="background1"/>
          </w:tcPr>
          <w:p w14:paraId="106B6358" w14:textId="1EB3F4EF" w:rsidR="00E20ECC" w:rsidRPr="00D72C59" w:rsidRDefault="00E20ECC" w:rsidP="00E20ECC">
            <w:pPr>
              <w:ind w:right="32"/>
              <w:jc w:val="right"/>
              <w:rPr>
                <w:rFonts w:cs="Arial"/>
                <w:color w:val="000000"/>
                <w:sz w:val="18"/>
                <w:szCs w:val="18"/>
              </w:rPr>
            </w:pPr>
            <w:r w:rsidRPr="00D72C59">
              <w:rPr>
                <w:rFonts w:cs="Arial"/>
                <w:sz w:val="18"/>
                <w:szCs w:val="18"/>
              </w:rPr>
              <w:t>11,956,049</w:t>
            </w:r>
          </w:p>
        </w:tc>
        <w:tc>
          <w:tcPr>
            <w:tcW w:w="1276" w:type="dxa"/>
            <w:shd w:val="clear" w:color="auto" w:fill="FFFFFF" w:themeFill="background1"/>
          </w:tcPr>
          <w:p w14:paraId="02CEDE6B" w14:textId="34232819" w:rsidR="00E20ECC" w:rsidRPr="00D72C59" w:rsidRDefault="00E20ECC" w:rsidP="00E20ECC">
            <w:pPr>
              <w:jc w:val="right"/>
              <w:rPr>
                <w:rFonts w:cs="Arial"/>
                <w:color w:val="000000"/>
                <w:sz w:val="18"/>
                <w:szCs w:val="18"/>
              </w:rPr>
            </w:pPr>
            <w:r w:rsidRPr="00D72C59">
              <w:rPr>
                <w:rFonts w:cs="Arial"/>
                <w:sz w:val="18"/>
                <w:szCs w:val="18"/>
              </w:rPr>
              <w:t>9,852,916</w:t>
            </w:r>
          </w:p>
        </w:tc>
        <w:tc>
          <w:tcPr>
            <w:tcW w:w="851" w:type="dxa"/>
            <w:shd w:val="clear" w:color="auto" w:fill="FFFFFF" w:themeFill="background1"/>
            <w:vAlign w:val="bottom"/>
          </w:tcPr>
          <w:p w14:paraId="0FCA4650" w14:textId="17C34837" w:rsidR="00E20ECC" w:rsidRPr="00D72C59" w:rsidRDefault="00E20ECC" w:rsidP="00E20ECC">
            <w:pPr>
              <w:jc w:val="right"/>
              <w:rPr>
                <w:rFonts w:cs="Arial"/>
                <w:sz w:val="18"/>
                <w:szCs w:val="18"/>
              </w:rPr>
            </w:pPr>
            <w:r w:rsidRPr="00D72C59">
              <w:rPr>
                <w:rFonts w:cs="Arial"/>
                <w:color w:val="000000"/>
                <w:sz w:val="18"/>
                <w:szCs w:val="18"/>
              </w:rPr>
              <w:t>6.2</w:t>
            </w:r>
          </w:p>
        </w:tc>
      </w:tr>
      <w:tr w:rsidR="00E20ECC" w:rsidRPr="00D72C59" w14:paraId="348A1F2D" w14:textId="77777777" w:rsidTr="00E20ECC">
        <w:trPr>
          <w:trHeight w:val="254"/>
        </w:trPr>
        <w:tc>
          <w:tcPr>
            <w:tcW w:w="2850" w:type="dxa"/>
            <w:shd w:val="clear" w:color="auto" w:fill="DEEAF6" w:themeFill="accent5" w:themeFillTint="33"/>
            <w:vAlign w:val="bottom"/>
          </w:tcPr>
          <w:p w14:paraId="38F3380E" w14:textId="23F2B9B3" w:rsidR="00E20ECC" w:rsidRPr="00D72C59" w:rsidRDefault="00E20ECC" w:rsidP="00E20ECC">
            <w:pPr>
              <w:rPr>
                <w:rFonts w:cs="Arial"/>
                <w:b/>
                <w:bCs/>
                <w:sz w:val="18"/>
                <w:szCs w:val="18"/>
              </w:rPr>
            </w:pPr>
            <w:r w:rsidRPr="00D72C59">
              <w:rPr>
                <w:rFonts w:cs="Arial"/>
                <w:b/>
                <w:bCs/>
                <w:color w:val="000000"/>
                <w:sz w:val="18"/>
                <w:szCs w:val="18"/>
              </w:rPr>
              <w:t>Total</w:t>
            </w:r>
          </w:p>
        </w:tc>
        <w:tc>
          <w:tcPr>
            <w:tcW w:w="1256" w:type="dxa"/>
            <w:shd w:val="clear" w:color="auto" w:fill="DEEAF6" w:themeFill="accent5" w:themeFillTint="33"/>
            <w:vAlign w:val="center"/>
          </w:tcPr>
          <w:p w14:paraId="65BA50B1" w14:textId="31CAC924" w:rsidR="00E20ECC" w:rsidRPr="00D72C59" w:rsidRDefault="00E20ECC" w:rsidP="00E20ECC">
            <w:pPr>
              <w:jc w:val="right"/>
              <w:rPr>
                <w:rFonts w:cs="Arial"/>
                <w:b/>
                <w:bCs/>
                <w:sz w:val="18"/>
                <w:szCs w:val="18"/>
              </w:rPr>
            </w:pPr>
            <w:r w:rsidRPr="00D72C59">
              <w:rPr>
                <w:rFonts w:cs="Arial"/>
                <w:b/>
                <w:bCs/>
                <w:sz w:val="18"/>
                <w:szCs w:val="18"/>
              </w:rPr>
              <w:t>147,699,647</w:t>
            </w:r>
          </w:p>
        </w:tc>
        <w:tc>
          <w:tcPr>
            <w:tcW w:w="1276" w:type="dxa"/>
            <w:shd w:val="clear" w:color="auto" w:fill="DEEAF6" w:themeFill="accent5" w:themeFillTint="33"/>
            <w:vAlign w:val="center"/>
          </w:tcPr>
          <w:p w14:paraId="37B68DD0" w14:textId="4B933DFF" w:rsidR="00E20ECC" w:rsidRPr="00D72C59" w:rsidRDefault="00E20ECC" w:rsidP="00E20ECC">
            <w:pPr>
              <w:ind w:right="40"/>
              <w:jc w:val="right"/>
              <w:rPr>
                <w:rFonts w:cs="Arial"/>
                <w:b/>
                <w:bCs/>
                <w:sz w:val="18"/>
                <w:szCs w:val="18"/>
              </w:rPr>
            </w:pPr>
            <w:r w:rsidRPr="00D72C59">
              <w:rPr>
                <w:rFonts w:cs="Arial"/>
                <w:b/>
                <w:bCs/>
                <w:sz w:val="18"/>
                <w:szCs w:val="18"/>
              </w:rPr>
              <w:t>150,900,958</w:t>
            </w:r>
          </w:p>
        </w:tc>
        <w:tc>
          <w:tcPr>
            <w:tcW w:w="1276" w:type="dxa"/>
            <w:shd w:val="clear" w:color="auto" w:fill="DEEAF6" w:themeFill="accent5" w:themeFillTint="33"/>
            <w:vAlign w:val="center"/>
          </w:tcPr>
          <w:p w14:paraId="716B3389" w14:textId="6ABE4A42" w:rsidR="00E20ECC" w:rsidRPr="00D72C59" w:rsidRDefault="00E20ECC" w:rsidP="00E20ECC">
            <w:pPr>
              <w:jc w:val="right"/>
              <w:rPr>
                <w:rFonts w:cs="Arial"/>
                <w:b/>
                <w:bCs/>
                <w:sz w:val="18"/>
                <w:szCs w:val="18"/>
              </w:rPr>
            </w:pPr>
            <w:r w:rsidRPr="00D72C59">
              <w:rPr>
                <w:rFonts w:cs="Arial"/>
                <w:b/>
                <w:bCs/>
                <w:sz w:val="18"/>
                <w:szCs w:val="18"/>
              </w:rPr>
              <w:t>152,675,756</w:t>
            </w:r>
          </w:p>
        </w:tc>
        <w:tc>
          <w:tcPr>
            <w:tcW w:w="1275" w:type="dxa"/>
            <w:shd w:val="clear" w:color="auto" w:fill="DEEAF6" w:themeFill="accent5" w:themeFillTint="33"/>
            <w:vAlign w:val="center"/>
          </w:tcPr>
          <w:p w14:paraId="38A4F9D8" w14:textId="2133B206" w:rsidR="00E20ECC" w:rsidRPr="00D72C59" w:rsidRDefault="00E20ECC" w:rsidP="00E20ECC">
            <w:pPr>
              <w:ind w:right="32"/>
              <w:jc w:val="right"/>
              <w:rPr>
                <w:rFonts w:cs="Arial"/>
                <w:b/>
                <w:bCs/>
                <w:sz w:val="18"/>
                <w:szCs w:val="18"/>
              </w:rPr>
            </w:pPr>
            <w:r w:rsidRPr="00D72C59">
              <w:rPr>
                <w:rFonts w:cs="Arial"/>
                <w:b/>
                <w:bCs/>
                <w:sz w:val="18"/>
                <w:szCs w:val="18"/>
              </w:rPr>
              <w:t>154,065,660</w:t>
            </w:r>
          </w:p>
        </w:tc>
        <w:tc>
          <w:tcPr>
            <w:tcW w:w="1276" w:type="dxa"/>
            <w:shd w:val="clear" w:color="auto" w:fill="DEEAF6" w:themeFill="accent5" w:themeFillTint="33"/>
            <w:vAlign w:val="center"/>
          </w:tcPr>
          <w:p w14:paraId="2C119CAD" w14:textId="5741672C" w:rsidR="00E20ECC" w:rsidRPr="00D72C59" w:rsidRDefault="00E20ECC" w:rsidP="00E20ECC">
            <w:pPr>
              <w:jc w:val="right"/>
              <w:rPr>
                <w:rFonts w:cs="Arial"/>
                <w:b/>
                <w:bCs/>
                <w:sz w:val="18"/>
                <w:szCs w:val="18"/>
              </w:rPr>
            </w:pPr>
            <w:r w:rsidRPr="00D72C59">
              <w:rPr>
                <w:rFonts w:cs="Arial"/>
                <w:b/>
                <w:bCs/>
                <w:sz w:val="18"/>
                <w:szCs w:val="18"/>
              </w:rPr>
              <w:t>157,775,244</w:t>
            </w:r>
          </w:p>
        </w:tc>
        <w:tc>
          <w:tcPr>
            <w:tcW w:w="851" w:type="dxa"/>
            <w:shd w:val="clear" w:color="auto" w:fill="DEEAF6" w:themeFill="accent5" w:themeFillTint="33"/>
            <w:vAlign w:val="center"/>
          </w:tcPr>
          <w:p w14:paraId="3AB45E15" w14:textId="031FD868" w:rsidR="00E20ECC" w:rsidRPr="00D72C59" w:rsidRDefault="00E20ECC" w:rsidP="00E20ECC">
            <w:pPr>
              <w:jc w:val="right"/>
              <w:rPr>
                <w:rFonts w:cs="Arial"/>
                <w:b/>
                <w:bCs/>
                <w:sz w:val="18"/>
                <w:szCs w:val="18"/>
              </w:rPr>
            </w:pPr>
            <w:r w:rsidRPr="00D72C59">
              <w:rPr>
                <w:rFonts w:cs="Arial"/>
                <w:b/>
                <w:bCs/>
                <w:sz w:val="18"/>
                <w:szCs w:val="18"/>
              </w:rPr>
              <w:t>100.0</w:t>
            </w:r>
          </w:p>
        </w:tc>
      </w:tr>
    </w:tbl>
    <w:p w14:paraId="68C262D6" w14:textId="77777777" w:rsidR="00FA2A49" w:rsidRDefault="00FA2A49" w:rsidP="00FA2A49">
      <w:pPr>
        <w:ind w:left="142"/>
        <w:jc w:val="both"/>
        <w:rPr>
          <w:rFonts w:cs="Arial"/>
          <w:color w:val="000000"/>
          <w:sz w:val="16"/>
          <w:szCs w:val="16"/>
          <w:lang w:val="es-MX" w:eastAsia="es-MX"/>
        </w:rPr>
      </w:pPr>
      <w:r w:rsidRPr="00FA2A49">
        <w:rPr>
          <w:rFonts w:cs="Arial"/>
          <w:color w:val="000000"/>
          <w:sz w:val="16"/>
          <w:szCs w:val="16"/>
          <w:lang w:val="es-MX" w:eastAsia="es-MX"/>
        </w:rPr>
        <w:t>Nota: La suma o resta de los parciales pueden no coincidir con los totales debido al redondeo</w:t>
      </w:r>
    </w:p>
    <w:p w14:paraId="37F28BE3" w14:textId="62FB9650" w:rsidR="00FA2A49" w:rsidRDefault="00FA2A49" w:rsidP="00FA2A49">
      <w:pPr>
        <w:ind w:left="142"/>
        <w:jc w:val="both"/>
        <w:rPr>
          <w:rFonts w:cs="Arial"/>
          <w:color w:val="000000"/>
          <w:sz w:val="16"/>
          <w:szCs w:val="16"/>
          <w:lang w:val="es-MX" w:eastAsia="es-MX"/>
        </w:rPr>
      </w:pPr>
      <w:r>
        <w:rPr>
          <w:rFonts w:cs="Arial"/>
          <w:color w:val="000000"/>
          <w:sz w:val="16"/>
          <w:szCs w:val="16"/>
          <w:lang w:val="es-MX" w:eastAsia="es-MX"/>
        </w:rPr>
        <w:t xml:space="preserve">1/ </w:t>
      </w:r>
      <w:proofErr w:type="spellStart"/>
      <w:r>
        <w:rPr>
          <w:rFonts w:cs="Arial"/>
          <w:color w:val="000000"/>
          <w:sz w:val="16"/>
          <w:szCs w:val="16"/>
          <w:lang w:val="es-MX" w:eastAsia="es-MX"/>
        </w:rPr>
        <w:t>Est</w:t>
      </w:r>
      <w:proofErr w:type="spellEnd"/>
      <w:r>
        <w:rPr>
          <w:rFonts w:cs="Arial"/>
          <w:color w:val="000000"/>
          <w:sz w:val="16"/>
          <w:szCs w:val="16"/>
          <w:lang w:val="es-MX" w:eastAsia="es-MX"/>
        </w:rPr>
        <w:t>%: Estructura porcentual</w:t>
      </w:r>
    </w:p>
    <w:p w14:paraId="5DAF4A8E" w14:textId="77777777" w:rsidR="00FA2A49" w:rsidRDefault="00FA2A49" w:rsidP="00392F2A">
      <w:pPr>
        <w:ind w:left="284"/>
        <w:jc w:val="both"/>
        <w:rPr>
          <w:rFonts w:eastAsia="Arial" w:cs="Arial"/>
          <w:noProof/>
          <w:sz w:val="16"/>
          <w:szCs w:val="16"/>
          <w:lang w:val="es-MX" w:eastAsia="es-MX"/>
        </w:rPr>
      </w:pPr>
      <w:r w:rsidRPr="00FA2A49">
        <w:rPr>
          <w:rFonts w:eastAsia="Arial" w:cs="Arial"/>
          <w:noProof/>
          <w:sz w:val="16"/>
          <w:szCs w:val="16"/>
          <w:lang w:val="es-MX" w:eastAsia="es-MX"/>
        </w:rPr>
        <w:t>* ISFLSH: Instituciones sin fines de lucro que sirven a los hogares</w:t>
      </w:r>
    </w:p>
    <w:p w14:paraId="463F3B77" w14:textId="012E062B" w:rsidR="00A4541D" w:rsidRPr="00392F2A" w:rsidRDefault="00E549AD" w:rsidP="00392F2A">
      <w:pPr>
        <w:ind w:left="284"/>
        <w:jc w:val="both"/>
        <w:rPr>
          <w:rFonts w:eastAsia="Arial" w:cs="Arial"/>
          <w:bCs/>
          <w:sz w:val="16"/>
          <w:szCs w:val="16"/>
          <w:lang w:val="es-ES_tradnl"/>
        </w:rPr>
      </w:pPr>
      <w:r w:rsidRPr="00E20ECC">
        <w:rPr>
          <w:rFonts w:eastAsia="Arial" w:cs="Arial"/>
          <w:noProof/>
          <w:sz w:val="16"/>
          <w:szCs w:val="16"/>
          <w:lang w:val="es-MX" w:eastAsia="es-MX"/>
        </w:rPr>
        <w:t>Fuente:INEGI</w:t>
      </w:r>
    </w:p>
    <w:p w14:paraId="53CB7435" w14:textId="77777777" w:rsidR="00DE7D5D" w:rsidRDefault="00DE7D5D" w:rsidP="00785514">
      <w:pPr>
        <w:spacing w:before="120"/>
        <w:jc w:val="both"/>
        <w:rPr>
          <w:rFonts w:eastAsia="Arial" w:cs="Arial"/>
          <w:b/>
          <w:i/>
          <w:iCs/>
          <w:lang w:val="es-ES_tradnl"/>
        </w:rPr>
      </w:pPr>
    </w:p>
    <w:p w14:paraId="13D7553F" w14:textId="77777777" w:rsidR="00DE7D5D" w:rsidRDefault="00DE7D5D" w:rsidP="00785514">
      <w:pPr>
        <w:spacing w:before="120"/>
        <w:jc w:val="both"/>
        <w:rPr>
          <w:rFonts w:eastAsia="Arial" w:cs="Arial"/>
          <w:b/>
          <w:i/>
          <w:iCs/>
          <w:lang w:val="es-ES_tradnl"/>
        </w:rPr>
      </w:pPr>
    </w:p>
    <w:p w14:paraId="463CC77C" w14:textId="3F35F3D0" w:rsidR="00F532D4" w:rsidRPr="00785514" w:rsidRDefault="00F532D4" w:rsidP="00785514">
      <w:pPr>
        <w:spacing w:before="120"/>
        <w:jc w:val="both"/>
        <w:rPr>
          <w:rFonts w:eastAsia="Arial" w:cs="Arial"/>
          <w:b/>
          <w:i/>
          <w:iCs/>
          <w:lang w:val="es-ES_tradnl"/>
        </w:rPr>
      </w:pPr>
      <w:r w:rsidRPr="00785514">
        <w:rPr>
          <w:rFonts w:eastAsia="Arial" w:cs="Arial"/>
          <w:b/>
          <w:i/>
          <w:iCs/>
          <w:lang w:val="es-ES_tradnl"/>
        </w:rPr>
        <w:t>Nota al usuario</w:t>
      </w:r>
    </w:p>
    <w:p w14:paraId="576FB871" w14:textId="77777777" w:rsidR="00BF3DC7" w:rsidRPr="00785514" w:rsidRDefault="00BF3DC7" w:rsidP="00BF3DC7">
      <w:pPr>
        <w:pStyle w:val="Default"/>
        <w:spacing w:before="120"/>
        <w:jc w:val="both"/>
        <w:rPr>
          <w:rFonts w:eastAsia="Times New Roman"/>
          <w:snapToGrid w:val="0"/>
          <w:color w:val="auto"/>
          <w:lang w:val="es-ES_tradnl"/>
        </w:rPr>
      </w:pPr>
      <w:r w:rsidRPr="00785514">
        <w:rPr>
          <w:rFonts w:eastAsia="Times New Roman"/>
          <w:snapToGrid w:val="0"/>
          <w:color w:val="auto"/>
          <w:lang w:val="es-ES_tradnl"/>
        </w:rPr>
        <w:t>De acuerdo con lo publicado por el INEGI en su Comunicado de Prensa del 31 de marzo de 2020, en el cual se dieron a conocer las medidas extraordinarias que tomó el Instituto por el estado de emergencia sanitaria originada por el SARS CoV-2, la captación de las Encuestas Económicas, que se consideraron para la integración de las Cuentas por Sectores Institucionales Trimestrales (CSIT) correspondiente al primer trimestre de 2020, se realizó en los tiempos establecidos mediante Internet y asistencia telefónica con el fin de evitar el contacto presencial.</w:t>
      </w:r>
    </w:p>
    <w:p w14:paraId="4A25F34C" w14:textId="740F8DB8" w:rsidR="00F532D4" w:rsidRDefault="00BF3DC7" w:rsidP="00392F2A">
      <w:pPr>
        <w:pStyle w:val="Default"/>
        <w:spacing w:before="120"/>
        <w:jc w:val="both"/>
        <w:rPr>
          <w:rFonts w:eastAsia="Times New Roman"/>
          <w:snapToGrid w:val="0"/>
          <w:color w:val="auto"/>
          <w:lang w:val="es-ES_tradnl"/>
        </w:rPr>
      </w:pPr>
      <w:r w:rsidRPr="00785514">
        <w:rPr>
          <w:rFonts w:eastAsia="Times New Roman"/>
          <w:snapToGrid w:val="0"/>
          <w:color w:val="auto"/>
          <w:lang w:val="es-ES_tradnl"/>
        </w:rPr>
        <w:t>En este contexto la Tasa de No Respuesta de las encuestas mencionadas en el primer trimestre de 2020, registró porcentajes apropiados de acuerdo con los parámetros del diseño estadístico de la muestra, lo que permitió la generación de estadísticas con niveles altos de cobertura y precisión; para</w:t>
      </w:r>
      <w:r>
        <w:rPr>
          <w:rFonts w:eastAsia="Times New Roman"/>
          <w:snapToGrid w:val="0"/>
          <w:color w:val="auto"/>
          <w:lang w:val="es-ES_tradnl"/>
        </w:rPr>
        <w:t xml:space="preserve"> los sectores institucionales </w:t>
      </w:r>
      <w:r w:rsidRPr="00785514">
        <w:rPr>
          <w:rFonts w:eastAsia="Times New Roman"/>
          <w:snapToGrid w:val="0"/>
          <w:color w:val="auto"/>
          <w:lang w:val="es-ES_tradnl"/>
        </w:rPr>
        <w:t>se complementaron con registros administrativos provenientes de las Unidades del Estado</w:t>
      </w:r>
      <w:r>
        <w:rPr>
          <w:rFonts w:eastAsia="Times New Roman"/>
          <w:snapToGrid w:val="0"/>
          <w:color w:val="auto"/>
          <w:lang w:val="es-ES_tradnl"/>
        </w:rPr>
        <w:t>, de las Empresas que cotizan en la bolsa, Banco de México, Comisión Nacional Bancaria y de Valores, entre otros</w:t>
      </w:r>
      <w:r w:rsidRPr="00785514">
        <w:rPr>
          <w:rFonts w:eastAsia="Times New Roman"/>
          <w:snapToGrid w:val="0"/>
          <w:color w:val="auto"/>
          <w:lang w:val="es-ES_tradnl"/>
        </w:rPr>
        <w:t xml:space="preserve"> que se recibieron oportunamente </w:t>
      </w:r>
      <w:r>
        <w:rPr>
          <w:rFonts w:eastAsia="Times New Roman"/>
          <w:snapToGrid w:val="0"/>
          <w:color w:val="auto"/>
          <w:lang w:val="es-ES_tradnl"/>
        </w:rPr>
        <w:t>por medios</w:t>
      </w:r>
      <w:r w:rsidRPr="00785514">
        <w:rPr>
          <w:rFonts w:eastAsia="Times New Roman"/>
          <w:snapToGrid w:val="0"/>
          <w:color w:val="auto"/>
          <w:lang w:val="es-ES_tradnl"/>
        </w:rPr>
        <w:t xml:space="preserve"> electrónico</w:t>
      </w:r>
      <w:r>
        <w:rPr>
          <w:rFonts w:eastAsia="Times New Roman"/>
          <w:snapToGrid w:val="0"/>
          <w:color w:val="auto"/>
          <w:lang w:val="es-ES_tradnl"/>
        </w:rPr>
        <w:t>s, es decir</w:t>
      </w:r>
      <w:r w:rsidRPr="00BF3DC7">
        <w:t xml:space="preserve"> </w:t>
      </w:r>
      <w:r w:rsidRPr="00BF3DC7">
        <w:rPr>
          <w:rFonts w:eastAsia="Times New Roman"/>
          <w:snapToGrid w:val="0"/>
          <w:color w:val="auto"/>
          <w:lang w:val="es-ES_tradnl"/>
        </w:rPr>
        <w:t>vía correo electrónico</w:t>
      </w:r>
      <w:r>
        <w:rPr>
          <w:rFonts w:eastAsia="Times New Roman"/>
          <w:snapToGrid w:val="0"/>
          <w:color w:val="auto"/>
          <w:lang w:val="es-ES_tradnl"/>
        </w:rPr>
        <w:t xml:space="preserve">, </w:t>
      </w:r>
      <w:r w:rsidRPr="00BF3DC7">
        <w:rPr>
          <w:rFonts w:eastAsia="Times New Roman"/>
          <w:snapToGrid w:val="0"/>
          <w:color w:val="auto"/>
          <w:lang w:val="es-ES_tradnl"/>
        </w:rPr>
        <w:t>captación por Internet</w:t>
      </w:r>
      <w:r>
        <w:rPr>
          <w:rFonts w:eastAsia="Times New Roman"/>
          <w:snapToGrid w:val="0"/>
          <w:color w:val="auto"/>
          <w:lang w:val="es-ES_tradnl"/>
        </w:rPr>
        <w:t>, consulta a las bases de datos, entre otros,</w:t>
      </w:r>
      <w:r w:rsidRPr="00785514">
        <w:rPr>
          <w:rFonts w:eastAsia="Times New Roman"/>
          <w:snapToGrid w:val="0"/>
          <w:color w:val="auto"/>
          <w:lang w:val="es-ES_tradnl"/>
        </w:rPr>
        <w:t xml:space="preserve"> lo que posibilitó la generación de resultados apropiados de las CSIT en el periodo de referencia.</w:t>
      </w:r>
    </w:p>
    <w:p w14:paraId="13BCB978" w14:textId="77777777" w:rsidR="00392F2A" w:rsidRPr="00392F2A" w:rsidRDefault="00392F2A" w:rsidP="00392F2A">
      <w:pPr>
        <w:pStyle w:val="Default"/>
        <w:spacing w:before="120"/>
        <w:jc w:val="both"/>
        <w:rPr>
          <w:rFonts w:eastAsia="Times New Roman"/>
          <w:snapToGrid w:val="0"/>
          <w:color w:val="auto"/>
          <w:lang w:val="es-ES_tradnl"/>
        </w:rPr>
      </w:pPr>
    </w:p>
    <w:p w14:paraId="56EC0BBC" w14:textId="77777777" w:rsidR="00F532D4" w:rsidRPr="004C263D" w:rsidRDefault="00F532D4" w:rsidP="00785514">
      <w:pPr>
        <w:spacing w:before="120"/>
        <w:jc w:val="both"/>
        <w:rPr>
          <w:rFonts w:cs="Arial"/>
          <w:b/>
          <w:i/>
          <w:iCs/>
          <w:sz w:val="22"/>
          <w:szCs w:val="22"/>
        </w:rPr>
      </w:pPr>
      <w:r w:rsidRPr="004C263D">
        <w:rPr>
          <w:rFonts w:cs="Arial"/>
          <w:b/>
          <w:i/>
          <w:iCs/>
          <w:sz w:val="22"/>
          <w:szCs w:val="22"/>
        </w:rPr>
        <w:lastRenderedPageBreak/>
        <w:t xml:space="preserve">Nota Metodológica </w:t>
      </w:r>
    </w:p>
    <w:p w14:paraId="388B049D" w14:textId="1A1F62AE" w:rsidR="00F532D4" w:rsidRPr="0077041D" w:rsidRDefault="0077041D" w:rsidP="00785514">
      <w:pPr>
        <w:spacing w:before="120"/>
        <w:jc w:val="both"/>
        <w:rPr>
          <w:rFonts w:cs="Arial"/>
          <w:bCs/>
        </w:rPr>
      </w:pPr>
      <w:r w:rsidRPr="0077041D">
        <w:rPr>
          <w:rFonts w:cs="Arial"/>
          <w:bCs/>
        </w:rPr>
        <w:t>Las Cuentas de los Sectores Institucionales T</w:t>
      </w:r>
      <w:r w:rsidR="00F532D4" w:rsidRPr="0077041D">
        <w:rPr>
          <w:rFonts w:cs="Arial"/>
          <w:bCs/>
        </w:rPr>
        <w:t>rimestral</w:t>
      </w:r>
      <w:r w:rsidR="00A34485">
        <w:rPr>
          <w:rFonts w:cs="Arial"/>
          <w:bCs/>
        </w:rPr>
        <w:t>es</w:t>
      </w:r>
      <w:r w:rsidR="00F532D4" w:rsidRPr="0077041D">
        <w:rPr>
          <w:rFonts w:cs="Arial"/>
          <w:bCs/>
        </w:rPr>
        <w:t xml:space="preserve"> ofrece</w:t>
      </w:r>
      <w:r w:rsidR="00A34485">
        <w:rPr>
          <w:rFonts w:cs="Arial"/>
          <w:bCs/>
        </w:rPr>
        <w:t>n</w:t>
      </w:r>
      <w:r w:rsidR="00F532D4" w:rsidRPr="0077041D">
        <w:rPr>
          <w:rFonts w:cs="Arial"/>
          <w:bCs/>
        </w:rPr>
        <w:t xml:space="preserve"> en el corto plazo, una visión oportuna, completa y coherente de la evolución, para apoyar la toma de decisiones.</w:t>
      </w:r>
    </w:p>
    <w:p w14:paraId="085EB1B1" w14:textId="1718C78D" w:rsidR="00F532D4" w:rsidRPr="0077041D" w:rsidRDefault="00F532D4" w:rsidP="00785514">
      <w:pPr>
        <w:spacing w:before="120"/>
        <w:jc w:val="both"/>
        <w:rPr>
          <w:rFonts w:cs="Arial"/>
          <w:bCs/>
        </w:rPr>
      </w:pPr>
      <w:r w:rsidRPr="0077041D">
        <w:rPr>
          <w:rFonts w:cs="Arial"/>
          <w:bCs/>
        </w:rPr>
        <w:t xml:space="preserve">Las cifras trimestrales están disponibles desde el primer trimestre de </w:t>
      </w:r>
      <w:r w:rsidR="0077041D" w:rsidRPr="0077041D">
        <w:rPr>
          <w:rFonts w:cs="Arial"/>
          <w:bCs/>
        </w:rPr>
        <w:t>2008</w:t>
      </w:r>
      <w:r w:rsidRPr="0077041D">
        <w:rPr>
          <w:rFonts w:cs="Arial"/>
          <w:bCs/>
        </w:rPr>
        <w:t xml:space="preserve">; se presentan en millones de pesos </w:t>
      </w:r>
    </w:p>
    <w:p w14:paraId="02E94728" w14:textId="77777777" w:rsidR="00F532D4" w:rsidRPr="0077041D" w:rsidRDefault="00F532D4" w:rsidP="00785514">
      <w:pPr>
        <w:spacing w:before="120"/>
        <w:jc w:val="both"/>
        <w:rPr>
          <w:rFonts w:cs="Arial"/>
          <w:bCs/>
        </w:rPr>
      </w:pPr>
      <w:r w:rsidRPr="0077041D">
        <w:rPr>
          <w:rFonts w:cs="Arial"/>
          <w:bCs/>
        </w:rPr>
        <w:t>Las mediciones se realizan a partir de los criterios metodológicos del año base 2013 del Sistema de Cuentas Nacionales de México.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del Fondo Monetario Internacional.</w:t>
      </w:r>
    </w:p>
    <w:p w14:paraId="7F09FA7C" w14:textId="77777777" w:rsidR="002627EE" w:rsidRPr="0077041D" w:rsidRDefault="002627EE" w:rsidP="002627EE">
      <w:pPr>
        <w:spacing w:before="120"/>
        <w:jc w:val="both"/>
        <w:rPr>
          <w:rFonts w:cs="Arial"/>
          <w:bCs/>
        </w:rPr>
      </w:pPr>
      <w:r w:rsidRPr="0077041D">
        <w:rPr>
          <w:rFonts w:cs="Arial"/>
          <w:bCs/>
        </w:rPr>
        <w:t xml:space="preserve">Las unidades institucionales son entidades económicas con capacidad para realizar actividades económicas y efectuar transacciones con otras, poseer activos y contraer pasivos, se agrupan en sectores institucionales en función de su naturaleza. La sectorización definida para México guarda correspondencia con la recomendada en el SCN 2008, en tanto que la </w:t>
      </w:r>
      <w:proofErr w:type="spellStart"/>
      <w:r w:rsidRPr="0077041D">
        <w:rPr>
          <w:rFonts w:cs="Arial"/>
          <w:bCs/>
        </w:rPr>
        <w:t>subsectorización</w:t>
      </w:r>
      <w:proofErr w:type="spellEnd"/>
      <w:r w:rsidRPr="0077041D">
        <w:rPr>
          <w:rFonts w:cs="Arial"/>
          <w:bCs/>
        </w:rPr>
        <w:t xml:space="preserve"> aplicada responde a la importancia económica y a la disponibilidad de información adecuada para el sistema.</w:t>
      </w:r>
    </w:p>
    <w:p w14:paraId="3CDB6CDF" w14:textId="0A08BECA" w:rsidR="002627EE" w:rsidRPr="0077041D" w:rsidRDefault="002627EE" w:rsidP="002627EE">
      <w:pPr>
        <w:spacing w:before="120"/>
        <w:jc w:val="both"/>
        <w:rPr>
          <w:rFonts w:cs="Arial"/>
          <w:bCs/>
        </w:rPr>
      </w:pPr>
      <w:r w:rsidRPr="0077041D">
        <w:rPr>
          <w:rFonts w:cs="Arial"/>
          <w:bCs/>
        </w:rPr>
        <w:t xml:space="preserve">Sociedades no financieras: </w:t>
      </w:r>
      <w:r w:rsidR="00A34485">
        <w:rPr>
          <w:rFonts w:cs="Arial"/>
          <w:bCs/>
        </w:rPr>
        <w:t>e</w:t>
      </w:r>
      <w:r w:rsidRPr="0077041D">
        <w:rPr>
          <w:rFonts w:cs="Arial"/>
          <w:bCs/>
        </w:rPr>
        <w:t xml:space="preserve">stá conformado por las sociedades o empresas no financieras residentes en el país, incluidas las denominadas </w:t>
      </w:r>
      <w:proofErr w:type="spellStart"/>
      <w:r w:rsidRPr="0077041D">
        <w:rPr>
          <w:rFonts w:cs="Arial"/>
          <w:bCs/>
        </w:rPr>
        <w:t>cuasisociedades</w:t>
      </w:r>
      <w:proofErr w:type="spellEnd"/>
      <w:r w:rsidRPr="0077041D">
        <w:rPr>
          <w:rFonts w:cs="Arial"/>
          <w:bCs/>
        </w:rPr>
        <w:t xml:space="preserve"> que son empresas que no están constituidas en sociedad pero que funcionan como tal, es decir, su operación es en forma autónoma e independiente de sus propietarios.</w:t>
      </w:r>
    </w:p>
    <w:p w14:paraId="48EC75C3" w14:textId="77777777" w:rsidR="002627EE" w:rsidRPr="0077041D" w:rsidRDefault="002627EE" w:rsidP="002627EE">
      <w:pPr>
        <w:spacing w:before="120"/>
        <w:jc w:val="both"/>
        <w:rPr>
          <w:rFonts w:cs="Arial"/>
          <w:bCs/>
        </w:rPr>
      </w:pPr>
      <w:r w:rsidRPr="0077041D">
        <w:rPr>
          <w:rFonts w:cs="Arial"/>
          <w:bCs/>
        </w:rPr>
        <w:t>La función principal de este sector es la de producir bienes y servicios no financieros para su venta en el mercado. Las sociedades públicas adicionalmente pueden recibir transferencias, aportaciones y/o subsidios del Gobierno general.</w:t>
      </w:r>
    </w:p>
    <w:p w14:paraId="326E9002" w14:textId="706CBEB9" w:rsidR="002627EE" w:rsidRPr="0077041D" w:rsidRDefault="002627EE" w:rsidP="002627EE">
      <w:pPr>
        <w:spacing w:before="120"/>
        <w:jc w:val="both"/>
        <w:rPr>
          <w:rFonts w:cs="Arial"/>
          <w:bCs/>
        </w:rPr>
      </w:pPr>
      <w:r w:rsidRPr="0077041D">
        <w:rPr>
          <w:rFonts w:cs="Arial"/>
          <w:bCs/>
        </w:rPr>
        <w:t xml:space="preserve">Sociedades financieras: </w:t>
      </w:r>
      <w:r w:rsidR="00A34485">
        <w:rPr>
          <w:rFonts w:cs="Arial"/>
          <w:bCs/>
        </w:rPr>
        <w:t>s</w:t>
      </w:r>
      <w:r w:rsidRPr="0077041D">
        <w:rPr>
          <w:rFonts w:cs="Arial"/>
          <w:bCs/>
        </w:rPr>
        <w:t xml:space="preserve">e conforman por las sociedades y </w:t>
      </w:r>
      <w:proofErr w:type="spellStart"/>
      <w:r w:rsidRPr="0077041D">
        <w:rPr>
          <w:rFonts w:cs="Arial"/>
          <w:bCs/>
        </w:rPr>
        <w:t>cuasisociedades</w:t>
      </w:r>
      <w:proofErr w:type="spellEnd"/>
      <w:r w:rsidRPr="0077041D">
        <w:rPr>
          <w:rFonts w:cs="Arial"/>
          <w:bCs/>
        </w:rPr>
        <w:t xml:space="preserve"> financieras, tanto de capital privado como público. Como su nombre lo indica, realizan actividades de intermediación financiera, facilitan su realización y administran carteras de riesgo. Asimismo, se incluyen las sociedades cuya función principal es asegurar y afianzar transformando riesgos individuales en colectivos mediante la constitución de reservas técnicas de seguros y cuyos “recursos” principales provienen de primas contractuales.</w:t>
      </w:r>
    </w:p>
    <w:p w14:paraId="56977238" w14:textId="51786E2C" w:rsidR="002627EE" w:rsidRPr="0077041D" w:rsidRDefault="002627EE" w:rsidP="002627EE">
      <w:pPr>
        <w:spacing w:before="120"/>
        <w:jc w:val="both"/>
        <w:rPr>
          <w:rFonts w:cs="Arial"/>
          <w:bCs/>
        </w:rPr>
      </w:pPr>
      <w:r w:rsidRPr="0077041D">
        <w:rPr>
          <w:rFonts w:cs="Arial"/>
          <w:bCs/>
        </w:rPr>
        <w:t xml:space="preserve">Gobierno general: </w:t>
      </w:r>
      <w:r w:rsidR="00A34485">
        <w:rPr>
          <w:rFonts w:cs="Arial"/>
          <w:bCs/>
        </w:rPr>
        <w:t>e</w:t>
      </w:r>
      <w:r w:rsidRPr="0077041D">
        <w:rPr>
          <w:rFonts w:cs="Arial"/>
          <w:bCs/>
        </w:rPr>
        <w:t>l tercer sector institucional corresponde al Gobierno general, cuya función principal es suministrar bienes y servicios no de mercado tanto para los individuos como para la comunidad en su conjunto, ejemplo de ello son: seguridad pública, administración de justicia, educación, salud, esparcimiento e investigación, entre otros.</w:t>
      </w:r>
    </w:p>
    <w:p w14:paraId="0B05B1DA" w14:textId="77777777" w:rsidR="002627EE" w:rsidRPr="0077041D" w:rsidRDefault="002627EE" w:rsidP="002627EE">
      <w:pPr>
        <w:spacing w:before="120"/>
        <w:jc w:val="both"/>
        <w:rPr>
          <w:rFonts w:cs="Arial"/>
          <w:bCs/>
        </w:rPr>
      </w:pPr>
      <w:r w:rsidRPr="0077041D">
        <w:rPr>
          <w:rFonts w:cs="Arial"/>
          <w:bCs/>
        </w:rPr>
        <w:t>El Gobierno general se subdivide en cuatro subsectores: Gobierno central, Gobierno estatal, Gobierno local y Fondos de seguridad social. Cada uno de estos subsectores se presenta desagregado para los niveles de gobierno que lo componen.</w:t>
      </w:r>
    </w:p>
    <w:p w14:paraId="21FCA8AD" w14:textId="48EBE29F" w:rsidR="002627EE" w:rsidRPr="0077041D" w:rsidRDefault="002627EE" w:rsidP="002627EE">
      <w:pPr>
        <w:spacing w:before="120"/>
        <w:jc w:val="both"/>
        <w:rPr>
          <w:rFonts w:cs="Arial"/>
          <w:bCs/>
        </w:rPr>
      </w:pPr>
      <w:r w:rsidRPr="0077041D">
        <w:rPr>
          <w:rFonts w:cs="Arial"/>
          <w:bCs/>
        </w:rPr>
        <w:lastRenderedPageBreak/>
        <w:t xml:space="preserve">Hogares: </w:t>
      </w:r>
      <w:r w:rsidR="00A34485">
        <w:rPr>
          <w:rFonts w:cs="Arial"/>
          <w:bCs/>
        </w:rPr>
        <w:t>e</w:t>
      </w:r>
      <w:r w:rsidRPr="0077041D">
        <w:rPr>
          <w:rFonts w:cs="Arial"/>
          <w:bCs/>
        </w:rPr>
        <w:t>n el SCN 2008 se define como una unidad institucional cuando se trata de un pequeño grupo de personas que comparten la misma vivienda y juntan total o parcialmente sus ingresos y su riqueza, consumiendo colectivamente bienes y servicios, tales como la alimentación y el alojamiento. Además de consumidores, los hogares pueden desarrollar cualquier clase de actividad económica ofertando su mano de obra, produciendo a través de empresas propias que no estén constituidas en sociedad o percibiendo rentas diversas.</w:t>
      </w:r>
    </w:p>
    <w:p w14:paraId="74DFA6D2" w14:textId="015713AC" w:rsidR="002627EE" w:rsidRPr="0077041D" w:rsidRDefault="002627EE" w:rsidP="002627EE">
      <w:pPr>
        <w:spacing w:before="120"/>
        <w:jc w:val="both"/>
        <w:rPr>
          <w:rFonts w:cs="Arial"/>
          <w:bCs/>
        </w:rPr>
      </w:pPr>
      <w:r w:rsidRPr="0077041D">
        <w:rPr>
          <w:rFonts w:cs="Arial"/>
          <w:bCs/>
        </w:rPr>
        <w:t>Se contabilizan como hogares productores a los trabajadores por cuenta propia, profesionistas independientes, ejidatarios, jornaleros, artesanos, vendedores ambulantes, e</w:t>
      </w:r>
      <w:r w:rsidR="00A34485">
        <w:rPr>
          <w:rFonts w:cs="Arial"/>
          <w:bCs/>
        </w:rPr>
        <w:t>ntre otros</w:t>
      </w:r>
      <w:r w:rsidRPr="0077041D">
        <w:rPr>
          <w:rFonts w:cs="Arial"/>
          <w:bCs/>
        </w:rPr>
        <w:t xml:space="preserve">. Los hogares productores pueden realizar sus actividades en la vivienda o fuera de ella. </w:t>
      </w:r>
    </w:p>
    <w:p w14:paraId="430FCC69" w14:textId="77777777" w:rsidR="002627EE" w:rsidRPr="0077041D" w:rsidRDefault="002627EE" w:rsidP="002627EE">
      <w:pPr>
        <w:spacing w:before="120"/>
        <w:jc w:val="both"/>
        <w:rPr>
          <w:rFonts w:cs="Arial"/>
          <w:bCs/>
        </w:rPr>
      </w:pPr>
      <w:r w:rsidRPr="0077041D">
        <w:rPr>
          <w:rFonts w:cs="Arial"/>
          <w:bCs/>
        </w:rPr>
        <w:t>También se registra, conforme a las recomendaciones internacionales, el valor agregado de las viviendas habitadas por sus dueños, ya que éstas efectivamente les proporcionan un servicio.  Asimismo, se incluyen hogares colectivos como son los asilos, hospitales, conventos y prisiones.</w:t>
      </w:r>
    </w:p>
    <w:p w14:paraId="5021B761" w14:textId="607AF403" w:rsidR="002627EE" w:rsidRPr="0077041D" w:rsidRDefault="002627EE" w:rsidP="002627EE">
      <w:pPr>
        <w:spacing w:before="120"/>
        <w:jc w:val="both"/>
        <w:rPr>
          <w:rFonts w:cs="Arial"/>
          <w:bCs/>
        </w:rPr>
      </w:pPr>
      <w:r w:rsidRPr="0077041D">
        <w:rPr>
          <w:rFonts w:cs="Arial"/>
          <w:bCs/>
        </w:rPr>
        <w:t xml:space="preserve">Instituciones </w:t>
      </w:r>
      <w:r w:rsidR="006D5F5C">
        <w:rPr>
          <w:rFonts w:cs="Arial"/>
          <w:bCs/>
        </w:rPr>
        <w:t>s</w:t>
      </w:r>
      <w:r w:rsidRPr="0077041D">
        <w:rPr>
          <w:rFonts w:cs="Arial"/>
          <w:bCs/>
        </w:rPr>
        <w:t xml:space="preserve">in </w:t>
      </w:r>
      <w:r w:rsidR="00A34485" w:rsidRPr="0077041D">
        <w:rPr>
          <w:rFonts w:cs="Arial"/>
          <w:bCs/>
        </w:rPr>
        <w:t>fines de lucro que sirven a los hoga</w:t>
      </w:r>
      <w:r w:rsidRPr="0077041D">
        <w:rPr>
          <w:rFonts w:cs="Arial"/>
          <w:bCs/>
        </w:rPr>
        <w:t xml:space="preserve">res ISFLSH: </w:t>
      </w:r>
      <w:r w:rsidR="00A34485">
        <w:rPr>
          <w:rFonts w:cs="Arial"/>
          <w:bCs/>
        </w:rPr>
        <w:t>e</w:t>
      </w:r>
      <w:r w:rsidRPr="0077041D">
        <w:rPr>
          <w:rFonts w:cs="Arial"/>
          <w:bCs/>
        </w:rPr>
        <w:t>stá constituido por entidades jurídicas o sociales creadas para producir bienes y servicios a los hogares gratuitamente o a precios económicamente no significativos, cuyo estatuto legal no les permite ser fuente de ingreso, beneficio u otra ganancia financiera para las unidades que las establecen, controlan o financian. Sus actividades productivas pueden generar excedentes, pero no pueden traspasarse a otras unidades institucionales, por este motivo es posible que se les declare exentas de diversos impuestos. Existen otras instituciones sin fines de lucro que sirven a las empresas o al gobierno, las que se incluyen en sus respectivos sectores institucionales.</w:t>
      </w:r>
    </w:p>
    <w:p w14:paraId="3884D8E8" w14:textId="77777777" w:rsidR="002627EE" w:rsidRPr="0077041D" w:rsidRDefault="002627EE" w:rsidP="002627EE">
      <w:pPr>
        <w:spacing w:before="120"/>
        <w:jc w:val="both"/>
        <w:rPr>
          <w:rFonts w:cs="Arial"/>
          <w:bCs/>
        </w:rPr>
      </w:pPr>
      <w:r w:rsidRPr="0077041D">
        <w:rPr>
          <w:rFonts w:cs="Arial"/>
          <w:bCs/>
        </w:rPr>
        <w:t>En este sector de ISFLSH se incluyen las iglesias o asociaciones religiosas; los clubes sociales, deportivos, culturales y recreativos; los sindicatos, partidos políticos, organizaciones no gubernamentales y otros organismos de beneficencia y asistencia social, asociaciones profesionales, etcétera.</w:t>
      </w:r>
    </w:p>
    <w:p w14:paraId="5B821FDC" w14:textId="27C05891" w:rsidR="002627EE" w:rsidRPr="0077041D" w:rsidRDefault="002627EE" w:rsidP="002627EE">
      <w:pPr>
        <w:spacing w:before="120"/>
        <w:jc w:val="both"/>
        <w:rPr>
          <w:rFonts w:cs="Arial"/>
          <w:bCs/>
        </w:rPr>
      </w:pPr>
      <w:r w:rsidRPr="0077041D">
        <w:rPr>
          <w:rFonts w:cs="Arial"/>
          <w:bCs/>
        </w:rPr>
        <w:t xml:space="preserve">Resto del mundo: </w:t>
      </w:r>
      <w:r w:rsidR="00A34485">
        <w:rPr>
          <w:rFonts w:cs="Arial"/>
          <w:bCs/>
        </w:rPr>
        <w:t>e</w:t>
      </w:r>
      <w:r w:rsidRPr="0077041D">
        <w:rPr>
          <w:rFonts w:cs="Arial"/>
          <w:bCs/>
        </w:rPr>
        <w:t xml:space="preserve">strictamente no es un sector institucional más de la economía del país, pero su integración proporciona una visión del conjunto de transacciones que ligan la economía interna con el exterior.  El “resto del mundo” está visto desde la óptica del exterior y se caracteriza por agrupar las operaciones de las unidades institucionales residentes que realizan con las no residentes. La fuente de información utilizada es la Balanza de pagos de </w:t>
      </w:r>
      <w:r w:rsidR="00AF1F43">
        <w:t>y la posición de la Inversión Internacional, que publica el Banco de México</w:t>
      </w:r>
      <w:r w:rsidRPr="0077041D">
        <w:rPr>
          <w:rFonts w:cs="Arial"/>
          <w:bCs/>
        </w:rPr>
        <w:t>.</w:t>
      </w:r>
    </w:p>
    <w:p w14:paraId="552F9400" w14:textId="0E9A9016" w:rsidR="002627EE" w:rsidRPr="0077041D" w:rsidRDefault="002627EE" w:rsidP="002627EE">
      <w:pPr>
        <w:spacing w:before="120"/>
        <w:jc w:val="both"/>
        <w:rPr>
          <w:rFonts w:cs="Arial"/>
          <w:bCs/>
        </w:rPr>
      </w:pPr>
      <w:r w:rsidRPr="0077041D">
        <w:rPr>
          <w:rFonts w:cs="Arial"/>
          <w:bCs/>
        </w:rPr>
        <w:t xml:space="preserve">A partir de los avances alcanzados en la implementación de la Recomendación </w:t>
      </w:r>
      <w:r w:rsidR="0077041D" w:rsidRPr="0077041D">
        <w:rPr>
          <w:rFonts w:cs="Arial"/>
          <w:bCs/>
        </w:rPr>
        <w:t>8.II</w:t>
      </w:r>
      <w:r w:rsidRPr="0077041D">
        <w:rPr>
          <w:rFonts w:cs="Arial"/>
          <w:bCs/>
        </w:rPr>
        <w:t xml:space="preserve"> Cuentas sectoriales</w:t>
      </w:r>
      <w:r w:rsidR="0077041D" w:rsidRPr="0077041D">
        <w:rPr>
          <w:rFonts w:cs="Arial"/>
          <w:bCs/>
        </w:rPr>
        <w:t xml:space="preserve"> d</w:t>
      </w:r>
      <w:r w:rsidRPr="0077041D">
        <w:rPr>
          <w:rFonts w:cs="Arial"/>
          <w:bCs/>
        </w:rPr>
        <w:t>el Grupo Intersecretarial sobre Estadísticas y Financieras, que incluye a todas las agencias representadas en el Grupo Intersecretarial de Trabajo sobre Cuentas Nacionales, desarrollará una estrategia para promover la compilación y divulgación del enfoque de hojas de balance (BSA, por sus siglas en inglés), flujo de fondos, e información sectorial de forma más general; derivando en la creación de un marco contable que posibilitó la medición de stocks de activos financieros y no financieros.</w:t>
      </w:r>
    </w:p>
    <w:p w14:paraId="1D4D9C91" w14:textId="09DE8D2C" w:rsidR="002627EE" w:rsidRPr="0077041D" w:rsidRDefault="002627EE" w:rsidP="002627EE">
      <w:pPr>
        <w:spacing w:before="120"/>
        <w:jc w:val="both"/>
        <w:rPr>
          <w:rFonts w:cs="Arial"/>
          <w:bCs/>
        </w:rPr>
      </w:pPr>
      <w:r w:rsidRPr="0077041D">
        <w:rPr>
          <w:rFonts w:cs="Arial"/>
          <w:bCs/>
        </w:rPr>
        <w:lastRenderedPageBreak/>
        <w:t>En el SCN los stocks se registran en las cuentas denominadas balances, estas se elaboran con referencia al comienzo y al final del período contable. Los relacionados con los flujos son el resultado de la acumulación de transacciones</w:t>
      </w:r>
      <w:r w:rsidRPr="0087567A">
        <w:rPr>
          <w:rFonts w:cs="Arial"/>
          <w:bCs/>
          <w:strike/>
        </w:rPr>
        <w:t>,</w:t>
      </w:r>
      <w:r w:rsidRPr="0077041D">
        <w:rPr>
          <w:rFonts w:cs="Arial"/>
          <w:bCs/>
        </w:rPr>
        <w:t xml:space="preserve"> y se modifican por transacciones y otros flujos durante el período. Los stocks son el resultado de un proceso continuo de entradas y salidas, con algunas variaciones de volumen o de valor producidas durante el tiempo de tenencia de un activo o pasivo dado.</w:t>
      </w:r>
    </w:p>
    <w:p w14:paraId="457C34FA" w14:textId="241BF014" w:rsidR="002627EE" w:rsidRPr="0077041D" w:rsidRDefault="002627EE" w:rsidP="002627EE">
      <w:pPr>
        <w:spacing w:before="120"/>
        <w:jc w:val="both"/>
        <w:rPr>
          <w:rFonts w:cs="Arial"/>
          <w:bCs/>
        </w:rPr>
      </w:pPr>
      <w:r w:rsidRPr="0077041D">
        <w:rPr>
          <w:rFonts w:cs="Arial"/>
          <w:bCs/>
        </w:rPr>
        <w:t>Los stocks se refieren al nivel total de activos o pasivos de una economía en un momento dado</w:t>
      </w:r>
      <w:r w:rsidR="00A34485">
        <w:rPr>
          <w:rFonts w:cs="Arial"/>
          <w:bCs/>
        </w:rPr>
        <w:t>,</w:t>
      </w:r>
      <w:r w:rsidRPr="0077041D">
        <w:rPr>
          <w:rFonts w:cs="Arial"/>
          <w:bCs/>
        </w:rPr>
        <w:t xml:space="preserve"> </w:t>
      </w:r>
      <w:r w:rsidR="0087567A" w:rsidRPr="0087567A">
        <w:rPr>
          <w:rFonts w:cs="Arial"/>
          <w:bCs/>
        </w:rPr>
        <w:t>en el Manual de Balanza de pagos (MBP6)</w:t>
      </w:r>
      <w:r w:rsidRPr="0077041D">
        <w:rPr>
          <w:rFonts w:cs="Arial"/>
          <w:bCs/>
        </w:rPr>
        <w:t>, los niveles de los stocks suelen denominarse posiciones. Para poder estudiar los stocks es necesario definir los activos y pasivos, que dependen fundamentalmente de los conceptos de beneficios y de propiedad.</w:t>
      </w:r>
    </w:p>
    <w:p w14:paraId="49092D8A" w14:textId="77777777" w:rsidR="002627EE" w:rsidRPr="0077041D" w:rsidRDefault="002627EE" w:rsidP="002627EE">
      <w:pPr>
        <w:spacing w:before="120"/>
        <w:jc w:val="both"/>
        <w:rPr>
          <w:rFonts w:cs="Arial"/>
          <w:bCs/>
        </w:rPr>
      </w:pPr>
      <w:r w:rsidRPr="0077041D">
        <w:rPr>
          <w:rFonts w:cs="Arial"/>
          <w:bCs/>
        </w:rPr>
        <w:t>Se pueden distinguir dos tipos de activos, los activos financieros y los no financieros. Los activos financieros son todos los derechos financieros, acciones u otras participaciones de capital en sociedades más el oro en lingotes en poder de las autoridades monetarias mantenido como activo de reserva. Los activos no financieros pueden ser producidos y no producidos, los producidos aparecen vía el proceso de producción o de importación y se pueden diferenciar en activos fijos, existencias y objetos valiosos. Los activos no producidos comprenden tres categorías, tales como recursos naturales; contratos, arrendamientos y licencias y fondos de comercio y activos de comercialización.</w:t>
      </w:r>
    </w:p>
    <w:p w14:paraId="0024F55B" w14:textId="00F45C15" w:rsidR="002627EE" w:rsidRPr="0077041D" w:rsidRDefault="002627EE" w:rsidP="002627EE">
      <w:pPr>
        <w:spacing w:before="120"/>
        <w:jc w:val="both"/>
        <w:rPr>
          <w:rFonts w:cs="Arial"/>
          <w:bCs/>
        </w:rPr>
      </w:pPr>
      <w:r w:rsidRPr="0077041D">
        <w:rPr>
          <w:rFonts w:cs="Arial"/>
          <w:bCs/>
        </w:rPr>
        <w:t>Un balance es un estado contable, elaborado en un momento concreto en el tiempo, de los valores de activos que se poseen y de los pasivos adeudados por una unidad o sector institucional. El balance completa la secuencia de cuentas</w:t>
      </w:r>
      <w:r w:rsidR="0087567A">
        <w:rPr>
          <w:rFonts w:cs="Arial"/>
          <w:bCs/>
        </w:rPr>
        <w:t xml:space="preserve"> y e</w:t>
      </w:r>
      <w:r w:rsidRPr="0077041D">
        <w:rPr>
          <w:rFonts w:cs="Arial"/>
          <w:bCs/>
        </w:rPr>
        <w:t>l saldo contable del balance es el Valor neto.</w:t>
      </w:r>
    </w:p>
    <w:p w14:paraId="0E7887A5" w14:textId="77777777" w:rsidR="002627EE" w:rsidRPr="0077041D" w:rsidRDefault="002627EE" w:rsidP="002627EE">
      <w:pPr>
        <w:spacing w:before="120"/>
        <w:jc w:val="both"/>
        <w:rPr>
          <w:rFonts w:cs="Arial"/>
          <w:bCs/>
        </w:rPr>
      </w:pPr>
      <w:r w:rsidRPr="0077041D">
        <w:rPr>
          <w:rFonts w:cs="Arial"/>
          <w:bCs/>
        </w:rPr>
        <w:t>El Valor neto se define como el valor de todos los activos que posee una unidad o sector institucional menos el valor de todos sus pasivos pendientes. Como saldo contable, el Valor neto se calcula para las unidades y sectores institucionales y para la economía total.</w:t>
      </w:r>
    </w:p>
    <w:p w14:paraId="40F86E01" w14:textId="77777777" w:rsidR="002627EE" w:rsidRPr="0077041D" w:rsidRDefault="002627EE" w:rsidP="002627EE">
      <w:pPr>
        <w:spacing w:before="120"/>
        <w:jc w:val="both"/>
        <w:rPr>
          <w:rFonts w:cs="Arial"/>
          <w:bCs/>
        </w:rPr>
      </w:pPr>
      <w:r w:rsidRPr="0077041D">
        <w:rPr>
          <w:rFonts w:cs="Arial"/>
          <w:bCs/>
        </w:rPr>
        <w:t>La existencia de un conjunto de balances integrados con las cuentas de flujos permite a los analistas formarse una visión más amplia respecto al seguimiento y evaluación de las condiciones y los comportamientos económicos y financieros.</w:t>
      </w:r>
    </w:p>
    <w:p w14:paraId="15A0E486" w14:textId="17B9D941" w:rsidR="002627EE" w:rsidRPr="0077041D" w:rsidRDefault="002627EE" w:rsidP="002627EE">
      <w:pPr>
        <w:spacing w:before="120"/>
        <w:jc w:val="both"/>
        <w:rPr>
          <w:rFonts w:cs="Arial"/>
          <w:bCs/>
        </w:rPr>
      </w:pPr>
      <w:r w:rsidRPr="0077041D">
        <w:rPr>
          <w:rFonts w:cs="Arial"/>
          <w:bCs/>
        </w:rPr>
        <w:t>Un aspecto muy importante en la compilación de balances es la elaboración de las cuentas de otras variaciones en el volumen. Estas cuentas son de seis tipos y un conjunto de tres más que dan cuenta de las revalorizaciones. Su función principal</w:t>
      </w:r>
      <w:r w:rsidR="00E052EF">
        <w:rPr>
          <w:rFonts w:cs="Arial"/>
          <w:bCs/>
        </w:rPr>
        <w:t xml:space="preserve"> </w:t>
      </w:r>
      <w:r w:rsidR="0087567A">
        <w:t xml:space="preserve">es el registro de los flujos que nos son transacciones, tales como los fenómenos naturales y en el caso de la cuenta de revalorización, registra los cambios de valor que tienen los activos por tipo de cambio e inflación, </w:t>
      </w:r>
      <w:r w:rsidRPr="0077041D">
        <w:rPr>
          <w:rFonts w:cs="Arial"/>
          <w:bCs/>
        </w:rPr>
        <w:t>el registro de los cambios en la clasificación de las unidades económicas, de los activos y en la estructura de las unidades institucionales.</w:t>
      </w:r>
    </w:p>
    <w:p w14:paraId="129B000F" w14:textId="77777777" w:rsidR="0077041D" w:rsidRPr="0077041D" w:rsidRDefault="0077041D" w:rsidP="0077041D">
      <w:pPr>
        <w:spacing w:before="120"/>
        <w:jc w:val="both"/>
        <w:rPr>
          <w:rFonts w:cs="Arial"/>
          <w:bCs/>
        </w:rPr>
      </w:pPr>
      <w:r w:rsidRPr="0077041D">
        <w:rPr>
          <w:rFonts w:cs="Arial"/>
          <w:bCs/>
        </w:rPr>
        <w:t>Los cálculos de corto plazo se alinean con las cifras anuales de las Cuentas por Sectores Institucionales, aplicando la técnica Denton evitando que se interpreten de diferente manera resultados que pueden diferir por su grado de cobertura o por la fecha de su disponibilidad, pero nunca en su base conceptual.</w:t>
      </w:r>
    </w:p>
    <w:p w14:paraId="5F5E0B80" w14:textId="42DD7A0B" w:rsidR="0077041D" w:rsidRPr="0077041D" w:rsidRDefault="0077041D" w:rsidP="0077041D">
      <w:pPr>
        <w:spacing w:before="120"/>
        <w:jc w:val="both"/>
        <w:rPr>
          <w:rFonts w:cs="Arial"/>
          <w:bCs/>
        </w:rPr>
      </w:pPr>
      <w:r w:rsidRPr="0077041D">
        <w:rPr>
          <w:rFonts w:cs="Arial"/>
          <w:bCs/>
        </w:rPr>
        <w:lastRenderedPageBreak/>
        <w:t xml:space="preserve">Las cifras originales se publican para cada trimestre, el acumulado del semestre, el acumulado para los nueve primeros meses del año y del total del año, que se calculan como </w:t>
      </w:r>
      <w:r w:rsidR="0087567A" w:rsidRPr="0087567A">
        <w:rPr>
          <w:rFonts w:cs="Arial"/>
          <w:bCs/>
        </w:rPr>
        <w:t>suma</w:t>
      </w:r>
      <w:r w:rsidRPr="0077041D">
        <w:rPr>
          <w:rFonts w:cs="Arial"/>
          <w:bCs/>
        </w:rPr>
        <w:t xml:space="preserve"> de dos, tres y cuatro trimestres, respectivamente.</w:t>
      </w:r>
    </w:p>
    <w:p w14:paraId="3CFBEE18" w14:textId="416666C9" w:rsidR="0077041D" w:rsidRPr="0077041D" w:rsidRDefault="0077041D" w:rsidP="0077041D">
      <w:pPr>
        <w:spacing w:before="120"/>
        <w:jc w:val="both"/>
        <w:rPr>
          <w:rFonts w:cs="Arial"/>
          <w:bCs/>
        </w:rPr>
      </w:pPr>
      <w:r w:rsidRPr="0077041D">
        <w:rPr>
          <w:rFonts w:cs="Arial"/>
          <w:bCs/>
        </w:rPr>
        <w:t xml:space="preserve">Las principales fuentes de información para el cálculo de las CSIT son los Censos, las Encuestas Nacionales, los Registros Administrativos y </w:t>
      </w:r>
      <w:bookmarkStart w:id="8" w:name="_Hlk49790339"/>
      <w:r w:rsidR="006F6F1B">
        <w:rPr>
          <w:rFonts w:cs="Arial"/>
          <w:bCs/>
        </w:rPr>
        <w:t>Encuestas en hogares</w:t>
      </w:r>
      <w:r w:rsidRPr="0077041D">
        <w:rPr>
          <w:rFonts w:cs="Arial"/>
          <w:bCs/>
        </w:rPr>
        <w:t xml:space="preserve">. </w:t>
      </w:r>
    </w:p>
    <w:bookmarkEnd w:id="8"/>
    <w:p w14:paraId="638346F9" w14:textId="77777777" w:rsidR="0077041D" w:rsidRPr="0077041D" w:rsidRDefault="0077041D" w:rsidP="0077041D">
      <w:pPr>
        <w:spacing w:before="120"/>
        <w:jc w:val="both"/>
        <w:rPr>
          <w:rFonts w:cs="Arial"/>
          <w:bCs/>
        </w:rPr>
      </w:pPr>
      <w:r w:rsidRPr="0077041D">
        <w:rPr>
          <w:rFonts w:cs="Arial"/>
          <w:bCs/>
        </w:rPr>
        <w:t>Esta información se sigue ofreciendo mediante menús interactivos con los que se pueden realizar las descargas de información, buscando así resolver con posibilidades más dinámicas las distintas necesidades de uso de esta información.</w:t>
      </w:r>
    </w:p>
    <w:p w14:paraId="3E46A46F" w14:textId="7FB8942B" w:rsidR="0077041D" w:rsidRPr="0077041D" w:rsidRDefault="0077041D" w:rsidP="0077041D">
      <w:pPr>
        <w:spacing w:before="120"/>
        <w:jc w:val="both"/>
        <w:rPr>
          <w:rFonts w:cs="Arial"/>
          <w:bCs/>
        </w:rPr>
      </w:pPr>
      <w:r w:rsidRPr="0077041D">
        <w:rPr>
          <w:rFonts w:cs="Arial"/>
          <w:bCs/>
        </w:rPr>
        <w:t>El conjunto de tabulados que integran este producto proporciona</w:t>
      </w:r>
      <w:r w:rsidR="0087567A">
        <w:rPr>
          <w:rFonts w:cs="Arial"/>
          <w:bCs/>
        </w:rPr>
        <w:t xml:space="preserve"> </w:t>
      </w:r>
      <w:r w:rsidRPr="0077041D">
        <w:rPr>
          <w:rFonts w:cs="Arial"/>
          <w:bCs/>
        </w:rPr>
        <w:t>datos sobre las transacciones reales y financieras que realizan los distintos sectores entre sí y con el resto del mundo. Así como las posiciones de stocks de activos y pasivos, para cerrar el marco contable propuesto con los datos sobre riqueza por sector institucional y del país.</w:t>
      </w:r>
    </w:p>
    <w:p w14:paraId="2A6D0F02" w14:textId="77777777" w:rsidR="0077041D" w:rsidRPr="0077041D" w:rsidRDefault="0077041D" w:rsidP="0077041D">
      <w:pPr>
        <w:spacing w:before="120"/>
        <w:jc w:val="both"/>
        <w:rPr>
          <w:rFonts w:cs="Arial"/>
          <w:bCs/>
          <w:lang w:val="es-MX"/>
        </w:rPr>
      </w:pPr>
      <w:r w:rsidRPr="0077041D">
        <w:rPr>
          <w:rFonts w:cs="Arial"/>
          <w:bCs/>
        </w:rPr>
        <w:t>La información contenida en este documento es generada por el INEGI con base en los lineamientos de difusión de los indicadores de corto plazo del Sistema de Cuentas Nacionales de México y se da a conocer en la fecha establecida en el Calendario de difusión de información estadística y geográfica y de Interés Nacional.</w:t>
      </w:r>
    </w:p>
    <w:p w14:paraId="7DAE0933" w14:textId="552CBAC3" w:rsidR="002627EE" w:rsidRPr="0077041D" w:rsidRDefault="002627EE" w:rsidP="002627EE">
      <w:pPr>
        <w:spacing w:before="120"/>
        <w:jc w:val="both"/>
        <w:rPr>
          <w:rFonts w:cs="Arial"/>
          <w:bCs/>
        </w:rPr>
      </w:pPr>
      <w:r w:rsidRPr="0077041D">
        <w:rPr>
          <w:rFonts w:cs="Arial"/>
          <w:bCs/>
        </w:rPr>
        <w:t>La información referida es sólo una parte del acervo que proporciona este proyecto, ya que las posibilidades de análisis pueden ser múltiples. Las Cuentas por Sectores Institucionales pueden ser consultadas en la página del Instituto en Internet:</w:t>
      </w:r>
    </w:p>
    <w:p w14:paraId="15F06FE5" w14:textId="53A1088F" w:rsidR="00785514" w:rsidRPr="0077041D" w:rsidRDefault="00F532D4" w:rsidP="00785514">
      <w:pPr>
        <w:spacing w:before="120"/>
        <w:jc w:val="both"/>
        <w:rPr>
          <w:rFonts w:eastAsia="Arial" w:cs="Arial"/>
          <w:bCs/>
          <w:lang w:val="es-ES_tradnl"/>
        </w:rPr>
      </w:pPr>
      <w:r w:rsidRPr="0077041D">
        <w:rPr>
          <w:rFonts w:cs="Arial"/>
          <w:bCs/>
        </w:rPr>
        <w:t>Las series de</w:t>
      </w:r>
      <w:r w:rsidR="002627EE" w:rsidRPr="0077041D">
        <w:rPr>
          <w:rFonts w:cs="Arial"/>
          <w:bCs/>
        </w:rPr>
        <w:t xml:space="preserve"> </w:t>
      </w:r>
      <w:r w:rsidRPr="0077041D">
        <w:rPr>
          <w:rFonts w:cs="Arial"/>
          <w:bCs/>
        </w:rPr>
        <w:t>l</w:t>
      </w:r>
      <w:r w:rsidR="002627EE" w:rsidRPr="0077041D">
        <w:rPr>
          <w:rFonts w:cs="Arial"/>
          <w:bCs/>
        </w:rPr>
        <w:t>as</w:t>
      </w:r>
      <w:r w:rsidRPr="0077041D">
        <w:rPr>
          <w:rFonts w:cs="Arial"/>
          <w:bCs/>
        </w:rPr>
        <w:t xml:space="preserve"> </w:t>
      </w:r>
      <w:r w:rsidR="002627EE" w:rsidRPr="0077041D">
        <w:rPr>
          <w:rFonts w:cs="Arial"/>
          <w:bCs/>
        </w:rPr>
        <w:t xml:space="preserve">Cuentas por Sectores Institucionales </w:t>
      </w:r>
      <w:r w:rsidRPr="0077041D">
        <w:rPr>
          <w:rFonts w:cs="Arial"/>
          <w:bCs/>
        </w:rPr>
        <w:t>Trimestral</w:t>
      </w:r>
      <w:r w:rsidR="002627EE" w:rsidRPr="0077041D">
        <w:rPr>
          <w:rFonts w:cs="Arial"/>
          <w:bCs/>
        </w:rPr>
        <w:t>es</w:t>
      </w:r>
      <w:r w:rsidRPr="0077041D">
        <w:rPr>
          <w:rFonts w:cs="Arial"/>
          <w:bCs/>
        </w:rPr>
        <w:t xml:space="preserve">, podrán ser consultadas en la sección PIB y Cuentas Nacionales de México </w:t>
      </w:r>
      <w:hyperlink r:id="rId23" w:history="1">
        <w:r w:rsidR="00785514" w:rsidRPr="00A34485">
          <w:rPr>
            <w:rStyle w:val="Hipervnculo"/>
            <w:rFonts w:cs="Arial"/>
            <w:bCs/>
            <w:color w:val="0000CC"/>
          </w:rPr>
          <w:t>https://www.inegi.org.mx/datos/?t=0190</w:t>
        </w:r>
      </w:hyperlink>
      <w:r w:rsidR="00785514" w:rsidRPr="0077041D">
        <w:rPr>
          <w:rFonts w:cs="Arial"/>
          <w:bCs/>
        </w:rPr>
        <w:t xml:space="preserve"> </w:t>
      </w:r>
      <w:r w:rsidRPr="0077041D">
        <w:rPr>
          <w:rFonts w:cs="Arial"/>
          <w:bCs/>
        </w:rPr>
        <w:t xml:space="preserve">en la página del Instituto en Internet </w:t>
      </w:r>
      <w:hyperlink r:id="rId24" w:history="1">
        <w:r w:rsidR="00785514" w:rsidRPr="00A34485">
          <w:rPr>
            <w:rStyle w:val="Hipervnculo"/>
            <w:rFonts w:cs="Arial"/>
            <w:bCs/>
            <w:color w:val="0000CC"/>
          </w:rPr>
          <w:t>https://www.inegi.org.mx/</w:t>
        </w:r>
      </w:hyperlink>
      <w:r w:rsidRPr="0077041D">
        <w:rPr>
          <w:rFonts w:cs="Arial"/>
          <w:bCs/>
        </w:rPr>
        <w:t>.</w:t>
      </w:r>
    </w:p>
    <w:sectPr w:rsidR="00785514" w:rsidRPr="0077041D" w:rsidSect="00392F2A">
      <w:headerReference w:type="default" r:id="rId25"/>
      <w:footerReference w:type="default" r:id="rId26"/>
      <w:pgSz w:w="12240" w:h="15840"/>
      <w:pgMar w:top="1021" w:right="1469" w:bottom="709" w:left="1276" w:header="709"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085CB" w14:textId="77777777" w:rsidR="00595664" w:rsidRDefault="00595664" w:rsidP="00E1569D">
      <w:r>
        <w:separator/>
      </w:r>
    </w:p>
  </w:endnote>
  <w:endnote w:type="continuationSeparator" w:id="0">
    <w:p w14:paraId="4AA844A0" w14:textId="77777777" w:rsidR="00595664" w:rsidRDefault="00595664" w:rsidP="00E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Regular">
    <w:altName w:val="Arial Narrow"/>
    <w:charset w:val="00"/>
    <w:family w:val="auto"/>
    <w:pitch w:val="variable"/>
    <w:sig w:usb0="00000287" w:usb1="00000800" w:usb2="00000000" w:usb3="00000000" w:csb0="0000009F" w:csb1="00000000"/>
  </w:font>
  <w:font w:name="Arial Narrow Bold Italic">
    <w:altName w:val="Times New Roman"/>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A2C25" w14:textId="77777777" w:rsidR="00DE3D99" w:rsidRPr="00014836" w:rsidRDefault="00DE3D99" w:rsidP="00AE3941">
    <w:pPr>
      <w:pStyle w:val="Piedepgina"/>
      <w:contextualSpacing/>
      <w:jc w:val="center"/>
      <w:rPr>
        <w:rFonts w:cs="Arial"/>
        <w:color w:val="002060"/>
        <w:sz w:val="18"/>
        <w:szCs w:val="18"/>
      </w:rPr>
    </w:pPr>
    <w:r w:rsidRPr="00014836">
      <w:rPr>
        <w:rFonts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61F2" w14:textId="77777777" w:rsidR="00DE3D99" w:rsidRPr="00B305F9" w:rsidRDefault="00DE3D99" w:rsidP="00D173E4">
    <w:pPr>
      <w:pStyle w:val="Piedepgina"/>
      <w:jc w:val="center"/>
      <w:rPr>
        <w:color w:val="002060"/>
        <w:sz w:val="20"/>
        <w:szCs w:val="20"/>
      </w:rPr>
    </w:pPr>
    <w:r w:rsidRPr="00B305F9">
      <w:rPr>
        <w:b/>
        <w:color w:val="002060"/>
        <w:sz w:val="20"/>
        <w:szCs w:val="20"/>
        <w:lang w:val="es-MX"/>
      </w:rPr>
      <w:t>COMUNICACIÓN SOCIAL</w:t>
    </w:r>
  </w:p>
  <w:p w14:paraId="607A5FCB" w14:textId="3516768B" w:rsidR="00DE3D99" w:rsidRPr="00D173E4" w:rsidRDefault="00DE3D99" w:rsidP="00D173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37867" w14:textId="77777777" w:rsidR="00595664" w:rsidRDefault="00595664" w:rsidP="00E1569D">
      <w:r>
        <w:separator/>
      </w:r>
    </w:p>
  </w:footnote>
  <w:footnote w:type="continuationSeparator" w:id="0">
    <w:p w14:paraId="02FBA96E" w14:textId="77777777" w:rsidR="00595664" w:rsidRDefault="00595664" w:rsidP="00E1569D">
      <w:r>
        <w:continuationSeparator/>
      </w:r>
    </w:p>
  </w:footnote>
  <w:footnote w:id="1">
    <w:p w14:paraId="2E78EABA" w14:textId="77777777" w:rsidR="00DE3D99" w:rsidRPr="00ED322E" w:rsidRDefault="00DE3D99" w:rsidP="00ED322E">
      <w:pPr>
        <w:pStyle w:val="Textonotapie"/>
        <w:ind w:left="142" w:right="-547" w:hanging="142"/>
        <w:jc w:val="both"/>
        <w:rPr>
          <w:rFonts w:cs="Arial"/>
        </w:rPr>
      </w:pPr>
      <w:r w:rsidRPr="001F62ED">
        <w:rPr>
          <w:rStyle w:val="Refdenotaalpie"/>
          <w:rFonts w:ascii="Arial" w:hAnsi="Arial"/>
        </w:rPr>
        <w:footnoteRef/>
      </w:r>
      <w:r>
        <w:rPr>
          <w:rFonts w:ascii="Arial" w:hAnsi="Arial" w:cs="Arial"/>
        </w:rPr>
        <w:tab/>
      </w:r>
      <w:r w:rsidRPr="00F92F5E">
        <w:rPr>
          <w:rFonts w:ascii="Arial" w:hAnsi="Arial" w:cs="Arial"/>
          <w:sz w:val="16"/>
          <w:szCs w:val="16"/>
        </w:rPr>
        <w:t>Año b</w:t>
      </w:r>
      <w:r w:rsidRPr="00ED322E">
        <w:rPr>
          <w:rFonts w:cs="Arial"/>
        </w:rPr>
        <w:t>ase 2013</w:t>
      </w:r>
      <w:r w:rsidRPr="00ED322E">
        <w:rPr>
          <w:rFonts w:ascii="Arial" w:hAnsi="Arial" w:cs="Arial"/>
          <w:sz w:val="16"/>
          <w:szCs w:val="16"/>
        </w:rPr>
        <w:t>.</w:t>
      </w:r>
      <w:r w:rsidRPr="00ED322E">
        <w:rPr>
          <w:rFonts w:cs="Arial"/>
        </w:rPr>
        <w:t xml:space="preserve"> </w:t>
      </w:r>
    </w:p>
  </w:footnote>
  <w:footnote w:id="2">
    <w:p w14:paraId="028F0C0E" w14:textId="77777777" w:rsidR="00DE3D99" w:rsidRPr="00FB19A6" w:rsidRDefault="00DE3D99" w:rsidP="00CB7D94">
      <w:pPr>
        <w:pStyle w:val="Textonotapie"/>
        <w:jc w:val="both"/>
        <w:rPr>
          <w:rFonts w:ascii="Arial" w:hAnsi="Arial" w:cs="Arial"/>
          <w:sz w:val="16"/>
          <w:szCs w:val="16"/>
        </w:rPr>
      </w:pPr>
      <w:r>
        <w:rPr>
          <w:rStyle w:val="Refdenotaalpie"/>
        </w:rPr>
        <w:footnoteRef/>
      </w:r>
      <w:r>
        <w:t xml:space="preserve"> </w:t>
      </w:r>
      <w:r w:rsidRPr="00FB19A6">
        <w:rPr>
          <w:rFonts w:ascii="Arial" w:hAnsi="Arial" w:cs="Arial"/>
          <w:sz w:val="16"/>
          <w:szCs w:val="16"/>
        </w:rPr>
        <w:t xml:space="preserve">El </w:t>
      </w:r>
      <w:r w:rsidRPr="001E3715">
        <w:rPr>
          <w:rFonts w:ascii="Arial" w:hAnsi="Arial" w:cs="Arial"/>
          <w:sz w:val="16"/>
          <w:szCs w:val="16"/>
        </w:rPr>
        <w:t>restante</w:t>
      </w:r>
      <w:r>
        <w:rPr>
          <w:rFonts w:ascii="Arial" w:hAnsi="Arial" w:cs="Arial"/>
          <w:sz w:val="16"/>
          <w:szCs w:val="16"/>
        </w:rPr>
        <w:t xml:space="preserve"> </w:t>
      </w:r>
      <w:r>
        <w:t>7.6</w:t>
      </w:r>
      <w:r w:rsidRPr="00406DC5">
        <w:rPr>
          <w:rFonts w:ascii="Arial" w:hAnsi="Arial" w:cs="Arial"/>
          <w:sz w:val="16"/>
          <w:szCs w:val="16"/>
        </w:rPr>
        <w:t>%</w:t>
      </w:r>
      <w:r w:rsidRPr="00452146">
        <w:rPr>
          <w:rFonts w:ascii="Arial" w:hAnsi="Arial" w:cs="Arial"/>
          <w:sz w:val="16"/>
          <w:szCs w:val="16"/>
        </w:rPr>
        <w:t xml:space="preserve"> está compuesto por los</w:t>
      </w:r>
      <w:r>
        <w:rPr>
          <w:rFonts w:ascii="Arial" w:hAnsi="Arial" w:cs="Arial"/>
          <w:sz w:val="16"/>
          <w:szCs w:val="16"/>
        </w:rPr>
        <w:t xml:space="preserve"> Impuestos netos de subsidios a los p</w:t>
      </w:r>
      <w:r w:rsidRPr="002566F7">
        <w:rPr>
          <w:rFonts w:ascii="Arial" w:hAnsi="Arial" w:cs="Arial"/>
          <w:sz w:val="16"/>
          <w:szCs w:val="16"/>
        </w:rPr>
        <w:t>roductos</w:t>
      </w:r>
      <w:r w:rsidRPr="00FB19A6">
        <w:rPr>
          <w:rFonts w:ascii="Arial" w:hAnsi="Arial" w:cs="Arial"/>
          <w:sz w:val="16"/>
          <w:szCs w:val="16"/>
        </w:rPr>
        <w:t>.</w:t>
      </w:r>
    </w:p>
  </w:footnote>
  <w:footnote w:id="3">
    <w:p w14:paraId="17BFD2A7" w14:textId="77777777" w:rsidR="00DE3D99" w:rsidRPr="00ED322E" w:rsidRDefault="00DE3D99" w:rsidP="00D173E4">
      <w:pPr>
        <w:pStyle w:val="Textonotapie"/>
        <w:ind w:left="142" w:right="-547" w:hanging="142"/>
        <w:jc w:val="both"/>
        <w:rPr>
          <w:rFonts w:cs="Arial"/>
        </w:rPr>
      </w:pPr>
      <w:r w:rsidRPr="001F62ED">
        <w:rPr>
          <w:rStyle w:val="Refdenotaalpie"/>
          <w:rFonts w:ascii="Arial" w:hAnsi="Arial"/>
        </w:rPr>
        <w:footnoteRef/>
      </w:r>
      <w:r>
        <w:rPr>
          <w:rFonts w:ascii="Arial" w:hAnsi="Arial" w:cs="Arial"/>
        </w:rPr>
        <w:tab/>
      </w:r>
      <w:r w:rsidRPr="00F92F5E">
        <w:rPr>
          <w:rFonts w:ascii="Arial" w:hAnsi="Arial" w:cs="Arial"/>
          <w:sz w:val="16"/>
          <w:szCs w:val="16"/>
        </w:rPr>
        <w:t>Año b</w:t>
      </w:r>
      <w:r w:rsidRPr="00ED322E">
        <w:rPr>
          <w:rFonts w:cs="Arial"/>
        </w:rPr>
        <w:t>ase 2013</w:t>
      </w:r>
      <w:r w:rsidRPr="00ED322E">
        <w:rPr>
          <w:rFonts w:ascii="Arial" w:hAnsi="Arial" w:cs="Arial"/>
          <w:sz w:val="16"/>
          <w:szCs w:val="16"/>
        </w:rPr>
        <w:t>.</w:t>
      </w:r>
      <w:r w:rsidRPr="00ED322E">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0872" w14:textId="0F64645B" w:rsidR="00DE3D99" w:rsidRPr="00265B8C" w:rsidRDefault="00DE3D99" w:rsidP="00715D8C">
    <w:pPr>
      <w:pStyle w:val="Encabezado"/>
      <w:framePr w:w="5623" w:hSpace="141" w:wrap="auto" w:vAnchor="text" w:hAnchor="page" w:x="5480" w:y="41"/>
      <w:tabs>
        <w:tab w:val="clear" w:pos="4419"/>
        <w:tab w:val="clear" w:pos="8838"/>
      </w:tabs>
      <w:ind w:left="567" w:hanging="11"/>
      <w:jc w:val="right"/>
      <w:rPr>
        <w:rFonts w:cs="Arial"/>
        <w:b/>
        <w:color w:val="002060"/>
      </w:rPr>
    </w:pPr>
    <w:r w:rsidRPr="00265B8C">
      <w:rPr>
        <w:rFonts w:cs="Arial"/>
        <w:b/>
        <w:color w:val="002060"/>
      </w:rPr>
      <w:t xml:space="preserve">COMUNICADO DE PRENSA NÚM. </w:t>
    </w:r>
    <w:r w:rsidR="004364C8">
      <w:rPr>
        <w:rFonts w:cs="Arial"/>
        <w:b/>
        <w:color w:val="002060"/>
      </w:rPr>
      <w:t>414</w:t>
    </w:r>
    <w:r w:rsidRPr="00265B8C">
      <w:rPr>
        <w:rFonts w:cs="Arial"/>
        <w:b/>
        <w:color w:val="002060"/>
      </w:rPr>
      <w:t>/</w:t>
    </w:r>
    <w:r>
      <w:rPr>
        <w:rFonts w:cs="Arial"/>
        <w:b/>
        <w:color w:val="002060"/>
      </w:rPr>
      <w:t>20</w:t>
    </w:r>
  </w:p>
  <w:p w14:paraId="1762E27F" w14:textId="73161BB7" w:rsidR="00DE3D99" w:rsidRPr="00265B8C" w:rsidRDefault="00DE3D99" w:rsidP="00715D8C">
    <w:pPr>
      <w:pStyle w:val="Encabezado"/>
      <w:framePr w:w="5623" w:hSpace="141" w:wrap="auto" w:vAnchor="text" w:hAnchor="page" w:x="5480" w:y="41"/>
      <w:tabs>
        <w:tab w:val="clear" w:pos="4419"/>
        <w:tab w:val="clear" w:pos="8838"/>
      </w:tabs>
      <w:ind w:left="567" w:hanging="11"/>
      <w:jc w:val="right"/>
      <w:rPr>
        <w:rFonts w:cs="Arial"/>
        <w:b/>
        <w:color w:val="002060"/>
        <w:lang w:val="pt-BR"/>
      </w:rPr>
    </w:pPr>
    <w:r>
      <w:rPr>
        <w:rFonts w:cs="Arial"/>
        <w:b/>
        <w:color w:val="002060"/>
        <w:lang w:val="pt-BR"/>
      </w:rPr>
      <w:t>2</w:t>
    </w:r>
    <w:r w:rsidRPr="00265B8C">
      <w:rPr>
        <w:rFonts w:cs="Arial"/>
        <w:b/>
        <w:color w:val="002060"/>
        <w:lang w:val="pt-BR"/>
      </w:rPr>
      <w:t xml:space="preserve"> DE </w:t>
    </w:r>
    <w:r w:rsidRPr="00A60DEB">
      <w:rPr>
        <w:rFonts w:cs="Arial"/>
        <w:b/>
        <w:color w:val="002060"/>
        <w:lang w:val="es-MX"/>
      </w:rPr>
      <w:t>SEPTIEMBRE</w:t>
    </w:r>
    <w:r>
      <w:rPr>
        <w:rFonts w:cs="Arial"/>
        <w:b/>
        <w:color w:val="002060"/>
        <w:lang w:val="pt-BR"/>
      </w:rPr>
      <w:t xml:space="preserve"> </w:t>
    </w:r>
    <w:r w:rsidRPr="00265B8C">
      <w:rPr>
        <w:rFonts w:cs="Arial"/>
        <w:b/>
        <w:color w:val="002060"/>
        <w:lang w:val="pt-BR"/>
      </w:rPr>
      <w:t>DE 20</w:t>
    </w:r>
    <w:r>
      <w:rPr>
        <w:rFonts w:cs="Arial"/>
        <w:b/>
        <w:color w:val="002060"/>
        <w:lang w:val="pt-BR"/>
      </w:rPr>
      <w:t>20</w:t>
    </w:r>
  </w:p>
  <w:p w14:paraId="4797D6E3" w14:textId="43F7EBC1" w:rsidR="00DE3D99" w:rsidRPr="00265B8C" w:rsidRDefault="00DE3D99" w:rsidP="00715D8C">
    <w:pPr>
      <w:pStyle w:val="Encabezado"/>
      <w:framePr w:w="5623" w:hSpace="141" w:wrap="auto" w:vAnchor="text" w:hAnchor="page" w:x="5480" w:y="41"/>
      <w:tabs>
        <w:tab w:val="clear" w:pos="4419"/>
        <w:tab w:val="clear" w:pos="8838"/>
      </w:tabs>
      <w:ind w:left="567" w:hanging="11"/>
      <w:jc w:val="right"/>
      <w:rPr>
        <w:rFonts w:cs="Arial"/>
        <w:b/>
        <w:color w:val="002060"/>
        <w:lang w:val="pt-BR"/>
      </w:rPr>
    </w:pPr>
    <w:r w:rsidRPr="00265B8C">
      <w:rPr>
        <w:rFonts w:cs="Arial"/>
        <w:b/>
        <w:color w:val="002060"/>
        <w:lang w:val="pt-BR"/>
      </w:rPr>
      <w:t xml:space="preserve">PÁGINA </w:t>
    </w:r>
    <w:r w:rsidRPr="00265B8C">
      <w:rPr>
        <w:rFonts w:cs="Arial"/>
        <w:b/>
        <w:color w:val="002060"/>
      </w:rPr>
      <w:fldChar w:fldCharType="begin"/>
    </w:r>
    <w:r w:rsidRPr="00265B8C">
      <w:rPr>
        <w:rFonts w:cs="Arial"/>
        <w:b/>
        <w:color w:val="002060"/>
        <w:lang w:val="pt-BR"/>
      </w:rPr>
      <w:instrText xml:space="preserve">\PAGE </w:instrText>
    </w:r>
    <w:r w:rsidRPr="00265B8C">
      <w:rPr>
        <w:rFonts w:cs="Arial"/>
        <w:color w:val="002060"/>
      </w:rPr>
      <w:fldChar w:fldCharType="separate"/>
    </w:r>
    <w:r>
      <w:rPr>
        <w:rFonts w:cs="Arial"/>
        <w:b/>
        <w:noProof/>
        <w:color w:val="002060"/>
        <w:lang w:val="pt-BR"/>
      </w:rPr>
      <w:t>2</w:t>
    </w:r>
    <w:r w:rsidRPr="00265B8C">
      <w:rPr>
        <w:rFonts w:cs="Arial"/>
        <w:color w:val="002060"/>
      </w:rPr>
      <w:fldChar w:fldCharType="end"/>
    </w:r>
    <w:r w:rsidRPr="00265B8C">
      <w:rPr>
        <w:rFonts w:cs="Arial"/>
        <w:b/>
        <w:color w:val="002060"/>
        <w:lang w:val="pt-BR"/>
      </w:rPr>
      <w:t>/</w:t>
    </w:r>
    <w:r>
      <w:rPr>
        <w:rFonts w:cs="Arial"/>
        <w:b/>
        <w:color w:val="002060"/>
        <w:lang w:val="pt-BR"/>
      </w:rPr>
      <w:t>3</w:t>
    </w:r>
  </w:p>
  <w:p w14:paraId="68903648" w14:textId="0F370F31" w:rsidR="00DE3D99" w:rsidRDefault="00DE3D99" w:rsidP="00215951">
    <w:pPr>
      <w:pStyle w:val="Encabezado"/>
    </w:pPr>
    <w:r>
      <w:rPr>
        <w:noProof/>
      </w:rPr>
      <w:drawing>
        <wp:inline distT="0" distB="0" distL="0" distR="0" wp14:anchorId="4A283734" wp14:editId="70DCF7FD">
          <wp:extent cx="695325" cy="722258"/>
          <wp:effectExtent l="0" t="0" r="0" b="190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429" cy="7462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38EE" w14:textId="6AAD081A" w:rsidR="00DE3D99" w:rsidRDefault="00DE3D99" w:rsidP="00F532D4">
    <w:pPr>
      <w:ind w:left="4820" w:hanging="5103"/>
      <w:jc w:val="center"/>
    </w:pPr>
    <w:r>
      <w:rPr>
        <w:noProof/>
      </w:rPr>
      <w:drawing>
        <wp:inline distT="0" distB="0" distL="0" distR="0" wp14:anchorId="0B1CCBC7" wp14:editId="25648AD3">
          <wp:extent cx="857250" cy="890454"/>
          <wp:effectExtent l="0" t="0" r="0" b="508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304" cy="919595"/>
                  </a:xfrm>
                  <a:prstGeom prst="rect">
                    <a:avLst/>
                  </a:prstGeom>
                  <a:noFill/>
                  <a:ln>
                    <a:noFill/>
                  </a:ln>
                </pic:spPr>
              </pic:pic>
            </a:graphicData>
          </a:graphic>
        </wp:inline>
      </w:drawing>
    </w:r>
  </w:p>
  <w:p w14:paraId="5FEFE23A" w14:textId="77777777" w:rsidR="00DE3D99" w:rsidRDefault="00DE3D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84677"/>
    <w:multiLevelType w:val="hybridMultilevel"/>
    <w:tmpl w:val="1DE66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2931C1"/>
    <w:multiLevelType w:val="hybridMultilevel"/>
    <w:tmpl w:val="4224E804"/>
    <w:lvl w:ilvl="0" w:tplc="080A0001">
      <w:start w:val="1"/>
      <w:numFmt w:val="bullet"/>
      <w:lvlText w:val=""/>
      <w:lvlJc w:val="left"/>
      <w:pPr>
        <w:tabs>
          <w:tab w:val="num" w:pos="1723"/>
        </w:tabs>
        <w:ind w:left="1723" w:hanging="360"/>
      </w:pPr>
      <w:rPr>
        <w:rFonts w:ascii="Symbol" w:hAnsi="Symbol" w:hint="default"/>
      </w:rPr>
    </w:lvl>
    <w:lvl w:ilvl="1" w:tplc="7376089C" w:tentative="1">
      <w:start w:val="1"/>
      <w:numFmt w:val="bullet"/>
      <w:lvlText w:val="o"/>
      <w:lvlJc w:val="left"/>
      <w:pPr>
        <w:tabs>
          <w:tab w:val="num" w:pos="2443"/>
        </w:tabs>
        <w:ind w:left="2443" w:hanging="360"/>
      </w:pPr>
      <w:rPr>
        <w:rFonts w:ascii="Courier New" w:hAnsi="Courier New" w:hint="default"/>
      </w:rPr>
    </w:lvl>
    <w:lvl w:ilvl="2" w:tplc="C97E960C" w:tentative="1">
      <w:start w:val="1"/>
      <w:numFmt w:val="bullet"/>
      <w:lvlText w:val=""/>
      <w:lvlJc w:val="left"/>
      <w:pPr>
        <w:tabs>
          <w:tab w:val="num" w:pos="3163"/>
        </w:tabs>
        <w:ind w:left="3163" w:hanging="360"/>
      </w:pPr>
      <w:rPr>
        <w:rFonts w:ascii="Wingdings" w:hAnsi="Wingdings" w:hint="default"/>
      </w:rPr>
    </w:lvl>
    <w:lvl w:ilvl="3" w:tplc="ADEE3858" w:tentative="1">
      <w:start w:val="1"/>
      <w:numFmt w:val="bullet"/>
      <w:lvlText w:val=""/>
      <w:lvlJc w:val="left"/>
      <w:pPr>
        <w:tabs>
          <w:tab w:val="num" w:pos="3883"/>
        </w:tabs>
        <w:ind w:left="3883" w:hanging="360"/>
      </w:pPr>
      <w:rPr>
        <w:rFonts w:ascii="Symbol" w:hAnsi="Symbol" w:hint="default"/>
      </w:rPr>
    </w:lvl>
    <w:lvl w:ilvl="4" w:tplc="D862D60E" w:tentative="1">
      <w:start w:val="1"/>
      <w:numFmt w:val="bullet"/>
      <w:lvlText w:val="o"/>
      <w:lvlJc w:val="left"/>
      <w:pPr>
        <w:tabs>
          <w:tab w:val="num" w:pos="4603"/>
        </w:tabs>
        <w:ind w:left="4603" w:hanging="360"/>
      </w:pPr>
      <w:rPr>
        <w:rFonts w:ascii="Courier New" w:hAnsi="Courier New" w:hint="default"/>
      </w:rPr>
    </w:lvl>
    <w:lvl w:ilvl="5" w:tplc="76EA73E2" w:tentative="1">
      <w:start w:val="1"/>
      <w:numFmt w:val="bullet"/>
      <w:lvlText w:val=""/>
      <w:lvlJc w:val="left"/>
      <w:pPr>
        <w:tabs>
          <w:tab w:val="num" w:pos="5323"/>
        </w:tabs>
        <w:ind w:left="5323" w:hanging="360"/>
      </w:pPr>
      <w:rPr>
        <w:rFonts w:ascii="Wingdings" w:hAnsi="Wingdings" w:hint="default"/>
      </w:rPr>
    </w:lvl>
    <w:lvl w:ilvl="6" w:tplc="36FCEB10" w:tentative="1">
      <w:start w:val="1"/>
      <w:numFmt w:val="bullet"/>
      <w:lvlText w:val=""/>
      <w:lvlJc w:val="left"/>
      <w:pPr>
        <w:tabs>
          <w:tab w:val="num" w:pos="6043"/>
        </w:tabs>
        <w:ind w:left="6043" w:hanging="360"/>
      </w:pPr>
      <w:rPr>
        <w:rFonts w:ascii="Symbol" w:hAnsi="Symbol" w:hint="default"/>
      </w:rPr>
    </w:lvl>
    <w:lvl w:ilvl="7" w:tplc="50B6C446" w:tentative="1">
      <w:start w:val="1"/>
      <w:numFmt w:val="bullet"/>
      <w:lvlText w:val="o"/>
      <w:lvlJc w:val="left"/>
      <w:pPr>
        <w:tabs>
          <w:tab w:val="num" w:pos="6763"/>
        </w:tabs>
        <w:ind w:left="6763" w:hanging="360"/>
      </w:pPr>
      <w:rPr>
        <w:rFonts w:ascii="Courier New" w:hAnsi="Courier New" w:hint="default"/>
      </w:rPr>
    </w:lvl>
    <w:lvl w:ilvl="8" w:tplc="62084380"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49057B08"/>
    <w:multiLevelType w:val="hybridMultilevel"/>
    <w:tmpl w:val="D7C665A2"/>
    <w:lvl w:ilvl="0" w:tplc="7A44EDE4">
      <w:numFmt w:val="bullet"/>
      <w:lvlText w:val="•"/>
      <w:lvlJc w:val="left"/>
      <w:pPr>
        <w:ind w:left="1930" w:hanging="360"/>
      </w:pPr>
      <w:rPr>
        <w:rFonts w:ascii="Arial" w:eastAsia="Arial" w:hAnsi="Arial" w:cs="Arial" w:hint="default"/>
      </w:rPr>
    </w:lvl>
    <w:lvl w:ilvl="1" w:tplc="080A0003" w:tentative="1">
      <w:start w:val="1"/>
      <w:numFmt w:val="bullet"/>
      <w:lvlText w:val="o"/>
      <w:lvlJc w:val="left"/>
      <w:pPr>
        <w:ind w:left="2650" w:hanging="360"/>
      </w:pPr>
      <w:rPr>
        <w:rFonts w:ascii="Courier New" w:hAnsi="Courier New" w:cs="Courier New" w:hint="default"/>
      </w:rPr>
    </w:lvl>
    <w:lvl w:ilvl="2" w:tplc="080A0005" w:tentative="1">
      <w:start w:val="1"/>
      <w:numFmt w:val="bullet"/>
      <w:lvlText w:val=""/>
      <w:lvlJc w:val="left"/>
      <w:pPr>
        <w:ind w:left="3370" w:hanging="360"/>
      </w:pPr>
      <w:rPr>
        <w:rFonts w:ascii="Wingdings" w:hAnsi="Wingdings" w:hint="default"/>
      </w:rPr>
    </w:lvl>
    <w:lvl w:ilvl="3" w:tplc="080A0001" w:tentative="1">
      <w:start w:val="1"/>
      <w:numFmt w:val="bullet"/>
      <w:lvlText w:val=""/>
      <w:lvlJc w:val="left"/>
      <w:pPr>
        <w:ind w:left="4090" w:hanging="360"/>
      </w:pPr>
      <w:rPr>
        <w:rFonts w:ascii="Symbol" w:hAnsi="Symbol" w:hint="default"/>
      </w:rPr>
    </w:lvl>
    <w:lvl w:ilvl="4" w:tplc="080A0003" w:tentative="1">
      <w:start w:val="1"/>
      <w:numFmt w:val="bullet"/>
      <w:lvlText w:val="o"/>
      <w:lvlJc w:val="left"/>
      <w:pPr>
        <w:ind w:left="4810" w:hanging="360"/>
      </w:pPr>
      <w:rPr>
        <w:rFonts w:ascii="Courier New" w:hAnsi="Courier New" w:cs="Courier New" w:hint="default"/>
      </w:rPr>
    </w:lvl>
    <w:lvl w:ilvl="5" w:tplc="080A0005" w:tentative="1">
      <w:start w:val="1"/>
      <w:numFmt w:val="bullet"/>
      <w:lvlText w:val=""/>
      <w:lvlJc w:val="left"/>
      <w:pPr>
        <w:ind w:left="5530" w:hanging="360"/>
      </w:pPr>
      <w:rPr>
        <w:rFonts w:ascii="Wingdings" w:hAnsi="Wingdings" w:hint="default"/>
      </w:rPr>
    </w:lvl>
    <w:lvl w:ilvl="6" w:tplc="080A0001" w:tentative="1">
      <w:start w:val="1"/>
      <w:numFmt w:val="bullet"/>
      <w:lvlText w:val=""/>
      <w:lvlJc w:val="left"/>
      <w:pPr>
        <w:ind w:left="6250" w:hanging="360"/>
      </w:pPr>
      <w:rPr>
        <w:rFonts w:ascii="Symbol" w:hAnsi="Symbol" w:hint="default"/>
      </w:rPr>
    </w:lvl>
    <w:lvl w:ilvl="7" w:tplc="080A0003" w:tentative="1">
      <w:start w:val="1"/>
      <w:numFmt w:val="bullet"/>
      <w:lvlText w:val="o"/>
      <w:lvlJc w:val="left"/>
      <w:pPr>
        <w:ind w:left="6970" w:hanging="360"/>
      </w:pPr>
      <w:rPr>
        <w:rFonts w:ascii="Courier New" w:hAnsi="Courier New" w:cs="Courier New" w:hint="default"/>
      </w:rPr>
    </w:lvl>
    <w:lvl w:ilvl="8" w:tplc="080A0005" w:tentative="1">
      <w:start w:val="1"/>
      <w:numFmt w:val="bullet"/>
      <w:lvlText w:val=""/>
      <w:lvlJc w:val="left"/>
      <w:pPr>
        <w:ind w:left="7690" w:hanging="360"/>
      </w:pPr>
      <w:rPr>
        <w:rFonts w:ascii="Wingdings" w:hAnsi="Wingdings" w:hint="default"/>
      </w:r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abstractNumId w:val="3"/>
  </w:num>
  <w:num w:numId="2">
    <w:abstractNumId w:val="1"/>
  </w:num>
  <w:num w:numId="3">
    <w:abstractNumId w:val="3"/>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9D"/>
    <w:rsid w:val="00003295"/>
    <w:rsid w:val="00006CF5"/>
    <w:rsid w:val="00007B8D"/>
    <w:rsid w:val="00015378"/>
    <w:rsid w:val="00034CA8"/>
    <w:rsid w:val="00040509"/>
    <w:rsid w:val="00046B36"/>
    <w:rsid w:val="00051899"/>
    <w:rsid w:val="00070D37"/>
    <w:rsid w:val="00071EBB"/>
    <w:rsid w:val="00082871"/>
    <w:rsid w:val="00084E67"/>
    <w:rsid w:val="000C022D"/>
    <w:rsid w:val="000D091C"/>
    <w:rsid w:val="000D25E1"/>
    <w:rsid w:val="000D44BD"/>
    <w:rsid w:val="000D66B4"/>
    <w:rsid w:val="000E43CC"/>
    <w:rsid w:val="000E76B4"/>
    <w:rsid w:val="000F4930"/>
    <w:rsid w:val="001012D2"/>
    <w:rsid w:val="00104E17"/>
    <w:rsid w:val="001072F6"/>
    <w:rsid w:val="001077F9"/>
    <w:rsid w:val="00110CB8"/>
    <w:rsid w:val="00112989"/>
    <w:rsid w:val="00113636"/>
    <w:rsid w:val="00113BEA"/>
    <w:rsid w:val="00116B75"/>
    <w:rsid w:val="001417CF"/>
    <w:rsid w:val="001423DC"/>
    <w:rsid w:val="00164C4F"/>
    <w:rsid w:val="00180F5C"/>
    <w:rsid w:val="001935E9"/>
    <w:rsid w:val="00195F5A"/>
    <w:rsid w:val="001A0DF9"/>
    <w:rsid w:val="001A6CA7"/>
    <w:rsid w:val="001B522F"/>
    <w:rsid w:val="001B5264"/>
    <w:rsid w:val="001B70C4"/>
    <w:rsid w:val="001C023B"/>
    <w:rsid w:val="001D7B2D"/>
    <w:rsid w:val="001F1F63"/>
    <w:rsid w:val="001F68E9"/>
    <w:rsid w:val="002069C8"/>
    <w:rsid w:val="00207437"/>
    <w:rsid w:val="0021358B"/>
    <w:rsid w:val="00215951"/>
    <w:rsid w:val="002166EA"/>
    <w:rsid w:val="002247C6"/>
    <w:rsid w:val="00226132"/>
    <w:rsid w:val="00233289"/>
    <w:rsid w:val="002359BC"/>
    <w:rsid w:val="00237CA2"/>
    <w:rsid w:val="0024753B"/>
    <w:rsid w:val="00250ECD"/>
    <w:rsid w:val="002536F0"/>
    <w:rsid w:val="00253891"/>
    <w:rsid w:val="00257318"/>
    <w:rsid w:val="002627EE"/>
    <w:rsid w:val="002631A4"/>
    <w:rsid w:val="00270E84"/>
    <w:rsid w:val="00275E80"/>
    <w:rsid w:val="00283492"/>
    <w:rsid w:val="0029129E"/>
    <w:rsid w:val="00292977"/>
    <w:rsid w:val="002B1FDB"/>
    <w:rsid w:val="002C0584"/>
    <w:rsid w:val="002D21F5"/>
    <w:rsid w:val="002E030F"/>
    <w:rsid w:val="002E5AC9"/>
    <w:rsid w:val="00301712"/>
    <w:rsid w:val="00302E14"/>
    <w:rsid w:val="00312366"/>
    <w:rsid w:val="0031400B"/>
    <w:rsid w:val="00317953"/>
    <w:rsid w:val="003226FB"/>
    <w:rsid w:val="003331EF"/>
    <w:rsid w:val="003339A4"/>
    <w:rsid w:val="00342CAB"/>
    <w:rsid w:val="003463EA"/>
    <w:rsid w:val="0034663F"/>
    <w:rsid w:val="003468FE"/>
    <w:rsid w:val="00352C7A"/>
    <w:rsid w:val="00361409"/>
    <w:rsid w:val="00361418"/>
    <w:rsid w:val="0036302D"/>
    <w:rsid w:val="00372960"/>
    <w:rsid w:val="00372BAA"/>
    <w:rsid w:val="00374D2B"/>
    <w:rsid w:val="003777EE"/>
    <w:rsid w:val="00392F2A"/>
    <w:rsid w:val="003A1C65"/>
    <w:rsid w:val="003A613B"/>
    <w:rsid w:val="003B2810"/>
    <w:rsid w:val="003B5587"/>
    <w:rsid w:val="003C2B07"/>
    <w:rsid w:val="003D322F"/>
    <w:rsid w:val="003D5D58"/>
    <w:rsid w:val="003E658C"/>
    <w:rsid w:val="00407C69"/>
    <w:rsid w:val="00421C15"/>
    <w:rsid w:val="00426CCC"/>
    <w:rsid w:val="004364C8"/>
    <w:rsid w:val="00440A58"/>
    <w:rsid w:val="004441E6"/>
    <w:rsid w:val="00463672"/>
    <w:rsid w:val="00470D7C"/>
    <w:rsid w:val="00471BB3"/>
    <w:rsid w:val="00473AE0"/>
    <w:rsid w:val="0047658A"/>
    <w:rsid w:val="00481817"/>
    <w:rsid w:val="00492E24"/>
    <w:rsid w:val="004B2462"/>
    <w:rsid w:val="004C263D"/>
    <w:rsid w:val="004C4810"/>
    <w:rsid w:val="004C5CCC"/>
    <w:rsid w:val="004C7806"/>
    <w:rsid w:val="004E0E2D"/>
    <w:rsid w:val="004E47CA"/>
    <w:rsid w:val="004F14E1"/>
    <w:rsid w:val="00501327"/>
    <w:rsid w:val="00504AE9"/>
    <w:rsid w:val="00533D7F"/>
    <w:rsid w:val="00537AB8"/>
    <w:rsid w:val="00541080"/>
    <w:rsid w:val="00544E7C"/>
    <w:rsid w:val="00551C2B"/>
    <w:rsid w:val="00572546"/>
    <w:rsid w:val="00575BC1"/>
    <w:rsid w:val="00575EA1"/>
    <w:rsid w:val="00590F00"/>
    <w:rsid w:val="00595664"/>
    <w:rsid w:val="005A1D4E"/>
    <w:rsid w:val="005B558C"/>
    <w:rsid w:val="005B5B66"/>
    <w:rsid w:val="005C1244"/>
    <w:rsid w:val="005C15C7"/>
    <w:rsid w:val="005C43A1"/>
    <w:rsid w:val="005C549F"/>
    <w:rsid w:val="005D1699"/>
    <w:rsid w:val="00603A55"/>
    <w:rsid w:val="00623E5D"/>
    <w:rsid w:val="00645800"/>
    <w:rsid w:val="006530A7"/>
    <w:rsid w:val="00671904"/>
    <w:rsid w:val="00673231"/>
    <w:rsid w:val="00676763"/>
    <w:rsid w:val="00682EF0"/>
    <w:rsid w:val="006866FA"/>
    <w:rsid w:val="0069266C"/>
    <w:rsid w:val="0069547A"/>
    <w:rsid w:val="00696ECF"/>
    <w:rsid w:val="006B2781"/>
    <w:rsid w:val="006B760B"/>
    <w:rsid w:val="006C063C"/>
    <w:rsid w:val="006D5F5C"/>
    <w:rsid w:val="006D787D"/>
    <w:rsid w:val="006E65AE"/>
    <w:rsid w:val="006F0515"/>
    <w:rsid w:val="006F06F6"/>
    <w:rsid w:val="006F6F1B"/>
    <w:rsid w:val="00702A0A"/>
    <w:rsid w:val="00706AEC"/>
    <w:rsid w:val="007147E5"/>
    <w:rsid w:val="00715D8C"/>
    <w:rsid w:val="0071702D"/>
    <w:rsid w:val="00717175"/>
    <w:rsid w:val="00724327"/>
    <w:rsid w:val="007251E1"/>
    <w:rsid w:val="0073568A"/>
    <w:rsid w:val="00737825"/>
    <w:rsid w:val="00737A2B"/>
    <w:rsid w:val="0074518E"/>
    <w:rsid w:val="0075332D"/>
    <w:rsid w:val="00763A5E"/>
    <w:rsid w:val="00765B24"/>
    <w:rsid w:val="00767C25"/>
    <w:rsid w:val="0077041D"/>
    <w:rsid w:val="0077282F"/>
    <w:rsid w:val="00777F69"/>
    <w:rsid w:val="00782AAD"/>
    <w:rsid w:val="00785514"/>
    <w:rsid w:val="007859EA"/>
    <w:rsid w:val="00791FF3"/>
    <w:rsid w:val="00794F77"/>
    <w:rsid w:val="00796DC9"/>
    <w:rsid w:val="007B2A3C"/>
    <w:rsid w:val="007C02AC"/>
    <w:rsid w:val="007C2279"/>
    <w:rsid w:val="007C70C0"/>
    <w:rsid w:val="007D2E63"/>
    <w:rsid w:val="007D35DD"/>
    <w:rsid w:val="007E518C"/>
    <w:rsid w:val="007F6969"/>
    <w:rsid w:val="008011AB"/>
    <w:rsid w:val="00807535"/>
    <w:rsid w:val="00814735"/>
    <w:rsid w:val="00815D20"/>
    <w:rsid w:val="008308F1"/>
    <w:rsid w:val="00834AD2"/>
    <w:rsid w:val="008405C5"/>
    <w:rsid w:val="00840D4E"/>
    <w:rsid w:val="00845142"/>
    <w:rsid w:val="00846668"/>
    <w:rsid w:val="00853A43"/>
    <w:rsid w:val="0087567A"/>
    <w:rsid w:val="008917D2"/>
    <w:rsid w:val="008B797F"/>
    <w:rsid w:val="008D014E"/>
    <w:rsid w:val="008D4AF7"/>
    <w:rsid w:val="008F1D39"/>
    <w:rsid w:val="00901A74"/>
    <w:rsid w:val="0090267A"/>
    <w:rsid w:val="00904515"/>
    <w:rsid w:val="00922814"/>
    <w:rsid w:val="00930C92"/>
    <w:rsid w:val="00934C41"/>
    <w:rsid w:val="00941E31"/>
    <w:rsid w:val="00944302"/>
    <w:rsid w:val="00945D2E"/>
    <w:rsid w:val="00950C63"/>
    <w:rsid w:val="009534CB"/>
    <w:rsid w:val="009557D1"/>
    <w:rsid w:val="009619B0"/>
    <w:rsid w:val="00975A03"/>
    <w:rsid w:val="009835A0"/>
    <w:rsid w:val="0098463C"/>
    <w:rsid w:val="00990783"/>
    <w:rsid w:val="00993A4C"/>
    <w:rsid w:val="009A6FC1"/>
    <w:rsid w:val="009A7981"/>
    <w:rsid w:val="009B0344"/>
    <w:rsid w:val="009B0722"/>
    <w:rsid w:val="009B2C3E"/>
    <w:rsid w:val="009B5E5A"/>
    <w:rsid w:val="009C10E1"/>
    <w:rsid w:val="009C188F"/>
    <w:rsid w:val="009D0420"/>
    <w:rsid w:val="009D739D"/>
    <w:rsid w:val="009E10DD"/>
    <w:rsid w:val="009E7005"/>
    <w:rsid w:val="009E70A3"/>
    <w:rsid w:val="009F259A"/>
    <w:rsid w:val="009F3313"/>
    <w:rsid w:val="009F45B0"/>
    <w:rsid w:val="00A038EA"/>
    <w:rsid w:val="00A048B2"/>
    <w:rsid w:val="00A12979"/>
    <w:rsid w:val="00A130C8"/>
    <w:rsid w:val="00A2031D"/>
    <w:rsid w:val="00A2715C"/>
    <w:rsid w:val="00A34485"/>
    <w:rsid w:val="00A3565D"/>
    <w:rsid w:val="00A42227"/>
    <w:rsid w:val="00A4541D"/>
    <w:rsid w:val="00A4769A"/>
    <w:rsid w:val="00A47F4E"/>
    <w:rsid w:val="00A52544"/>
    <w:rsid w:val="00A60DEB"/>
    <w:rsid w:val="00A61E2E"/>
    <w:rsid w:val="00A71495"/>
    <w:rsid w:val="00A820BD"/>
    <w:rsid w:val="00A94C6D"/>
    <w:rsid w:val="00A96E55"/>
    <w:rsid w:val="00AB4140"/>
    <w:rsid w:val="00AC5409"/>
    <w:rsid w:val="00AC7993"/>
    <w:rsid w:val="00AD41AF"/>
    <w:rsid w:val="00AD5A0B"/>
    <w:rsid w:val="00AE01F6"/>
    <w:rsid w:val="00AE3941"/>
    <w:rsid w:val="00AF1F43"/>
    <w:rsid w:val="00AF4991"/>
    <w:rsid w:val="00AF7834"/>
    <w:rsid w:val="00B01EB8"/>
    <w:rsid w:val="00B12145"/>
    <w:rsid w:val="00B16F23"/>
    <w:rsid w:val="00B305F9"/>
    <w:rsid w:val="00B32926"/>
    <w:rsid w:val="00B3618C"/>
    <w:rsid w:val="00B37F81"/>
    <w:rsid w:val="00B42532"/>
    <w:rsid w:val="00B573C4"/>
    <w:rsid w:val="00B63702"/>
    <w:rsid w:val="00B70BF6"/>
    <w:rsid w:val="00B76F3A"/>
    <w:rsid w:val="00B87965"/>
    <w:rsid w:val="00BA2BE1"/>
    <w:rsid w:val="00BA6ABD"/>
    <w:rsid w:val="00BB4EC4"/>
    <w:rsid w:val="00BB5414"/>
    <w:rsid w:val="00BC0A13"/>
    <w:rsid w:val="00BC3252"/>
    <w:rsid w:val="00BC5319"/>
    <w:rsid w:val="00BD3270"/>
    <w:rsid w:val="00BD6295"/>
    <w:rsid w:val="00BF06F9"/>
    <w:rsid w:val="00BF3D60"/>
    <w:rsid w:val="00BF3DC7"/>
    <w:rsid w:val="00C04B9B"/>
    <w:rsid w:val="00C120BC"/>
    <w:rsid w:val="00C215AB"/>
    <w:rsid w:val="00C220E3"/>
    <w:rsid w:val="00C31C24"/>
    <w:rsid w:val="00C34019"/>
    <w:rsid w:val="00C3642F"/>
    <w:rsid w:val="00C36ABE"/>
    <w:rsid w:val="00C407E2"/>
    <w:rsid w:val="00C558AD"/>
    <w:rsid w:val="00C64EC9"/>
    <w:rsid w:val="00C72F09"/>
    <w:rsid w:val="00C8095D"/>
    <w:rsid w:val="00C85C7C"/>
    <w:rsid w:val="00C86034"/>
    <w:rsid w:val="00CB2F57"/>
    <w:rsid w:val="00CB7D94"/>
    <w:rsid w:val="00CC0591"/>
    <w:rsid w:val="00CC5EB8"/>
    <w:rsid w:val="00CC636D"/>
    <w:rsid w:val="00CD7AA8"/>
    <w:rsid w:val="00CE024E"/>
    <w:rsid w:val="00CF2A32"/>
    <w:rsid w:val="00CF47F8"/>
    <w:rsid w:val="00D00E01"/>
    <w:rsid w:val="00D02A84"/>
    <w:rsid w:val="00D060C9"/>
    <w:rsid w:val="00D071C5"/>
    <w:rsid w:val="00D173E4"/>
    <w:rsid w:val="00D37EFC"/>
    <w:rsid w:val="00D47EE4"/>
    <w:rsid w:val="00D565EF"/>
    <w:rsid w:val="00D664AA"/>
    <w:rsid w:val="00D67128"/>
    <w:rsid w:val="00D676FE"/>
    <w:rsid w:val="00D70E13"/>
    <w:rsid w:val="00D72C59"/>
    <w:rsid w:val="00D82618"/>
    <w:rsid w:val="00D8264B"/>
    <w:rsid w:val="00D8619A"/>
    <w:rsid w:val="00D91FB9"/>
    <w:rsid w:val="00DA4582"/>
    <w:rsid w:val="00DB5EA6"/>
    <w:rsid w:val="00DC29F1"/>
    <w:rsid w:val="00DD1B09"/>
    <w:rsid w:val="00DD380D"/>
    <w:rsid w:val="00DD5F4C"/>
    <w:rsid w:val="00DE3D99"/>
    <w:rsid w:val="00DE4852"/>
    <w:rsid w:val="00DE7D5D"/>
    <w:rsid w:val="00DF0FAF"/>
    <w:rsid w:val="00E052EF"/>
    <w:rsid w:val="00E11EA1"/>
    <w:rsid w:val="00E1569D"/>
    <w:rsid w:val="00E20ECC"/>
    <w:rsid w:val="00E216ED"/>
    <w:rsid w:val="00E22371"/>
    <w:rsid w:val="00E24EF3"/>
    <w:rsid w:val="00E261B2"/>
    <w:rsid w:val="00E45A8F"/>
    <w:rsid w:val="00E549AD"/>
    <w:rsid w:val="00E654A6"/>
    <w:rsid w:val="00E906CE"/>
    <w:rsid w:val="00E9621A"/>
    <w:rsid w:val="00EA4A17"/>
    <w:rsid w:val="00EB1787"/>
    <w:rsid w:val="00EB50E1"/>
    <w:rsid w:val="00EB6968"/>
    <w:rsid w:val="00ED311B"/>
    <w:rsid w:val="00ED322E"/>
    <w:rsid w:val="00ED5133"/>
    <w:rsid w:val="00ED6A4D"/>
    <w:rsid w:val="00ED7AE3"/>
    <w:rsid w:val="00EE7581"/>
    <w:rsid w:val="00F05D03"/>
    <w:rsid w:val="00F07E3F"/>
    <w:rsid w:val="00F163FE"/>
    <w:rsid w:val="00F17778"/>
    <w:rsid w:val="00F30624"/>
    <w:rsid w:val="00F34A2C"/>
    <w:rsid w:val="00F477C5"/>
    <w:rsid w:val="00F532D4"/>
    <w:rsid w:val="00F545FA"/>
    <w:rsid w:val="00F57997"/>
    <w:rsid w:val="00F64E6C"/>
    <w:rsid w:val="00F7083B"/>
    <w:rsid w:val="00F74EE9"/>
    <w:rsid w:val="00F8315B"/>
    <w:rsid w:val="00F85262"/>
    <w:rsid w:val="00F876BD"/>
    <w:rsid w:val="00F903A3"/>
    <w:rsid w:val="00F93DED"/>
    <w:rsid w:val="00FA00A1"/>
    <w:rsid w:val="00FA2A49"/>
    <w:rsid w:val="00FB2348"/>
    <w:rsid w:val="00FB4B51"/>
    <w:rsid w:val="00FB4CC7"/>
    <w:rsid w:val="00FC6F39"/>
    <w:rsid w:val="00FD185B"/>
    <w:rsid w:val="00FD595B"/>
    <w:rsid w:val="00FE3121"/>
    <w:rsid w:val="00FE598F"/>
    <w:rsid w:val="00FF16A2"/>
    <w:rsid w:val="00FF1B8D"/>
    <w:rsid w:val="00FF6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1DBFF"/>
  <w15:chartTrackingRefBased/>
  <w15:docId w15:val="{DD77EB93-1ED9-46DF-83CF-6D15059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F7"/>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ED322E"/>
    <w:pPr>
      <w:widowControl w:val="0"/>
      <w:spacing w:before="240"/>
      <w:jc w:val="center"/>
      <w:outlineLvl w:val="1"/>
    </w:pPr>
    <w:rPr>
      <w:b/>
      <w:snapToGrid w:val="0"/>
      <w:color w:val="00000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1569D"/>
    <w:pPr>
      <w:tabs>
        <w:tab w:val="center" w:pos="4419"/>
        <w:tab w:val="right" w:pos="8838"/>
      </w:tabs>
    </w:pPr>
  </w:style>
  <w:style w:type="character" w:customStyle="1" w:styleId="EncabezadoCar">
    <w:name w:val="Encabezado Car"/>
    <w:basedOn w:val="Fuentedeprrafopredeter"/>
    <w:link w:val="Encabezado"/>
    <w:rsid w:val="00E1569D"/>
  </w:style>
  <w:style w:type="paragraph" w:styleId="Piedepgina">
    <w:name w:val="footer"/>
    <w:basedOn w:val="Normal"/>
    <w:link w:val="PiedepginaCar"/>
    <w:uiPriority w:val="99"/>
    <w:unhideWhenUsed/>
    <w:rsid w:val="00E1569D"/>
    <w:pPr>
      <w:tabs>
        <w:tab w:val="center" w:pos="4419"/>
        <w:tab w:val="right" w:pos="8838"/>
      </w:tabs>
    </w:pPr>
  </w:style>
  <w:style w:type="character" w:customStyle="1" w:styleId="PiedepginaCar">
    <w:name w:val="Pie de página Car"/>
    <w:basedOn w:val="Fuentedeprrafopredeter"/>
    <w:link w:val="Piedepgina"/>
    <w:uiPriority w:val="99"/>
    <w:rsid w:val="00E1569D"/>
  </w:style>
  <w:style w:type="paragraph" w:customStyle="1" w:styleId="Oficioregistro">
    <w:name w:val="Oficio_registro"/>
    <w:basedOn w:val="Normal"/>
    <w:qFormat/>
    <w:rsid w:val="00E1569D"/>
    <w:pPr>
      <w:autoSpaceDE w:val="0"/>
      <w:autoSpaceDN w:val="0"/>
      <w:adjustRightInd w:val="0"/>
      <w:spacing w:line="288" w:lineRule="auto"/>
      <w:ind w:left="5236"/>
      <w:textAlignment w:val="center"/>
    </w:pPr>
    <w:rPr>
      <w:rFonts w:ascii="Arial Narrow Regular" w:hAnsi="Arial Narrow Regular" w:cs="Arial Narrow Regular"/>
      <w:color w:val="000000"/>
      <w:sz w:val="20"/>
      <w:szCs w:val="20"/>
      <w:lang w:val="es-ES_tradnl"/>
    </w:rPr>
  </w:style>
  <w:style w:type="paragraph" w:styleId="Prrafodelista">
    <w:name w:val="List Paragraph"/>
    <w:basedOn w:val="Normal"/>
    <w:uiPriority w:val="34"/>
    <w:qFormat/>
    <w:rsid w:val="00E1569D"/>
    <w:pPr>
      <w:spacing w:after="200" w:line="276" w:lineRule="auto"/>
      <w:ind w:left="720"/>
      <w:contextualSpacing/>
    </w:pPr>
    <w:rPr>
      <w:rFonts w:ascii="Calibri" w:eastAsia="Calibri" w:hAnsi="Calibri"/>
    </w:rPr>
  </w:style>
  <w:style w:type="paragraph" w:customStyle="1" w:styleId="firmasaludo">
    <w:name w:val="firma_saludo"/>
    <w:basedOn w:val="Normal"/>
    <w:qFormat/>
    <w:rsid w:val="00E1569D"/>
    <w:pPr>
      <w:autoSpaceDE w:val="0"/>
      <w:autoSpaceDN w:val="0"/>
      <w:adjustRightInd w:val="0"/>
      <w:spacing w:line="288" w:lineRule="auto"/>
      <w:jc w:val="both"/>
      <w:textAlignment w:val="center"/>
    </w:pPr>
    <w:rPr>
      <w:rFonts w:ascii="Arial Narrow Bold Italic" w:hAnsi="Arial Narrow Bold Italic" w:cs="Arial Narrow Bold Italic"/>
      <w:b/>
      <w:bCs/>
      <w:i/>
      <w:iCs/>
      <w:color w:val="000000"/>
      <w:sz w:val="20"/>
      <w:szCs w:val="20"/>
      <w:lang w:val="es-ES_tradnl" w:eastAsia="en-US"/>
    </w:rPr>
  </w:style>
  <w:style w:type="paragraph" w:styleId="Sinespaciado">
    <w:name w:val="No Spacing"/>
    <w:uiPriority w:val="1"/>
    <w:qFormat/>
    <w:rsid w:val="00E1569D"/>
    <w:pPr>
      <w:spacing w:after="0" w:line="240" w:lineRule="auto"/>
    </w:pPr>
    <w:rPr>
      <w:rFonts w:ascii="Calibri" w:eastAsia="Times New Roman" w:hAnsi="Calibri" w:cs="Times New Roman"/>
    </w:rPr>
  </w:style>
  <w:style w:type="paragraph" w:customStyle="1" w:styleId="xmsonormal">
    <w:name w:val="x_msonormal"/>
    <w:basedOn w:val="Normal"/>
    <w:rsid w:val="00E1569D"/>
    <w:rPr>
      <w:rFonts w:ascii="Calibri" w:eastAsia="Calibri" w:hAnsi="Calibri" w:cs="Calibri"/>
      <w:sz w:val="22"/>
      <w:szCs w:val="22"/>
      <w:lang w:val="es-MX" w:eastAsia="es-MX"/>
    </w:rPr>
  </w:style>
  <w:style w:type="character" w:styleId="Hipervnculo">
    <w:name w:val="Hyperlink"/>
    <w:basedOn w:val="Fuentedeprrafopredeter"/>
    <w:uiPriority w:val="99"/>
    <w:unhideWhenUsed/>
    <w:rsid w:val="00AE01F6"/>
    <w:rPr>
      <w:color w:val="0563C1"/>
      <w:u w:val="single"/>
    </w:rPr>
  </w:style>
  <w:style w:type="paragraph" w:customStyle="1" w:styleId="Ningnestilodeprrafo">
    <w:name w:val="[Ningún estilo de párrafo]"/>
    <w:basedOn w:val="Normal"/>
    <w:rsid w:val="00AE01F6"/>
    <w:pPr>
      <w:autoSpaceDE w:val="0"/>
      <w:autoSpaceDN w:val="0"/>
      <w:spacing w:line="288" w:lineRule="auto"/>
    </w:pPr>
    <w:rPr>
      <w:rFonts w:eastAsiaTheme="minorHAnsi"/>
      <w:color w:val="000000"/>
      <w:lang w:val="es-MX" w:eastAsia="es-MX"/>
    </w:rPr>
  </w:style>
  <w:style w:type="character" w:customStyle="1" w:styleId="texto">
    <w:name w:val="texto"/>
    <w:basedOn w:val="Fuentedeprrafopredeter"/>
    <w:uiPriority w:val="99"/>
    <w:rsid w:val="00AE01F6"/>
    <w:rPr>
      <w:rFonts w:ascii="Gill Sans MT" w:hAnsi="Gill Sans MT" w:hint="default"/>
      <w:strike w:val="0"/>
      <w:dstrike w:val="0"/>
      <w:color w:val="000000"/>
      <w:spacing w:val="6"/>
      <w:u w:val="none"/>
      <w:effect w:val="none"/>
      <w:vertAlign w:val="baseline"/>
    </w:rPr>
  </w:style>
  <w:style w:type="paragraph" w:styleId="Textonotapie">
    <w:name w:val="footnote text"/>
    <w:basedOn w:val="Normal"/>
    <w:link w:val="TextonotapieCar"/>
    <w:unhideWhenUsed/>
    <w:rsid w:val="003226FB"/>
    <w:pPr>
      <w:widowControl w:val="0"/>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rsid w:val="003226FB"/>
    <w:rPr>
      <w:sz w:val="20"/>
      <w:szCs w:val="20"/>
    </w:rPr>
  </w:style>
  <w:style w:type="character" w:styleId="Refdenotaalpie">
    <w:name w:val="footnote reference"/>
    <w:basedOn w:val="Fuentedeprrafopredeter"/>
    <w:unhideWhenUsed/>
    <w:rsid w:val="003226FB"/>
    <w:rPr>
      <w:vertAlign w:val="superscript"/>
    </w:rPr>
  </w:style>
  <w:style w:type="paragraph" w:customStyle="1" w:styleId="Textodebloque1">
    <w:name w:val="Texto de bloque1"/>
    <w:basedOn w:val="Normal"/>
    <w:rsid w:val="003226FB"/>
    <w:pPr>
      <w:spacing w:before="240"/>
      <w:ind w:left="1843" w:right="1361" w:hanging="273"/>
      <w:jc w:val="both"/>
    </w:pPr>
    <w:rPr>
      <w:b/>
      <w:sz w:val="22"/>
      <w:szCs w:val="20"/>
      <w:lang w:val="es-ES_tradnl"/>
    </w:rPr>
  </w:style>
  <w:style w:type="paragraph" w:customStyle="1" w:styleId="n01">
    <w:name w:val="n01"/>
    <w:basedOn w:val="Normal"/>
    <w:rsid w:val="003226FB"/>
    <w:pPr>
      <w:keepLines/>
      <w:spacing w:before="240"/>
      <w:ind w:left="720" w:hanging="720"/>
      <w:jc w:val="both"/>
    </w:pPr>
    <w:rPr>
      <w:rFonts w:ascii="Univers (W1)" w:hAnsi="Univers (W1)"/>
      <w:color w:val="800080"/>
      <w:szCs w:val="20"/>
      <w:lang w:val="es-ES_tradnl"/>
    </w:rPr>
  </w:style>
  <w:style w:type="paragraph" w:styleId="Descripcin">
    <w:name w:val="caption"/>
    <w:basedOn w:val="Normal"/>
    <w:next w:val="Normal"/>
    <w:uiPriority w:val="35"/>
    <w:unhideWhenUsed/>
    <w:qFormat/>
    <w:rsid w:val="00FF16A2"/>
    <w:pPr>
      <w:spacing w:after="200"/>
    </w:pPr>
    <w:rPr>
      <w:i/>
      <w:iCs/>
      <w:color w:val="44546A" w:themeColor="text2"/>
      <w:sz w:val="18"/>
      <w:szCs w:val="18"/>
    </w:rPr>
  </w:style>
  <w:style w:type="table" w:styleId="Tablaconcuadrcula">
    <w:name w:val="Table Grid"/>
    <w:basedOn w:val="Tablanormal"/>
    <w:uiPriority w:val="39"/>
    <w:rsid w:val="00FF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9129E"/>
    <w:rPr>
      <w:b/>
      <w:bCs/>
    </w:rPr>
  </w:style>
  <w:style w:type="character" w:customStyle="1" w:styleId="Ttulo2Car">
    <w:name w:val="Título 2 Car"/>
    <w:basedOn w:val="Fuentedeprrafopredeter"/>
    <w:link w:val="Ttulo2"/>
    <w:rsid w:val="00ED322E"/>
    <w:rPr>
      <w:rFonts w:ascii="Arial" w:eastAsia="Times New Roman" w:hAnsi="Arial" w:cs="Times New Roman"/>
      <w:b/>
      <w:snapToGrid w:val="0"/>
      <w:color w:val="000000"/>
      <w:sz w:val="28"/>
      <w:szCs w:val="20"/>
      <w:lang w:val="es-ES_tradnl" w:eastAsia="es-ES"/>
    </w:rPr>
  </w:style>
  <w:style w:type="paragraph" w:customStyle="1" w:styleId="p0">
    <w:name w:val="p0"/>
    <w:basedOn w:val="Normal"/>
    <w:rsid w:val="00ED322E"/>
    <w:pPr>
      <w:keepLines/>
      <w:widowControl w:val="0"/>
      <w:spacing w:before="240"/>
      <w:jc w:val="both"/>
    </w:pPr>
    <w:rPr>
      <w:snapToGrid w:val="0"/>
      <w:color w:val="0000FF"/>
      <w:szCs w:val="20"/>
      <w:lang w:val="es-ES_tradnl"/>
    </w:rPr>
  </w:style>
  <w:style w:type="paragraph" w:styleId="NormalWeb">
    <w:name w:val="Normal (Web)"/>
    <w:basedOn w:val="Normal"/>
    <w:uiPriority w:val="99"/>
    <w:rsid w:val="00ED322E"/>
    <w:pPr>
      <w:spacing w:before="100" w:beforeAutospacing="1" w:after="100" w:afterAutospacing="1"/>
    </w:pPr>
    <w:rPr>
      <w:rFonts w:cs="Arial"/>
      <w:color w:val="000000"/>
      <w:sz w:val="16"/>
      <w:szCs w:val="16"/>
    </w:rPr>
  </w:style>
  <w:style w:type="paragraph" w:customStyle="1" w:styleId="p01">
    <w:name w:val="p01"/>
    <w:basedOn w:val="Normal"/>
    <w:next w:val="p0"/>
    <w:rsid w:val="00ED322E"/>
    <w:pPr>
      <w:keepLines/>
      <w:spacing w:before="240"/>
      <w:jc w:val="both"/>
    </w:pPr>
    <w:rPr>
      <w:rFonts w:ascii="Univers" w:hAnsi="Univers"/>
      <w:color w:val="0000FF"/>
      <w:szCs w:val="20"/>
      <w:lang w:val="es-ES_tradnl"/>
    </w:rPr>
  </w:style>
  <w:style w:type="paragraph" w:customStyle="1" w:styleId="Default">
    <w:name w:val="Default"/>
    <w:rsid w:val="00ED322E"/>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 w:type="paragraph" w:customStyle="1" w:styleId="parrafo1">
    <w:name w:val="parrafo1"/>
    <w:basedOn w:val="p0"/>
    <w:rsid w:val="00F532D4"/>
    <w:pPr>
      <w:keepLines w:val="0"/>
      <w:widowControl/>
      <w:spacing w:before="480"/>
      <w:ind w:left="426" w:right="443"/>
    </w:pPr>
    <w:rPr>
      <w:snapToGrid/>
      <w:color w:val="auto"/>
    </w:rPr>
  </w:style>
  <w:style w:type="character" w:styleId="Mencinsinresolver">
    <w:name w:val="Unresolved Mention"/>
    <w:basedOn w:val="Fuentedeprrafopredeter"/>
    <w:uiPriority w:val="99"/>
    <w:semiHidden/>
    <w:unhideWhenUsed/>
    <w:rsid w:val="00785514"/>
    <w:rPr>
      <w:color w:val="605E5C"/>
      <w:shd w:val="clear" w:color="auto" w:fill="E1DFDD"/>
    </w:rPr>
  </w:style>
  <w:style w:type="character" w:styleId="Hipervnculovisitado">
    <w:name w:val="FollowedHyperlink"/>
    <w:basedOn w:val="Fuentedeprrafopredeter"/>
    <w:uiPriority w:val="99"/>
    <w:semiHidden/>
    <w:unhideWhenUsed/>
    <w:rsid w:val="00785514"/>
    <w:rPr>
      <w:color w:val="954F72" w:themeColor="followedHyperlink"/>
      <w:u w:val="single"/>
    </w:rPr>
  </w:style>
  <w:style w:type="paragraph" w:customStyle="1" w:styleId="bullet">
    <w:name w:val="bullet"/>
    <w:basedOn w:val="Normal"/>
    <w:rsid w:val="00785514"/>
    <w:pPr>
      <w:widowControl w:val="0"/>
      <w:numPr>
        <w:numId w:val="1"/>
      </w:numPr>
      <w:spacing w:before="240"/>
      <w:ind w:right="1185"/>
      <w:jc w:val="both"/>
    </w:pPr>
    <w:rPr>
      <w:b/>
      <w:snapToGrid w:val="0"/>
      <w:color w:val="000080"/>
      <w:sz w:val="22"/>
      <w:szCs w:val="20"/>
      <w:lang w:val="es-ES_tradnl"/>
    </w:rPr>
  </w:style>
  <w:style w:type="character" w:styleId="Refdecomentario">
    <w:name w:val="annotation reference"/>
    <w:basedOn w:val="Fuentedeprrafopredeter"/>
    <w:uiPriority w:val="99"/>
    <w:semiHidden/>
    <w:unhideWhenUsed/>
    <w:rsid w:val="009557D1"/>
    <w:rPr>
      <w:sz w:val="16"/>
      <w:szCs w:val="16"/>
    </w:rPr>
  </w:style>
  <w:style w:type="paragraph" w:styleId="Textocomentario">
    <w:name w:val="annotation text"/>
    <w:basedOn w:val="Normal"/>
    <w:link w:val="TextocomentarioCar"/>
    <w:uiPriority w:val="99"/>
    <w:semiHidden/>
    <w:unhideWhenUsed/>
    <w:rsid w:val="009557D1"/>
    <w:rPr>
      <w:sz w:val="20"/>
      <w:szCs w:val="20"/>
    </w:rPr>
  </w:style>
  <w:style w:type="character" w:customStyle="1" w:styleId="TextocomentarioCar">
    <w:name w:val="Texto comentario Car"/>
    <w:basedOn w:val="Fuentedeprrafopredeter"/>
    <w:link w:val="Textocomentario"/>
    <w:uiPriority w:val="99"/>
    <w:semiHidden/>
    <w:rsid w:val="009557D1"/>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557D1"/>
    <w:rPr>
      <w:b/>
      <w:bCs/>
    </w:rPr>
  </w:style>
  <w:style w:type="character" w:customStyle="1" w:styleId="AsuntodelcomentarioCar">
    <w:name w:val="Asunto del comentario Car"/>
    <w:basedOn w:val="TextocomentarioCar"/>
    <w:link w:val="Asuntodelcomentario"/>
    <w:uiPriority w:val="99"/>
    <w:semiHidden/>
    <w:rsid w:val="009557D1"/>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9557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57D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74004">
      <w:bodyDiv w:val="1"/>
      <w:marLeft w:val="0"/>
      <w:marRight w:val="0"/>
      <w:marTop w:val="0"/>
      <w:marBottom w:val="0"/>
      <w:divBdr>
        <w:top w:val="none" w:sz="0" w:space="0" w:color="auto"/>
        <w:left w:val="none" w:sz="0" w:space="0" w:color="auto"/>
        <w:bottom w:val="none" w:sz="0" w:space="0" w:color="auto"/>
        <w:right w:val="none" w:sz="0" w:space="0" w:color="auto"/>
      </w:divBdr>
    </w:div>
    <w:div w:id="139426941">
      <w:bodyDiv w:val="1"/>
      <w:marLeft w:val="0"/>
      <w:marRight w:val="0"/>
      <w:marTop w:val="0"/>
      <w:marBottom w:val="0"/>
      <w:divBdr>
        <w:top w:val="none" w:sz="0" w:space="0" w:color="auto"/>
        <w:left w:val="none" w:sz="0" w:space="0" w:color="auto"/>
        <w:bottom w:val="none" w:sz="0" w:space="0" w:color="auto"/>
        <w:right w:val="none" w:sz="0" w:space="0" w:color="auto"/>
      </w:divBdr>
    </w:div>
    <w:div w:id="409543367">
      <w:bodyDiv w:val="1"/>
      <w:marLeft w:val="0"/>
      <w:marRight w:val="0"/>
      <w:marTop w:val="0"/>
      <w:marBottom w:val="0"/>
      <w:divBdr>
        <w:top w:val="none" w:sz="0" w:space="0" w:color="auto"/>
        <w:left w:val="none" w:sz="0" w:space="0" w:color="auto"/>
        <w:bottom w:val="none" w:sz="0" w:space="0" w:color="auto"/>
        <w:right w:val="none" w:sz="0" w:space="0" w:color="auto"/>
      </w:divBdr>
    </w:div>
    <w:div w:id="429667411">
      <w:bodyDiv w:val="1"/>
      <w:marLeft w:val="0"/>
      <w:marRight w:val="0"/>
      <w:marTop w:val="0"/>
      <w:marBottom w:val="0"/>
      <w:divBdr>
        <w:top w:val="none" w:sz="0" w:space="0" w:color="auto"/>
        <w:left w:val="none" w:sz="0" w:space="0" w:color="auto"/>
        <w:bottom w:val="none" w:sz="0" w:space="0" w:color="auto"/>
        <w:right w:val="none" w:sz="0" w:space="0" w:color="auto"/>
      </w:divBdr>
    </w:div>
    <w:div w:id="434253071">
      <w:bodyDiv w:val="1"/>
      <w:marLeft w:val="0"/>
      <w:marRight w:val="0"/>
      <w:marTop w:val="0"/>
      <w:marBottom w:val="0"/>
      <w:divBdr>
        <w:top w:val="none" w:sz="0" w:space="0" w:color="auto"/>
        <w:left w:val="none" w:sz="0" w:space="0" w:color="auto"/>
        <w:bottom w:val="none" w:sz="0" w:space="0" w:color="auto"/>
        <w:right w:val="none" w:sz="0" w:space="0" w:color="auto"/>
      </w:divBdr>
    </w:div>
    <w:div w:id="524252237">
      <w:bodyDiv w:val="1"/>
      <w:marLeft w:val="0"/>
      <w:marRight w:val="0"/>
      <w:marTop w:val="0"/>
      <w:marBottom w:val="0"/>
      <w:divBdr>
        <w:top w:val="none" w:sz="0" w:space="0" w:color="auto"/>
        <w:left w:val="none" w:sz="0" w:space="0" w:color="auto"/>
        <w:bottom w:val="none" w:sz="0" w:space="0" w:color="auto"/>
        <w:right w:val="none" w:sz="0" w:space="0" w:color="auto"/>
      </w:divBdr>
    </w:div>
    <w:div w:id="530920024">
      <w:bodyDiv w:val="1"/>
      <w:marLeft w:val="0"/>
      <w:marRight w:val="0"/>
      <w:marTop w:val="0"/>
      <w:marBottom w:val="0"/>
      <w:divBdr>
        <w:top w:val="none" w:sz="0" w:space="0" w:color="auto"/>
        <w:left w:val="none" w:sz="0" w:space="0" w:color="auto"/>
        <w:bottom w:val="none" w:sz="0" w:space="0" w:color="auto"/>
        <w:right w:val="none" w:sz="0" w:space="0" w:color="auto"/>
      </w:divBdr>
    </w:div>
    <w:div w:id="559053139">
      <w:bodyDiv w:val="1"/>
      <w:marLeft w:val="0"/>
      <w:marRight w:val="0"/>
      <w:marTop w:val="0"/>
      <w:marBottom w:val="0"/>
      <w:divBdr>
        <w:top w:val="none" w:sz="0" w:space="0" w:color="auto"/>
        <w:left w:val="none" w:sz="0" w:space="0" w:color="auto"/>
        <w:bottom w:val="none" w:sz="0" w:space="0" w:color="auto"/>
        <w:right w:val="none" w:sz="0" w:space="0" w:color="auto"/>
      </w:divBdr>
    </w:div>
    <w:div w:id="599721519">
      <w:bodyDiv w:val="1"/>
      <w:marLeft w:val="0"/>
      <w:marRight w:val="0"/>
      <w:marTop w:val="0"/>
      <w:marBottom w:val="0"/>
      <w:divBdr>
        <w:top w:val="none" w:sz="0" w:space="0" w:color="auto"/>
        <w:left w:val="none" w:sz="0" w:space="0" w:color="auto"/>
        <w:bottom w:val="none" w:sz="0" w:space="0" w:color="auto"/>
        <w:right w:val="none" w:sz="0" w:space="0" w:color="auto"/>
      </w:divBdr>
    </w:div>
    <w:div w:id="733705059">
      <w:bodyDiv w:val="1"/>
      <w:marLeft w:val="0"/>
      <w:marRight w:val="0"/>
      <w:marTop w:val="0"/>
      <w:marBottom w:val="0"/>
      <w:divBdr>
        <w:top w:val="none" w:sz="0" w:space="0" w:color="auto"/>
        <w:left w:val="none" w:sz="0" w:space="0" w:color="auto"/>
        <w:bottom w:val="none" w:sz="0" w:space="0" w:color="auto"/>
        <w:right w:val="none" w:sz="0" w:space="0" w:color="auto"/>
      </w:divBdr>
    </w:div>
    <w:div w:id="734284441">
      <w:bodyDiv w:val="1"/>
      <w:marLeft w:val="0"/>
      <w:marRight w:val="0"/>
      <w:marTop w:val="0"/>
      <w:marBottom w:val="0"/>
      <w:divBdr>
        <w:top w:val="none" w:sz="0" w:space="0" w:color="auto"/>
        <w:left w:val="none" w:sz="0" w:space="0" w:color="auto"/>
        <w:bottom w:val="none" w:sz="0" w:space="0" w:color="auto"/>
        <w:right w:val="none" w:sz="0" w:space="0" w:color="auto"/>
      </w:divBdr>
    </w:div>
    <w:div w:id="750589874">
      <w:bodyDiv w:val="1"/>
      <w:marLeft w:val="0"/>
      <w:marRight w:val="0"/>
      <w:marTop w:val="0"/>
      <w:marBottom w:val="0"/>
      <w:divBdr>
        <w:top w:val="none" w:sz="0" w:space="0" w:color="auto"/>
        <w:left w:val="none" w:sz="0" w:space="0" w:color="auto"/>
        <w:bottom w:val="none" w:sz="0" w:space="0" w:color="auto"/>
        <w:right w:val="none" w:sz="0" w:space="0" w:color="auto"/>
      </w:divBdr>
    </w:div>
    <w:div w:id="795609881">
      <w:bodyDiv w:val="1"/>
      <w:marLeft w:val="0"/>
      <w:marRight w:val="0"/>
      <w:marTop w:val="0"/>
      <w:marBottom w:val="0"/>
      <w:divBdr>
        <w:top w:val="none" w:sz="0" w:space="0" w:color="auto"/>
        <w:left w:val="none" w:sz="0" w:space="0" w:color="auto"/>
        <w:bottom w:val="none" w:sz="0" w:space="0" w:color="auto"/>
        <w:right w:val="none" w:sz="0" w:space="0" w:color="auto"/>
      </w:divBdr>
    </w:div>
    <w:div w:id="817384969">
      <w:bodyDiv w:val="1"/>
      <w:marLeft w:val="0"/>
      <w:marRight w:val="0"/>
      <w:marTop w:val="0"/>
      <w:marBottom w:val="0"/>
      <w:divBdr>
        <w:top w:val="none" w:sz="0" w:space="0" w:color="auto"/>
        <w:left w:val="none" w:sz="0" w:space="0" w:color="auto"/>
        <w:bottom w:val="none" w:sz="0" w:space="0" w:color="auto"/>
        <w:right w:val="none" w:sz="0" w:space="0" w:color="auto"/>
      </w:divBdr>
    </w:div>
    <w:div w:id="823354482">
      <w:bodyDiv w:val="1"/>
      <w:marLeft w:val="0"/>
      <w:marRight w:val="0"/>
      <w:marTop w:val="0"/>
      <w:marBottom w:val="0"/>
      <w:divBdr>
        <w:top w:val="none" w:sz="0" w:space="0" w:color="auto"/>
        <w:left w:val="none" w:sz="0" w:space="0" w:color="auto"/>
        <w:bottom w:val="none" w:sz="0" w:space="0" w:color="auto"/>
        <w:right w:val="none" w:sz="0" w:space="0" w:color="auto"/>
      </w:divBdr>
    </w:div>
    <w:div w:id="1076587301">
      <w:bodyDiv w:val="1"/>
      <w:marLeft w:val="0"/>
      <w:marRight w:val="0"/>
      <w:marTop w:val="0"/>
      <w:marBottom w:val="0"/>
      <w:divBdr>
        <w:top w:val="none" w:sz="0" w:space="0" w:color="auto"/>
        <w:left w:val="none" w:sz="0" w:space="0" w:color="auto"/>
        <w:bottom w:val="none" w:sz="0" w:space="0" w:color="auto"/>
        <w:right w:val="none" w:sz="0" w:space="0" w:color="auto"/>
      </w:divBdr>
    </w:div>
    <w:div w:id="1107509697">
      <w:bodyDiv w:val="1"/>
      <w:marLeft w:val="0"/>
      <w:marRight w:val="0"/>
      <w:marTop w:val="0"/>
      <w:marBottom w:val="0"/>
      <w:divBdr>
        <w:top w:val="none" w:sz="0" w:space="0" w:color="auto"/>
        <w:left w:val="none" w:sz="0" w:space="0" w:color="auto"/>
        <w:bottom w:val="none" w:sz="0" w:space="0" w:color="auto"/>
        <w:right w:val="none" w:sz="0" w:space="0" w:color="auto"/>
      </w:divBdr>
    </w:div>
    <w:div w:id="1221820177">
      <w:bodyDiv w:val="1"/>
      <w:marLeft w:val="0"/>
      <w:marRight w:val="0"/>
      <w:marTop w:val="0"/>
      <w:marBottom w:val="0"/>
      <w:divBdr>
        <w:top w:val="none" w:sz="0" w:space="0" w:color="auto"/>
        <w:left w:val="none" w:sz="0" w:space="0" w:color="auto"/>
        <w:bottom w:val="none" w:sz="0" w:space="0" w:color="auto"/>
        <w:right w:val="none" w:sz="0" w:space="0" w:color="auto"/>
      </w:divBdr>
    </w:div>
    <w:div w:id="1242831858">
      <w:bodyDiv w:val="1"/>
      <w:marLeft w:val="0"/>
      <w:marRight w:val="0"/>
      <w:marTop w:val="0"/>
      <w:marBottom w:val="0"/>
      <w:divBdr>
        <w:top w:val="none" w:sz="0" w:space="0" w:color="auto"/>
        <w:left w:val="none" w:sz="0" w:space="0" w:color="auto"/>
        <w:bottom w:val="none" w:sz="0" w:space="0" w:color="auto"/>
        <w:right w:val="none" w:sz="0" w:space="0" w:color="auto"/>
      </w:divBdr>
    </w:div>
    <w:div w:id="1267889955">
      <w:bodyDiv w:val="1"/>
      <w:marLeft w:val="0"/>
      <w:marRight w:val="0"/>
      <w:marTop w:val="0"/>
      <w:marBottom w:val="0"/>
      <w:divBdr>
        <w:top w:val="none" w:sz="0" w:space="0" w:color="auto"/>
        <w:left w:val="none" w:sz="0" w:space="0" w:color="auto"/>
        <w:bottom w:val="none" w:sz="0" w:space="0" w:color="auto"/>
        <w:right w:val="none" w:sz="0" w:space="0" w:color="auto"/>
      </w:divBdr>
    </w:div>
    <w:div w:id="1635328707">
      <w:bodyDiv w:val="1"/>
      <w:marLeft w:val="0"/>
      <w:marRight w:val="0"/>
      <w:marTop w:val="0"/>
      <w:marBottom w:val="0"/>
      <w:divBdr>
        <w:top w:val="none" w:sz="0" w:space="0" w:color="auto"/>
        <w:left w:val="none" w:sz="0" w:space="0" w:color="auto"/>
        <w:bottom w:val="none" w:sz="0" w:space="0" w:color="auto"/>
        <w:right w:val="none" w:sz="0" w:space="0" w:color="auto"/>
      </w:divBdr>
    </w:div>
    <w:div w:id="1648440513">
      <w:bodyDiv w:val="1"/>
      <w:marLeft w:val="0"/>
      <w:marRight w:val="0"/>
      <w:marTop w:val="0"/>
      <w:marBottom w:val="0"/>
      <w:divBdr>
        <w:top w:val="none" w:sz="0" w:space="0" w:color="auto"/>
        <w:left w:val="none" w:sz="0" w:space="0" w:color="auto"/>
        <w:bottom w:val="none" w:sz="0" w:space="0" w:color="auto"/>
        <w:right w:val="none" w:sz="0" w:space="0" w:color="auto"/>
      </w:divBdr>
    </w:div>
    <w:div w:id="1727532499">
      <w:bodyDiv w:val="1"/>
      <w:marLeft w:val="0"/>
      <w:marRight w:val="0"/>
      <w:marTop w:val="0"/>
      <w:marBottom w:val="0"/>
      <w:divBdr>
        <w:top w:val="none" w:sz="0" w:space="0" w:color="auto"/>
        <w:left w:val="none" w:sz="0" w:space="0" w:color="auto"/>
        <w:bottom w:val="none" w:sz="0" w:space="0" w:color="auto"/>
        <w:right w:val="none" w:sz="0" w:space="0" w:color="auto"/>
      </w:divBdr>
    </w:div>
    <w:div w:id="1747148897">
      <w:bodyDiv w:val="1"/>
      <w:marLeft w:val="0"/>
      <w:marRight w:val="0"/>
      <w:marTop w:val="0"/>
      <w:marBottom w:val="0"/>
      <w:divBdr>
        <w:top w:val="none" w:sz="0" w:space="0" w:color="auto"/>
        <w:left w:val="none" w:sz="0" w:space="0" w:color="auto"/>
        <w:bottom w:val="none" w:sz="0" w:space="0" w:color="auto"/>
        <w:right w:val="none" w:sz="0" w:space="0" w:color="auto"/>
      </w:divBdr>
    </w:div>
    <w:div w:id="1822502807">
      <w:bodyDiv w:val="1"/>
      <w:marLeft w:val="0"/>
      <w:marRight w:val="0"/>
      <w:marTop w:val="0"/>
      <w:marBottom w:val="0"/>
      <w:divBdr>
        <w:top w:val="none" w:sz="0" w:space="0" w:color="auto"/>
        <w:left w:val="none" w:sz="0" w:space="0" w:color="auto"/>
        <w:bottom w:val="none" w:sz="0" w:space="0" w:color="auto"/>
        <w:right w:val="none" w:sz="0" w:space="0" w:color="auto"/>
      </w:divBdr>
    </w:div>
    <w:div w:id="1915891586">
      <w:bodyDiv w:val="1"/>
      <w:marLeft w:val="0"/>
      <w:marRight w:val="0"/>
      <w:marTop w:val="0"/>
      <w:marBottom w:val="0"/>
      <w:divBdr>
        <w:top w:val="none" w:sz="0" w:space="0" w:color="auto"/>
        <w:left w:val="none" w:sz="0" w:space="0" w:color="auto"/>
        <w:bottom w:val="none" w:sz="0" w:space="0" w:color="auto"/>
        <w:right w:val="none" w:sz="0" w:space="0" w:color="auto"/>
      </w:divBdr>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213247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negi.org.mx/"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inegi.org.mx/datos/?t=019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ANTIAGO\Desktop\INEGI\07%20julio\Presentaci&#243;n%20de%20anal&#237;ticos\Series%20para%20analiticos_nive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NTIAGO\Desktop\INEGI\07%20julio\Presentaci&#243;n%20de%20anal&#237;ticos\Series%20para%20analiticos_nive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NTIAGO\Desktop\INEGI\07%20julio\Presentaci&#243;n%20de%20anal&#237;ticos\Series%20para%20analiticos_nive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NTIAGO\Desktop\INEGI\07%20julio\Presentaci&#243;n%20de%20anal&#237;ticos\Series%20para%20analiticos_nive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ANTIAGO\Desktop\INEGI\07%20julio\Presentaci&#243;n%20de%20anal&#237;ticos\Series%20para%20analiticos_nive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ANTIAGO\Desktop\INEGI\07%20julio\Presentaci&#243;n%20de%20anal&#237;ticos\Series%20para%20analiticos_nive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ANTIAGO\Desktop\INEGI\08%20agosto\Presentaci&#243;n%20de%20anal&#237;ticos\Series%20para%20analiticos_nive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ANTIAGO\Desktop\INEGI\08%20agosto\Presentaci&#243;n%20de%20anal&#237;ticos\Series%20para%20analiticos_nivele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840" b="0" i="0" u="none" strike="noStrike" kern="1200" cap="none" spc="20" baseline="0">
                <a:solidFill>
                  <a:sysClr val="windowText" lastClr="000000"/>
                </a:solidFill>
                <a:latin typeface="+mn-lt"/>
                <a:ea typeface="+mn-ea"/>
                <a:cs typeface="+mn-cs"/>
              </a:defRPr>
            </a:pPr>
            <a:r>
              <a:rPr lang="es-MX" b="1"/>
              <a:t>S.1- Economía interna </a:t>
            </a:r>
          </a:p>
          <a:p>
            <a:pPr algn="ctr" rtl="0">
              <a:defRPr/>
            </a:pPr>
            <a:r>
              <a:rPr lang="es-MX" sz="600"/>
              <a:t> (Miles de millones de pesos)</a:t>
            </a:r>
          </a:p>
        </c:rich>
      </c:tx>
      <c:layout>
        <c:manualLayout>
          <c:xMode val="edge"/>
          <c:yMode val="edge"/>
          <c:x val="0.29427585250473826"/>
          <c:y val="0"/>
        </c:manualLayout>
      </c:layout>
      <c:overlay val="0"/>
      <c:spPr>
        <a:noFill/>
        <a:ln>
          <a:noFill/>
        </a:ln>
        <a:effectLst/>
      </c:spPr>
      <c:txPr>
        <a:bodyPr rot="0" spcFirstLastPara="1" vertOverflow="ellipsis" vert="horz" wrap="square" anchor="ctr" anchorCtr="1"/>
        <a:lstStyle/>
        <a:p>
          <a:pPr algn="ctr" rtl="0">
            <a:defRPr sz="84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3697974632994472"/>
          <c:y val="0.19867132867132864"/>
          <c:w val="0.83760775768519569"/>
          <c:h val="0.51562295351630505"/>
        </c:manualLayout>
      </c:layout>
      <c:lineChart>
        <c:grouping val="standard"/>
        <c:varyColors val="0"/>
        <c:ser>
          <c:idx val="0"/>
          <c:order val="0"/>
          <c:spPr>
            <a:ln w="28575" cap="rnd" cmpd="sng" algn="ctr">
              <a:solidFill>
                <a:srgbClr val="002060"/>
              </a:solidFill>
              <a:round/>
            </a:ln>
            <a:effectLst/>
          </c:spPr>
          <c:marker>
            <c:symbol val="none"/>
          </c:marker>
          <c:cat>
            <c:strRef>
              <c:f>B.1b!$B$7:$B$55</c:f>
              <c:strCache>
                <c:ptCount val="49"/>
                <c:pt idx="0">
                  <c:v>2008-I</c:v>
                </c:pt>
                <c:pt idx="1">
                  <c:v>2008-II</c:v>
                </c:pt>
                <c:pt idx="2">
                  <c:v>2008-III</c:v>
                </c:pt>
                <c:pt idx="3">
                  <c:v>2008-IV</c:v>
                </c:pt>
                <c:pt idx="4">
                  <c:v>2009-I</c:v>
                </c:pt>
                <c:pt idx="5">
                  <c:v>2009-II</c:v>
                </c:pt>
                <c:pt idx="6">
                  <c:v>2009-III</c:v>
                </c:pt>
                <c:pt idx="7">
                  <c:v>2009-IV</c:v>
                </c:pt>
                <c:pt idx="8">
                  <c:v>2010-I</c:v>
                </c:pt>
                <c:pt idx="9">
                  <c:v>2010-II</c:v>
                </c:pt>
                <c:pt idx="10">
                  <c:v>2010-III</c:v>
                </c:pt>
                <c:pt idx="11">
                  <c:v>2010-IV</c:v>
                </c:pt>
                <c:pt idx="12">
                  <c:v>2011-I</c:v>
                </c:pt>
                <c:pt idx="13">
                  <c:v>2011-II</c:v>
                </c:pt>
                <c:pt idx="14">
                  <c:v>2011-III</c:v>
                </c:pt>
                <c:pt idx="15">
                  <c:v>2011-IV</c:v>
                </c:pt>
                <c:pt idx="16">
                  <c:v>2012-I</c:v>
                </c:pt>
                <c:pt idx="17">
                  <c:v>2012-II</c:v>
                </c:pt>
                <c:pt idx="18">
                  <c:v>2012-III</c:v>
                </c:pt>
                <c:pt idx="19">
                  <c:v>2012-IV</c:v>
                </c:pt>
                <c:pt idx="20">
                  <c:v>2013-I</c:v>
                </c:pt>
                <c:pt idx="21">
                  <c:v>2013-II</c:v>
                </c:pt>
                <c:pt idx="22">
                  <c:v>2013-III</c:v>
                </c:pt>
                <c:pt idx="23">
                  <c:v>2013-IV</c:v>
                </c:pt>
                <c:pt idx="24">
                  <c:v>2014-I</c:v>
                </c:pt>
                <c:pt idx="25">
                  <c:v>2014-II</c:v>
                </c:pt>
                <c:pt idx="26">
                  <c:v>2014-III</c:v>
                </c:pt>
                <c:pt idx="27">
                  <c:v>2014-IV</c:v>
                </c:pt>
                <c:pt idx="28">
                  <c:v>2015-I</c:v>
                </c:pt>
                <c:pt idx="29">
                  <c:v>2015-II</c:v>
                </c:pt>
                <c:pt idx="30">
                  <c:v>2015-III</c:v>
                </c:pt>
                <c:pt idx="31">
                  <c:v>2015-IV</c:v>
                </c:pt>
                <c:pt idx="32">
                  <c:v>2016-I</c:v>
                </c:pt>
                <c:pt idx="33">
                  <c:v>2016-II</c:v>
                </c:pt>
                <c:pt idx="34">
                  <c:v>2016-III</c:v>
                </c:pt>
                <c:pt idx="35">
                  <c:v>2016-IV</c:v>
                </c:pt>
                <c:pt idx="36">
                  <c:v>2017-I</c:v>
                </c:pt>
                <c:pt idx="37">
                  <c:v>2017-II</c:v>
                </c:pt>
                <c:pt idx="38">
                  <c:v>2017-III</c:v>
                </c:pt>
                <c:pt idx="39">
                  <c:v>2017-IV</c:v>
                </c:pt>
                <c:pt idx="40">
                  <c:v>2018-I</c:v>
                </c:pt>
                <c:pt idx="41">
                  <c:v>2018-II</c:v>
                </c:pt>
                <c:pt idx="42">
                  <c:v>2018-III</c:v>
                </c:pt>
                <c:pt idx="43">
                  <c:v>2018-IV</c:v>
                </c:pt>
                <c:pt idx="44">
                  <c:v>2019-I</c:v>
                </c:pt>
                <c:pt idx="45">
                  <c:v>2019-II</c:v>
                </c:pt>
                <c:pt idx="46">
                  <c:v>2019-III</c:v>
                </c:pt>
                <c:pt idx="47">
                  <c:v>2019-IV</c:v>
                </c:pt>
                <c:pt idx="48">
                  <c:v>2020-I</c:v>
                </c:pt>
              </c:strCache>
            </c:strRef>
          </c:cat>
          <c:val>
            <c:numRef>
              <c:f>B.1b!$H$7:$H$55</c:f>
              <c:numCache>
                <c:formatCode>_-* #,##0_-;\-* #,##0_-;_-* "-"??_-;_-@_-</c:formatCode>
                <c:ptCount val="49"/>
                <c:pt idx="0">
                  <c:v>2945526.261895617</c:v>
                </c:pt>
                <c:pt idx="1">
                  <c:v>3180256.805492512</c:v>
                </c:pt>
                <c:pt idx="2">
                  <c:v>3121191.5254536835</c:v>
                </c:pt>
                <c:pt idx="3">
                  <c:v>3106870.6879081875</c:v>
                </c:pt>
                <c:pt idx="4">
                  <c:v>2913744.8997855624</c:v>
                </c:pt>
                <c:pt idx="5">
                  <c:v>2985588.5460998127</c:v>
                </c:pt>
                <c:pt idx="6">
                  <c:v>3049455.2329292204</c:v>
                </c:pt>
                <c:pt idx="7">
                  <c:v>3213974.1669354178</c:v>
                </c:pt>
                <c:pt idx="8">
                  <c:v>3195804.8407460623</c:v>
                </c:pt>
                <c:pt idx="9">
                  <c:v>3320578.0386256482</c:v>
                </c:pt>
                <c:pt idx="10">
                  <c:v>3336502.7597475317</c:v>
                </c:pt>
                <c:pt idx="11">
                  <c:v>3513491.5318807578</c:v>
                </c:pt>
                <c:pt idx="12">
                  <c:v>3477393.9931379436</c:v>
                </c:pt>
                <c:pt idx="13">
                  <c:v>3593965.8764753081</c:v>
                </c:pt>
                <c:pt idx="14">
                  <c:v>3660431.4424128882</c:v>
                </c:pt>
                <c:pt idx="15">
                  <c:v>3933785.1599738444</c:v>
                </c:pt>
                <c:pt idx="16">
                  <c:v>3853221.4857592364</c:v>
                </c:pt>
                <c:pt idx="17">
                  <c:v>3927786.9945151815</c:v>
                </c:pt>
                <c:pt idx="18">
                  <c:v>3942688.6149556641</c:v>
                </c:pt>
                <c:pt idx="19">
                  <c:v>4094057.4887699555</c:v>
                </c:pt>
                <c:pt idx="20">
                  <c:v>3942042.1040382874</c:v>
                </c:pt>
                <c:pt idx="21">
                  <c:v>4049578.5947388653</c:v>
                </c:pt>
                <c:pt idx="22">
                  <c:v>4050896.4175742227</c:v>
                </c:pt>
                <c:pt idx="23">
                  <c:v>4234669.9616486337</c:v>
                </c:pt>
                <c:pt idx="24">
                  <c:v>4192610.3105467581</c:v>
                </c:pt>
                <c:pt idx="25">
                  <c:v>4356966.497237891</c:v>
                </c:pt>
                <c:pt idx="26">
                  <c:v>4365217.8245185111</c:v>
                </c:pt>
                <c:pt idx="27">
                  <c:v>4569510.9749468388</c:v>
                </c:pt>
                <c:pt idx="28">
                  <c:v>4444838.3199729612</c:v>
                </c:pt>
                <c:pt idx="29">
                  <c:v>4625367.873872051</c:v>
                </c:pt>
                <c:pt idx="30">
                  <c:v>4672540.7319960529</c:v>
                </c:pt>
                <c:pt idx="31">
                  <c:v>4829362.4891589452</c:v>
                </c:pt>
                <c:pt idx="32">
                  <c:v>4743602.5134594031</c:v>
                </c:pt>
                <c:pt idx="33">
                  <c:v>4996519.8037539674</c:v>
                </c:pt>
                <c:pt idx="34">
                  <c:v>5040743.2157256044</c:v>
                </c:pt>
                <c:pt idx="35">
                  <c:v>5348191.8380610086</c:v>
                </c:pt>
                <c:pt idx="36">
                  <c:v>5329048.6096877819</c:v>
                </c:pt>
                <c:pt idx="37">
                  <c:v>5451269.6545646004</c:v>
                </c:pt>
                <c:pt idx="38">
                  <c:v>5431530.1556969713</c:v>
                </c:pt>
                <c:pt idx="39">
                  <c:v>5722319.1520506153</c:v>
                </c:pt>
                <c:pt idx="40">
                  <c:v>5676691.5075145941</c:v>
                </c:pt>
                <c:pt idx="41">
                  <c:v>5920071.0092120115</c:v>
                </c:pt>
                <c:pt idx="42">
                  <c:v>5847819.8956572805</c:v>
                </c:pt>
                <c:pt idx="43">
                  <c:v>6079927.2263661176</c:v>
                </c:pt>
                <c:pt idx="44">
                  <c:v>5987389.6424893159</c:v>
                </c:pt>
                <c:pt idx="45">
                  <c:v>6079273.2887971038</c:v>
                </c:pt>
                <c:pt idx="46">
                  <c:v>6003299.3030590275</c:v>
                </c:pt>
                <c:pt idx="47">
                  <c:v>6167657.7345988788</c:v>
                </c:pt>
                <c:pt idx="48">
                  <c:v>6083382.8718737904</c:v>
                </c:pt>
              </c:numCache>
            </c:numRef>
          </c:val>
          <c:smooth val="0"/>
          <c:extLst>
            <c:ext xmlns:c16="http://schemas.microsoft.com/office/drawing/2014/chart" uri="{C3380CC4-5D6E-409C-BE32-E72D297353CC}">
              <c16:uniqueId val="{00000000-5B4B-4A18-8D9E-AA8081BE3C7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54076111"/>
        <c:axId val="1654074863"/>
      </c:lineChart>
      <c:catAx>
        <c:axId val="165407611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654074863"/>
        <c:crosses val="autoZero"/>
        <c:auto val="1"/>
        <c:lblAlgn val="ctr"/>
        <c:lblOffset val="100"/>
        <c:noMultiLvlLbl val="0"/>
      </c:catAx>
      <c:valAx>
        <c:axId val="1654074863"/>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654076111"/>
        <c:crosses val="autoZero"/>
        <c:crossBetween val="between"/>
        <c:dispUnits>
          <c:builtInUnit val="thousands"/>
          <c:dispUnitsLbl>
            <c:spPr>
              <a:noFill/>
              <a:ln>
                <a:noFill/>
              </a:ln>
              <a:effectLst/>
            </c:spPr>
            <c:txPr>
              <a:bodyPr rot="-5400000" spcFirstLastPara="1" vertOverflow="ellipsis" vert="horz" wrap="square" anchor="ctr" anchorCtr="1"/>
              <a:lstStyle/>
              <a:p>
                <a:pPr>
                  <a:defRPr sz="700" b="0" i="0" u="none" strike="noStrike" kern="1200" cap="all" baseline="0">
                    <a:solidFill>
                      <a:sysClr val="windowText" lastClr="000000"/>
                    </a:solidFill>
                    <a:latin typeface="+mn-lt"/>
                    <a:ea typeface="+mn-ea"/>
                    <a:cs typeface="+mn-cs"/>
                  </a:defRPr>
                </a:pPr>
                <a:endParaRPr lang="es-MX"/>
              </a:p>
            </c:txPr>
          </c:dispUnitsLbl>
        </c:dispUnits>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r>
              <a:rPr lang="es-MX" b="1"/>
              <a:t>S.11 - Sociedades no financieras</a:t>
            </a:r>
          </a:p>
          <a:p>
            <a:pPr>
              <a:defRPr/>
            </a:pPr>
            <a:r>
              <a:rPr lang="es-MX" sz="600"/>
              <a:t>(Miles de millones de pesos)</a:t>
            </a:r>
          </a:p>
        </c:rich>
      </c:tx>
      <c:layout>
        <c:manualLayout>
          <c:xMode val="edge"/>
          <c:yMode val="edge"/>
          <c:x val="0.19791612046289142"/>
          <c:y val="0"/>
        </c:manualLayout>
      </c:layout>
      <c:overlay val="0"/>
      <c:spPr>
        <a:noFill/>
        <a:ln>
          <a:noFill/>
        </a:ln>
        <a:effectLst/>
      </c:spPr>
      <c:txPr>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4183402929099131"/>
          <c:y val="0.21623325453112682"/>
          <c:w val="0.83715146411549712"/>
          <c:h val="0.52008091187183159"/>
        </c:manualLayout>
      </c:layout>
      <c:lineChart>
        <c:grouping val="standard"/>
        <c:varyColors val="0"/>
        <c:ser>
          <c:idx val="0"/>
          <c:order val="0"/>
          <c:spPr>
            <a:ln w="28575" cap="rnd" cmpd="sng" algn="ctr">
              <a:solidFill>
                <a:schemeClr val="accent1"/>
              </a:solidFill>
              <a:round/>
            </a:ln>
            <a:effectLst/>
          </c:spPr>
          <c:marker>
            <c:symbol val="none"/>
          </c:marker>
          <c:cat>
            <c:strRef>
              <c:f>B.1b!$B$7:$B$55</c:f>
              <c:strCache>
                <c:ptCount val="49"/>
                <c:pt idx="0">
                  <c:v>2008-I</c:v>
                </c:pt>
                <c:pt idx="1">
                  <c:v>2008-II</c:v>
                </c:pt>
                <c:pt idx="2">
                  <c:v>2008-III</c:v>
                </c:pt>
                <c:pt idx="3">
                  <c:v>2008-IV</c:v>
                </c:pt>
                <c:pt idx="4">
                  <c:v>2009-I</c:v>
                </c:pt>
                <c:pt idx="5">
                  <c:v>2009-II</c:v>
                </c:pt>
                <c:pt idx="6">
                  <c:v>2009-III</c:v>
                </c:pt>
                <c:pt idx="7">
                  <c:v>2009-IV</c:v>
                </c:pt>
                <c:pt idx="8">
                  <c:v>2010-I</c:v>
                </c:pt>
                <c:pt idx="9">
                  <c:v>2010-II</c:v>
                </c:pt>
                <c:pt idx="10">
                  <c:v>2010-III</c:v>
                </c:pt>
                <c:pt idx="11">
                  <c:v>2010-IV</c:v>
                </c:pt>
                <c:pt idx="12">
                  <c:v>2011-I</c:v>
                </c:pt>
                <c:pt idx="13">
                  <c:v>2011-II</c:v>
                </c:pt>
                <c:pt idx="14">
                  <c:v>2011-III</c:v>
                </c:pt>
                <c:pt idx="15">
                  <c:v>2011-IV</c:v>
                </c:pt>
                <c:pt idx="16">
                  <c:v>2012-I</c:v>
                </c:pt>
                <c:pt idx="17">
                  <c:v>2012-II</c:v>
                </c:pt>
                <c:pt idx="18">
                  <c:v>2012-III</c:v>
                </c:pt>
                <c:pt idx="19">
                  <c:v>2012-IV</c:v>
                </c:pt>
                <c:pt idx="20">
                  <c:v>2013-I</c:v>
                </c:pt>
                <c:pt idx="21">
                  <c:v>2013-II</c:v>
                </c:pt>
                <c:pt idx="22">
                  <c:v>2013-III</c:v>
                </c:pt>
                <c:pt idx="23">
                  <c:v>2013-IV</c:v>
                </c:pt>
                <c:pt idx="24">
                  <c:v>2014-I</c:v>
                </c:pt>
                <c:pt idx="25">
                  <c:v>2014-II</c:v>
                </c:pt>
                <c:pt idx="26">
                  <c:v>2014-III</c:v>
                </c:pt>
                <c:pt idx="27">
                  <c:v>2014-IV</c:v>
                </c:pt>
                <c:pt idx="28">
                  <c:v>2015-I</c:v>
                </c:pt>
                <c:pt idx="29">
                  <c:v>2015-II</c:v>
                </c:pt>
                <c:pt idx="30">
                  <c:v>2015-III</c:v>
                </c:pt>
                <c:pt idx="31">
                  <c:v>2015-IV</c:v>
                </c:pt>
                <c:pt idx="32">
                  <c:v>2016-I</c:v>
                </c:pt>
                <c:pt idx="33">
                  <c:v>2016-II</c:v>
                </c:pt>
                <c:pt idx="34">
                  <c:v>2016-III</c:v>
                </c:pt>
                <c:pt idx="35">
                  <c:v>2016-IV</c:v>
                </c:pt>
                <c:pt idx="36">
                  <c:v>2017-I</c:v>
                </c:pt>
                <c:pt idx="37">
                  <c:v>2017-II</c:v>
                </c:pt>
                <c:pt idx="38">
                  <c:v>2017-III</c:v>
                </c:pt>
                <c:pt idx="39">
                  <c:v>2017-IV</c:v>
                </c:pt>
                <c:pt idx="40">
                  <c:v>2018-I</c:v>
                </c:pt>
                <c:pt idx="41">
                  <c:v>2018-II</c:v>
                </c:pt>
                <c:pt idx="42">
                  <c:v>2018-III</c:v>
                </c:pt>
                <c:pt idx="43">
                  <c:v>2018-IV</c:v>
                </c:pt>
                <c:pt idx="44">
                  <c:v>2019-I</c:v>
                </c:pt>
                <c:pt idx="45">
                  <c:v>2019-II</c:v>
                </c:pt>
                <c:pt idx="46">
                  <c:v>2019-III</c:v>
                </c:pt>
                <c:pt idx="47">
                  <c:v>2019-IV</c:v>
                </c:pt>
                <c:pt idx="48">
                  <c:v>2020-I</c:v>
                </c:pt>
              </c:strCache>
            </c:strRef>
          </c:cat>
          <c:val>
            <c:numRef>
              <c:f>B.1b!$C$7:$C$55</c:f>
              <c:numCache>
                <c:formatCode>_-* #,##0_-;\-* #,##0_-;_-* "-"??_-;_-@_-</c:formatCode>
                <c:ptCount val="49"/>
                <c:pt idx="0">
                  <c:v>1412636.7043432517</c:v>
                </c:pt>
                <c:pt idx="1">
                  <c:v>1654946.7749264196</c:v>
                </c:pt>
                <c:pt idx="2">
                  <c:v>1612088.1554465431</c:v>
                </c:pt>
                <c:pt idx="3">
                  <c:v>1545849.5092837827</c:v>
                </c:pt>
                <c:pt idx="4">
                  <c:v>1250853.2381453016</c:v>
                </c:pt>
                <c:pt idx="5">
                  <c:v>1300698.517511925</c:v>
                </c:pt>
                <c:pt idx="6">
                  <c:v>1359939.7484001438</c:v>
                </c:pt>
                <c:pt idx="7">
                  <c:v>1449899.3749426431</c:v>
                </c:pt>
                <c:pt idx="8">
                  <c:v>1404158.30740097</c:v>
                </c:pt>
                <c:pt idx="9">
                  <c:v>1496836.9611934449</c:v>
                </c:pt>
                <c:pt idx="10">
                  <c:v>1491985.9856894205</c:v>
                </c:pt>
                <c:pt idx="11">
                  <c:v>1649299.7997161625</c:v>
                </c:pt>
                <c:pt idx="12">
                  <c:v>1562494.0016244594</c:v>
                </c:pt>
                <c:pt idx="13">
                  <c:v>1702329.1925102361</c:v>
                </c:pt>
                <c:pt idx="14">
                  <c:v>1764685.4297156436</c:v>
                </c:pt>
                <c:pt idx="15">
                  <c:v>1898220.9031496444</c:v>
                </c:pt>
                <c:pt idx="16">
                  <c:v>1865118.1484565155</c:v>
                </c:pt>
                <c:pt idx="17">
                  <c:v>1942649.5611557905</c:v>
                </c:pt>
                <c:pt idx="18">
                  <c:v>1907246.6126130675</c:v>
                </c:pt>
                <c:pt idx="19">
                  <c:v>2044613.8967746627</c:v>
                </c:pt>
                <c:pt idx="20">
                  <c:v>1826311.0591558039</c:v>
                </c:pt>
                <c:pt idx="21">
                  <c:v>1944177.1279408154</c:v>
                </c:pt>
                <c:pt idx="22">
                  <c:v>1916270.1307609282</c:v>
                </c:pt>
                <c:pt idx="23">
                  <c:v>1977772.7791424613</c:v>
                </c:pt>
                <c:pt idx="24">
                  <c:v>1917092.9260524814</c:v>
                </c:pt>
                <c:pt idx="25">
                  <c:v>2067380.4723363998</c:v>
                </c:pt>
                <c:pt idx="26">
                  <c:v>2063127.8053802275</c:v>
                </c:pt>
                <c:pt idx="27">
                  <c:v>2142331.7512308904</c:v>
                </c:pt>
                <c:pt idx="28">
                  <c:v>1998647.8693839284</c:v>
                </c:pt>
                <c:pt idx="29">
                  <c:v>2174738.4482496595</c:v>
                </c:pt>
                <c:pt idx="30">
                  <c:v>2182882.3920915909</c:v>
                </c:pt>
                <c:pt idx="31">
                  <c:v>2216304.5882748347</c:v>
                </c:pt>
                <c:pt idx="32">
                  <c:v>2116812.4892592942</c:v>
                </c:pt>
                <c:pt idx="33">
                  <c:v>2313115.1389935515</c:v>
                </c:pt>
                <c:pt idx="34">
                  <c:v>2319561.8885090989</c:v>
                </c:pt>
                <c:pt idx="35">
                  <c:v>2534296.4382380508</c:v>
                </c:pt>
                <c:pt idx="36">
                  <c:v>2524835.9707691283</c:v>
                </c:pt>
                <c:pt idx="37">
                  <c:v>2602762.2103673555</c:v>
                </c:pt>
                <c:pt idx="38">
                  <c:v>2562066.0748188086</c:v>
                </c:pt>
                <c:pt idx="39">
                  <c:v>2781463.7820446794</c:v>
                </c:pt>
                <c:pt idx="40">
                  <c:v>2632545.0181175647</c:v>
                </c:pt>
                <c:pt idx="41">
                  <c:v>2865838.5584023409</c:v>
                </c:pt>
                <c:pt idx="42">
                  <c:v>2786607.3755560666</c:v>
                </c:pt>
                <c:pt idx="43">
                  <c:v>2922494.685924036</c:v>
                </c:pt>
                <c:pt idx="44">
                  <c:v>2756079.4035232593</c:v>
                </c:pt>
                <c:pt idx="45">
                  <c:v>2854824.1778701586</c:v>
                </c:pt>
                <c:pt idx="46">
                  <c:v>2784605.5014096475</c:v>
                </c:pt>
                <c:pt idx="47">
                  <c:v>2877436.9198768511</c:v>
                </c:pt>
                <c:pt idx="48">
                  <c:v>2711705.9587251749</c:v>
                </c:pt>
              </c:numCache>
            </c:numRef>
          </c:val>
          <c:smooth val="0"/>
          <c:extLst>
            <c:ext xmlns:c16="http://schemas.microsoft.com/office/drawing/2014/chart" uri="{C3380CC4-5D6E-409C-BE32-E72D297353CC}">
              <c16:uniqueId val="{00000000-6321-4EB9-A751-152B49FB17B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66571583"/>
        <c:axId val="1566582399"/>
      </c:lineChart>
      <c:catAx>
        <c:axId val="156657158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82399"/>
        <c:crosses val="autoZero"/>
        <c:auto val="1"/>
        <c:lblAlgn val="ctr"/>
        <c:lblOffset val="100"/>
        <c:noMultiLvlLbl val="0"/>
      </c:catAx>
      <c:valAx>
        <c:axId val="1566582399"/>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71583"/>
        <c:crosses val="autoZero"/>
        <c:crossBetween val="between"/>
        <c:dispUnits>
          <c:builtInUnit val="thousands"/>
          <c:dispUnitsLbl>
            <c:spPr>
              <a:noFill/>
              <a:ln>
                <a:noFill/>
              </a:ln>
              <a:effectLst/>
            </c:spPr>
            <c:txPr>
              <a:bodyPr rot="-5400000" spcFirstLastPara="1" vertOverflow="ellipsis" vert="horz" wrap="square" anchor="ctr" anchorCtr="1"/>
              <a:lstStyle/>
              <a:p>
                <a:pPr>
                  <a:defRPr sz="700" b="0" i="0" u="none" strike="noStrike" kern="1200" cap="all" baseline="0">
                    <a:solidFill>
                      <a:sysClr val="windowText" lastClr="000000"/>
                    </a:solidFill>
                    <a:latin typeface="+mn-lt"/>
                    <a:ea typeface="+mn-ea"/>
                    <a:cs typeface="+mn-cs"/>
                  </a:defRPr>
                </a:pPr>
                <a:endParaRPr lang="es-MX"/>
              </a:p>
            </c:txPr>
          </c:dispUnitsLbl>
        </c:dispUnits>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r>
              <a:rPr lang="es-MX" b="1"/>
              <a:t>S.12 - Sociedades financieras</a:t>
            </a:r>
          </a:p>
          <a:p>
            <a:pPr>
              <a:defRPr/>
            </a:pPr>
            <a:r>
              <a:rPr lang="es-MX" sz="600"/>
              <a:t>(Millones de pesos)</a:t>
            </a:r>
          </a:p>
        </c:rich>
      </c:tx>
      <c:layout>
        <c:manualLayout>
          <c:xMode val="edge"/>
          <c:yMode val="edge"/>
          <c:x val="0.2572655375079218"/>
          <c:y val="0"/>
        </c:manualLayout>
      </c:layout>
      <c:overlay val="0"/>
      <c:spPr>
        <a:noFill/>
        <a:ln>
          <a:noFill/>
        </a:ln>
        <a:effectLst/>
      </c:spPr>
      <c:txPr>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5882766583614755"/>
          <c:y val="0.20890464933018124"/>
          <c:w val="0.81912161751556123"/>
          <c:h val="0.55923319868704358"/>
        </c:manualLayout>
      </c:layout>
      <c:lineChart>
        <c:grouping val="standard"/>
        <c:varyColors val="0"/>
        <c:ser>
          <c:idx val="0"/>
          <c:order val="0"/>
          <c:spPr>
            <a:ln w="28575" cap="rnd" cmpd="sng" algn="ctr">
              <a:solidFill>
                <a:schemeClr val="accent1"/>
              </a:solidFill>
              <a:round/>
            </a:ln>
            <a:effectLst/>
          </c:spPr>
          <c:marker>
            <c:symbol val="none"/>
          </c:marker>
          <c:cat>
            <c:strRef>
              <c:f>B.1b!$B$7:$B$55</c:f>
              <c:strCache>
                <c:ptCount val="49"/>
                <c:pt idx="0">
                  <c:v>2008-I</c:v>
                </c:pt>
                <c:pt idx="1">
                  <c:v>2008-II</c:v>
                </c:pt>
                <c:pt idx="2">
                  <c:v>2008-III</c:v>
                </c:pt>
                <c:pt idx="3">
                  <c:v>2008-IV</c:v>
                </c:pt>
                <c:pt idx="4">
                  <c:v>2009-I</c:v>
                </c:pt>
                <c:pt idx="5">
                  <c:v>2009-II</c:v>
                </c:pt>
                <c:pt idx="6">
                  <c:v>2009-III</c:v>
                </c:pt>
                <c:pt idx="7">
                  <c:v>2009-IV</c:v>
                </c:pt>
                <c:pt idx="8">
                  <c:v>2010-I</c:v>
                </c:pt>
                <c:pt idx="9">
                  <c:v>2010-II</c:v>
                </c:pt>
                <c:pt idx="10">
                  <c:v>2010-III</c:v>
                </c:pt>
                <c:pt idx="11">
                  <c:v>2010-IV</c:v>
                </c:pt>
                <c:pt idx="12">
                  <c:v>2011-I</c:v>
                </c:pt>
                <c:pt idx="13">
                  <c:v>2011-II</c:v>
                </c:pt>
                <c:pt idx="14">
                  <c:v>2011-III</c:v>
                </c:pt>
                <c:pt idx="15">
                  <c:v>2011-IV</c:v>
                </c:pt>
                <c:pt idx="16">
                  <c:v>2012-I</c:v>
                </c:pt>
                <c:pt idx="17">
                  <c:v>2012-II</c:v>
                </c:pt>
                <c:pt idx="18">
                  <c:v>2012-III</c:v>
                </c:pt>
                <c:pt idx="19">
                  <c:v>2012-IV</c:v>
                </c:pt>
                <c:pt idx="20">
                  <c:v>2013-I</c:v>
                </c:pt>
                <c:pt idx="21">
                  <c:v>2013-II</c:v>
                </c:pt>
                <c:pt idx="22">
                  <c:v>2013-III</c:v>
                </c:pt>
                <c:pt idx="23">
                  <c:v>2013-IV</c:v>
                </c:pt>
                <c:pt idx="24">
                  <c:v>2014-I</c:v>
                </c:pt>
                <c:pt idx="25">
                  <c:v>2014-II</c:v>
                </c:pt>
                <c:pt idx="26">
                  <c:v>2014-III</c:v>
                </c:pt>
                <c:pt idx="27">
                  <c:v>2014-IV</c:v>
                </c:pt>
                <c:pt idx="28">
                  <c:v>2015-I</c:v>
                </c:pt>
                <c:pt idx="29">
                  <c:v>2015-II</c:v>
                </c:pt>
                <c:pt idx="30">
                  <c:v>2015-III</c:v>
                </c:pt>
                <c:pt idx="31">
                  <c:v>2015-IV</c:v>
                </c:pt>
                <c:pt idx="32">
                  <c:v>2016-I</c:v>
                </c:pt>
                <c:pt idx="33">
                  <c:v>2016-II</c:v>
                </c:pt>
                <c:pt idx="34">
                  <c:v>2016-III</c:v>
                </c:pt>
                <c:pt idx="35">
                  <c:v>2016-IV</c:v>
                </c:pt>
                <c:pt idx="36">
                  <c:v>2017-I</c:v>
                </c:pt>
                <c:pt idx="37">
                  <c:v>2017-II</c:v>
                </c:pt>
                <c:pt idx="38">
                  <c:v>2017-III</c:v>
                </c:pt>
                <c:pt idx="39">
                  <c:v>2017-IV</c:v>
                </c:pt>
                <c:pt idx="40">
                  <c:v>2018-I</c:v>
                </c:pt>
                <c:pt idx="41">
                  <c:v>2018-II</c:v>
                </c:pt>
                <c:pt idx="42">
                  <c:v>2018-III</c:v>
                </c:pt>
                <c:pt idx="43">
                  <c:v>2018-IV</c:v>
                </c:pt>
                <c:pt idx="44">
                  <c:v>2019-I</c:v>
                </c:pt>
                <c:pt idx="45">
                  <c:v>2019-II</c:v>
                </c:pt>
                <c:pt idx="46">
                  <c:v>2019-III</c:v>
                </c:pt>
                <c:pt idx="47">
                  <c:v>2019-IV</c:v>
                </c:pt>
                <c:pt idx="48">
                  <c:v>2020-I</c:v>
                </c:pt>
              </c:strCache>
            </c:strRef>
          </c:cat>
          <c:val>
            <c:numRef>
              <c:f>B.1b!$D$7:$D$55</c:f>
              <c:numCache>
                <c:formatCode>_-* #,##0_-;\-* #,##0_-;_-* "-"??_-;_-@_-</c:formatCode>
                <c:ptCount val="49"/>
                <c:pt idx="0">
                  <c:v>96791.639006212208</c:v>
                </c:pt>
                <c:pt idx="1">
                  <c:v>104128.16358038165</c:v>
                </c:pt>
                <c:pt idx="2">
                  <c:v>104421.0357062329</c:v>
                </c:pt>
                <c:pt idx="3">
                  <c:v>95321.817707173323</c:v>
                </c:pt>
                <c:pt idx="4">
                  <c:v>100826.11419138059</c:v>
                </c:pt>
                <c:pt idx="5">
                  <c:v>103703.12660649081</c:v>
                </c:pt>
                <c:pt idx="6">
                  <c:v>108866.02160726205</c:v>
                </c:pt>
                <c:pt idx="7">
                  <c:v>104516.81259486664</c:v>
                </c:pt>
                <c:pt idx="8">
                  <c:v>105455.29595657042</c:v>
                </c:pt>
                <c:pt idx="9">
                  <c:v>106509.33467217229</c:v>
                </c:pt>
                <c:pt idx="10">
                  <c:v>103419.22039980532</c:v>
                </c:pt>
                <c:pt idx="11">
                  <c:v>111584.59997145185</c:v>
                </c:pt>
                <c:pt idx="12">
                  <c:v>109473.07985986429</c:v>
                </c:pt>
                <c:pt idx="13">
                  <c:v>108415.41140153285</c:v>
                </c:pt>
                <c:pt idx="14">
                  <c:v>111284.61111270502</c:v>
                </c:pt>
                <c:pt idx="15">
                  <c:v>122459.15162589772</c:v>
                </c:pt>
                <c:pt idx="16">
                  <c:v>116995.51835513662</c:v>
                </c:pt>
                <c:pt idx="17">
                  <c:v>111702.06934430322</c:v>
                </c:pt>
                <c:pt idx="18">
                  <c:v>115863.16623267491</c:v>
                </c:pt>
                <c:pt idx="19">
                  <c:v>125848.40606788539</c:v>
                </c:pt>
                <c:pt idx="20">
                  <c:v>129434.50502012545</c:v>
                </c:pt>
                <c:pt idx="21">
                  <c:v>136673.58675846312</c:v>
                </c:pt>
                <c:pt idx="22">
                  <c:v>137258.48902359567</c:v>
                </c:pt>
                <c:pt idx="23">
                  <c:v>146514.40519781614</c:v>
                </c:pt>
                <c:pt idx="24">
                  <c:v>142724.25188656876</c:v>
                </c:pt>
                <c:pt idx="25">
                  <c:v>141139.24238634238</c:v>
                </c:pt>
                <c:pt idx="26">
                  <c:v>140273.08751719235</c:v>
                </c:pt>
                <c:pt idx="27">
                  <c:v>147359.63820989642</c:v>
                </c:pt>
                <c:pt idx="28">
                  <c:v>143855.07278270487</c:v>
                </c:pt>
                <c:pt idx="29">
                  <c:v>142709.67147510877</c:v>
                </c:pt>
                <c:pt idx="30">
                  <c:v>146857.03892376792</c:v>
                </c:pt>
                <c:pt idx="31">
                  <c:v>160422.86881841865</c:v>
                </c:pt>
                <c:pt idx="32">
                  <c:v>181994.09825152508</c:v>
                </c:pt>
                <c:pt idx="33">
                  <c:v>184940.93954968135</c:v>
                </c:pt>
                <c:pt idx="34">
                  <c:v>195455.21972617836</c:v>
                </c:pt>
                <c:pt idx="35">
                  <c:v>211056.11447261466</c:v>
                </c:pt>
                <c:pt idx="36">
                  <c:v>212799.7081581626</c:v>
                </c:pt>
                <c:pt idx="37">
                  <c:v>212500.76696307951</c:v>
                </c:pt>
                <c:pt idx="38">
                  <c:v>220266.85992728549</c:v>
                </c:pt>
                <c:pt idx="39">
                  <c:v>232025.34495147254</c:v>
                </c:pt>
                <c:pt idx="40">
                  <c:v>229980.82234804786</c:v>
                </c:pt>
                <c:pt idx="41">
                  <c:v>231853.59916884213</c:v>
                </c:pt>
                <c:pt idx="42">
                  <c:v>246575.99148929113</c:v>
                </c:pt>
                <c:pt idx="43">
                  <c:v>256022.83899381882</c:v>
                </c:pt>
                <c:pt idx="44">
                  <c:v>250393.41215435971</c:v>
                </c:pt>
                <c:pt idx="45">
                  <c:v>243327.63738027011</c:v>
                </c:pt>
                <c:pt idx="46">
                  <c:v>240720.25090684631</c:v>
                </c:pt>
                <c:pt idx="47">
                  <c:v>248223.54825783818</c:v>
                </c:pt>
                <c:pt idx="48">
                  <c:v>254890.64089649246</c:v>
                </c:pt>
              </c:numCache>
            </c:numRef>
          </c:val>
          <c:smooth val="0"/>
          <c:extLst>
            <c:ext xmlns:c16="http://schemas.microsoft.com/office/drawing/2014/chart" uri="{C3380CC4-5D6E-409C-BE32-E72D297353CC}">
              <c16:uniqueId val="{00000000-491B-43EC-9916-C02CD8EA863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66571583"/>
        <c:axId val="1566582399"/>
      </c:lineChart>
      <c:catAx>
        <c:axId val="156657158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82399"/>
        <c:crosses val="autoZero"/>
        <c:auto val="1"/>
        <c:lblAlgn val="ctr"/>
        <c:lblOffset val="100"/>
        <c:noMultiLvlLbl val="0"/>
      </c:catAx>
      <c:valAx>
        <c:axId val="1566582399"/>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71583"/>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r>
              <a:rPr lang="es-MX" b="1"/>
              <a:t>S.13 - Gobierno general</a:t>
            </a:r>
          </a:p>
          <a:p>
            <a:pPr>
              <a:defRPr/>
            </a:pPr>
            <a:r>
              <a:rPr lang="es-MX" sz="600"/>
              <a:t>(Millones de pesos)</a:t>
            </a:r>
          </a:p>
        </c:rich>
      </c:tx>
      <c:layout>
        <c:manualLayout>
          <c:xMode val="edge"/>
          <c:yMode val="edge"/>
          <c:x val="0.29932753995607214"/>
          <c:y val="0"/>
        </c:manualLayout>
      </c:layout>
      <c:overlay val="0"/>
      <c:spPr>
        <a:noFill/>
        <a:ln>
          <a:noFill/>
        </a:ln>
        <a:effectLst/>
      </c:spPr>
      <c:txPr>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5882766583614755"/>
          <c:y val="0.20890464933018124"/>
          <c:w val="0.81030133085624501"/>
          <c:h val="0.54347275739468737"/>
        </c:manualLayout>
      </c:layout>
      <c:lineChart>
        <c:grouping val="standard"/>
        <c:varyColors val="0"/>
        <c:ser>
          <c:idx val="0"/>
          <c:order val="0"/>
          <c:spPr>
            <a:ln w="28575" cap="rnd" cmpd="sng" algn="ctr">
              <a:solidFill>
                <a:schemeClr val="accent1"/>
              </a:solidFill>
              <a:round/>
            </a:ln>
            <a:effectLst/>
          </c:spPr>
          <c:marker>
            <c:symbol val="none"/>
          </c:marker>
          <c:cat>
            <c:strRef>
              <c:f>B.1b!$B$7:$B$55</c:f>
              <c:strCache>
                <c:ptCount val="49"/>
                <c:pt idx="0">
                  <c:v>2008-I</c:v>
                </c:pt>
                <c:pt idx="1">
                  <c:v>2008-II</c:v>
                </c:pt>
                <c:pt idx="2">
                  <c:v>2008-III</c:v>
                </c:pt>
                <c:pt idx="3">
                  <c:v>2008-IV</c:v>
                </c:pt>
                <c:pt idx="4">
                  <c:v>2009-I</c:v>
                </c:pt>
                <c:pt idx="5">
                  <c:v>2009-II</c:v>
                </c:pt>
                <c:pt idx="6">
                  <c:v>2009-III</c:v>
                </c:pt>
                <c:pt idx="7">
                  <c:v>2009-IV</c:v>
                </c:pt>
                <c:pt idx="8">
                  <c:v>2010-I</c:v>
                </c:pt>
                <c:pt idx="9">
                  <c:v>2010-II</c:v>
                </c:pt>
                <c:pt idx="10">
                  <c:v>2010-III</c:v>
                </c:pt>
                <c:pt idx="11">
                  <c:v>2010-IV</c:v>
                </c:pt>
                <c:pt idx="12">
                  <c:v>2011-I</c:v>
                </c:pt>
                <c:pt idx="13">
                  <c:v>2011-II</c:v>
                </c:pt>
                <c:pt idx="14">
                  <c:v>2011-III</c:v>
                </c:pt>
                <c:pt idx="15">
                  <c:v>2011-IV</c:v>
                </c:pt>
                <c:pt idx="16">
                  <c:v>2012-I</c:v>
                </c:pt>
                <c:pt idx="17">
                  <c:v>2012-II</c:v>
                </c:pt>
                <c:pt idx="18">
                  <c:v>2012-III</c:v>
                </c:pt>
                <c:pt idx="19">
                  <c:v>2012-IV</c:v>
                </c:pt>
                <c:pt idx="20">
                  <c:v>2013-I</c:v>
                </c:pt>
                <c:pt idx="21">
                  <c:v>2013-II</c:v>
                </c:pt>
                <c:pt idx="22">
                  <c:v>2013-III</c:v>
                </c:pt>
                <c:pt idx="23">
                  <c:v>2013-IV</c:v>
                </c:pt>
                <c:pt idx="24">
                  <c:v>2014-I</c:v>
                </c:pt>
                <c:pt idx="25">
                  <c:v>2014-II</c:v>
                </c:pt>
                <c:pt idx="26">
                  <c:v>2014-III</c:v>
                </c:pt>
                <c:pt idx="27">
                  <c:v>2014-IV</c:v>
                </c:pt>
                <c:pt idx="28">
                  <c:v>2015-I</c:v>
                </c:pt>
                <c:pt idx="29">
                  <c:v>2015-II</c:v>
                </c:pt>
                <c:pt idx="30">
                  <c:v>2015-III</c:v>
                </c:pt>
                <c:pt idx="31">
                  <c:v>2015-IV</c:v>
                </c:pt>
                <c:pt idx="32">
                  <c:v>2016-I</c:v>
                </c:pt>
                <c:pt idx="33">
                  <c:v>2016-II</c:v>
                </c:pt>
                <c:pt idx="34">
                  <c:v>2016-III</c:v>
                </c:pt>
                <c:pt idx="35">
                  <c:v>2016-IV</c:v>
                </c:pt>
                <c:pt idx="36">
                  <c:v>2017-I</c:v>
                </c:pt>
                <c:pt idx="37">
                  <c:v>2017-II</c:v>
                </c:pt>
                <c:pt idx="38">
                  <c:v>2017-III</c:v>
                </c:pt>
                <c:pt idx="39">
                  <c:v>2017-IV</c:v>
                </c:pt>
                <c:pt idx="40">
                  <c:v>2018-I</c:v>
                </c:pt>
                <c:pt idx="41">
                  <c:v>2018-II</c:v>
                </c:pt>
                <c:pt idx="42">
                  <c:v>2018-III</c:v>
                </c:pt>
                <c:pt idx="43">
                  <c:v>2018-IV</c:v>
                </c:pt>
                <c:pt idx="44">
                  <c:v>2019-I</c:v>
                </c:pt>
                <c:pt idx="45">
                  <c:v>2019-II</c:v>
                </c:pt>
                <c:pt idx="46">
                  <c:v>2019-III</c:v>
                </c:pt>
                <c:pt idx="47">
                  <c:v>2019-IV</c:v>
                </c:pt>
                <c:pt idx="48">
                  <c:v>2020-I</c:v>
                </c:pt>
              </c:strCache>
            </c:strRef>
          </c:cat>
          <c:val>
            <c:numRef>
              <c:f>B.1b!$E$7:$E$55</c:f>
              <c:numCache>
                <c:formatCode>_-* #,##0_-;\-* #,##0_-;_-* "-"??_-;_-@_-</c:formatCode>
                <c:ptCount val="49"/>
                <c:pt idx="0">
                  <c:v>245384.11512172894</c:v>
                </c:pt>
                <c:pt idx="1">
                  <c:v>247943.76971395023</c:v>
                </c:pt>
                <c:pt idx="2">
                  <c:v>225740.82044639753</c:v>
                </c:pt>
                <c:pt idx="3">
                  <c:v>302536.05071792303</c:v>
                </c:pt>
                <c:pt idx="4">
                  <c:v>256843.56330829227</c:v>
                </c:pt>
                <c:pt idx="5">
                  <c:v>271288.68122769077</c:v>
                </c:pt>
                <c:pt idx="6">
                  <c:v>253337.52693027296</c:v>
                </c:pt>
                <c:pt idx="7">
                  <c:v>332291.2165337443</c:v>
                </c:pt>
                <c:pt idx="8">
                  <c:v>284825.68909827218</c:v>
                </c:pt>
                <c:pt idx="9">
                  <c:v>281185.612589002</c:v>
                </c:pt>
                <c:pt idx="10">
                  <c:v>288309.22057621757</c:v>
                </c:pt>
                <c:pt idx="11">
                  <c:v>356080.27473650814</c:v>
                </c:pt>
                <c:pt idx="12">
                  <c:v>314161.86197220412</c:v>
                </c:pt>
                <c:pt idx="13">
                  <c:v>308274.4849812935</c:v>
                </c:pt>
                <c:pt idx="14">
                  <c:v>305003.16083479597</c:v>
                </c:pt>
                <c:pt idx="15">
                  <c:v>386531.33721170656</c:v>
                </c:pt>
                <c:pt idx="16">
                  <c:v>339495.81278255465</c:v>
                </c:pt>
                <c:pt idx="17">
                  <c:v>341215.15551112033</c:v>
                </c:pt>
                <c:pt idx="18">
                  <c:v>335522.2300729577</c:v>
                </c:pt>
                <c:pt idx="19">
                  <c:v>420094.59763336717</c:v>
                </c:pt>
                <c:pt idx="20">
                  <c:v>365046.80112123664</c:v>
                </c:pt>
                <c:pt idx="21">
                  <c:v>360208.02235415741</c:v>
                </c:pt>
                <c:pt idx="22">
                  <c:v>346574.49458227179</c:v>
                </c:pt>
                <c:pt idx="23">
                  <c:v>435015.60794233449</c:v>
                </c:pt>
                <c:pt idx="24">
                  <c:v>385236.60085029417</c:v>
                </c:pt>
                <c:pt idx="25">
                  <c:v>381070.36342498485</c:v>
                </c:pt>
                <c:pt idx="26">
                  <c:v>373536.05303224758</c:v>
                </c:pt>
                <c:pt idx="27">
                  <c:v>461634.43569247349</c:v>
                </c:pt>
                <c:pt idx="28">
                  <c:v>404491.52383223781</c:v>
                </c:pt>
                <c:pt idx="29">
                  <c:v>402082.83980098873</c:v>
                </c:pt>
                <c:pt idx="30">
                  <c:v>396969.65602389281</c:v>
                </c:pt>
                <c:pt idx="31">
                  <c:v>504554.31034288055</c:v>
                </c:pt>
                <c:pt idx="32">
                  <c:v>422835.62581784424</c:v>
                </c:pt>
                <c:pt idx="33">
                  <c:v>420556.17403341702</c:v>
                </c:pt>
                <c:pt idx="34">
                  <c:v>417329.65882023459</c:v>
                </c:pt>
                <c:pt idx="35">
                  <c:v>511854.9273285041</c:v>
                </c:pt>
                <c:pt idx="36">
                  <c:v>450895.96306866384</c:v>
                </c:pt>
                <c:pt idx="37">
                  <c:v>438081.44123958977</c:v>
                </c:pt>
                <c:pt idx="38">
                  <c:v>434137.64679642866</c:v>
                </c:pt>
                <c:pt idx="39">
                  <c:v>535732.55989531789</c:v>
                </c:pt>
                <c:pt idx="40">
                  <c:v>482995.46930216398</c:v>
                </c:pt>
                <c:pt idx="41">
                  <c:v>467987.367881793</c:v>
                </c:pt>
                <c:pt idx="42">
                  <c:v>462801.78381574439</c:v>
                </c:pt>
                <c:pt idx="43">
                  <c:v>552454.63600029855</c:v>
                </c:pt>
                <c:pt idx="44">
                  <c:v>489901.2649017704</c:v>
                </c:pt>
                <c:pt idx="45">
                  <c:v>464620.45824134198</c:v>
                </c:pt>
                <c:pt idx="46">
                  <c:v>483829.07755313406</c:v>
                </c:pt>
                <c:pt idx="47">
                  <c:v>547219.32386378606</c:v>
                </c:pt>
                <c:pt idx="48">
                  <c:v>486667.41314389661</c:v>
                </c:pt>
              </c:numCache>
            </c:numRef>
          </c:val>
          <c:smooth val="0"/>
          <c:extLst>
            <c:ext xmlns:c16="http://schemas.microsoft.com/office/drawing/2014/chart" uri="{C3380CC4-5D6E-409C-BE32-E72D297353CC}">
              <c16:uniqueId val="{00000000-D1BC-4E2A-AE31-C841B055CA6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66571583"/>
        <c:axId val="1566582399"/>
      </c:lineChart>
      <c:catAx>
        <c:axId val="156657158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82399"/>
        <c:crosses val="autoZero"/>
        <c:auto val="1"/>
        <c:lblAlgn val="ctr"/>
        <c:lblOffset val="100"/>
        <c:noMultiLvlLbl val="0"/>
      </c:catAx>
      <c:valAx>
        <c:axId val="1566582399"/>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71583"/>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r>
              <a:rPr lang="es-MX" b="1"/>
              <a:t>S.14 - Hogares</a:t>
            </a:r>
          </a:p>
          <a:p>
            <a:pPr>
              <a:defRPr/>
            </a:pPr>
            <a:r>
              <a:rPr lang="es-MX" sz="600"/>
              <a:t>(Miles de millones de pesos)</a:t>
            </a:r>
          </a:p>
        </c:rich>
      </c:tx>
      <c:layout>
        <c:manualLayout>
          <c:xMode val="edge"/>
          <c:yMode val="edge"/>
          <c:x val="0.2816758544652701"/>
          <c:y val="0"/>
        </c:manualLayout>
      </c:layout>
      <c:overlay val="0"/>
      <c:spPr>
        <a:noFill/>
        <a:ln>
          <a:noFill/>
        </a:ln>
        <a:effectLst/>
      </c:spPr>
      <c:txPr>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4138572259503945"/>
          <c:y val="0.22466509062253739"/>
          <c:w val="0.82774327409735304"/>
          <c:h val="0.52771231610233116"/>
        </c:manualLayout>
      </c:layout>
      <c:lineChart>
        <c:grouping val="standard"/>
        <c:varyColors val="0"/>
        <c:ser>
          <c:idx val="0"/>
          <c:order val="0"/>
          <c:spPr>
            <a:ln w="28575" cap="rnd" cmpd="sng" algn="ctr">
              <a:solidFill>
                <a:schemeClr val="accent1"/>
              </a:solidFill>
              <a:round/>
            </a:ln>
            <a:effectLst/>
          </c:spPr>
          <c:marker>
            <c:symbol val="none"/>
          </c:marker>
          <c:cat>
            <c:strRef>
              <c:f>B.1b!$B$7:$B$55</c:f>
              <c:strCache>
                <c:ptCount val="49"/>
                <c:pt idx="0">
                  <c:v>2008-I</c:v>
                </c:pt>
                <c:pt idx="1">
                  <c:v>2008-II</c:v>
                </c:pt>
                <c:pt idx="2">
                  <c:v>2008-III</c:v>
                </c:pt>
                <c:pt idx="3">
                  <c:v>2008-IV</c:v>
                </c:pt>
                <c:pt idx="4">
                  <c:v>2009-I</c:v>
                </c:pt>
                <c:pt idx="5">
                  <c:v>2009-II</c:v>
                </c:pt>
                <c:pt idx="6">
                  <c:v>2009-III</c:v>
                </c:pt>
                <c:pt idx="7">
                  <c:v>2009-IV</c:v>
                </c:pt>
                <c:pt idx="8">
                  <c:v>2010-I</c:v>
                </c:pt>
                <c:pt idx="9">
                  <c:v>2010-II</c:v>
                </c:pt>
                <c:pt idx="10">
                  <c:v>2010-III</c:v>
                </c:pt>
                <c:pt idx="11">
                  <c:v>2010-IV</c:v>
                </c:pt>
                <c:pt idx="12">
                  <c:v>2011-I</c:v>
                </c:pt>
                <c:pt idx="13">
                  <c:v>2011-II</c:v>
                </c:pt>
                <c:pt idx="14">
                  <c:v>2011-III</c:v>
                </c:pt>
                <c:pt idx="15">
                  <c:v>2011-IV</c:v>
                </c:pt>
                <c:pt idx="16">
                  <c:v>2012-I</c:v>
                </c:pt>
                <c:pt idx="17">
                  <c:v>2012-II</c:v>
                </c:pt>
                <c:pt idx="18">
                  <c:v>2012-III</c:v>
                </c:pt>
                <c:pt idx="19">
                  <c:v>2012-IV</c:v>
                </c:pt>
                <c:pt idx="20">
                  <c:v>2013-I</c:v>
                </c:pt>
                <c:pt idx="21">
                  <c:v>2013-II</c:v>
                </c:pt>
                <c:pt idx="22">
                  <c:v>2013-III</c:v>
                </c:pt>
                <c:pt idx="23">
                  <c:v>2013-IV</c:v>
                </c:pt>
                <c:pt idx="24">
                  <c:v>2014-I</c:v>
                </c:pt>
                <c:pt idx="25">
                  <c:v>2014-II</c:v>
                </c:pt>
                <c:pt idx="26">
                  <c:v>2014-III</c:v>
                </c:pt>
                <c:pt idx="27">
                  <c:v>2014-IV</c:v>
                </c:pt>
                <c:pt idx="28">
                  <c:v>2015-I</c:v>
                </c:pt>
                <c:pt idx="29">
                  <c:v>2015-II</c:v>
                </c:pt>
                <c:pt idx="30">
                  <c:v>2015-III</c:v>
                </c:pt>
                <c:pt idx="31">
                  <c:v>2015-IV</c:v>
                </c:pt>
                <c:pt idx="32">
                  <c:v>2016-I</c:v>
                </c:pt>
                <c:pt idx="33">
                  <c:v>2016-II</c:v>
                </c:pt>
                <c:pt idx="34">
                  <c:v>2016-III</c:v>
                </c:pt>
                <c:pt idx="35">
                  <c:v>2016-IV</c:v>
                </c:pt>
                <c:pt idx="36">
                  <c:v>2017-I</c:v>
                </c:pt>
                <c:pt idx="37">
                  <c:v>2017-II</c:v>
                </c:pt>
                <c:pt idx="38">
                  <c:v>2017-III</c:v>
                </c:pt>
                <c:pt idx="39">
                  <c:v>2017-IV</c:v>
                </c:pt>
                <c:pt idx="40">
                  <c:v>2018-I</c:v>
                </c:pt>
                <c:pt idx="41">
                  <c:v>2018-II</c:v>
                </c:pt>
                <c:pt idx="42">
                  <c:v>2018-III</c:v>
                </c:pt>
                <c:pt idx="43">
                  <c:v>2018-IV</c:v>
                </c:pt>
                <c:pt idx="44">
                  <c:v>2019-I</c:v>
                </c:pt>
                <c:pt idx="45">
                  <c:v>2019-II</c:v>
                </c:pt>
                <c:pt idx="46">
                  <c:v>2019-III</c:v>
                </c:pt>
                <c:pt idx="47">
                  <c:v>2019-IV</c:v>
                </c:pt>
                <c:pt idx="48">
                  <c:v>2020-I</c:v>
                </c:pt>
              </c:strCache>
            </c:strRef>
          </c:cat>
          <c:val>
            <c:numRef>
              <c:f>B.1b!$F$7:$F$55</c:f>
              <c:numCache>
                <c:formatCode>_-* #,##0_-;\-* #,##0_-;_-* "-"??_-;_-@_-</c:formatCode>
                <c:ptCount val="49"/>
                <c:pt idx="0">
                  <c:v>1073951.911100016</c:v>
                </c:pt>
                <c:pt idx="1">
                  <c:v>1067288.5714021176</c:v>
                </c:pt>
                <c:pt idx="2">
                  <c:v>1081783.7615887425</c:v>
                </c:pt>
                <c:pt idx="3">
                  <c:v>1047685.4349091263</c:v>
                </c:pt>
                <c:pt idx="4">
                  <c:v>1130495.6788663105</c:v>
                </c:pt>
                <c:pt idx="5">
                  <c:v>1149612.8470102076</c:v>
                </c:pt>
                <c:pt idx="6">
                  <c:v>1168473.487603056</c:v>
                </c:pt>
                <c:pt idx="7">
                  <c:v>1171589.9725204245</c:v>
                </c:pt>
                <c:pt idx="8">
                  <c:v>1226699.010310699</c:v>
                </c:pt>
                <c:pt idx="9">
                  <c:v>1275428.5664174915</c:v>
                </c:pt>
                <c:pt idx="10">
                  <c:v>1276895.813186083</c:v>
                </c:pt>
                <c:pt idx="11">
                  <c:v>1211796.8950857283</c:v>
                </c:pt>
                <c:pt idx="12">
                  <c:v>1310990.148432079</c:v>
                </c:pt>
                <c:pt idx="13">
                  <c:v>1329706.8311751713</c:v>
                </c:pt>
                <c:pt idx="14">
                  <c:v>1325545.3227025303</c:v>
                </c:pt>
                <c:pt idx="15">
                  <c:v>1342434.1346902198</c:v>
                </c:pt>
                <c:pt idx="16">
                  <c:v>1374587.8807658814</c:v>
                </c:pt>
                <c:pt idx="17">
                  <c:v>1391713.0302248364</c:v>
                </c:pt>
                <c:pt idx="18">
                  <c:v>1407142.2506819591</c:v>
                </c:pt>
                <c:pt idx="19">
                  <c:v>1337743.5603273241</c:v>
                </c:pt>
                <c:pt idx="20">
                  <c:v>1413976.0844567181</c:v>
                </c:pt>
                <c:pt idx="21">
                  <c:v>1438272.7643629094</c:v>
                </c:pt>
                <c:pt idx="22">
                  <c:v>1441766.3504829337</c:v>
                </c:pt>
                <c:pt idx="23">
                  <c:v>1462897.3116974391</c:v>
                </c:pt>
                <c:pt idx="24">
                  <c:v>1484080.5922337226</c:v>
                </c:pt>
                <c:pt idx="25">
                  <c:v>1511770.55249106</c:v>
                </c:pt>
                <c:pt idx="26">
                  <c:v>1519301.4452473265</c:v>
                </c:pt>
                <c:pt idx="27">
                  <c:v>1529612.7210278916</c:v>
                </c:pt>
                <c:pt idx="28">
                  <c:v>1582549.3617545813</c:v>
                </c:pt>
                <c:pt idx="29">
                  <c:v>1601248.8903723303</c:v>
                </c:pt>
                <c:pt idx="30">
                  <c:v>1627025.2720112093</c:v>
                </c:pt>
                <c:pt idx="31">
                  <c:v>1632471.5718618764</c:v>
                </c:pt>
                <c:pt idx="32">
                  <c:v>1675435.5120822974</c:v>
                </c:pt>
                <c:pt idx="33">
                  <c:v>1715067.0401200675</c:v>
                </c:pt>
                <c:pt idx="34">
                  <c:v>1723998.4117167145</c:v>
                </c:pt>
                <c:pt idx="35">
                  <c:v>1730679.2360809101</c:v>
                </c:pt>
                <c:pt idx="36">
                  <c:v>1792140.3247063798</c:v>
                </c:pt>
                <c:pt idx="37">
                  <c:v>1839165.134706632</c:v>
                </c:pt>
                <c:pt idx="38">
                  <c:v>1826059.8116571738</c:v>
                </c:pt>
                <c:pt idx="39">
                  <c:v>1844845.7029298116</c:v>
                </c:pt>
                <c:pt idx="40">
                  <c:v>1927899.8122383496</c:v>
                </c:pt>
                <c:pt idx="41">
                  <c:v>1966203.7906921702</c:v>
                </c:pt>
                <c:pt idx="42">
                  <c:v>1976951.2586309041</c:v>
                </c:pt>
                <c:pt idx="43">
                  <c:v>1980893.3864385714</c:v>
                </c:pt>
                <c:pt idx="44">
                  <c:v>2035220.7668124293</c:v>
                </c:pt>
                <c:pt idx="45">
                  <c:v>2085526.753756247</c:v>
                </c:pt>
                <c:pt idx="46">
                  <c:v>2103309.991651875</c:v>
                </c:pt>
                <c:pt idx="47">
                  <c:v>2108543.4052616502</c:v>
                </c:pt>
                <c:pt idx="48">
                  <c:v>2112561.3517268766</c:v>
                </c:pt>
              </c:numCache>
            </c:numRef>
          </c:val>
          <c:smooth val="0"/>
          <c:extLst>
            <c:ext xmlns:c16="http://schemas.microsoft.com/office/drawing/2014/chart" uri="{C3380CC4-5D6E-409C-BE32-E72D297353CC}">
              <c16:uniqueId val="{00000000-210B-461D-88FB-0952F975173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66571583"/>
        <c:axId val="1566582399"/>
      </c:lineChart>
      <c:catAx>
        <c:axId val="156657158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82399"/>
        <c:crosses val="autoZero"/>
        <c:auto val="1"/>
        <c:lblAlgn val="ctr"/>
        <c:lblOffset val="100"/>
        <c:noMultiLvlLbl val="0"/>
      </c:catAx>
      <c:valAx>
        <c:axId val="1566582399"/>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71583"/>
        <c:crosses val="autoZero"/>
        <c:crossBetween val="between"/>
        <c:dispUnits>
          <c:builtInUnit val="thousands"/>
          <c:dispUnitsLbl>
            <c:spPr>
              <a:noFill/>
              <a:ln>
                <a:noFill/>
              </a:ln>
              <a:effectLst/>
            </c:spPr>
            <c:txPr>
              <a:bodyPr rot="-5400000" spcFirstLastPara="1" vertOverflow="ellipsis" vert="horz" wrap="square" anchor="ctr" anchorCtr="1"/>
              <a:lstStyle/>
              <a:p>
                <a:pPr>
                  <a:defRPr sz="700" b="0" i="0" u="none" strike="noStrike" kern="1200" cap="all" baseline="0">
                    <a:solidFill>
                      <a:sysClr val="windowText" lastClr="000000"/>
                    </a:solidFill>
                    <a:latin typeface="+mn-lt"/>
                    <a:ea typeface="+mn-ea"/>
                    <a:cs typeface="+mn-cs"/>
                  </a:defRPr>
                </a:pPr>
                <a:endParaRPr lang="es-MX"/>
              </a:p>
            </c:txPr>
          </c:dispUnitsLbl>
        </c:dispUnits>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r>
              <a:rPr lang="es-MX" b="1"/>
              <a:t>S.15 - ISFLSH</a:t>
            </a:r>
          </a:p>
          <a:p>
            <a:pPr>
              <a:defRPr/>
            </a:pPr>
            <a:r>
              <a:rPr lang="es-MX" sz="600"/>
              <a:t>(Millones de pesos)</a:t>
            </a:r>
          </a:p>
        </c:rich>
      </c:tx>
      <c:layout>
        <c:manualLayout>
          <c:xMode val="edge"/>
          <c:yMode val="edge"/>
          <c:x val="0.33750826901874315"/>
          <c:y val="0"/>
        </c:manualLayout>
      </c:layout>
      <c:overlay val="0"/>
      <c:spPr>
        <a:noFill/>
        <a:ln>
          <a:noFill/>
        </a:ln>
        <a:effectLst/>
      </c:spPr>
      <c:txPr>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endParaRPr lang="es-MX"/>
        </a:p>
      </c:txPr>
    </c:title>
    <c:autoTitleDeleted val="0"/>
    <c:plotArea>
      <c:layout>
        <c:manualLayout>
          <c:layoutTarget val="inner"/>
          <c:xMode val="edge"/>
          <c:yMode val="edge"/>
          <c:x val="0.14228962834992925"/>
          <c:y val="0.18526398739164696"/>
          <c:w val="0.8268393683424633"/>
          <c:h val="0.58287386062557778"/>
        </c:manualLayout>
      </c:layout>
      <c:lineChart>
        <c:grouping val="standard"/>
        <c:varyColors val="0"/>
        <c:ser>
          <c:idx val="0"/>
          <c:order val="0"/>
          <c:spPr>
            <a:ln w="28575" cap="rnd" cmpd="sng" algn="ctr">
              <a:solidFill>
                <a:schemeClr val="accent1"/>
              </a:solidFill>
              <a:round/>
            </a:ln>
            <a:effectLst/>
          </c:spPr>
          <c:marker>
            <c:symbol val="none"/>
          </c:marker>
          <c:cat>
            <c:strRef>
              <c:f>B.1b!$B$7:$B$55</c:f>
              <c:strCache>
                <c:ptCount val="49"/>
                <c:pt idx="0">
                  <c:v>2008-I</c:v>
                </c:pt>
                <c:pt idx="1">
                  <c:v>2008-II</c:v>
                </c:pt>
                <c:pt idx="2">
                  <c:v>2008-III</c:v>
                </c:pt>
                <c:pt idx="3">
                  <c:v>2008-IV</c:v>
                </c:pt>
                <c:pt idx="4">
                  <c:v>2009-I</c:v>
                </c:pt>
                <c:pt idx="5">
                  <c:v>2009-II</c:v>
                </c:pt>
                <c:pt idx="6">
                  <c:v>2009-III</c:v>
                </c:pt>
                <c:pt idx="7">
                  <c:v>2009-IV</c:v>
                </c:pt>
                <c:pt idx="8">
                  <c:v>2010-I</c:v>
                </c:pt>
                <c:pt idx="9">
                  <c:v>2010-II</c:v>
                </c:pt>
                <c:pt idx="10">
                  <c:v>2010-III</c:v>
                </c:pt>
                <c:pt idx="11">
                  <c:v>2010-IV</c:v>
                </c:pt>
                <c:pt idx="12">
                  <c:v>2011-I</c:v>
                </c:pt>
                <c:pt idx="13">
                  <c:v>2011-II</c:v>
                </c:pt>
                <c:pt idx="14">
                  <c:v>2011-III</c:v>
                </c:pt>
                <c:pt idx="15">
                  <c:v>2011-IV</c:v>
                </c:pt>
                <c:pt idx="16">
                  <c:v>2012-I</c:v>
                </c:pt>
                <c:pt idx="17">
                  <c:v>2012-II</c:v>
                </c:pt>
                <c:pt idx="18">
                  <c:v>2012-III</c:v>
                </c:pt>
                <c:pt idx="19">
                  <c:v>2012-IV</c:v>
                </c:pt>
                <c:pt idx="20">
                  <c:v>2013-I</c:v>
                </c:pt>
                <c:pt idx="21">
                  <c:v>2013-II</c:v>
                </c:pt>
                <c:pt idx="22">
                  <c:v>2013-III</c:v>
                </c:pt>
                <c:pt idx="23">
                  <c:v>2013-IV</c:v>
                </c:pt>
                <c:pt idx="24">
                  <c:v>2014-I</c:v>
                </c:pt>
                <c:pt idx="25">
                  <c:v>2014-II</c:v>
                </c:pt>
                <c:pt idx="26">
                  <c:v>2014-III</c:v>
                </c:pt>
                <c:pt idx="27">
                  <c:v>2014-IV</c:v>
                </c:pt>
                <c:pt idx="28">
                  <c:v>2015-I</c:v>
                </c:pt>
                <c:pt idx="29">
                  <c:v>2015-II</c:v>
                </c:pt>
                <c:pt idx="30">
                  <c:v>2015-III</c:v>
                </c:pt>
                <c:pt idx="31">
                  <c:v>2015-IV</c:v>
                </c:pt>
                <c:pt idx="32">
                  <c:v>2016-I</c:v>
                </c:pt>
                <c:pt idx="33">
                  <c:v>2016-II</c:v>
                </c:pt>
                <c:pt idx="34">
                  <c:v>2016-III</c:v>
                </c:pt>
                <c:pt idx="35">
                  <c:v>2016-IV</c:v>
                </c:pt>
                <c:pt idx="36">
                  <c:v>2017-I</c:v>
                </c:pt>
                <c:pt idx="37">
                  <c:v>2017-II</c:v>
                </c:pt>
                <c:pt idx="38">
                  <c:v>2017-III</c:v>
                </c:pt>
                <c:pt idx="39">
                  <c:v>2017-IV</c:v>
                </c:pt>
                <c:pt idx="40">
                  <c:v>2018-I</c:v>
                </c:pt>
                <c:pt idx="41">
                  <c:v>2018-II</c:v>
                </c:pt>
                <c:pt idx="42">
                  <c:v>2018-III</c:v>
                </c:pt>
                <c:pt idx="43">
                  <c:v>2018-IV</c:v>
                </c:pt>
                <c:pt idx="44">
                  <c:v>2019-I</c:v>
                </c:pt>
                <c:pt idx="45">
                  <c:v>2019-II</c:v>
                </c:pt>
                <c:pt idx="46">
                  <c:v>2019-III</c:v>
                </c:pt>
                <c:pt idx="47">
                  <c:v>2019-IV</c:v>
                </c:pt>
                <c:pt idx="48">
                  <c:v>2020-I</c:v>
                </c:pt>
              </c:strCache>
            </c:strRef>
          </c:cat>
          <c:val>
            <c:numRef>
              <c:f>B.1b!$G$7:$G$55</c:f>
              <c:numCache>
                <c:formatCode>_-* #,##0_-;\-* #,##0_-;_-* "-"??_-;_-@_-</c:formatCode>
                <c:ptCount val="49"/>
                <c:pt idx="0">
                  <c:v>27972.192324407999</c:v>
                </c:pt>
                <c:pt idx="1">
                  <c:v>30412.597619642474</c:v>
                </c:pt>
                <c:pt idx="2">
                  <c:v>30135.712515767067</c:v>
                </c:pt>
                <c:pt idx="3">
                  <c:v>30430.560540182436</c:v>
                </c:pt>
                <c:pt idx="4">
                  <c:v>35801.480274277455</c:v>
                </c:pt>
                <c:pt idx="5">
                  <c:v>35440.184243498326</c:v>
                </c:pt>
                <c:pt idx="6">
                  <c:v>36383.143138484978</c:v>
                </c:pt>
                <c:pt idx="7">
                  <c:v>38049.885343739254</c:v>
                </c:pt>
                <c:pt idx="8">
                  <c:v>36733.200479550738</c:v>
                </c:pt>
                <c:pt idx="9">
                  <c:v>38414.72375353751</c:v>
                </c:pt>
                <c:pt idx="10">
                  <c:v>38006.166896005045</c:v>
                </c:pt>
                <c:pt idx="11">
                  <c:v>40596.515870906718</c:v>
                </c:pt>
                <c:pt idx="12">
                  <c:v>37728.569749337214</c:v>
                </c:pt>
                <c:pt idx="13">
                  <c:v>39428.680657074307</c:v>
                </c:pt>
                <c:pt idx="14">
                  <c:v>39974.19029721315</c:v>
                </c:pt>
                <c:pt idx="15">
                  <c:v>41607.342296375289</c:v>
                </c:pt>
                <c:pt idx="16">
                  <c:v>38352.701649148323</c:v>
                </c:pt>
                <c:pt idx="17">
                  <c:v>39424.347029131153</c:v>
                </c:pt>
                <c:pt idx="18">
                  <c:v>38927.512855004883</c:v>
                </c:pt>
                <c:pt idx="19">
                  <c:v>40683.240466715637</c:v>
                </c:pt>
                <c:pt idx="20">
                  <c:v>39733.197784403535</c:v>
                </c:pt>
                <c:pt idx="21">
                  <c:v>41633.213322519674</c:v>
                </c:pt>
                <c:pt idx="22">
                  <c:v>41171.675474493721</c:v>
                </c:pt>
                <c:pt idx="23">
                  <c:v>41912.238418583089</c:v>
                </c:pt>
                <c:pt idx="24">
                  <c:v>40882.982273690941</c:v>
                </c:pt>
                <c:pt idx="25">
                  <c:v>43730.615849104288</c:v>
                </c:pt>
                <c:pt idx="26">
                  <c:v>43362.784591518073</c:v>
                </c:pt>
                <c:pt idx="27">
                  <c:v>44312.183285686697</c:v>
                </c:pt>
                <c:pt idx="28">
                  <c:v>43574.185719508729</c:v>
                </c:pt>
                <c:pt idx="29">
                  <c:v>45783.858473964108</c:v>
                </c:pt>
                <c:pt idx="30">
                  <c:v>45486.009195591483</c:v>
                </c:pt>
                <c:pt idx="31">
                  <c:v>46358.830610935664</c:v>
                </c:pt>
                <c:pt idx="32">
                  <c:v>46271.895798442434</c:v>
                </c:pt>
                <c:pt idx="33">
                  <c:v>49258.580807250728</c:v>
                </c:pt>
                <c:pt idx="34">
                  <c:v>48227.402203378166</c:v>
                </c:pt>
                <c:pt idx="35">
                  <c:v>51943.599190928711</c:v>
                </c:pt>
                <c:pt idx="36">
                  <c:v>52082.8702354466</c:v>
                </c:pt>
                <c:pt idx="37">
                  <c:v>52153.128037943396</c:v>
                </c:pt>
                <c:pt idx="38">
                  <c:v>52520.370747275832</c:v>
                </c:pt>
                <c:pt idx="39">
                  <c:v>55528.023979334117</c:v>
                </c:pt>
                <c:pt idx="40">
                  <c:v>55161.119258468971</c:v>
                </c:pt>
                <c:pt idx="41">
                  <c:v>58740.229816864943</c:v>
                </c:pt>
                <c:pt idx="42">
                  <c:v>58536.795915273789</c:v>
                </c:pt>
                <c:pt idx="43">
                  <c:v>60209.349009392317</c:v>
                </c:pt>
                <c:pt idx="44">
                  <c:v>59185.062097497532</c:v>
                </c:pt>
                <c:pt idx="45">
                  <c:v>61846.539799086429</c:v>
                </c:pt>
                <c:pt idx="46">
                  <c:v>59163.261537523969</c:v>
                </c:pt>
                <c:pt idx="47">
                  <c:v>58875.434588753022</c:v>
                </c:pt>
                <c:pt idx="48">
                  <c:v>57481.417881348869</c:v>
                </c:pt>
              </c:numCache>
            </c:numRef>
          </c:val>
          <c:smooth val="0"/>
          <c:extLst>
            <c:ext xmlns:c16="http://schemas.microsoft.com/office/drawing/2014/chart" uri="{C3380CC4-5D6E-409C-BE32-E72D297353CC}">
              <c16:uniqueId val="{00000000-4298-46BD-9BC5-B5601FCDA2F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66571583"/>
        <c:axId val="1566582399"/>
      </c:lineChart>
      <c:catAx>
        <c:axId val="156657158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82399"/>
        <c:crosses val="autoZero"/>
        <c:auto val="1"/>
        <c:lblAlgn val="ctr"/>
        <c:lblOffset val="100"/>
        <c:noMultiLvlLbl val="0"/>
      </c:catAx>
      <c:valAx>
        <c:axId val="1566582399"/>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spc="20" baseline="0">
                <a:solidFill>
                  <a:sysClr val="windowText" lastClr="000000"/>
                </a:solidFill>
                <a:latin typeface="+mn-lt"/>
                <a:ea typeface="+mn-ea"/>
                <a:cs typeface="+mn-cs"/>
              </a:defRPr>
            </a:pPr>
            <a:endParaRPr lang="es-MX"/>
          </a:p>
        </c:txPr>
        <c:crossAx val="1566571583"/>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r>
              <a:rPr lang="es-MX" b="1"/>
              <a:t>P.31- Gastos de consumo individual</a:t>
            </a:r>
          </a:p>
          <a:p>
            <a:pPr>
              <a:defRPr/>
            </a:pPr>
            <a:r>
              <a:rPr lang="es-MX" sz="600"/>
              <a:t>(millones de pesos)</a:t>
            </a:r>
          </a:p>
        </c:rich>
      </c:tx>
      <c:layout>
        <c:manualLayout>
          <c:xMode val="edge"/>
          <c:yMode val="edge"/>
          <c:x val="0.20032850358975254"/>
          <c:y val="6.5681444991789817E-3"/>
        </c:manualLayout>
      </c:layout>
      <c:overlay val="0"/>
      <c:spPr>
        <a:noFill/>
        <a:ln>
          <a:noFill/>
        </a:ln>
        <a:effectLst/>
      </c:spPr>
      <c:txPr>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endParaRPr lang="es-MX"/>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P.3!$B$7:$B$55</c:f>
              <c:strCache>
                <c:ptCount val="49"/>
                <c:pt idx="0">
                  <c:v>2008-I</c:v>
                </c:pt>
                <c:pt idx="1">
                  <c:v>2008-II</c:v>
                </c:pt>
                <c:pt idx="2">
                  <c:v>2008-III</c:v>
                </c:pt>
                <c:pt idx="3">
                  <c:v>2008-IV</c:v>
                </c:pt>
                <c:pt idx="4">
                  <c:v>2009-I</c:v>
                </c:pt>
                <c:pt idx="5">
                  <c:v>2009-II</c:v>
                </c:pt>
                <c:pt idx="6">
                  <c:v>2009-III</c:v>
                </c:pt>
                <c:pt idx="7">
                  <c:v>2009-IV</c:v>
                </c:pt>
                <c:pt idx="8">
                  <c:v>2010-I</c:v>
                </c:pt>
                <c:pt idx="9">
                  <c:v>2010-II</c:v>
                </c:pt>
                <c:pt idx="10">
                  <c:v>2010-III</c:v>
                </c:pt>
                <c:pt idx="11">
                  <c:v>2010-IV</c:v>
                </c:pt>
                <c:pt idx="12">
                  <c:v>2011-I</c:v>
                </c:pt>
                <c:pt idx="13">
                  <c:v>2011-II</c:v>
                </c:pt>
                <c:pt idx="14">
                  <c:v>2011-III</c:v>
                </c:pt>
                <c:pt idx="15">
                  <c:v>2011-IV</c:v>
                </c:pt>
                <c:pt idx="16">
                  <c:v>2012-I</c:v>
                </c:pt>
                <c:pt idx="17">
                  <c:v>2012-II</c:v>
                </c:pt>
                <c:pt idx="18">
                  <c:v>2012-III</c:v>
                </c:pt>
                <c:pt idx="19">
                  <c:v>2012-IV</c:v>
                </c:pt>
                <c:pt idx="20">
                  <c:v>2013-I</c:v>
                </c:pt>
                <c:pt idx="21">
                  <c:v>2013-II</c:v>
                </c:pt>
                <c:pt idx="22">
                  <c:v>2013-III</c:v>
                </c:pt>
                <c:pt idx="23">
                  <c:v>2013-IV</c:v>
                </c:pt>
                <c:pt idx="24">
                  <c:v>2014-I</c:v>
                </c:pt>
                <c:pt idx="25">
                  <c:v>2014-II</c:v>
                </c:pt>
                <c:pt idx="26">
                  <c:v>2014-III</c:v>
                </c:pt>
                <c:pt idx="27">
                  <c:v>2014-IV</c:v>
                </c:pt>
                <c:pt idx="28">
                  <c:v>2015-I</c:v>
                </c:pt>
                <c:pt idx="29">
                  <c:v>2015-II</c:v>
                </c:pt>
                <c:pt idx="30">
                  <c:v>2015-III</c:v>
                </c:pt>
                <c:pt idx="31">
                  <c:v>2015-IV</c:v>
                </c:pt>
                <c:pt idx="32">
                  <c:v>2016-I</c:v>
                </c:pt>
                <c:pt idx="33">
                  <c:v>2016-II</c:v>
                </c:pt>
                <c:pt idx="34">
                  <c:v>2016-III</c:v>
                </c:pt>
                <c:pt idx="35">
                  <c:v>2016-IV</c:v>
                </c:pt>
                <c:pt idx="36">
                  <c:v>2017-I</c:v>
                </c:pt>
                <c:pt idx="37">
                  <c:v>2017-II</c:v>
                </c:pt>
                <c:pt idx="38">
                  <c:v>2017-III</c:v>
                </c:pt>
                <c:pt idx="39">
                  <c:v>2017-IV</c:v>
                </c:pt>
                <c:pt idx="40">
                  <c:v>2018-I</c:v>
                </c:pt>
                <c:pt idx="41">
                  <c:v>2018-II</c:v>
                </c:pt>
                <c:pt idx="42">
                  <c:v>2018-III</c:v>
                </c:pt>
                <c:pt idx="43">
                  <c:v>2018-IV</c:v>
                </c:pt>
                <c:pt idx="44">
                  <c:v>2019-I</c:v>
                </c:pt>
                <c:pt idx="45">
                  <c:v>2019-II</c:v>
                </c:pt>
                <c:pt idx="46">
                  <c:v>2019-III</c:v>
                </c:pt>
                <c:pt idx="47">
                  <c:v>2019-IV</c:v>
                </c:pt>
                <c:pt idx="48">
                  <c:v>2020-I</c:v>
                </c:pt>
              </c:strCache>
            </c:strRef>
          </c:cat>
          <c:val>
            <c:numRef>
              <c:f>P.3!$D$7:$D$55</c:f>
              <c:numCache>
                <c:formatCode>_-* #,##0_-;\-* #,##0_-;_-* "-"??_-;_-@_-</c:formatCode>
                <c:ptCount val="49"/>
                <c:pt idx="0">
                  <c:v>2130840.3450000002</c:v>
                </c:pt>
                <c:pt idx="1">
                  <c:v>2265345.6009999998</c:v>
                </c:pt>
                <c:pt idx="2">
                  <c:v>2241758.352</c:v>
                </c:pt>
                <c:pt idx="3">
                  <c:v>2285195.8429999999</c:v>
                </c:pt>
                <c:pt idx="4">
                  <c:v>2094600.057</c:v>
                </c:pt>
                <c:pt idx="5">
                  <c:v>2119948.4539999999</c:v>
                </c:pt>
                <c:pt idx="6">
                  <c:v>2187957.5350000001</c:v>
                </c:pt>
                <c:pt idx="7">
                  <c:v>2306225.4270000001</c:v>
                </c:pt>
                <c:pt idx="8">
                  <c:v>2221820.7999999998</c:v>
                </c:pt>
                <c:pt idx="9">
                  <c:v>2342296.7590000001</c:v>
                </c:pt>
                <c:pt idx="10">
                  <c:v>2398758.2740000002</c:v>
                </c:pt>
                <c:pt idx="11">
                  <c:v>2529478.5049999999</c:v>
                </c:pt>
                <c:pt idx="12">
                  <c:v>2433386.3840000001</c:v>
                </c:pt>
                <c:pt idx="13">
                  <c:v>2535259.38</c:v>
                </c:pt>
                <c:pt idx="14">
                  <c:v>2619895.2859999998</c:v>
                </c:pt>
                <c:pt idx="15">
                  <c:v>2756247.1660000002</c:v>
                </c:pt>
                <c:pt idx="16">
                  <c:v>2688030.173</c:v>
                </c:pt>
                <c:pt idx="17">
                  <c:v>2732503.7280000001</c:v>
                </c:pt>
                <c:pt idx="18">
                  <c:v>2803262.13</c:v>
                </c:pt>
                <c:pt idx="19">
                  <c:v>2931337.6209999998</c:v>
                </c:pt>
                <c:pt idx="20">
                  <c:v>2811898.5970000001</c:v>
                </c:pt>
                <c:pt idx="21">
                  <c:v>2921790.2039999999</c:v>
                </c:pt>
                <c:pt idx="22">
                  <c:v>2971440.1529999999</c:v>
                </c:pt>
                <c:pt idx="23">
                  <c:v>3113738.0929999999</c:v>
                </c:pt>
                <c:pt idx="24">
                  <c:v>2997890.821</c:v>
                </c:pt>
                <c:pt idx="25">
                  <c:v>3098779.361</c:v>
                </c:pt>
                <c:pt idx="26">
                  <c:v>3164410.0240000002</c:v>
                </c:pt>
                <c:pt idx="27">
                  <c:v>3313909.9950000001</c:v>
                </c:pt>
                <c:pt idx="28">
                  <c:v>3168623.9470000002</c:v>
                </c:pt>
                <c:pt idx="29">
                  <c:v>3231610.017</c:v>
                </c:pt>
                <c:pt idx="30">
                  <c:v>3350456.6850000001</c:v>
                </c:pt>
                <c:pt idx="31">
                  <c:v>3541473.341</c:v>
                </c:pt>
                <c:pt idx="32">
                  <c:v>3392758.977</c:v>
                </c:pt>
                <c:pt idx="33">
                  <c:v>3493444.2119999998</c:v>
                </c:pt>
                <c:pt idx="34">
                  <c:v>3627553.46</c:v>
                </c:pt>
                <c:pt idx="35">
                  <c:v>3874990.39</c:v>
                </c:pt>
                <c:pt idx="36">
                  <c:v>3749167.2140000002</c:v>
                </c:pt>
                <c:pt idx="37">
                  <c:v>3819538.14</c:v>
                </c:pt>
                <c:pt idx="38">
                  <c:v>3893780.9789999998</c:v>
                </c:pt>
                <c:pt idx="39">
                  <c:v>4110226.1030000001</c:v>
                </c:pt>
                <c:pt idx="40">
                  <c:v>3964059.1349999998</c:v>
                </c:pt>
                <c:pt idx="41">
                  <c:v>4112649.0219999999</c:v>
                </c:pt>
                <c:pt idx="42">
                  <c:v>4157750.8259999999</c:v>
                </c:pt>
                <c:pt idx="43">
                  <c:v>4324744.676</c:v>
                </c:pt>
                <c:pt idx="44">
                  <c:v>4129086.3029999998</c:v>
                </c:pt>
                <c:pt idx="45">
                  <c:v>4249050.6349999998</c:v>
                </c:pt>
                <c:pt idx="46">
                  <c:v>4360597.8880000003</c:v>
                </c:pt>
                <c:pt idx="47">
                  <c:v>4488468.3109999998</c:v>
                </c:pt>
                <c:pt idx="48">
                  <c:v>4254019.0530000003</c:v>
                </c:pt>
              </c:numCache>
            </c:numRef>
          </c:val>
          <c:smooth val="0"/>
          <c:extLst>
            <c:ext xmlns:c16="http://schemas.microsoft.com/office/drawing/2014/chart" uri="{C3380CC4-5D6E-409C-BE32-E72D297353CC}">
              <c16:uniqueId val="{00000000-9C40-41D6-A47C-F3B5424BE11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18641455"/>
        <c:axId val="1618649359"/>
      </c:lineChart>
      <c:catAx>
        <c:axId val="161864145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spc="20" baseline="0">
                <a:solidFill>
                  <a:sysClr val="windowText" lastClr="000000"/>
                </a:solidFill>
                <a:latin typeface="+mn-lt"/>
                <a:ea typeface="+mn-ea"/>
                <a:cs typeface="+mn-cs"/>
              </a:defRPr>
            </a:pPr>
            <a:endParaRPr lang="es-MX"/>
          </a:p>
        </c:txPr>
        <c:crossAx val="1618649359"/>
        <c:crosses val="autoZero"/>
        <c:auto val="1"/>
        <c:lblAlgn val="ctr"/>
        <c:lblOffset val="100"/>
        <c:noMultiLvlLbl val="0"/>
      </c:catAx>
      <c:valAx>
        <c:axId val="1618649359"/>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spc="20" baseline="0">
                <a:solidFill>
                  <a:sysClr val="windowText" lastClr="000000"/>
                </a:solidFill>
                <a:latin typeface="+mn-lt"/>
                <a:ea typeface="+mn-ea"/>
                <a:cs typeface="+mn-cs"/>
              </a:defRPr>
            </a:pPr>
            <a:endParaRPr lang="es-MX"/>
          </a:p>
        </c:txPr>
        <c:crossAx val="1618641455"/>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700">
          <a:solidFill>
            <a:sysClr val="windowText" lastClr="000000"/>
          </a:solidFill>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r>
              <a:rPr lang="es-MX" b="1"/>
              <a:t>P.32- Gastos de consumo colectivo</a:t>
            </a:r>
          </a:p>
          <a:p>
            <a:pPr>
              <a:defRPr/>
            </a:pPr>
            <a:r>
              <a:rPr lang="es-MX" sz="600"/>
              <a:t>(millones de pesos)</a:t>
            </a:r>
          </a:p>
        </c:rich>
      </c:tx>
      <c:layout>
        <c:manualLayout>
          <c:xMode val="edge"/>
          <c:yMode val="edge"/>
          <c:x val="0.20674408217954443"/>
          <c:y val="1.9953441968739608E-2"/>
        </c:manualLayout>
      </c:layout>
      <c:overlay val="0"/>
      <c:spPr>
        <a:noFill/>
        <a:ln>
          <a:noFill/>
        </a:ln>
        <a:effectLst/>
      </c:spPr>
      <c:txPr>
        <a:bodyPr rot="0" spcFirstLastPara="1" vertOverflow="ellipsis" vert="horz" wrap="square" anchor="ctr" anchorCtr="1"/>
        <a:lstStyle/>
        <a:p>
          <a:pPr>
            <a:defRPr sz="840" b="0" i="0" u="none" strike="noStrike" kern="1200" cap="none" spc="20" baseline="0">
              <a:solidFill>
                <a:sysClr val="windowText" lastClr="000000"/>
              </a:solidFill>
              <a:latin typeface="+mn-lt"/>
              <a:ea typeface="+mn-ea"/>
              <a:cs typeface="+mn-cs"/>
            </a:defRPr>
          </a:pPr>
          <a:endParaRPr lang="es-MX"/>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P.3!$B$7:$B$55</c:f>
              <c:strCache>
                <c:ptCount val="49"/>
                <c:pt idx="0">
                  <c:v>2008-I</c:v>
                </c:pt>
                <c:pt idx="1">
                  <c:v>2008-II</c:v>
                </c:pt>
                <c:pt idx="2">
                  <c:v>2008-III</c:v>
                </c:pt>
                <c:pt idx="3">
                  <c:v>2008-IV</c:v>
                </c:pt>
                <c:pt idx="4">
                  <c:v>2009-I</c:v>
                </c:pt>
                <c:pt idx="5">
                  <c:v>2009-II</c:v>
                </c:pt>
                <c:pt idx="6">
                  <c:v>2009-III</c:v>
                </c:pt>
                <c:pt idx="7">
                  <c:v>2009-IV</c:v>
                </c:pt>
                <c:pt idx="8">
                  <c:v>2010-I</c:v>
                </c:pt>
                <c:pt idx="9">
                  <c:v>2010-II</c:v>
                </c:pt>
                <c:pt idx="10">
                  <c:v>2010-III</c:v>
                </c:pt>
                <c:pt idx="11">
                  <c:v>2010-IV</c:v>
                </c:pt>
                <c:pt idx="12">
                  <c:v>2011-I</c:v>
                </c:pt>
                <c:pt idx="13">
                  <c:v>2011-II</c:v>
                </c:pt>
                <c:pt idx="14">
                  <c:v>2011-III</c:v>
                </c:pt>
                <c:pt idx="15">
                  <c:v>2011-IV</c:v>
                </c:pt>
                <c:pt idx="16">
                  <c:v>2012-I</c:v>
                </c:pt>
                <c:pt idx="17">
                  <c:v>2012-II</c:v>
                </c:pt>
                <c:pt idx="18">
                  <c:v>2012-III</c:v>
                </c:pt>
                <c:pt idx="19">
                  <c:v>2012-IV</c:v>
                </c:pt>
                <c:pt idx="20">
                  <c:v>2013-I</c:v>
                </c:pt>
                <c:pt idx="21">
                  <c:v>2013-II</c:v>
                </c:pt>
                <c:pt idx="22">
                  <c:v>2013-III</c:v>
                </c:pt>
                <c:pt idx="23">
                  <c:v>2013-IV</c:v>
                </c:pt>
                <c:pt idx="24">
                  <c:v>2014-I</c:v>
                </c:pt>
                <c:pt idx="25">
                  <c:v>2014-II</c:v>
                </c:pt>
                <c:pt idx="26">
                  <c:v>2014-III</c:v>
                </c:pt>
                <c:pt idx="27">
                  <c:v>2014-IV</c:v>
                </c:pt>
                <c:pt idx="28">
                  <c:v>2015-I</c:v>
                </c:pt>
                <c:pt idx="29">
                  <c:v>2015-II</c:v>
                </c:pt>
                <c:pt idx="30">
                  <c:v>2015-III</c:v>
                </c:pt>
                <c:pt idx="31">
                  <c:v>2015-IV</c:v>
                </c:pt>
                <c:pt idx="32">
                  <c:v>2016-I</c:v>
                </c:pt>
                <c:pt idx="33">
                  <c:v>2016-II</c:v>
                </c:pt>
                <c:pt idx="34">
                  <c:v>2016-III</c:v>
                </c:pt>
                <c:pt idx="35">
                  <c:v>2016-IV</c:v>
                </c:pt>
                <c:pt idx="36">
                  <c:v>2017-I</c:v>
                </c:pt>
                <c:pt idx="37">
                  <c:v>2017-II</c:v>
                </c:pt>
                <c:pt idx="38">
                  <c:v>2017-III</c:v>
                </c:pt>
                <c:pt idx="39">
                  <c:v>2017-IV</c:v>
                </c:pt>
                <c:pt idx="40">
                  <c:v>2018-I</c:v>
                </c:pt>
                <c:pt idx="41">
                  <c:v>2018-II</c:v>
                </c:pt>
                <c:pt idx="42">
                  <c:v>2018-III</c:v>
                </c:pt>
                <c:pt idx="43">
                  <c:v>2018-IV</c:v>
                </c:pt>
                <c:pt idx="44">
                  <c:v>2019-I</c:v>
                </c:pt>
                <c:pt idx="45">
                  <c:v>2019-II</c:v>
                </c:pt>
                <c:pt idx="46">
                  <c:v>2019-III</c:v>
                </c:pt>
                <c:pt idx="47">
                  <c:v>2019-IV</c:v>
                </c:pt>
                <c:pt idx="48">
                  <c:v>2020-I</c:v>
                </c:pt>
              </c:strCache>
            </c:strRef>
          </c:cat>
          <c:val>
            <c:numRef>
              <c:f>P.3!$E$7:$E$55</c:f>
              <c:numCache>
                <c:formatCode>_-* #,##0_-;\-* #,##0_-;_-* "-"??_-;_-@_-</c:formatCode>
                <c:ptCount val="49"/>
                <c:pt idx="0">
                  <c:v>162829.39600000001</c:v>
                </c:pt>
                <c:pt idx="1">
                  <c:v>171813.99400000001</c:v>
                </c:pt>
                <c:pt idx="2">
                  <c:v>166827.02299999999</c:v>
                </c:pt>
                <c:pt idx="3">
                  <c:v>169652.144</c:v>
                </c:pt>
                <c:pt idx="4">
                  <c:v>185965.408</c:v>
                </c:pt>
                <c:pt idx="5">
                  <c:v>192837.73</c:v>
                </c:pt>
                <c:pt idx="6">
                  <c:v>181178.46900000001</c:v>
                </c:pt>
                <c:pt idx="7">
                  <c:v>187289.31700000001</c:v>
                </c:pt>
                <c:pt idx="8">
                  <c:v>200119.19699999999</c:v>
                </c:pt>
                <c:pt idx="9">
                  <c:v>208629.117</c:v>
                </c:pt>
                <c:pt idx="10">
                  <c:v>199129.01300000001</c:v>
                </c:pt>
                <c:pt idx="11">
                  <c:v>208016.992</c:v>
                </c:pt>
                <c:pt idx="12">
                  <c:v>220302.44699999999</c:v>
                </c:pt>
                <c:pt idx="13">
                  <c:v>224776.76800000001</c:v>
                </c:pt>
                <c:pt idx="14">
                  <c:v>218708.32500000001</c:v>
                </c:pt>
                <c:pt idx="15">
                  <c:v>222876.736</c:v>
                </c:pt>
                <c:pt idx="16">
                  <c:v>246209.71</c:v>
                </c:pt>
                <c:pt idx="17">
                  <c:v>252829.886</c:v>
                </c:pt>
                <c:pt idx="18">
                  <c:v>235073.24</c:v>
                </c:pt>
                <c:pt idx="19">
                  <c:v>238431.07500000001</c:v>
                </c:pt>
                <c:pt idx="20">
                  <c:v>246304.03700000001</c:v>
                </c:pt>
                <c:pt idx="21">
                  <c:v>247823.12400000001</c:v>
                </c:pt>
                <c:pt idx="22">
                  <c:v>240088.057</c:v>
                </c:pt>
                <c:pt idx="23">
                  <c:v>250583.59099999999</c:v>
                </c:pt>
                <c:pt idx="24">
                  <c:v>271239.16800000001</c:v>
                </c:pt>
                <c:pt idx="25">
                  <c:v>268343.05800000002</c:v>
                </c:pt>
                <c:pt idx="26">
                  <c:v>262953.05900000001</c:v>
                </c:pt>
                <c:pt idx="27">
                  <c:v>269939.478</c:v>
                </c:pt>
                <c:pt idx="28">
                  <c:v>301650.61300000001</c:v>
                </c:pt>
                <c:pt idx="29">
                  <c:v>295183.78700000001</c:v>
                </c:pt>
                <c:pt idx="30">
                  <c:v>278256.68099999998</c:v>
                </c:pt>
                <c:pt idx="31">
                  <c:v>268691.36900000001</c:v>
                </c:pt>
                <c:pt idx="32">
                  <c:v>317119.17</c:v>
                </c:pt>
                <c:pt idx="33">
                  <c:v>317973.84600000002</c:v>
                </c:pt>
                <c:pt idx="34">
                  <c:v>298681.79499999998</c:v>
                </c:pt>
                <c:pt idx="35">
                  <c:v>284066.52799999999</c:v>
                </c:pt>
                <c:pt idx="36">
                  <c:v>337057.95199999999</c:v>
                </c:pt>
                <c:pt idx="37">
                  <c:v>329670.82</c:v>
                </c:pt>
                <c:pt idx="38">
                  <c:v>304849.91399999999</c:v>
                </c:pt>
                <c:pt idx="39">
                  <c:v>308975.06900000002</c:v>
                </c:pt>
                <c:pt idx="40">
                  <c:v>365745.01699999999</c:v>
                </c:pt>
                <c:pt idx="41">
                  <c:v>365866.48599999998</c:v>
                </c:pt>
                <c:pt idx="42">
                  <c:v>328769.52899999998</c:v>
                </c:pt>
                <c:pt idx="43">
                  <c:v>322565.44699999999</c:v>
                </c:pt>
                <c:pt idx="44">
                  <c:v>380119.18400000001</c:v>
                </c:pt>
                <c:pt idx="45">
                  <c:v>366454.712</c:v>
                </c:pt>
                <c:pt idx="46">
                  <c:v>330395.44900000002</c:v>
                </c:pt>
                <c:pt idx="47">
                  <c:v>324133.15399999998</c:v>
                </c:pt>
                <c:pt idx="48">
                  <c:v>416923.75900000002</c:v>
                </c:pt>
              </c:numCache>
            </c:numRef>
          </c:val>
          <c:smooth val="0"/>
          <c:extLst>
            <c:ext xmlns:c16="http://schemas.microsoft.com/office/drawing/2014/chart" uri="{C3380CC4-5D6E-409C-BE32-E72D297353CC}">
              <c16:uniqueId val="{00000000-5FA9-4CE3-B368-5DD29131FEA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18641455"/>
        <c:axId val="1618649359"/>
      </c:lineChart>
      <c:catAx>
        <c:axId val="161864145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spc="20" baseline="0">
                <a:solidFill>
                  <a:sysClr val="windowText" lastClr="000000"/>
                </a:solidFill>
                <a:latin typeface="+mn-lt"/>
                <a:ea typeface="+mn-ea"/>
                <a:cs typeface="+mn-cs"/>
              </a:defRPr>
            </a:pPr>
            <a:endParaRPr lang="es-MX"/>
          </a:p>
        </c:txPr>
        <c:crossAx val="1618649359"/>
        <c:crosses val="autoZero"/>
        <c:auto val="1"/>
        <c:lblAlgn val="ctr"/>
        <c:lblOffset val="100"/>
        <c:noMultiLvlLbl val="0"/>
      </c:catAx>
      <c:valAx>
        <c:axId val="1618649359"/>
        <c:scaling>
          <c:orientation val="minMax"/>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spc="20" baseline="0">
                <a:solidFill>
                  <a:sysClr val="windowText" lastClr="000000"/>
                </a:solidFill>
                <a:latin typeface="+mn-lt"/>
                <a:ea typeface="+mn-ea"/>
                <a:cs typeface="+mn-cs"/>
              </a:defRPr>
            </a:pPr>
            <a:endParaRPr lang="es-MX"/>
          </a:p>
        </c:txPr>
        <c:crossAx val="1618641455"/>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700" b="0">
          <a:solidFill>
            <a:sysClr val="windowText" lastClr="000000"/>
          </a:solidFill>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CD6D101B991474E93D6C5C48804BC99" ma:contentTypeVersion="0" ma:contentTypeDescription="Crear nuevo documento." ma:contentTypeScope="" ma:versionID="6a91a376ce0852ca1f90f2c352c28c92">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E74D-F8BC-4B3C-9C84-365BC16502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70E397-A721-444E-AF4F-4CC6C976F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0A7AFC-77D4-461A-B2C7-E25E0141D6D4}">
  <ds:schemaRefs>
    <ds:schemaRef ds:uri="http://schemas.microsoft.com/sharepoint/v3/contenttype/forms"/>
  </ds:schemaRefs>
</ds:datastoreItem>
</file>

<file path=customXml/itemProps4.xml><?xml version="1.0" encoding="utf-8"?>
<ds:datastoreItem xmlns:ds="http://schemas.openxmlformats.org/officeDocument/2006/customXml" ds:itemID="{BE859435-18CC-45A0-A647-5F559ECC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5700</Words>
  <Characters>31354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ESLAVA MARICELA</dc:creator>
  <cp:keywords/>
  <dc:description/>
  <cp:lastModifiedBy>GUILLEN MEDINA MOISES</cp:lastModifiedBy>
  <cp:revision>11</cp:revision>
  <cp:lastPrinted>2019-01-24T20:20:00Z</cp:lastPrinted>
  <dcterms:created xsi:type="dcterms:W3CDTF">2020-09-01T23:18:00Z</dcterms:created>
  <dcterms:modified xsi:type="dcterms:W3CDTF">2020-09-02T02:18:00Z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0x0101002CD6D101B991474E93D6C5C48804BC99</vt:lpwstr>
  </property>
</Properties>
</file>